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3C97" w:rsidRPr="009F71D4" w:rsidP="009F71D4" w14:paraId="337F57CC" w14:textId="574F1046">
      <w:pPr>
        <w:tabs>
          <w:tab w:val="left" w:pos="2964"/>
        </w:tabs>
        <w:jc w:val="center"/>
        <w:outlineLvl w:val="0"/>
        <w:rPr>
          <w:b/>
          <w:szCs w:val="24"/>
        </w:rPr>
      </w:pPr>
      <w:r w:rsidRPr="009F71D4">
        <w:rPr>
          <w:b/>
          <w:szCs w:val="24"/>
        </w:rPr>
        <w:t>SUPPORTING STATEMENT</w:t>
      </w:r>
    </w:p>
    <w:p w:rsidR="00A94885" w:rsidRPr="009F71D4" w:rsidP="009F71D4" w14:paraId="3757ED66" w14:textId="77777777">
      <w:pPr>
        <w:rPr>
          <w:szCs w:val="24"/>
        </w:rPr>
      </w:pPr>
    </w:p>
    <w:p w:rsidR="00DE3C97" w:rsidRPr="009F71D4" w:rsidP="009F71D4" w14:paraId="433B418D" w14:textId="77777777">
      <w:pPr>
        <w:rPr>
          <w:szCs w:val="24"/>
        </w:rPr>
      </w:pPr>
    </w:p>
    <w:p w:rsidR="00F7454E" w:rsidRPr="009F71D4" w:rsidP="009F71D4" w14:paraId="7B5D8D94" w14:textId="0762AA04">
      <w:pPr>
        <w:rPr>
          <w:szCs w:val="24"/>
        </w:rPr>
      </w:pPr>
      <w:r w:rsidRPr="009F71D4">
        <w:rPr>
          <w:szCs w:val="24"/>
        </w:rPr>
        <w:t>The Federal Communications Commission (“</w:t>
      </w:r>
      <w:r w:rsidRPr="009F71D4" w:rsidR="005D7A4C">
        <w:rPr>
          <w:szCs w:val="24"/>
        </w:rPr>
        <w:t xml:space="preserve">FCC or </w:t>
      </w:r>
      <w:r w:rsidRPr="009F71D4">
        <w:rPr>
          <w:szCs w:val="24"/>
        </w:rPr>
        <w:t xml:space="preserve">the Commission”) is seeking approval from the Office of Management and Budget (OMB) under the Paperwork Reduction Act (PRA) to </w:t>
      </w:r>
      <w:r w:rsidRPr="009F71D4" w:rsidR="00AC67CA">
        <w:rPr>
          <w:szCs w:val="24"/>
        </w:rPr>
        <w:t xml:space="preserve">revise this information collection to eliminate </w:t>
      </w:r>
      <w:r w:rsidRPr="009F71D4" w:rsidR="00DA5D04">
        <w:rPr>
          <w:szCs w:val="24"/>
        </w:rPr>
        <w:t xml:space="preserve">the requirements associated with the Connect America Phase II Auction </w:t>
      </w:r>
      <w:r w:rsidRPr="009F71D4" w:rsidR="0015233E">
        <w:rPr>
          <w:szCs w:val="24"/>
        </w:rPr>
        <w:t>Eligible Locations Adjustment Process</w:t>
      </w:r>
      <w:r w:rsidRPr="009F71D4">
        <w:rPr>
          <w:szCs w:val="24"/>
        </w:rPr>
        <w:t xml:space="preserve"> (ELAP)</w:t>
      </w:r>
      <w:r w:rsidRPr="009F71D4" w:rsidR="0015233E">
        <w:rPr>
          <w:szCs w:val="24"/>
        </w:rPr>
        <w:t xml:space="preserve"> now that this process has concluded.  </w:t>
      </w:r>
    </w:p>
    <w:p w:rsidR="00F7454E" w:rsidRPr="009F71D4" w:rsidP="009F71D4" w14:paraId="4E56DF4F" w14:textId="77777777">
      <w:pPr>
        <w:rPr>
          <w:szCs w:val="24"/>
        </w:rPr>
      </w:pPr>
    </w:p>
    <w:p w:rsidR="00DE3C97" w:rsidRPr="009F71D4" w:rsidP="009F71D4" w14:paraId="534E9823" w14:textId="0EAB57A1">
      <w:pPr>
        <w:rPr>
          <w:szCs w:val="24"/>
        </w:rPr>
      </w:pPr>
      <w:r w:rsidRPr="009F71D4">
        <w:rPr>
          <w:szCs w:val="24"/>
        </w:rPr>
        <w:t xml:space="preserve">Additionally, the Commission is seeking approval </w:t>
      </w:r>
      <w:r w:rsidRPr="009F71D4" w:rsidR="001703A4">
        <w:rPr>
          <w:szCs w:val="24"/>
        </w:rPr>
        <w:t>for new information collection requirements</w:t>
      </w:r>
      <w:r w:rsidRPr="009F71D4" w:rsidR="00C543F7">
        <w:rPr>
          <w:szCs w:val="24"/>
        </w:rPr>
        <w:t xml:space="preserve"> </w:t>
      </w:r>
      <w:r w:rsidRPr="009F71D4" w:rsidR="002A7442">
        <w:rPr>
          <w:szCs w:val="24"/>
        </w:rPr>
        <w:t xml:space="preserve">implemented in the </w:t>
      </w:r>
      <w:r w:rsidRPr="009F71D4" w:rsidR="002A7442">
        <w:rPr>
          <w:i/>
          <w:iCs/>
          <w:szCs w:val="24"/>
        </w:rPr>
        <w:t>High</w:t>
      </w:r>
      <w:r w:rsidRPr="009F71D4" w:rsidR="009A14A3">
        <w:rPr>
          <w:i/>
          <w:iCs/>
          <w:szCs w:val="24"/>
        </w:rPr>
        <w:t>-</w:t>
      </w:r>
      <w:r w:rsidRPr="009F71D4" w:rsidR="002A7442">
        <w:rPr>
          <w:i/>
          <w:iCs/>
          <w:szCs w:val="24"/>
        </w:rPr>
        <w:t>Cost Fabric Order</w:t>
      </w:r>
      <w:r w:rsidRPr="009F71D4" w:rsidR="002A7442">
        <w:rPr>
          <w:szCs w:val="24"/>
        </w:rPr>
        <w:t xml:space="preserve">.  </w:t>
      </w:r>
      <w:r w:rsidRPr="009F71D4" w:rsidR="00F90638">
        <w:rPr>
          <w:szCs w:val="24"/>
        </w:rPr>
        <w:t>Specifically</w:t>
      </w:r>
      <w:r w:rsidRPr="009F71D4" w:rsidR="003338A1">
        <w:rPr>
          <w:szCs w:val="24"/>
        </w:rPr>
        <w:t xml:space="preserve">, </w:t>
      </w:r>
      <w:r w:rsidR="008512D1">
        <w:rPr>
          <w:szCs w:val="24"/>
        </w:rPr>
        <w:t>the Commission</w:t>
      </w:r>
      <w:r w:rsidRPr="009F71D4" w:rsidR="008512D1">
        <w:rPr>
          <w:szCs w:val="24"/>
        </w:rPr>
        <w:t xml:space="preserve"> </w:t>
      </w:r>
      <w:r w:rsidRPr="009F71D4" w:rsidR="003338A1">
        <w:rPr>
          <w:szCs w:val="24"/>
        </w:rPr>
        <w:t>seek</w:t>
      </w:r>
      <w:r w:rsidR="008512D1">
        <w:rPr>
          <w:szCs w:val="24"/>
        </w:rPr>
        <w:t>s</w:t>
      </w:r>
      <w:r w:rsidRPr="009F71D4" w:rsidR="003338A1">
        <w:rPr>
          <w:szCs w:val="24"/>
        </w:rPr>
        <w:t xml:space="preserve"> approval for information collection requirements related to a</w:t>
      </w:r>
      <w:r w:rsidRPr="009F71D4" w:rsidR="00554A50">
        <w:rPr>
          <w:szCs w:val="24"/>
        </w:rPr>
        <w:t xml:space="preserve"> voluntary</w:t>
      </w:r>
      <w:r w:rsidRPr="009F71D4" w:rsidR="003338A1">
        <w:rPr>
          <w:szCs w:val="24"/>
        </w:rPr>
        <w:t xml:space="preserve"> location adjustment process </w:t>
      </w:r>
      <w:r w:rsidRPr="009F71D4" w:rsidR="00C543F7">
        <w:rPr>
          <w:szCs w:val="24"/>
        </w:rPr>
        <w:t xml:space="preserve">for </w:t>
      </w:r>
      <w:r w:rsidRPr="009F71D4" w:rsidR="00513EBE">
        <w:rPr>
          <w:szCs w:val="24"/>
        </w:rPr>
        <w:t xml:space="preserve">Revised </w:t>
      </w:r>
      <w:r w:rsidRPr="009F71D4" w:rsidR="00C543F7">
        <w:rPr>
          <w:szCs w:val="24"/>
        </w:rPr>
        <w:t>Alternative Connect</w:t>
      </w:r>
      <w:r w:rsidRPr="009F71D4" w:rsidR="002A7442">
        <w:rPr>
          <w:szCs w:val="24"/>
        </w:rPr>
        <w:t xml:space="preserve"> America Cost Model (A-CAM) </w:t>
      </w:r>
      <w:r w:rsidR="00D46ACE">
        <w:rPr>
          <w:szCs w:val="24"/>
        </w:rPr>
        <w:t xml:space="preserve">I </w:t>
      </w:r>
      <w:r w:rsidRPr="009F71D4" w:rsidR="003338A1">
        <w:rPr>
          <w:szCs w:val="24"/>
        </w:rPr>
        <w:t>and A-CAM II carriers</w:t>
      </w:r>
      <w:r w:rsidRPr="009F71D4" w:rsidR="00554A50">
        <w:rPr>
          <w:szCs w:val="24"/>
        </w:rPr>
        <w:t xml:space="preserve"> that will give carriers an opportunity to seek a downward adjustment in the number of locations they are required to serve if there are fewer locations in their service area than originally estimated</w:t>
      </w:r>
      <w:r w:rsidRPr="009F71D4" w:rsidR="00B85059">
        <w:rPr>
          <w:szCs w:val="24"/>
        </w:rPr>
        <w:t>, along with</w:t>
      </w:r>
      <w:r w:rsidRPr="009F71D4" w:rsidR="00554A50">
        <w:rPr>
          <w:szCs w:val="24"/>
        </w:rPr>
        <w:t xml:space="preserve"> </w:t>
      </w:r>
      <w:r w:rsidRPr="009F71D4" w:rsidR="00554A50">
        <w:rPr>
          <w:szCs w:val="24"/>
        </w:rPr>
        <w:t>an associated support reduction</w:t>
      </w:r>
      <w:r w:rsidRPr="009F71D4" w:rsidR="003338A1">
        <w:rPr>
          <w:szCs w:val="24"/>
        </w:rPr>
        <w:t xml:space="preserve">.  </w:t>
      </w:r>
      <w:r w:rsidR="008512D1">
        <w:rPr>
          <w:szCs w:val="24"/>
        </w:rPr>
        <w:t>The Commission</w:t>
      </w:r>
      <w:r w:rsidRPr="009F71D4" w:rsidR="008512D1">
        <w:rPr>
          <w:szCs w:val="24"/>
        </w:rPr>
        <w:t xml:space="preserve"> </w:t>
      </w:r>
      <w:r w:rsidRPr="009F71D4" w:rsidR="003338A1">
        <w:rPr>
          <w:szCs w:val="24"/>
        </w:rPr>
        <w:t xml:space="preserve">also </w:t>
      </w:r>
      <w:r w:rsidRPr="009F71D4" w:rsidR="00891549">
        <w:rPr>
          <w:szCs w:val="24"/>
        </w:rPr>
        <w:t>seek</w:t>
      </w:r>
      <w:r w:rsidR="008512D1">
        <w:rPr>
          <w:szCs w:val="24"/>
        </w:rPr>
        <w:t>s</w:t>
      </w:r>
      <w:r w:rsidRPr="009F71D4" w:rsidR="00891549">
        <w:rPr>
          <w:szCs w:val="24"/>
        </w:rPr>
        <w:t xml:space="preserve"> approval for information collection requirements related to a process for Rural Digital Opportunity Fund (RDOF) carriers that have more actual locations </w:t>
      </w:r>
      <w:r w:rsidRPr="009F71D4" w:rsidR="0055391E">
        <w:rPr>
          <w:szCs w:val="24"/>
        </w:rPr>
        <w:t>in their service areas than originally estimated to demonstrate that locations in their service areas are unreasonable to serve</w:t>
      </w:r>
      <w:r w:rsidRPr="009F71D4" w:rsidR="0087447D">
        <w:rPr>
          <w:szCs w:val="24"/>
        </w:rPr>
        <w:t>.</w:t>
      </w:r>
      <w:r w:rsidRPr="009F71D4" w:rsidR="0055391E">
        <w:rPr>
          <w:szCs w:val="24"/>
        </w:rPr>
        <w:t xml:space="preserve"> </w:t>
      </w:r>
      <w:r w:rsidR="00644155">
        <w:rPr>
          <w:szCs w:val="24"/>
        </w:rPr>
        <w:t xml:space="preserve"> </w:t>
      </w:r>
      <w:r w:rsidR="00080DF2">
        <w:rPr>
          <w:szCs w:val="24"/>
        </w:rPr>
        <w:t>Finally</w:t>
      </w:r>
      <w:r w:rsidR="00644155">
        <w:rPr>
          <w:szCs w:val="24"/>
        </w:rPr>
        <w:t>, the proposed revisions include retitling this collection from “Connect America Fund – Eligible Locations Adjustment Process” to “</w:t>
      </w:r>
      <w:r w:rsidRPr="00644155" w:rsidR="00644155">
        <w:rPr>
          <w:bCs/>
          <w:szCs w:val="24"/>
        </w:rPr>
        <w:t>Connect America Fund- Alternative Connect America Cost Model (A-CAM) Voluntary Location Adjustment Process and Rural Digital Opportunity Fund (RDOF) Unreasonable Locations Process</w:t>
      </w:r>
      <w:r w:rsidR="00644155">
        <w:rPr>
          <w:bCs/>
          <w:szCs w:val="24"/>
        </w:rPr>
        <w:t>.”</w:t>
      </w:r>
    </w:p>
    <w:p w:rsidR="00045738" w:rsidRPr="009F71D4" w:rsidP="009F71D4" w14:paraId="75FF041D" w14:textId="77777777">
      <w:pPr>
        <w:rPr>
          <w:szCs w:val="24"/>
        </w:rPr>
      </w:pPr>
    </w:p>
    <w:p w:rsidR="00DE3C97" w:rsidRPr="009F71D4" w:rsidP="009F71D4" w14:paraId="534DBB34" w14:textId="77777777">
      <w:pPr>
        <w:pStyle w:val="ListParagraph"/>
        <w:numPr>
          <w:ilvl w:val="0"/>
          <w:numId w:val="23"/>
        </w:numPr>
        <w:ind w:hanging="720"/>
        <w:rPr>
          <w:b/>
          <w:szCs w:val="24"/>
          <w:u w:val="single"/>
        </w:rPr>
      </w:pPr>
      <w:r w:rsidRPr="009F71D4">
        <w:rPr>
          <w:b/>
          <w:szCs w:val="24"/>
          <w:u w:val="single"/>
        </w:rPr>
        <w:t>Justification</w:t>
      </w:r>
    </w:p>
    <w:p w:rsidR="00984E2C" w:rsidRPr="009F71D4" w:rsidP="009F71D4" w14:paraId="68139EAB" w14:textId="77777777">
      <w:pPr>
        <w:pStyle w:val="ListParagraph"/>
        <w:ind w:left="360"/>
        <w:rPr>
          <w:szCs w:val="24"/>
        </w:rPr>
      </w:pPr>
    </w:p>
    <w:p w:rsidR="00CB49EC" w:rsidRPr="009F71D4" w:rsidP="009F71D4" w14:paraId="5BD608E3" w14:textId="77777777">
      <w:pPr>
        <w:pStyle w:val="ListParagraph"/>
        <w:numPr>
          <w:ilvl w:val="0"/>
          <w:numId w:val="1"/>
        </w:numPr>
        <w:rPr>
          <w:szCs w:val="24"/>
        </w:rPr>
      </w:pPr>
      <w:r w:rsidRPr="009F71D4">
        <w:rPr>
          <w:i/>
          <w:szCs w:val="24"/>
        </w:rPr>
        <w:t>Circumstances that make the collection necessary</w:t>
      </w:r>
      <w:r w:rsidRPr="009F71D4">
        <w:rPr>
          <w:szCs w:val="24"/>
        </w:rPr>
        <w:t xml:space="preserve">:  </w:t>
      </w:r>
    </w:p>
    <w:p w:rsidR="00CB49EC" w:rsidRPr="009F71D4" w:rsidP="009F71D4" w14:paraId="012406F3" w14:textId="77777777">
      <w:pPr>
        <w:rPr>
          <w:szCs w:val="24"/>
        </w:rPr>
      </w:pPr>
    </w:p>
    <w:p w:rsidR="00ED1714" w:rsidRPr="009F71D4" w:rsidP="009F71D4" w14:paraId="596C3842" w14:textId="5B37A78F">
      <w:pPr>
        <w:pStyle w:val="ListParagraph"/>
        <w:ind w:left="829"/>
        <w:rPr>
          <w:szCs w:val="24"/>
        </w:rPr>
      </w:pPr>
      <w:r w:rsidRPr="009F71D4">
        <w:rPr>
          <w:szCs w:val="24"/>
        </w:rPr>
        <w:t>The</w:t>
      </w:r>
      <w:r w:rsidRPr="009F71D4" w:rsidR="003E49DB">
        <w:rPr>
          <w:szCs w:val="24"/>
        </w:rPr>
        <w:t xml:space="preserve"> Communications Act of 1934, as </w:t>
      </w:r>
      <w:r w:rsidRPr="009F71D4">
        <w:rPr>
          <w:szCs w:val="24"/>
        </w:rPr>
        <w:t>amended</w:t>
      </w:r>
      <w:r w:rsidRPr="009F71D4" w:rsidR="000D4B84">
        <w:rPr>
          <w:szCs w:val="24"/>
        </w:rPr>
        <w:t xml:space="preserve"> (Act)</w:t>
      </w:r>
      <w:r w:rsidRPr="009F71D4">
        <w:rPr>
          <w:szCs w:val="24"/>
        </w:rPr>
        <w:t xml:space="preserve">, requires the “preservation and advancement of universal service.”  47 U.S.C. § 254(b).  </w:t>
      </w:r>
      <w:r w:rsidRPr="009F71D4" w:rsidR="00984E2C">
        <w:rPr>
          <w:szCs w:val="24"/>
        </w:rPr>
        <w:t xml:space="preserve">The information collection requirements reported under this </w:t>
      </w:r>
      <w:r w:rsidRPr="009F71D4" w:rsidR="003C054E">
        <w:rPr>
          <w:szCs w:val="24"/>
        </w:rPr>
        <w:t xml:space="preserve">information </w:t>
      </w:r>
      <w:r w:rsidRPr="009F71D4" w:rsidR="00984E2C">
        <w:rPr>
          <w:szCs w:val="24"/>
        </w:rPr>
        <w:t xml:space="preserve">collection are the result of </w:t>
      </w:r>
      <w:r w:rsidRPr="009F71D4" w:rsidR="00CE55C1">
        <w:rPr>
          <w:szCs w:val="24"/>
        </w:rPr>
        <w:t>FCC</w:t>
      </w:r>
      <w:r w:rsidRPr="009F71D4" w:rsidR="00984E2C">
        <w:rPr>
          <w:szCs w:val="24"/>
        </w:rPr>
        <w:t xml:space="preserve"> actions to promote the Act’s universal service goals.</w:t>
      </w:r>
      <w:r w:rsidRPr="009F71D4">
        <w:rPr>
          <w:szCs w:val="24"/>
        </w:rPr>
        <w:t xml:space="preserve">  </w:t>
      </w:r>
    </w:p>
    <w:p w:rsidR="00BC4B64" w:rsidRPr="009F71D4" w:rsidP="009F71D4" w14:paraId="51241A9E" w14:textId="77777777">
      <w:pPr>
        <w:pStyle w:val="ListParagraph"/>
        <w:ind w:left="829"/>
        <w:rPr>
          <w:szCs w:val="24"/>
        </w:rPr>
      </w:pPr>
    </w:p>
    <w:p w:rsidR="00BC4B64" w:rsidRPr="009F71D4" w:rsidP="009F71D4" w14:paraId="27CC955E" w14:textId="73DCFD00">
      <w:pPr>
        <w:pStyle w:val="ListParagraph"/>
        <w:ind w:left="829"/>
        <w:rPr>
          <w:b/>
          <w:bCs/>
          <w:szCs w:val="24"/>
        </w:rPr>
      </w:pPr>
      <w:r w:rsidRPr="009F71D4">
        <w:rPr>
          <w:b/>
          <w:bCs/>
          <w:szCs w:val="24"/>
        </w:rPr>
        <w:t>Eligible Locations Adjustment Process</w:t>
      </w:r>
    </w:p>
    <w:p w:rsidR="00ED1714" w:rsidRPr="009F71D4" w:rsidP="009F71D4" w14:paraId="35F502CA" w14:textId="77777777">
      <w:pPr>
        <w:pStyle w:val="ListParagraph"/>
        <w:rPr>
          <w:szCs w:val="24"/>
        </w:rPr>
      </w:pPr>
    </w:p>
    <w:p w:rsidR="00ED1714" w:rsidRPr="009F71D4" w:rsidP="009F71D4" w14:paraId="3B6F8F7C" w14:textId="7496F8FA">
      <w:pPr>
        <w:pStyle w:val="ListParagraph"/>
        <w:ind w:left="829"/>
        <w:rPr>
          <w:szCs w:val="24"/>
        </w:rPr>
      </w:pPr>
      <w:bookmarkStart w:id="0" w:name="_Hlk41890715"/>
      <w:bookmarkStart w:id="1" w:name="_Hlk37242016"/>
      <w:r w:rsidRPr="009F71D4">
        <w:rPr>
          <w:szCs w:val="24"/>
        </w:rPr>
        <w:t xml:space="preserve">This </w:t>
      </w:r>
      <w:r w:rsidRPr="009F71D4" w:rsidR="002C74EF">
        <w:rPr>
          <w:szCs w:val="24"/>
        </w:rPr>
        <w:t xml:space="preserve">information </w:t>
      </w:r>
      <w:r w:rsidRPr="009F71D4">
        <w:rPr>
          <w:szCs w:val="24"/>
        </w:rPr>
        <w:t xml:space="preserve">collection addresses the requirements of </w:t>
      </w:r>
      <w:r w:rsidRPr="009F71D4" w:rsidR="00B9402E">
        <w:rPr>
          <w:szCs w:val="24"/>
        </w:rPr>
        <w:t>ELAP</w:t>
      </w:r>
      <w:r w:rsidRPr="009F71D4" w:rsidR="006E6D2A">
        <w:rPr>
          <w:szCs w:val="24"/>
        </w:rPr>
        <w:t xml:space="preserve"> that the Commission used</w:t>
      </w:r>
      <w:r w:rsidRPr="009F71D4" w:rsidR="00161EC4">
        <w:rPr>
          <w:szCs w:val="24"/>
        </w:rPr>
        <w:t xml:space="preserve"> </w:t>
      </w:r>
      <w:r w:rsidRPr="009F71D4" w:rsidR="006E6D2A">
        <w:rPr>
          <w:szCs w:val="24"/>
        </w:rPr>
        <w:t xml:space="preserve">to </w:t>
      </w:r>
      <w:r w:rsidRPr="009F71D4" w:rsidR="002A3997">
        <w:rPr>
          <w:szCs w:val="24"/>
        </w:rPr>
        <w:t>facilitat</w:t>
      </w:r>
      <w:r w:rsidRPr="009F71D4" w:rsidR="00161EC4">
        <w:rPr>
          <w:szCs w:val="24"/>
        </w:rPr>
        <w:t>e</w:t>
      </w:r>
      <w:r w:rsidRPr="009F71D4" w:rsidR="002A3997">
        <w:rPr>
          <w:szCs w:val="24"/>
        </w:rPr>
        <w:t xml:space="preserve"> </w:t>
      </w:r>
      <w:r w:rsidRPr="009F71D4" w:rsidR="00E77417">
        <w:rPr>
          <w:szCs w:val="24"/>
        </w:rPr>
        <w:t xml:space="preserve">the </w:t>
      </w:r>
      <w:r w:rsidRPr="009F71D4" w:rsidR="00B46192">
        <w:rPr>
          <w:szCs w:val="24"/>
        </w:rPr>
        <w:t xml:space="preserve">post-auction review of </w:t>
      </w:r>
      <w:r w:rsidRPr="009F71D4" w:rsidR="002A3997">
        <w:rPr>
          <w:szCs w:val="24"/>
        </w:rPr>
        <w:t xml:space="preserve">certain </w:t>
      </w:r>
      <w:r w:rsidRPr="009F71D4" w:rsidR="00E77417">
        <w:rPr>
          <w:szCs w:val="24"/>
        </w:rPr>
        <w:t xml:space="preserve">CAF </w:t>
      </w:r>
      <w:r w:rsidRPr="009F71D4" w:rsidR="00081FAC">
        <w:rPr>
          <w:szCs w:val="24"/>
        </w:rPr>
        <w:t xml:space="preserve">(Connect America Fund) </w:t>
      </w:r>
      <w:r w:rsidRPr="009F71D4" w:rsidR="00E77417">
        <w:rPr>
          <w:szCs w:val="24"/>
        </w:rPr>
        <w:t>Phase II Auction support recipients’</w:t>
      </w:r>
      <w:r w:rsidR="009C0750">
        <w:rPr>
          <w:szCs w:val="24"/>
        </w:rPr>
        <w:t xml:space="preserve"> </w:t>
      </w:r>
      <w:r w:rsidRPr="009F71D4" w:rsidR="00B46192">
        <w:rPr>
          <w:szCs w:val="24"/>
        </w:rPr>
        <w:t>defined deployment obligations (and associated support)</w:t>
      </w:r>
      <w:r w:rsidRPr="009F71D4" w:rsidR="00552B64">
        <w:rPr>
          <w:szCs w:val="24"/>
        </w:rPr>
        <w:t>, on a state-by-state basis,</w:t>
      </w:r>
      <w:r w:rsidRPr="009F71D4" w:rsidR="00D16F67">
        <w:rPr>
          <w:szCs w:val="24"/>
        </w:rPr>
        <w:t xml:space="preserve"> </w:t>
      </w:r>
      <w:r w:rsidRPr="009F71D4">
        <w:rPr>
          <w:szCs w:val="24"/>
        </w:rPr>
        <w:t xml:space="preserve">in situations where the number of eligible locations within a state is less </w:t>
      </w:r>
      <w:r w:rsidRPr="009F71D4" w:rsidR="00B46192">
        <w:rPr>
          <w:szCs w:val="24"/>
        </w:rPr>
        <w:t>than the number of</w:t>
      </w:r>
      <w:r w:rsidRPr="009F71D4">
        <w:rPr>
          <w:szCs w:val="24"/>
        </w:rPr>
        <w:t xml:space="preserve"> funded location</w:t>
      </w:r>
      <w:r w:rsidRPr="009F71D4" w:rsidR="00054B9D">
        <w:rPr>
          <w:szCs w:val="24"/>
        </w:rPr>
        <w:t>s</w:t>
      </w:r>
      <w:r w:rsidRPr="009F71D4" w:rsidR="00552B64">
        <w:rPr>
          <w:szCs w:val="24"/>
        </w:rPr>
        <w:t xml:space="preserve">.  </w:t>
      </w:r>
      <w:r w:rsidRPr="009F71D4" w:rsidR="00A96887">
        <w:rPr>
          <w:rStyle w:val="Emphasis"/>
          <w:szCs w:val="24"/>
        </w:rPr>
        <w:t>Connect America Fund</w:t>
      </w:r>
      <w:r w:rsidRPr="009F71D4" w:rsidR="00A96887">
        <w:rPr>
          <w:szCs w:val="24"/>
        </w:rPr>
        <w:t xml:space="preserve">, WC Docket No. 10-90, Order, </w:t>
      </w:r>
      <w:r w:rsidRPr="009F71D4" w:rsidR="00FD1780">
        <w:rPr>
          <w:rStyle w:val="cosearchterm"/>
          <w:szCs w:val="24"/>
        </w:rPr>
        <w:t>38 FCC Rcd 1135</w:t>
      </w:r>
      <w:r w:rsidRPr="009F71D4" w:rsidR="00A96887">
        <w:rPr>
          <w:szCs w:val="24"/>
        </w:rPr>
        <w:t xml:space="preserve"> (WCB 2023); </w:t>
      </w:r>
      <w:r w:rsidRPr="009F71D4" w:rsidR="00B46192">
        <w:rPr>
          <w:i/>
          <w:szCs w:val="24"/>
        </w:rPr>
        <w:t>Connect America Fund</w:t>
      </w:r>
      <w:r w:rsidRPr="009F71D4" w:rsidR="00B46192">
        <w:rPr>
          <w:szCs w:val="24"/>
        </w:rPr>
        <w:t>, WC Docket No</w:t>
      </w:r>
      <w:r w:rsidRPr="009F71D4" w:rsidR="00DC1A65">
        <w:rPr>
          <w:szCs w:val="24"/>
        </w:rPr>
        <w:t>s</w:t>
      </w:r>
      <w:r w:rsidRPr="009F71D4" w:rsidR="00B46192">
        <w:rPr>
          <w:szCs w:val="24"/>
        </w:rPr>
        <w:t>. 1</w:t>
      </w:r>
      <w:r w:rsidRPr="009F71D4" w:rsidR="00DC1A65">
        <w:rPr>
          <w:szCs w:val="24"/>
        </w:rPr>
        <w:t>0-90 et al.</w:t>
      </w:r>
      <w:r w:rsidRPr="009F71D4" w:rsidR="00B46192">
        <w:rPr>
          <w:szCs w:val="24"/>
        </w:rPr>
        <w:t>, Order on Reconsideration, 33 FCC Rcd 1380, 1390-92, paras. 23-28 (2018) (</w:t>
      </w:r>
      <w:r w:rsidRPr="009F71D4" w:rsidR="00B46192">
        <w:rPr>
          <w:i/>
          <w:szCs w:val="24"/>
        </w:rPr>
        <w:t xml:space="preserve">Phase II Auction </w:t>
      </w:r>
      <w:r w:rsidRPr="009F71D4" w:rsidR="00B46192">
        <w:rPr>
          <w:i/>
          <w:iCs/>
          <w:szCs w:val="24"/>
        </w:rPr>
        <w:t>Reconsideration</w:t>
      </w:r>
      <w:r w:rsidRPr="009F71D4" w:rsidR="00B46192">
        <w:rPr>
          <w:i/>
          <w:szCs w:val="24"/>
        </w:rPr>
        <w:t xml:space="preserve"> Order</w:t>
      </w:r>
      <w:r w:rsidRPr="009F71D4" w:rsidR="00B46192">
        <w:rPr>
          <w:szCs w:val="24"/>
        </w:rPr>
        <w:t>)</w:t>
      </w:r>
      <w:bookmarkStart w:id="2" w:name="_Hlk26800333"/>
      <w:r w:rsidRPr="009F71D4" w:rsidR="00552B64">
        <w:rPr>
          <w:szCs w:val="24"/>
        </w:rPr>
        <w:t xml:space="preserve">; </w:t>
      </w:r>
      <w:r w:rsidRPr="009F71D4" w:rsidR="00B46192">
        <w:rPr>
          <w:i/>
          <w:szCs w:val="24"/>
        </w:rPr>
        <w:t>Connect America Fund</w:t>
      </w:r>
      <w:r w:rsidRPr="009F71D4" w:rsidR="00B46192">
        <w:rPr>
          <w:szCs w:val="24"/>
        </w:rPr>
        <w:t xml:space="preserve">, WC Docket </w:t>
      </w:r>
      <w:r w:rsidRPr="009F71D4" w:rsidR="00B46192">
        <w:rPr>
          <w:szCs w:val="24"/>
        </w:rPr>
        <w:t xml:space="preserve">No. 10-90, Order, </w:t>
      </w:r>
      <w:r w:rsidRPr="009F71D4" w:rsidR="007634E4">
        <w:rPr>
          <w:szCs w:val="24"/>
        </w:rPr>
        <w:t xml:space="preserve">34 FCC Rcd 10395 </w:t>
      </w:r>
      <w:r w:rsidRPr="009F71D4" w:rsidR="00B46192">
        <w:rPr>
          <w:szCs w:val="24"/>
        </w:rPr>
        <w:t>(</w:t>
      </w:r>
      <w:r w:rsidRPr="009F71D4" w:rsidR="002F0E73">
        <w:rPr>
          <w:szCs w:val="24"/>
        </w:rPr>
        <w:t xml:space="preserve">WCB </w:t>
      </w:r>
      <w:r w:rsidRPr="009F71D4" w:rsidR="00B46192">
        <w:rPr>
          <w:szCs w:val="24"/>
        </w:rPr>
        <w:t xml:space="preserve">2019) </w:t>
      </w:r>
      <w:r w:rsidRPr="009F71D4" w:rsidR="00552B64">
        <w:rPr>
          <w:szCs w:val="24"/>
        </w:rPr>
        <w:t xml:space="preserve">(adopting rules and requirements necessary to implement this process, consistent with the parameters set forth in the </w:t>
      </w:r>
      <w:r w:rsidRPr="009F71D4" w:rsidR="00552B64">
        <w:rPr>
          <w:i/>
          <w:szCs w:val="24"/>
        </w:rPr>
        <w:t>Phase II Auction Reconsideration Order</w:t>
      </w:r>
      <w:r w:rsidRPr="009F71D4" w:rsidR="00552B64">
        <w:rPr>
          <w:szCs w:val="24"/>
        </w:rPr>
        <w:t xml:space="preserve"> and prior Commission guidance for adjusting defined deployment obligations) </w:t>
      </w:r>
      <w:r w:rsidRPr="009F71D4" w:rsidR="00B46192">
        <w:rPr>
          <w:szCs w:val="24"/>
        </w:rPr>
        <w:t>(</w:t>
      </w:r>
      <w:r w:rsidRPr="009F71D4" w:rsidR="00B46192">
        <w:rPr>
          <w:i/>
          <w:szCs w:val="24"/>
        </w:rPr>
        <w:t>ELAP Order</w:t>
      </w:r>
      <w:r w:rsidRPr="009F71D4" w:rsidR="002A3997">
        <w:rPr>
          <w:szCs w:val="24"/>
        </w:rPr>
        <w:t xml:space="preserve">).  </w:t>
      </w:r>
      <w:r w:rsidRPr="009F71D4" w:rsidR="006E6D2A">
        <w:rPr>
          <w:szCs w:val="24"/>
        </w:rPr>
        <w:t>CAF Phase II Auction support recipients’ participation in this process was voluntary.</w:t>
      </w:r>
      <w:r w:rsidRPr="009F71D4" w:rsidR="002A3997">
        <w:rPr>
          <w:szCs w:val="24"/>
        </w:rPr>
        <w:t xml:space="preserve"> </w:t>
      </w:r>
      <w:bookmarkEnd w:id="2"/>
      <w:r w:rsidRPr="009F71D4" w:rsidR="00E308C2">
        <w:rPr>
          <w:szCs w:val="24"/>
        </w:rPr>
        <w:t xml:space="preserve"> </w:t>
      </w:r>
      <w:r w:rsidRPr="009F71D4" w:rsidR="003E704B">
        <w:rPr>
          <w:szCs w:val="24"/>
        </w:rPr>
        <w:t xml:space="preserve">On February 9, 2023, the </w:t>
      </w:r>
      <w:r w:rsidRPr="009F71D4" w:rsidR="002E58CA">
        <w:rPr>
          <w:szCs w:val="24"/>
        </w:rPr>
        <w:t xml:space="preserve">Wireline Competition </w:t>
      </w:r>
      <w:r w:rsidRPr="009F71D4" w:rsidR="003E704B">
        <w:rPr>
          <w:szCs w:val="24"/>
        </w:rPr>
        <w:t>Bureau</w:t>
      </w:r>
      <w:r w:rsidRPr="009F71D4" w:rsidR="002E58CA">
        <w:rPr>
          <w:szCs w:val="24"/>
        </w:rPr>
        <w:t xml:space="preserve"> (WCB)</w:t>
      </w:r>
      <w:r w:rsidRPr="009F71D4" w:rsidR="003E704B">
        <w:rPr>
          <w:szCs w:val="24"/>
        </w:rPr>
        <w:t xml:space="preserve"> released an order determining that each ELAP participant had met its burden of proof and modifying the obligations and support of each of these participants, on a state</w:t>
      </w:r>
      <w:r w:rsidR="00F95FE5">
        <w:rPr>
          <w:szCs w:val="24"/>
        </w:rPr>
        <w:t>-</w:t>
      </w:r>
      <w:r w:rsidRPr="009F71D4" w:rsidR="003E704B">
        <w:rPr>
          <w:szCs w:val="24"/>
        </w:rPr>
        <w:t>by</w:t>
      </w:r>
      <w:r w:rsidR="00F95FE5">
        <w:rPr>
          <w:szCs w:val="24"/>
        </w:rPr>
        <w:t>-</w:t>
      </w:r>
      <w:r w:rsidRPr="009F71D4" w:rsidR="003E704B">
        <w:rPr>
          <w:szCs w:val="24"/>
        </w:rPr>
        <w:t xml:space="preserve">state basis.  </w:t>
      </w:r>
      <w:r w:rsidRPr="009F71D4" w:rsidR="00C17407">
        <w:rPr>
          <w:i/>
          <w:iCs/>
          <w:szCs w:val="24"/>
        </w:rPr>
        <w:t>Connect America Fund</w:t>
      </w:r>
      <w:r w:rsidRPr="009F71D4" w:rsidR="00C17407">
        <w:rPr>
          <w:szCs w:val="24"/>
        </w:rPr>
        <w:t>, WC Docket No. 10-90, Order, 38 FCC Rcd 1135 (WCB 2023) (</w:t>
      </w:r>
      <w:r w:rsidRPr="009F71D4" w:rsidR="00C17407">
        <w:rPr>
          <w:i/>
          <w:iCs/>
          <w:szCs w:val="24"/>
        </w:rPr>
        <w:t>ELAP Resolution Order</w:t>
      </w:r>
      <w:r w:rsidRPr="009F71D4" w:rsidR="00C17407">
        <w:rPr>
          <w:szCs w:val="24"/>
        </w:rPr>
        <w:t>)</w:t>
      </w:r>
      <w:r w:rsidRPr="009F71D4" w:rsidR="00F7454E">
        <w:rPr>
          <w:szCs w:val="24"/>
        </w:rPr>
        <w:t>.</w:t>
      </w:r>
    </w:p>
    <w:p w:rsidR="00F7454E" w:rsidRPr="009F71D4" w:rsidP="009F71D4" w14:paraId="0D637443" w14:textId="77777777">
      <w:pPr>
        <w:pStyle w:val="ListParagraph"/>
        <w:ind w:left="829"/>
        <w:rPr>
          <w:szCs w:val="24"/>
        </w:rPr>
      </w:pPr>
    </w:p>
    <w:p w:rsidR="00C57A81" w:rsidRPr="009F71D4" w:rsidP="009F71D4" w14:paraId="1BC875BC" w14:textId="3ACD7131">
      <w:pPr>
        <w:pStyle w:val="ListParagraph"/>
        <w:ind w:left="829"/>
        <w:rPr>
          <w:b/>
          <w:bCs/>
          <w:szCs w:val="24"/>
        </w:rPr>
      </w:pPr>
      <w:r w:rsidRPr="009F71D4">
        <w:rPr>
          <w:b/>
          <w:bCs/>
          <w:szCs w:val="24"/>
        </w:rPr>
        <w:t xml:space="preserve">Revised A-CAM </w:t>
      </w:r>
      <w:r w:rsidR="00D46ACE">
        <w:rPr>
          <w:b/>
          <w:bCs/>
          <w:szCs w:val="24"/>
        </w:rPr>
        <w:t xml:space="preserve">I </w:t>
      </w:r>
      <w:r w:rsidRPr="009F71D4">
        <w:rPr>
          <w:b/>
          <w:bCs/>
          <w:szCs w:val="24"/>
        </w:rPr>
        <w:t>and A-CAM II Locations Adjustment Process</w:t>
      </w:r>
    </w:p>
    <w:p w:rsidR="00C57A81" w:rsidRPr="009F71D4" w:rsidP="009F71D4" w14:paraId="261E63DE" w14:textId="77777777">
      <w:pPr>
        <w:pStyle w:val="ListParagraph"/>
        <w:ind w:left="829"/>
        <w:rPr>
          <w:szCs w:val="24"/>
        </w:rPr>
      </w:pPr>
    </w:p>
    <w:p w:rsidR="0081025A" w:rsidRPr="009F71D4" w:rsidP="009F71D4" w14:paraId="7FC3DD51" w14:textId="26D1D7F7">
      <w:pPr>
        <w:pStyle w:val="ListParagraph"/>
        <w:ind w:left="829"/>
        <w:rPr>
          <w:szCs w:val="24"/>
        </w:rPr>
      </w:pPr>
      <w:r w:rsidRPr="009F71D4">
        <w:rPr>
          <w:szCs w:val="24"/>
        </w:rPr>
        <w:t xml:space="preserve">This information collection also addresses the requirements of </w:t>
      </w:r>
      <w:r w:rsidRPr="009F71D4" w:rsidR="00213E06">
        <w:rPr>
          <w:szCs w:val="24"/>
        </w:rPr>
        <w:t xml:space="preserve">a location adjustment process that the Commission adopted for Revised A-CAM </w:t>
      </w:r>
      <w:r w:rsidRPr="009F71D4" w:rsidR="005C3C50">
        <w:rPr>
          <w:szCs w:val="24"/>
        </w:rPr>
        <w:t xml:space="preserve">I </w:t>
      </w:r>
      <w:r w:rsidRPr="009F71D4" w:rsidR="00213E06">
        <w:rPr>
          <w:szCs w:val="24"/>
        </w:rPr>
        <w:t>and A-CAM II carriers.  Specifically,</w:t>
      </w:r>
      <w:r w:rsidRPr="009F71D4" w:rsidR="00034E85">
        <w:rPr>
          <w:szCs w:val="24"/>
        </w:rPr>
        <w:t xml:space="preserve"> </w:t>
      </w:r>
      <w:r w:rsidRPr="009F71D4" w:rsidR="00AA06C3">
        <w:rPr>
          <w:szCs w:val="24"/>
        </w:rPr>
        <w:t xml:space="preserve">the </w:t>
      </w:r>
      <w:r w:rsidRPr="009F71D4" w:rsidR="00F033C6">
        <w:rPr>
          <w:szCs w:val="24"/>
        </w:rPr>
        <w:t>Commission decided that A-CAM support recipients that discover there is a widely divergent number of locations in their funded census blocks as compared to the model</w:t>
      </w:r>
      <w:r w:rsidRPr="009F71D4" w:rsidR="00991F28">
        <w:rPr>
          <w:szCs w:val="24"/>
        </w:rPr>
        <w:t xml:space="preserve">-estimated number of locations </w:t>
      </w:r>
      <w:r w:rsidRPr="009F71D4" w:rsidR="00F033C6">
        <w:rPr>
          <w:szCs w:val="24"/>
        </w:rPr>
        <w:t xml:space="preserve">should have the opportunity to seek an adjustment to modify their deployment obligations.  </w:t>
      </w:r>
      <w:r w:rsidRPr="009F71D4" w:rsidR="001B0131">
        <w:rPr>
          <w:szCs w:val="24"/>
        </w:rPr>
        <w:t xml:space="preserve">The Commission delegated to the WCB the authority to adjust the number of funded locations downward and reduce associated funding levels.  </w:t>
      </w:r>
      <w:r w:rsidRPr="009F71D4" w:rsidR="00CB0F45">
        <w:rPr>
          <w:i/>
          <w:iCs/>
          <w:szCs w:val="24"/>
        </w:rPr>
        <w:t>Connect America Fund et al.</w:t>
      </w:r>
      <w:r w:rsidRPr="009F71D4" w:rsidR="00CB0F45">
        <w:rPr>
          <w:szCs w:val="24"/>
        </w:rPr>
        <w:t>, WC Docket No. 10-90 et al., Report and Order, Order and Order on Reconsideration, and Further Notice of Proposed Rulemaking, 31 FCC Rcd 3087 (2016) (</w:t>
      </w:r>
      <w:r w:rsidRPr="009F71D4" w:rsidR="00CB0F45">
        <w:rPr>
          <w:i/>
          <w:iCs/>
          <w:szCs w:val="24"/>
        </w:rPr>
        <w:t>2016 Rate-of-Return Reform Order</w:t>
      </w:r>
      <w:r w:rsidRPr="009F71D4" w:rsidR="00CB0F45">
        <w:rPr>
          <w:szCs w:val="24"/>
        </w:rPr>
        <w:t>).</w:t>
      </w:r>
      <w:r w:rsidRPr="009F71D4" w:rsidR="00213E06">
        <w:rPr>
          <w:szCs w:val="24"/>
        </w:rPr>
        <w:t xml:space="preserve"> </w:t>
      </w:r>
      <w:r w:rsidRPr="009F71D4" w:rsidR="001B0131">
        <w:rPr>
          <w:szCs w:val="24"/>
        </w:rPr>
        <w:t xml:space="preserve"> </w:t>
      </w:r>
    </w:p>
    <w:p w:rsidR="0081025A" w:rsidRPr="009F71D4" w:rsidP="009F71D4" w14:paraId="7D364520" w14:textId="77777777">
      <w:pPr>
        <w:pStyle w:val="ListParagraph"/>
        <w:ind w:left="829"/>
        <w:rPr>
          <w:szCs w:val="24"/>
        </w:rPr>
      </w:pPr>
    </w:p>
    <w:p w:rsidR="00303BA7" w:rsidRPr="009F71D4" w:rsidP="009F71D4" w14:paraId="1F57E55C" w14:textId="41BDB3BE">
      <w:pPr>
        <w:pStyle w:val="ListParagraph"/>
        <w:ind w:left="829"/>
        <w:rPr>
          <w:szCs w:val="24"/>
        </w:rPr>
      </w:pPr>
      <w:r w:rsidRPr="009F71D4">
        <w:rPr>
          <w:szCs w:val="24"/>
        </w:rPr>
        <w:t xml:space="preserve">In the </w:t>
      </w:r>
      <w:r w:rsidRPr="009F71D4">
        <w:rPr>
          <w:i/>
          <w:iCs/>
          <w:szCs w:val="24"/>
        </w:rPr>
        <w:t>High-Cost Fabric Order</w:t>
      </w:r>
      <w:r w:rsidRPr="009F71D4">
        <w:rPr>
          <w:szCs w:val="24"/>
        </w:rPr>
        <w:t>, WCB adopted procedures to implement this process</w:t>
      </w:r>
      <w:r w:rsidRPr="009F71D4" w:rsidR="00CB62FE">
        <w:rPr>
          <w:szCs w:val="24"/>
        </w:rPr>
        <w:t>, including permitting Revised A-CAM I and A-CAM II carriers</w:t>
      </w:r>
      <w:r w:rsidRPr="009F71D4" w:rsidR="00803670">
        <w:rPr>
          <w:szCs w:val="24"/>
        </w:rPr>
        <w:t xml:space="preserve"> that have fewer locations in eligible 2010 cens</w:t>
      </w:r>
      <w:r w:rsidRPr="009F71D4" w:rsidR="000E01F8">
        <w:rPr>
          <w:szCs w:val="24"/>
        </w:rPr>
        <w:t>us</w:t>
      </w:r>
      <w:r w:rsidRPr="009F71D4" w:rsidR="00803670">
        <w:rPr>
          <w:szCs w:val="24"/>
        </w:rPr>
        <w:t xml:space="preserve"> blocks than the carrier has supported locations pursuant to its A-CAM authorization</w:t>
      </w:r>
      <w:r w:rsidRPr="009F71D4" w:rsidR="00CB62FE">
        <w:rPr>
          <w:szCs w:val="24"/>
        </w:rPr>
        <w:t xml:space="preserve"> to seek a </w:t>
      </w:r>
      <w:r w:rsidRPr="009F71D4" w:rsidR="00D640A7">
        <w:rPr>
          <w:szCs w:val="24"/>
        </w:rPr>
        <w:t xml:space="preserve">voluntary </w:t>
      </w:r>
      <w:r w:rsidRPr="009F71D4" w:rsidR="00CB62FE">
        <w:rPr>
          <w:szCs w:val="24"/>
        </w:rPr>
        <w:t xml:space="preserve">downward adjustment in their location totals by using the </w:t>
      </w:r>
      <w:r w:rsidRPr="009F71D4" w:rsidR="00BB5593">
        <w:rPr>
          <w:szCs w:val="24"/>
        </w:rPr>
        <w:t xml:space="preserve">Broadband Serviceable Location </w:t>
      </w:r>
      <w:r w:rsidRPr="009F71D4" w:rsidR="00CB62FE">
        <w:rPr>
          <w:szCs w:val="24"/>
        </w:rPr>
        <w:t>Fabric</w:t>
      </w:r>
      <w:r w:rsidRPr="009F71D4" w:rsidR="00BB5593">
        <w:rPr>
          <w:szCs w:val="24"/>
        </w:rPr>
        <w:t xml:space="preserve"> (Fabric)</w:t>
      </w:r>
      <w:r w:rsidRPr="009F71D4" w:rsidR="00CB62FE">
        <w:rPr>
          <w:szCs w:val="24"/>
        </w:rPr>
        <w:t xml:space="preserve"> to demonstrate the actual number of locations in their service areas. </w:t>
      </w:r>
      <w:r w:rsidRPr="009F71D4" w:rsidR="00A46D58">
        <w:rPr>
          <w:szCs w:val="24"/>
        </w:rPr>
        <w:t xml:space="preserve"> The adjustment will be based on the version of the </w:t>
      </w:r>
      <w:r w:rsidRPr="009F71D4" w:rsidR="00A12E01">
        <w:rPr>
          <w:szCs w:val="24"/>
        </w:rPr>
        <w:t xml:space="preserve">Fabric </w:t>
      </w:r>
      <w:r w:rsidRPr="009F71D4" w:rsidR="006E2E08">
        <w:rPr>
          <w:szCs w:val="24"/>
        </w:rPr>
        <w:t xml:space="preserve">used for the </w:t>
      </w:r>
      <w:r w:rsidRPr="009F71D4" w:rsidR="00823AA3">
        <w:rPr>
          <w:szCs w:val="24"/>
        </w:rPr>
        <w:t>Broadband Data Collection (</w:t>
      </w:r>
      <w:r w:rsidRPr="009F71D4" w:rsidR="006E2E08">
        <w:rPr>
          <w:szCs w:val="24"/>
        </w:rPr>
        <w:t>BDC</w:t>
      </w:r>
      <w:r w:rsidRPr="009F71D4" w:rsidR="00823AA3">
        <w:rPr>
          <w:szCs w:val="24"/>
        </w:rPr>
        <w:t>)</w:t>
      </w:r>
      <w:r w:rsidRPr="009F71D4" w:rsidR="006E2E08">
        <w:rPr>
          <w:szCs w:val="24"/>
        </w:rPr>
        <w:t xml:space="preserve"> collection as of June 30, 2026, which is expected to be released to licensees </w:t>
      </w:r>
      <w:r w:rsidRPr="009F71D4" w:rsidR="007626F6">
        <w:rPr>
          <w:szCs w:val="24"/>
        </w:rPr>
        <w:t>around</w:t>
      </w:r>
      <w:r w:rsidRPr="009F71D4" w:rsidR="006E2E08">
        <w:rPr>
          <w:szCs w:val="24"/>
        </w:rPr>
        <w:t xml:space="preserve"> June 2026</w:t>
      </w:r>
      <w:r w:rsidRPr="009F71D4" w:rsidR="00BF7617">
        <w:rPr>
          <w:szCs w:val="24"/>
        </w:rPr>
        <w:t>, and c</w:t>
      </w:r>
      <w:r w:rsidRPr="009F71D4" w:rsidR="00486C43">
        <w:rPr>
          <w:szCs w:val="24"/>
        </w:rPr>
        <w:t xml:space="preserve">arriers </w:t>
      </w:r>
      <w:r w:rsidRPr="009F71D4" w:rsidR="00CB62FE">
        <w:rPr>
          <w:szCs w:val="24"/>
        </w:rPr>
        <w:t>will have a one-time window to request such an adjustment</w:t>
      </w:r>
      <w:r w:rsidRPr="009F71D4" w:rsidR="00BF7617">
        <w:rPr>
          <w:szCs w:val="24"/>
        </w:rPr>
        <w:t xml:space="preserve"> shortly after </w:t>
      </w:r>
      <w:r w:rsidRPr="009F71D4" w:rsidR="00710C26">
        <w:rPr>
          <w:szCs w:val="24"/>
        </w:rPr>
        <w:t xml:space="preserve">this version of the Fabric is made available to licensees.  Revised A-CAM I and A-CAM II carriers </w:t>
      </w:r>
      <w:r w:rsidRPr="009F71D4" w:rsidR="003A6BC6">
        <w:rPr>
          <w:szCs w:val="24"/>
        </w:rPr>
        <w:t xml:space="preserve">must request a downward adjustment </w:t>
      </w:r>
      <w:r w:rsidRPr="009F71D4" w:rsidR="005F2209">
        <w:rPr>
          <w:szCs w:val="24"/>
        </w:rPr>
        <w:t xml:space="preserve">in </w:t>
      </w:r>
      <w:r w:rsidRPr="009F71D4" w:rsidR="003A6BC6">
        <w:rPr>
          <w:szCs w:val="24"/>
        </w:rPr>
        <w:t>WC Docket No. 10-90</w:t>
      </w:r>
      <w:r w:rsidRPr="009F71D4" w:rsidR="005B0B73">
        <w:rPr>
          <w:szCs w:val="24"/>
        </w:rPr>
        <w:t xml:space="preserve"> and </w:t>
      </w:r>
      <w:r w:rsidRPr="009F71D4" w:rsidR="00DE2910">
        <w:rPr>
          <w:szCs w:val="24"/>
        </w:rPr>
        <w:t xml:space="preserve">can incorporate Fabric by reference when requesting this adjustment by certifying that they have reviewed the Fabric and there are fewer locations identified in the relevant version of the Fabric in the carriers’ service area than the carrier’s model-estimated locations total. </w:t>
      </w:r>
      <w:r w:rsidRPr="009F71D4" w:rsidR="00D640A7">
        <w:rPr>
          <w:szCs w:val="24"/>
        </w:rPr>
        <w:t xml:space="preserve"> </w:t>
      </w:r>
      <w:r w:rsidR="00C46B35">
        <w:rPr>
          <w:szCs w:val="24"/>
        </w:rPr>
        <w:t xml:space="preserve">A </w:t>
      </w:r>
      <w:r w:rsidRPr="00C46B35" w:rsidR="00C46B35">
        <w:rPr>
          <w:szCs w:val="24"/>
        </w:rPr>
        <w:t>carrier can demonstrate that it has met the preponderance of the evidence standard by referencing the Fabric data</w:t>
      </w:r>
      <w:r w:rsidRPr="009F71D4" w:rsidR="002C380F">
        <w:rPr>
          <w:szCs w:val="24"/>
        </w:rPr>
        <w:t xml:space="preserve"> and</w:t>
      </w:r>
      <w:r w:rsidRPr="009F71D4" w:rsidR="00BC20CC">
        <w:rPr>
          <w:szCs w:val="24"/>
        </w:rPr>
        <w:t xml:space="preserve"> </w:t>
      </w:r>
      <w:r w:rsidR="00301568">
        <w:rPr>
          <w:szCs w:val="24"/>
        </w:rPr>
        <w:t xml:space="preserve">WCB </w:t>
      </w:r>
      <w:r w:rsidRPr="009F71D4" w:rsidR="00BC20CC">
        <w:rPr>
          <w:szCs w:val="24"/>
        </w:rPr>
        <w:t>will use the A-CAM to determine the adjust</w:t>
      </w:r>
      <w:r w:rsidRPr="009F71D4" w:rsidR="00803670">
        <w:rPr>
          <w:szCs w:val="24"/>
        </w:rPr>
        <w:t>ed</w:t>
      </w:r>
      <w:r w:rsidRPr="009F71D4" w:rsidR="00BC20CC">
        <w:rPr>
          <w:szCs w:val="24"/>
        </w:rPr>
        <w:t xml:space="preserve"> location obligations and support amounts for such carriers. </w:t>
      </w:r>
      <w:r w:rsidRPr="009F71D4" w:rsidR="007B0DDC">
        <w:rPr>
          <w:szCs w:val="24"/>
        </w:rPr>
        <w:t xml:space="preserve"> </w:t>
      </w:r>
      <w:r w:rsidRPr="009F71D4" w:rsidR="00026A7B">
        <w:rPr>
          <w:i/>
          <w:iCs/>
          <w:szCs w:val="24"/>
        </w:rPr>
        <w:t>Connect America Fund et al.</w:t>
      </w:r>
      <w:r w:rsidRPr="009F71D4" w:rsidR="00026A7B">
        <w:rPr>
          <w:szCs w:val="24"/>
        </w:rPr>
        <w:t>, WC Docket No. 10-90 et al., DA 25-32 (WCB Jan. 10, 2025)</w:t>
      </w:r>
      <w:r w:rsidRPr="009F71D4" w:rsidR="0092671B">
        <w:rPr>
          <w:szCs w:val="24"/>
        </w:rPr>
        <w:t xml:space="preserve"> (</w:t>
      </w:r>
      <w:r w:rsidRPr="009F71D4" w:rsidR="0092671B">
        <w:rPr>
          <w:i/>
          <w:iCs/>
          <w:szCs w:val="24"/>
        </w:rPr>
        <w:t>High-Cost Fabric Order</w:t>
      </w:r>
      <w:r w:rsidRPr="009F71D4" w:rsidR="0092671B">
        <w:rPr>
          <w:szCs w:val="24"/>
        </w:rPr>
        <w:t>)</w:t>
      </w:r>
      <w:r w:rsidRPr="009F71D4" w:rsidR="00026A7B">
        <w:rPr>
          <w:szCs w:val="24"/>
        </w:rPr>
        <w:t xml:space="preserve">. </w:t>
      </w:r>
    </w:p>
    <w:p w:rsidR="00026A7B" w:rsidRPr="009F71D4" w:rsidP="009F71D4" w14:paraId="212EDF8B" w14:textId="77777777">
      <w:pPr>
        <w:pStyle w:val="ListParagraph"/>
        <w:ind w:left="829"/>
        <w:rPr>
          <w:szCs w:val="24"/>
        </w:rPr>
      </w:pPr>
    </w:p>
    <w:bookmarkEnd w:id="0"/>
    <w:p w:rsidR="0089565B" w:rsidRPr="009F71D4" w:rsidP="009F71D4" w14:paraId="704B3770" w14:textId="6FDED33B">
      <w:pPr>
        <w:pStyle w:val="ListParagraph"/>
        <w:ind w:left="829"/>
        <w:rPr>
          <w:b/>
          <w:bCs/>
          <w:szCs w:val="24"/>
        </w:rPr>
      </w:pPr>
      <w:r w:rsidRPr="009F71D4">
        <w:rPr>
          <w:b/>
          <w:bCs/>
          <w:szCs w:val="24"/>
        </w:rPr>
        <w:t>Process for Removing Unreasonable Locations for Carriers with More RDOF Locations</w:t>
      </w:r>
    </w:p>
    <w:p w:rsidR="00C87062" w:rsidRPr="009F71D4" w:rsidP="009F71D4" w14:paraId="21595421" w14:textId="77777777">
      <w:pPr>
        <w:pStyle w:val="ListParagraph"/>
        <w:ind w:left="829"/>
        <w:rPr>
          <w:b/>
          <w:bCs/>
          <w:szCs w:val="24"/>
        </w:rPr>
      </w:pPr>
    </w:p>
    <w:p w:rsidR="00C87062" w:rsidRPr="009F71D4" w:rsidP="009F71D4" w14:paraId="642A068E" w14:textId="54108B9C">
      <w:pPr>
        <w:pStyle w:val="ListParagraph"/>
        <w:ind w:left="829"/>
        <w:rPr>
          <w:szCs w:val="24"/>
        </w:rPr>
      </w:pPr>
      <w:r w:rsidRPr="009F71D4">
        <w:rPr>
          <w:szCs w:val="24"/>
        </w:rPr>
        <w:t xml:space="preserve">To account for disparities between locations on the ground and those estimated by the Connect America Cost Model and to acknowledge its confidence that the Commission would have access to more accurate location data in the next few years, the Commission directed WCB to seek comment on updated location data and publish revised location counts no later than the end of service milestone year six for RDOF carriers.  </w:t>
      </w:r>
      <w:r w:rsidRPr="009F71D4" w:rsidR="00A74361">
        <w:rPr>
          <w:szCs w:val="24"/>
        </w:rPr>
        <w:t xml:space="preserve">The Commission also adopted a framework for how service milestones would be revised in various circumstances after WCB had published more accurate location counts.  </w:t>
      </w:r>
      <w:r w:rsidR="00F95FE5">
        <w:rPr>
          <w:szCs w:val="24"/>
        </w:rPr>
        <w:t>I</w:t>
      </w:r>
      <w:r w:rsidRPr="009F71D4" w:rsidR="0087483F">
        <w:rPr>
          <w:szCs w:val="24"/>
        </w:rPr>
        <w:t xml:space="preserve">n areas where there are more locations than locations estimated by the CAM, a </w:t>
      </w:r>
      <w:r w:rsidRPr="009F71D4" w:rsidR="00E012B1">
        <w:rPr>
          <w:szCs w:val="24"/>
        </w:rPr>
        <w:t>RDOF carrier</w:t>
      </w:r>
      <w:r w:rsidRPr="009F71D4" w:rsidR="0087483F">
        <w:rPr>
          <w:szCs w:val="24"/>
        </w:rPr>
        <w:t xml:space="preserve"> has until the end of the eighth calendar year to offer service to the additional locations.</w:t>
      </w:r>
      <w:r w:rsidRPr="009F71D4" w:rsidR="001F30C5">
        <w:rPr>
          <w:szCs w:val="24"/>
        </w:rPr>
        <w:t xml:space="preserve">  Such a RDOF </w:t>
      </w:r>
      <w:r w:rsidRPr="009F71D4" w:rsidR="005F53E9">
        <w:rPr>
          <w:szCs w:val="24"/>
        </w:rPr>
        <w:t>carrier</w:t>
      </w:r>
      <w:r w:rsidRPr="009F71D4" w:rsidR="001F30C5">
        <w:rPr>
          <w:szCs w:val="24"/>
        </w:rPr>
        <w:t xml:space="preserve"> may seek to have its new location count adjusted to exclude additional locations, beyond the number identified by the CAM, that are ineligible, unreasonable to deploy to, or are part of a development that is newly built after the sixth year of support for which the cost and/or time to deploy before the end of the support term would be unreasonable.</w:t>
      </w:r>
      <w:r w:rsidRPr="009F71D4" w:rsidR="00362406">
        <w:rPr>
          <w:szCs w:val="24"/>
        </w:rPr>
        <w:t xml:space="preserve">  </w:t>
      </w:r>
      <w:r w:rsidRPr="009F71D4" w:rsidR="00362406">
        <w:rPr>
          <w:i/>
          <w:iCs/>
          <w:szCs w:val="24"/>
        </w:rPr>
        <w:t>Connect America Fund et al.</w:t>
      </w:r>
      <w:r w:rsidRPr="009F71D4" w:rsidR="00362406">
        <w:rPr>
          <w:szCs w:val="24"/>
        </w:rPr>
        <w:t xml:space="preserve">, WC Docket No. 19-126 et al., </w:t>
      </w:r>
      <w:r w:rsidRPr="009F71D4" w:rsidR="00081125">
        <w:rPr>
          <w:szCs w:val="24"/>
        </w:rPr>
        <w:t xml:space="preserve">Report and Order, 35 FCC Rcd 686 (2020). </w:t>
      </w:r>
    </w:p>
    <w:p w:rsidR="00F478C3" w:rsidRPr="009F71D4" w:rsidP="009F71D4" w14:paraId="593D5E94" w14:textId="77777777">
      <w:pPr>
        <w:pStyle w:val="ListParagraph"/>
        <w:ind w:left="829"/>
        <w:rPr>
          <w:szCs w:val="24"/>
        </w:rPr>
      </w:pPr>
    </w:p>
    <w:p w:rsidR="00F478C3" w:rsidRPr="009F71D4" w:rsidP="009F71D4" w14:paraId="47575D64" w14:textId="36D08043">
      <w:pPr>
        <w:pStyle w:val="ListParagraph"/>
        <w:ind w:left="829"/>
        <w:rPr>
          <w:szCs w:val="24"/>
        </w:rPr>
      </w:pPr>
      <w:r w:rsidRPr="009F71D4">
        <w:rPr>
          <w:szCs w:val="24"/>
        </w:rPr>
        <w:t xml:space="preserve">In the </w:t>
      </w:r>
      <w:r w:rsidRPr="009F71D4">
        <w:rPr>
          <w:i/>
          <w:iCs/>
          <w:szCs w:val="24"/>
        </w:rPr>
        <w:t>High-Cost Fabric Order</w:t>
      </w:r>
      <w:r w:rsidRPr="009F71D4">
        <w:rPr>
          <w:szCs w:val="24"/>
        </w:rPr>
        <w:t xml:space="preserve">, WCB adopted procedures to implement this process.  Specifically, </w:t>
      </w:r>
      <w:r w:rsidRPr="009F71D4" w:rsidR="00BB7B44">
        <w:rPr>
          <w:szCs w:val="24"/>
        </w:rPr>
        <w:t xml:space="preserve">once WCB has announced revised location totals for RDOF carriers in 2027, carriers will have </w:t>
      </w:r>
      <w:r w:rsidRPr="009F71D4" w:rsidR="00D302B6">
        <w:rPr>
          <w:szCs w:val="24"/>
        </w:rPr>
        <w:t xml:space="preserve">six months to submit any requests to remove locations from their revised locations lists.  WCB will set up a data collection system in which carriers should submit </w:t>
      </w:r>
      <w:r w:rsidRPr="009F71D4" w:rsidR="00EF1736">
        <w:rPr>
          <w:szCs w:val="24"/>
        </w:rPr>
        <w:t xml:space="preserve">a request identifying </w:t>
      </w:r>
      <w:r w:rsidRPr="009F71D4" w:rsidR="00AE2A1C">
        <w:rPr>
          <w:szCs w:val="24"/>
        </w:rPr>
        <w:t xml:space="preserve">the locations they claim are unreasonable to serve (i.e., Fabric </w:t>
      </w:r>
      <w:r w:rsidRPr="009F71D4" w:rsidR="008602C1">
        <w:rPr>
          <w:szCs w:val="24"/>
        </w:rPr>
        <w:t xml:space="preserve">Location </w:t>
      </w:r>
      <w:r w:rsidRPr="009F71D4" w:rsidR="00AE2A1C">
        <w:rPr>
          <w:szCs w:val="24"/>
        </w:rPr>
        <w:t xml:space="preserve">ID), the specific reasons why each location is unreasonable to serve, and evidence to support their claims.  </w:t>
      </w:r>
      <w:r w:rsidR="00F95FE5">
        <w:rPr>
          <w:szCs w:val="24"/>
        </w:rPr>
        <w:t>WCB</w:t>
      </w:r>
      <w:r w:rsidRPr="009F71D4" w:rsidR="003D6FA1">
        <w:rPr>
          <w:szCs w:val="24"/>
        </w:rPr>
        <w:t xml:space="preserve"> may request additional information from the carrier and other stakeholders to verify and assess the carrier’s claims.  </w:t>
      </w:r>
      <w:r w:rsidR="00F95FE5">
        <w:rPr>
          <w:szCs w:val="24"/>
        </w:rPr>
        <w:t>Also</w:t>
      </w:r>
      <w:r w:rsidRPr="009F71D4" w:rsidR="00D751C9">
        <w:rPr>
          <w:szCs w:val="24"/>
        </w:rPr>
        <w:t>, WCB may request additional information to assess a carrier’s claim that a location is unreasonable to serve, and a failure to submit this additional information would result in finding that the carrier has not demonstrated that it would be unreasonable to serve the location</w:t>
      </w:r>
      <w:r w:rsidRPr="009F71D4" w:rsidR="00C642BF">
        <w:rPr>
          <w:szCs w:val="24"/>
        </w:rPr>
        <w:t>.</w:t>
      </w:r>
    </w:p>
    <w:p w:rsidR="00DC499F" w:rsidRPr="009F71D4" w:rsidP="009F71D4" w14:paraId="341AC53F" w14:textId="77777777">
      <w:pPr>
        <w:pStyle w:val="ListParagraph"/>
        <w:ind w:left="829"/>
        <w:rPr>
          <w:szCs w:val="24"/>
        </w:rPr>
      </w:pPr>
    </w:p>
    <w:bookmarkEnd w:id="1"/>
    <w:p w:rsidR="00FD1616" w:rsidRPr="009F71D4" w:rsidP="009F71D4" w14:paraId="63EBA1D8" w14:textId="77777777">
      <w:pPr>
        <w:rPr>
          <w:b/>
          <w:bCs/>
          <w:iCs/>
          <w:szCs w:val="24"/>
        </w:rPr>
      </w:pPr>
      <w:r w:rsidRPr="009F71D4">
        <w:rPr>
          <w:b/>
          <w:bCs/>
          <w:i/>
          <w:szCs w:val="24"/>
        </w:rPr>
        <w:t>New requirements for which we are seeking OMB approval</w:t>
      </w:r>
      <w:r w:rsidRPr="009F71D4">
        <w:rPr>
          <w:b/>
          <w:bCs/>
          <w:iCs/>
          <w:szCs w:val="24"/>
        </w:rPr>
        <w:t>:</w:t>
      </w:r>
    </w:p>
    <w:p w:rsidR="00FD1616" w:rsidRPr="009F71D4" w:rsidP="009F71D4" w14:paraId="61ACD7EC" w14:textId="77777777">
      <w:pPr>
        <w:rPr>
          <w:b/>
          <w:bCs/>
          <w:iCs/>
          <w:szCs w:val="24"/>
        </w:rPr>
      </w:pPr>
    </w:p>
    <w:p w:rsidR="00FD1616" w:rsidRPr="009F71D4" w:rsidP="009F71D4" w14:paraId="3EE46D9F" w14:textId="77777777">
      <w:pPr>
        <w:rPr>
          <w:szCs w:val="24"/>
        </w:rPr>
      </w:pPr>
      <w:r w:rsidRPr="009F71D4">
        <w:rPr>
          <w:szCs w:val="24"/>
        </w:rPr>
        <w:t xml:space="preserve">The Commission proposes to add the following information collection requirements for which WCB adopted procedures in the </w:t>
      </w:r>
      <w:r w:rsidRPr="009F71D4">
        <w:rPr>
          <w:i/>
          <w:iCs/>
          <w:szCs w:val="24"/>
        </w:rPr>
        <w:t>High-Cost Fabric Order</w:t>
      </w:r>
      <w:r w:rsidRPr="009F71D4">
        <w:rPr>
          <w:szCs w:val="24"/>
        </w:rPr>
        <w:t xml:space="preserve">: </w:t>
      </w:r>
    </w:p>
    <w:p w:rsidR="00FD1616" w:rsidRPr="009F71D4" w:rsidP="009F71D4" w14:paraId="5C4E5463" w14:textId="77777777">
      <w:pPr>
        <w:rPr>
          <w:b/>
          <w:bCs/>
          <w:iCs/>
          <w:szCs w:val="24"/>
        </w:rPr>
      </w:pPr>
    </w:p>
    <w:p w:rsidR="00FD1616" w:rsidRPr="009F71D4" w:rsidP="009F71D4" w14:paraId="44083BD2" w14:textId="1CA4F76A">
      <w:pPr>
        <w:pStyle w:val="ListParagraph"/>
        <w:numPr>
          <w:ilvl w:val="0"/>
          <w:numId w:val="24"/>
        </w:numPr>
        <w:rPr>
          <w:b/>
          <w:bCs/>
          <w:szCs w:val="24"/>
          <w:u w:val="single"/>
        </w:rPr>
      </w:pPr>
      <w:r w:rsidRPr="009F71D4">
        <w:rPr>
          <w:szCs w:val="24"/>
          <w:u w:val="single"/>
        </w:rPr>
        <w:t xml:space="preserve">Revised A-CAM </w:t>
      </w:r>
      <w:r w:rsidR="00BE1C96">
        <w:rPr>
          <w:szCs w:val="24"/>
          <w:u w:val="single"/>
        </w:rPr>
        <w:t xml:space="preserve">I </w:t>
      </w:r>
      <w:r w:rsidRPr="009F71D4">
        <w:rPr>
          <w:szCs w:val="24"/>
          <w:u w:val="single"/>
        </w:rPr>
        <w:t>and A-CAM II Location Adjustment Process (</w:t>
      </w:r>
      <w:r w:rsidRPr="009F71D4" w:rsidR="003E7D78">
        <w:rPr>
          <w:szCs w:val="24"/>
          <w:u w:val="single"/>
        </w:rPr>
        <w:t xml:space="preserve">See </w:t>
      </w:r>
      <w:r w:rsidRPr="009F71D4">
        <w:rPr>
          <w:szCs w:val="24"/>
          <w:u w:val="single"/>
        </w:rPr>
        <w:t>12</w:t>
      </w:r>
      <w:r w:rsidRPr="009F71D4" w:rsidR="003E7D78">
        <w:rPr>
          <w:szCs w:val="24"/>
          <w:u w:val="single"/>
        </w:rPr>
        <w:t>.</w:t>
      </w:r>
      <w:r w:rsidRPr="009F71D4">
        <w:rPr>
          <w:szCs w:val="24"/>
          <w:u w:val="single"/>
        </w:rPr>
        <w:t>a</w:t>
      </w:r>
      <w:r w:rsidRPr="009F71D4" w:rsidR="00883C03">
        <w:rPr>
          <w:szCs w:val="24"/>
          <w:u w:val="single"/>
        </w:rPr>
        <w:t>)</w:t>
      </w:r>
      <w:r w:rsidRPr="009F71D4">
        <w:rPr>
          <w:szCs w:val="24"/>
        </w:rPr>
        <w:t>:</w:t>
      </w:r>
    </w:p>
    <w:p w:rsidR="00FD1616" w:rsidRPr="009F71D4" w:rsidP="009F71D4" w14:paraId="0AEBC9AC" w14:textId="77777777">
      <w:pPr>
        <w:pStyle w:val="ListParagraph"/>
        <w:rPr>
          <w:szCs w:val="24"/>
          <w:u w:val="single"/>
        </w:rPr>
      </w:pPr>
    </w:p>
    <w:p w:rsidR="00FD1616" w:rsidRPr="009F71D4" w:rsidP="009F71D4" w14:paraId="12A491EC" w14:textId="7453C937">
      <w:pPr>
        <w:pStyle w:val="ListParagraph"/>
        <w:rPr>
          <w:szCs w:val="24"/>
        </w:rPr>
      </w:pPr>
      <w:r w:rsidRPr="009F71D4">
        <w:rPr>
          <w:szCs w:val="24"/>
        </w:rPr>
        <w:t>WCB will open a one-time window for Revised A-CAM I and A-CAM II carriers to request a downward adjustment when there are fewer locations in eligible 2010 census blocks than the carrier has supported locations pursuant to its A-CAM authorization.  Carriers that want to participate in this process must request a downward adjustment in WC Docket No. 10-90 by a deadline that WCB will announce in a public release.  Carriers are permitted to incorporate Fabric data by reference when requesting this adjustment by certifying that they have reviewed the Fabric and there are fewer locations in the version of the Fabric used for the B</w:t>
      </w:r>
      <w:r w:rsidR="00DD3A28">
        <w:rPr>
          <w:szCs w:val="24"/>
        </w:rPr>
        <w:t xml:space="preserve">DC </w:t>
      </w:r>
      <w:r w:rsidRPr="009F71D4">
        <w:rPr>
          <w:szCs w:val="24"/>
        </w:rPr>
        <w:t xml:space="preserve">as of June 30, 2026 than the carrier’s model-estimated locations total.  Carriers are on notice that any outstanding or pending </w:t>
      </w:r>
      <w:r w:rsidRPr="009F71D4">
        <w:rPr>
          <w:szCs w:val="24"/>
        </w:rPr>
        <w:t xml:space="preserve">challenges that were filed but not incorporated in the release of this Fabric version will not be considered for determining the final deployment obligation. </w:t>
      </w:r>
    </w:p>
    <w:p w:rsidR="00FD1616" w:rsidRPr="009F71D4" w:rsidP="009F71D4" w14:paraId="4E7EB452" w14:textId="77777777">
      <w:pPr>
        <w:pStyle w:val="ListParagraph"/>
        <w:rPr>
          <w:szCs w:val="24"/>
        </w:rPr>
      </w:pPr>
    </w:p>
    <w:p w:rsidR="00FD1616" w:rsidRPr="009F71D4" w:rsidP="009F71D4" w14:paraId="6DD8805C" w14:textId="6D76B7EF">
      <w:pPr>
        <w:pStyle w:val="ListParagraph"/>
        <w:rPr>
          <w:szCs w:val="24"/>
        </w:rPr>
      </w:pPr>
      <w:r>
        <w:rPr>
          <w:szCs w:val="24"/>
        </w:rPr>
        <w:t xml:space="preserve">A </w:t>
      </w:r>
      <w:r w:rsidRPr="00C46B35">
        <w:rPr>
          <w:szCs w:val="24"/>
        </w:rPr>
        <w:t>carrier can demonstrate that it has met the preponderance of the evidence standard by referencing the Fabric data</w:t>
      </w:r>
      <w:r w:rsidRPr="009F71D4">
        <w:rPr>
          <w:szCs w:val="24"/>
        </w:rPr>
        <w:t xml:space="preserve">.  The A-CAM will be used to determine the adjusted location obligations and support amounts.  Support will be capped at existing levels.  </w:t>
      </w:r>
    </w:p>
    <w:p w:rsidR="00FD1616" w:rsidRPr="009F71D4" w:rsidP="009F71D4" w14:paraId="25C129B5" w14:textId="77777777">
      <w:pPr>
        <w:pStyle w:val="ListParagraph"/>
        <w:rPr>
          <w:szCs w:val="24"/>
        </w:rPr>
      </w:pPr>
    </w:p>
    <w:p w:rsidR="00FD1616" w:rsidRPr="009F71D4" w:rsidP="009F71D4" w14:paraId="7E69C7F6" w14:textId="3CBD96FC">
      <w:pPr>
        <w:pStyle w:val="ListParagraph"/>
        <w:numPr>
          <w:ilvl w:val="0"/>
          <w:numId w:val="24"/>
        </w:numPr>
        <w:rPr>
          <w:szCs w:val="24"/>
          <w:u w:val="single"/>
        </w:rPr>
      </w:pPr>
      <w:r w:rsidRPr="009F71D4">
        <w:rPr>
          <w:szCs w:val="24"/>
          <w:u w:val="single"/>
        </w:rPr>
        <w:t>Process for Removing Unreasonable Locations for Carriers with More RDOF Locations</w:t>
      </w:r>
      <w:r w:rsidRPr="009F71D4" w:rsidR="00E22EFE">
        <w:rPr>
          <w:szCs w:val="24"/>
          <w:u w:val="single"/>
        </w:rPr>
        <w:t xml:space="preserve"> (See 12.b)</w:t>
      </w:r>
      <w:r w:rsidRPr="009F71D4">
        <w:rPr>
          <w:szCs w:val="24"/>
        </w:rPr>
        <w:t>:</w:t>
      </w:r>
    </w:p>
    <w:p w:rsidR="00FD1616" w:rsidRPr="009F71D4" w:rsidP="009F71D4" w14:paraId="3B2925F3" w14:textId="77777777">
      <w:pPr>
        <w:rPr>
          <w:szCs w:val="24"/>
        </w:rPr>
      </w:pPr>
    </w:p>
    <w:p w:rsidR="00FD1616" w:rsidRPr="009F71D4" w:rsidP="009F71D4" w14:paraId="34A19F3D" w14:textId="77777777">
      <w:pPr>
        <w:pStyle w:val="ListParagraph"/>
        <w:rPr>
          <w:szCs w:val="24"/>
        </w:rPr>
      </w:pPr>
      <w:r w:rsidRPr="009F71D4">
        <w:rPr>
          <w:szCs w:val="24"/>
        </w:rPr>
        <w:t>RDOF carriers for which there are more locations than estimated by the CAM can seek to exclude additional locations, beyond the number identified by the CAM, to which they determine it is</w:t>
      </w:r>
      <w:r w:rsidRPr="009F71D4">
        <w:rPr>
          <w:szCs w:val="24"/>
        </w:rPr>
        <w:t xml:space="preserve"> </w:t>
      </w:r>
      <w:r w:rsidRPr="009F71D4">
        <w:rPr>
          <w:szCs w:val="24"/>
        </w:rPr>
        <w:t>unreasonable to deploy.  Such a RDOF carrier must submit a request using the data collection system that the Universal Service Administrative Company (USAC) will have set up at the direction of WCB.</w:t>
      </w:r>
    </w:p>
    <w:p w:rsidR="00FD1616" w:rsidRPr="009F71D4" w:rsidP="009F71D4" w14:paraId="3766B756" w14:textId="77777777">
      <w:pPr>
        <w:pStyle w:val="ListParagraph"/>
        <w:rPr>
          <w:szCs w:val="24"/>
        </w:rPr>
      </w:pPr>
    </w:p>
    <w:p w:rsidR="00FD1616" w:rsidRPr="009F71D4" w:rsidP="009F71D4" w14:paraId="7A941F5A" w14:textId="77777777">
      <w:pPr>
        <w:pStyle w:val="ListParagraph"/>
        <w:rPr>
          <w:szCs w:val="24"/>
        </w:rPr>
      </w:pPr>
      <w:r w:rsidRPr="009F71D4">
        <w:rPr>
          <w:szCs w:val="24"/>
        </w:rPr>
        <w:t>Specifically, a RDOF carrier must submit the following information:</w:t>
      </w:r>
    </w:p>
    <w:p w:rsidR="00FD1616" w:rsidRPr="009F71D4" w:rsidP="009F71D4" w14:paraId="1F83B9FB" w14:textId="77777777">
      <w:pPr>
        <w:pStyle w:val="ListParagraph"/>
        <w:rPr>
          <w:szCs w:val="24"/>
        </w:rPr>
      </w:pPr>
    </w:p>
    <w:p w:rsidR="00FD1616" w:rsidP="009F71D4" w14:paraId="1B829672" w14:textId="77777777">
      <w:pPr>
        <w:pStyle w:val="ListParagraph"/>
        <w:numPr>
          <w:ilvl w:val="0"/>
          <w:numId w:val="25"/>
        </w:numPr>
        <w:rPr>
          <w:szCs w:val="24"/>
        </w:rPr>
      </w:pPr>
      <w:r w:rsidRPr="009F71D4">
        <w:rPr>
          <w:szCs w:val="24"/>
        </w:rPr>
        <w:t>Carrier name</w:t>
      </w:r>
    </w:p>
    <w:p w:rsidR="00F44767" w:rsidRPr="009F71D4" w:rsidP="009F71D4" w14:paraId="746C353F" w14:textId="6A978E46">
      <w:pPr>
        <w:pStyle w:val="ListParagraph"/>
        <w:numPr>
          <w:ilvl w:val="0"/>
          <w:numId w:val="25"/>
        </w:numPr>
        <w:rPr>
          <w:szCs w:val="24"/>
        </w:rPr>
      </w:pPr>
      <w:r>
        <w:rPr>
          <w:szCs w:val="24"/>
        </w:rPr>
        <w:t xml:space="preserve">Service Provider </w:t>
      </w:r>
      <w:r w:rsidR="008C1F80">
        <w:rPr>
          <w:szCs w:val="24"/>
        </w:rPr>
        <w:t>Identification Number (SPIN/498 ID)</w:t>
      </w:r>
    </w:p>
    <w:p w:rsidR="00FD1616" w:rsidRPr="009F71D4" w:rsidP="009F71D4" w14:paraId="7BD25918" w14:textId="77777777">
      <w:pPr>
        <w:pStyle w:val="ListParagraph"/>
        <w:numPr>
          <w:ilvl w:val="0"/>
          <w:numId w:val="25"/>
        </w:numPr>
        <w:rPr>
          <w:szCs w:val="24"/>
        </w:rPr>
      </w:pPr>
      <w:r w:rsidRPr="009F71D4">
        <w:rPr>
          <w:szCs w:val="24"/>
        </w:rPr>
        <w:t>Study area code</w:t>
      </w:r>
    </w:p>
    <w:p w:rsidR="00FD1616" w:rsidRPr="009F71D4" w:rsidP="009F71D4" w14:paraId="4FB0EB13" w14:textId="77777777">
      <w:pPr>
        <w:pStyle w:val="ListParagraph"/>
        <w:numPr>
          <w:ilvl w:val="0"/>
          <w:numId w:val="25"/>
        </w:numPr>
        <w:rPr>
          <w:szCs w:val="24"/>
        </w:rPr>
      </w:pPr>
      <w:r w:rsidRPr="009F71D4">
        <w:rPr>
          <w:szCs w:val="24"/>
        </w:rPr>
        <w:t>State</w:t>
      </w:r>
    </w:p>
    <w:p w:rsidR="00FD1616" w:rsidRPr="009F71D4" w:rsidP="009F71D4" w14:paraId="51370D65" w14:textId="77777777">
      <w:pPr>
        <w:pStyle w:val="ListParagraph"/>
        <w:numPr>
          <w:ilvl w:val="0"/>
          <w:numId w:val="25"/>
        </w:numPr>
        <w:rPr>
          <w:szCs w:val="24"/>
        </w:rPr>
      </w:pPr>
      <w:r w:rsidRPr="009F71D4">
        <w:rPr>
          <w:szCs w:val="24"/>
        </w:rPr>
        <w:t>Fabric Location ID</w:t>
      </w:r>
    </w:p>
    <w:p w:rsidR="00FD1616" w:rsidRPr="009F71D4" w:rsidP="009F71D4" w14:paraId="4809BF32" w14:textId="77777777">
      <w:pPr>
        <w:pStyle w:val="ListParagraph"/>
        <w:numPr>
          <w:ilvl w:val="0"/>
          <w:numId w:val="25"/>
        </w:numPr>
        <w:rPr>
          <w:szCs w:val="24"/>
        </w:rPr>
      </w:pPr>
      <w:r w:rsidRPr="009F71D4">
        <w:rPr>
          <w:szCs w:val="24"/>
        </w:rPr>
        <w:t>Reason why location is unreasonable to serve</w:t>
      </w:r>
    </w:p>
    <w:p w:rsidR="00FD1616" w:rsidRPr="009F71D4" w:rsidP="009F71D4" w14:paraId="38F8C365" w14:textId="77777777">
      <w:pPr>
        <w:pStyle w:val="ListParagraph"/>
        <w:numPr>
          <w:ilvl w:val="0"/>
          <w:numId w:val="25"/>
        </w:numPr>
        <w:rPr>
          <w:szCs w:val="24"/>
        </w:rPr>
      </w:pPr>
      <w:r w:rsidRPr="009F71D4">
        <w:rPr>
          <w:szCs w:val="24"/>
        </w:rPr>
        <w:t>Evidence to demonstrate location is unreasonable to serve</w:t>
      </w:r>
    </w:p>
    <w:p w:rsidR="00FD1616" w:rsidRPr="009F71D4" w:rsidP="009F71D4" w14:paraId="3A6CD88D" w14:textId="77777777">
      <w:pPr>
        <w:pStyle w:val="ListParagraph"/>
        <w:numPr>
          <w:ilvl w:val="0"/>
          <w:numId w:val="25"/>
        </w:numPr>
        <w:rPr>
          <w:szCs w:val="24"/>
        </w:rPr>
      </w:pPr>
      <w:r w:rsidRPr="009F71D4">
        <w:rPr>
          <w:szCs w:val="24"/>
        </w:rPr>
        <w:t>Whether the carrier is requesting confidential treatment of the submitted evidence</w:t>
      </w:r>
    </w:p>
    <w:p w:rsidR="00FD1616" w:rsidRPr="009F71D4" w:rsidP="009F71D4" w14:paraId="7CBC7169" w14:textId="77777777">
      <w:pPr>
        <w:pStyle w:val="ListParagraph"/>
        <w:numPr>
          <w:ilvl w:val="0"/>
          <w:numId w:val="25"/>
        </w:numPr>
        <w:rPr>
          <w:szCs w:val="24"/>
        </w:rPr>
      </w:pPr>
      <w:r w:rsidRPr="009F71D4">
        <w:rPr>
          <w:szCs w:val="24"/>
        </w:rPr>
        <w:t>Certification that carrier has or will have served at a minimum the number of locations estimated by the CAM by the end of the deployment period</w:t>
      </w:r>
    </w:p>
    <w:p w:rsidR="00FD1616" w:rsidRPr="009F71D4" w:rsidP="009F71D4" w14:paraId="6457C154" w14:textId="77777777">
      <w:pPr>
        <w:pStyle w:val="ListParagraph"/>
        <w:numPr>
          <w:ilvl w:val="0"/>
          <w:numId w:val="25"/>
        </w:numPr>
        <w:rPr>
          <w:szCs w:val="24"/>
        </w:rPr>
      </w:pPr>
      <w:r w:rsidRPr="009F71D4">
        <w:rPr>
          <w:szCs w:val="24"/>
        </w:rPr>
        <w:t xml:space="preserve">Contact information </w:t>
      </w:r>
    </w:p>
    <w:p w:rsidR="00FD1616" w:rsidRPr="009F71D4" w:rsidP="009F71D4" w14:paraId="15A09AD8" w14:textId="77777777">
      <w:pPr>
        <w:rPr>
          <w:szCs w:val="24"/>
        </w:rPr>
      </w:pPr>
    </w:p>
    <w:p w:rsidR="00FD1616" w:rsidRPr="009F71D4" w:rsidP="009F71D4" w14:paraId="4D611674" w14:textId="77777777">
      <w:pPr>
        <w:ind w:left="720"/>
        <w:rPr>
          <w:szCs w:val="24"/>
        </w:rPr>
      </w:pPr>
      <w:r w:rsidRPr="009F71D4">
        <w:rPr>
          <w:szCs w:val="24"/>
        </w:rPr>
        <w:t xml:space="preserve">WCB does not expect to routinely grant requests to exclude locations from a RDOF carrier’s location total and will conduct a rigorous, thorough, and searching review of the information submitted that (1) will include, but not be limited to, the consideration of all factors discussed in the High-Cost Fabric Order, and 2) will be comparable to a total company earnings review in which WCB will take into account not only all revenues derived from network facilities that are supported by universal service but also revenues derived from unregulated and unsupported services as well in determining whether it would be unreasonable for a company to serve a location.  WCB may request additional information to assess a carrier’s claim that a location is unreasonable to serve, and a failure to submit this additional information will result in the Bureau finding that the carrier has not demonstrated that it would be unreasonable to serve the location. </w:t>
      </w:r>
    </w:p>
    <w:p w:rsidR="00FD1616" w:rsidRPr="009F71D4" w:rsidP="009F71D4" w14:paraId="20A72CA5" w14:textId="77777777">
      <w:pPr>
        <w:ind w:left="720"/>
        <w:rPr>
          <w:szCs w:val="24"/>
        </w:rPr>
      </w:pPr>
    </w:p>
    <w:p w:rsidR="00FD1616" w:rsidRPr="009F71D4" w:rsidP="009F71D4" w14:paraId="1F3C5473" w14:textId="77777777">
      <w:pPr>
        <w:outlineLvl w:val="0"/>
        <w:rPr>
          <w:szCs w:val="24"/>
        </w:rPr>
      </w:pPr>
      <w:r w:rsidRPr="009F71D4">
        <w:rPr>
          <w:szCs w:val="24"/>
        </w:rPr>
        <w:t xml:space="preserve">RDOF carriers will be required to submit their requests within six months after the date that WCB announces new location totals for RDOF carriers.  However, if WCB makes the data collection available sooner, RDOF carriers can submit requests, but must certify that they have </w:t>
      </w:r>
      <w:r w:rsidRPr="009F71D4">
        <w:rPr>
          <w:szCs w:val="24"/>
        </w:rPr>
        <w:t>or will have served at a minimum the number of locations estimated by the CAM by the end of the deployment period.</w:t>
      </w:r>
    </w:p>
    <w:p w:rsidR="00FD1616" w:rsidRPr="009F71D4" w:rsidP="009F71D4" w14:paraId="452076F3" w14:textId="77777777">
      <w:pPr>
        <w:outlineLvl w:val="0"/>
        <w:rPr>
          <w:szCs w:val="24"/>
        </w:rPr>
      </w:pPr>
    </w:p>
    <w:p w:rsidR="00233541" w:rsidRPr="009F71D4" w:rsidP="009F71D4" w14:paraId="0D929F86" w14:textId="6285E148">
      <w:pPr>
        <w:outlineLvl w:val="0"/>
        <w:rPr>
          <w:b/>
          <w:i/>
          <w:szCs w:val="24"/>
        </w:rPr>
      </w:pPr>
      <w:r w:rsidRPr="009F71D4">
        <w:rPr>
          <w:b/>
          <w:i/>
          <w:szCs w:val="24"/>
        </w:rPr>
        <w:t xml:space="preserve">Currently </w:t>
      </w:r>
      <w:r w:rsidRPr="009F71D4" w:rsidR="0012087D">
        <w:rPr>
          <w:b/>
          <w:i/>
          <w:szCs w:val="24"/>
        </w:rPr>
        <w:t>a</w:t>
      </w:r>
      <w:r w:rsidRPr="009F71D4">
        <w:rPr>
          <w:b/>
          <w:i/>
          <w:szCs w:val="24"/>
        </w:rPr>
        <w:t xml:space="preserve">pproved </w:t>
      </w:r>
      <w:r w:rsidRPr="009F71D4" w:rsidR="0012087D">
        <w:rPr>
          <w:b/>
          <w:i/>
          <w:szCs w:val="24"/>
        </w:rPr>
        <w:t>r</w:t>
      </w:r>
      <w:r w:rsidRPr="009F71D4">
        <w:rPr>
          <w:b/>
          <w:i/>
          <w:szCs w:val="24"/>
        </w:rPr>
        <w:t>equirements</w:t>
      </w:r>
      <w:r w:rsidRPr="009F71D4" w:rsidR="001F7C7F">
        <w:rPr>
          <w:b/>
          <w:i/>
          <w:szCs w:val="24"/>
        </w:rPr>
        <w:t xml:space="preserve"> in this information collection that are being eliminated</w:t>
      </w:r>
      <w:r w:rsidRPr="009F71D4" w:rsidR="00DB2CF8">
        <w:rPr>
          <w:b/>
          <w:i/>
          <w:szCs w:val="24"/>
        </w:rPr>
        <w:t>:</w:t>
      </w:r>
    </w:p>
    <w:p w:rsidR="00B042C8" w:rsidRPr="009F71D4" w:rsidP="009F71D4" w14:paraId="6856F2B9" w14:textId="77777777">
      <w:pPr>
        <w:outlineLvl w:val="0"/>
        <w:rPr>
          <w:b/>
          <w:i/>
          <w:szCs w:val="24"/>
        </w:rPr>
      </w:pPr>
    </w:p>
    <w:p w:rsidR="00B042C8" w:rsidRPr="009F71D4" w:rsidP="009F71D4" w14:paraId="56201296" w14:textId="743D9A30">
      <w:pPr>
        <w:rPr>
          <w:szCs w:val="24"/>
        </w:rPr>
      </w:pPr>
      <w:r w:rsidRPr="009F71D4">
        <w:rPr>
          <w:szCs w:val="24"/>
        </w:rPr>
        <w:t xml:space="preserve">The Commission proposes to eliminate the following information collection requirements related to ELAP now that the ELAP has ended: </w:t>
      </w:r>
    </w:p>
    <w:p w:rsidR="001D4277" w:rsidRPr="009F71D4" w:rsidP="009F71D4" w14:paraId="312452C8" w14:textId="77777777">
      <w:pPr>
        <w:rPr>
          <w:szCs w:val="24"/>
          <w:u w:val="single"/>
        </w:rPr>
      </w:pPr>
    </w:p>
    <w:p w:rsidR="00586642" w:rsidRPr="009F71D4" w:rsidP="005815D2" w14:paraId="53DE254B" w14:textId="38570B30">
      <w:pPr>
        <w:pStyle w:val="ListParagraph"/>
        <w:numPr>
          <w:ilvl w:val="0"/>
          <w:numId w:val="24"/>
        </w:numPr>
        <w:rPr>
          <w:szCs w:val="24"/>
          <w:u w:val="single"/>
        </w:rPr>
      </w:pPr>
      <w:r w:rsidRPr="009F71D4">
        <w:rPr>
          <w:szCs w:val="24"/>
          <w:u w:val="single"/>
        </w:rPr>
        <w:t xml:space="preserve">Collection of Location </w:t>
      </w:r>
      <w:r w:rsidRPr="009F71D4" w:rsidR="00F77685">
        <w:rPr>
          <w:szCs w:val="24"/>
          <w:u w:val="single"/>
        </w:rPr>
        <w:t>Information</w:t>
      </w:r>
      <w:r w:rsidRPr="009F71D4">
        <w:rPr>
          <w:szCs w:val="24"/>
          <w:u w:val="single"/>
        </w:rPr>
        <w:t xml:space="preserve"> from </w:t>
      </w:r>
      <w:r w:rsidRPr="009F71D4" w:rsidR="00087F6C">
        <w:rPr>
          <w:szCs w:val="24"/>
          <w:u w:val="single"/>
        </w:rPr>
        <w:t>Participant</w:t>
      </w:r>
      <w:r w:rsidRPr="009F71D4">
        <w:rPr>
          <w:szCs w:val="24"/>
          <w:u w:val="single"/>
        </w:rPr>
        <w:t>s</w:t>
      </w:r>
      <w:r w:rsidRPr="009F71D4" w:rsidR="009338F6">
        <w:rPr>
          <w:szCs w:val="24"/>
          <w:u w:val="single"/>
        </w:rPr>
        <w:t xml:space="preserve"> (See 12.</w:t>
      </w:r>
      <w:r w:rsidRPr="009F71D4" w:rsidR="00DB21DC">
        <w:rPr>
          <w:szCs w:val="24"/>
          <w:u w:val="single"/>
        </w:rPr>
        <w:t>c</w:t>
      </w:r>
      <w:r w:rsidRPr="009F71D4" w:rsidR="009338F6">
        <w:rPr>
          <w:szCs w:val="24"/>
          <w:u w:val="single"/>
        </w:rPr>
        <w:t>)</w:t>
      </w:r>
      <w:r w:rsidRPr="005815D2" w:rsidR="003A2F8D">
        <w:rPr>
          <w:szCs w:val="24"/>
          <w:u w:val="single"/>
        </w:rPr>
        <w:t>:</w:t>
      </w:r>
    </w:p>
    <w:p w:rsidR="0029394D" w:rsidRPr="009F71D4" w:rsidP="009F71D4" w14:paraId="2283E9D3" w14:textId="77777777">
      <w:pPr>
        <w:pStyle w:val="ListParagraph"/>
        <w:ind w:left="1080"/>
        <w:rPr>
          <w:snapToGrid w:val="0"/>
          <w:kern w:val="28"/>
          <w:szCs w:val="24"/>
        </w:rPr>
      </w:pPr>
    </w:p>
    <w:p w:rsidR="009926D7" w:rsidRPr="009F71D4" w:rsidP="009F71D4" w14:paraId="7408F66E" w14:textId="0A8DBA7A">
      <w:pPr>
        <w:pStyle w:val="ListParagraph"/>
        <w:ind w:left="1080"/>
        <w:rPr>
          <w:snapToGrid w:val="0"/>
          <w:kern w:val="28"/>
          <w:szCs w:val="24"/>
        </w:rPr>
      </w:pPr>
      <w:r w:rsidRPr="009F71D4">
        <w:rPr>
          <w:snapToGrid w:val="0"/>
          <w:kern w:val="28"/>
          <w:szCs w:val="24"/>
        </w:rPr>
        <w:t xml:space="preserve">For each state in which </w:t>
      </w:r>
      <w:r w:rsidRPr="009F71D4" w:rsidR="003A2F8D">
        <w:rPr>
          <w:snapToGrid w:val="0"/>
          <w:kern w:val="28"/>
          <w:szCs w:val="24"/>
        </w:rPr>
        <w:t xml:space="preserve">a </w:t>
      </w:r>
      <w:r w:rsidRPr="009F71D4">
        <w:rPr>
          <w:snapToGrid w:val="0"/>
          <w:kern w:val="28"/>
          <w:szCs w:val="24"/>
        </w:rPr>
        <w:t>participant is seeking an adjustment to its defined deployment obligation, the pa</w:t>
      </w:r>
      <w:r w:rsidRPr="009F71D4" w:rsidR="00E97E2D">
        <w:rPr>
          <w:snapToGrid w:val="0"/>
          <w:kern w:val="28"/>
          <w:szCs w:val="24"/>
        </w:rPr>
        <w:t>rticipant must submit location information for all</w:t>
      </w:r>
      <w:r w:rsidRPr="009F71D4" w:rsidR="003407C4">
        <w:rPr>
          <w:snapToGrid w:val="0"/>
          <w:kern w:val="28"/>
          <w:szCs w:val="24"/>
        </w:rPr>
        <w:t xml:space="preserve"> qualifying</w:t>
      </w:r>
      <w:r w:rsidRPr="009F71D4" w:rsidR="00E97E2D">
        <w:rPr>
          <w:snapToGrid w:val="0"/>
          <w:kern w:val="28"/>
          <w:szCs w:val="24"/>
        </w:rPr>
        <w:t xml:space="preserve"> locations and may submit information for prospective locations. </w:t>
      </w:r>
      <w:r w:rsidRPr="009F71D4" w:rsidR="00D45600">
        <w:rPr>
          <w:snapToGrid w:val="0"/>
          <w:kern w:val="28"/>
          <w:szCs w:val="24"/>
        </w:rPr>
        <w:t xml:space="preserve"> </w:t>
      </w:r>
      <w:r w:rsidRPr="009F71D4">
        <w:rPr>
          <w:snapToGrid w:val="0"/>
          <w:kern w:val="28"/>
          <w:szCs w:val="24"/>
        </w:rPr>
        <w:t xml:space="preserve">The total number of eligible locations (qualifying and prospective locations) in a state cannot exceed the participant’s defined deployment obligation for that state.  </w:t>
      </w:r>
    </w:p>
    <w:p w:rsidR="009926D7" w:rsidRPr="009F71D4" w:rsidP="009F71D4" w14:paraId="15E14591" w14:textId="77777777">
      <w:pPr>
        <w:pStyle w:val="ListParagraph"/>
        <w:ind w:left="1080"/>
        <w:rPr>
          <w:snapToGrid w:val="0"/>
          <w:kern w:val="28"/>
          <w:szCs w:val="24"/>
        </w:rPr>
      </w:pPr>
    </w:p>
    <w:p w:rsidR="00D25E0B" w:rsidRPr="009F71D4" w:rsidP="009F71D4" w14:paraId="1119793B" w14:textId="2BC1A3D8">
      <w:pPr>
        <w:pStyle w:val="ListParagraph"/>
        <w:ind w:left="1080"/>
        <w:rPr>
          <w:szCs w:val="24"/>
        </w:rPr>
      </w:pPr>
      <w:r w:rsidRPr="009F71D4">
        <w:rPr>
          <w:snapToGrid w:val="0"/>
          <w:kern w:val="28"/>
          <w:szCs w:val="24"/>
        </w:rPr>
        <w:t>To</w:t>
      </w:r>
      <w:r w:rsidRPr="009F71D4" w:rsidR="004619F2">
        <w:rPr>
          <w:snapToGrid w:val="0"/>
          <w:kern w:val="28"/>
          <w:szCs w:val="24"/>
        </w:rPr>
        <w:t xml:space="preserve"> initiate the ELAP process, a p</w:t>
      </w:r>
      <w:r w:rsidRPr="009F71D4" w:rsidR="009B49FC">
        <w:rPr>
          <w:snapToGrid w:val="0"/>
          <w:kern w:val="28"/>
          <w:szCs w:val="24"/>
        </w:rPr>
        <w:t xml:space="preserve">articipant must identify itself and the state in which it is seeking adjustment to </w:t>
      </w:r>
      <w:r w:rsidRPr="009F71D4" w:rsidR="004619F2">
        <w:rPr>
          <w:snapToGrid w:val="0"/>
          <w:kern w:val="28"/>
          <w:szCs w:val="24"/>
        </w:rPr>
        <w:t xml:space="preserve">its </w:t>
      </w:r>
      <w:r w:rsidRPr="009F71D4" w:rsidR="009B49FC">
        <w:rPr>
          <w:snapToGrid w:val="0"/>
          <w:kern w:val="28"/>
          <w:szCs w:val="24"/>
        </w:rPr>
        <w:t>defined deployment obligation.</w:t>
      </w:r>
      <w:r w:rsidRPr="009F71D4" w:rsidR="004619F2">
        <w:rPr>
          <w:snapToGrid w:val="0"/>
          <w:kern w:val="28"/>
          <w:szCs w:val="24"/>
        </w:rPr>
        <w:t xml:space="preserve"> </w:t>
      </w:r>
      <w:r w:rsidRPr="009F71D4" w:rsidR="009B49FC">
        <w:rPr>
          <w:snapToGrid w:val="0"/>
          <w:kern w:val="28"/>
          <w:szCs w:val="24"/>
        </w:rPr>
        <w:t xml:space="preserve"> </w:t>
      </w:r>
      <w:r w:rsidRPr="009F71D4" w:rsidR="00A232E6">
        <w:rPr>
          <w:szCs w:val="24"/>
        </w:rPr>
        <w:t xml:space="preserve">There are 198 participant/state combinations.  We estimate that 75 percent of </w:t>
      </w:r>
      <w:r w:rsidRPr="009F71D4" w:rsidR="009B49FC">
        <w:rPr>
          <w:szCs w:val="24"/>
        </w:rPr>
        <w:t xml:space="preserve">the </w:t>
      </w:r>
      <w:r w:rsidRPr="009F71D4" w:rsidR="00A232E6">
        <w:rPr>
          <w:szCs w:val="24"/>
        </w:rPr>
        <w:t xml:space="preserve">participant/state combinations, or 148 respondents, will submit location information pursuant to the ELAP.  In some instances, </w:t>
      </w:r>
      <w:r w:rsidRPr="009F71D4" w:rsidR="009926D7">
        <w:rPr>
          <w:szCs w:val="24"/>
        </w:rPr>
        <w:t>a</w:t>
      </w:r>
      <w:r w:rsidRPr="009F71D4" w:rsidR="00A232E6">
        <w:rPr>
          <w:szCs w:val="24"/>
        </w:rPr>
        <w:t xml:space="preserve"> </w:t>
      </w:r>
      <w:r w:rsidRPr="009F71D4" w:rsidR="009474C9">
        <w:rPr>
          <w:szCs w:val="24"/>
        </w:rPr>
        <w:t xml:space="preserve">participant </w:t>
      </w:r>
      <w:r w:rsidRPr="009F71D4" w:rsidR="00A232E6">
        <w:rPr>
          <w:szCs w:val="24"/>
        </w:rPr>
        <w:t xml:space="preserve">will seek to adjust </w:t>
      </w:r>
      <w:r w:rsidRPr="009F71D4" w:rsidR="009926D7">
        <w:rPr>
          <w:szCs w:val="24"/>
        </w:rPr>
        <w:t>its</w:t>
      </w:r>
      <w:r w:rsidRPr="009F71D4" w:rsidR="00A232E6">
        <w:rPr>
          <w:szCs w:val="24"/>
        </w:rPr>
        <w:t xml:space="preserve"> defined deployment obligation in </w:t>
      </w:r>
      <w:r w:rsidRPr="009F71D4" w:rsidR="006A0770">
        <w:rPr>
          <w:szCs w:val="24"/>
        </w:rPr>
        <w:t xml:space="preserve">more than one </w:t>
      </w:r>
      <w:r w:rsidRPr="009F71D4" w:rsidR="00A232E6">
        <w:rPr>
          <w:szCs w:val="24"/>
        </w:rPr>
        <w:t xml:space="preserve">state.  </w:t>
      </w:r>
      <w:r w:rsidRPr="009F71D4" w:rsidR="006A0770">
        <w:rPr>
          <w:szCs w:val="24"/>
        </w:rPr>
        <w:t>In these instances,</w:t>
      </w:r>
      <w:r w:rsidRPr="009F71D4" w:rsidR="00A232E6">
        <w:rPr>
          <w:szCs w:val="24"/>
        </w:rPr>
        <w:t xml:space="preserve"> </w:t>
      </w:r>
      <w:r w:rsidRPr="009F71D4" w:rsidR="006A0770">
        <w:rPr>
          <w:szCs w:val="24"/>
        </w:rPr>
        <w:t>each participant/state combination is treated as a separate respondent and information submitted for each state are treated as separate filings.</w:t>
      </w:r>
    </w:p>
    <w:p w:rsidR="00000E3A" w:rsidRPr="009F71D4" w:rsidP="009F71D4" w14:paraId="4CFC3B7C" w14:textId="77777777">
      <w:pPr>
        <w:pStyle w:val="ListParagraph"/>
        <w:ind w:left="1080"/>
        <w:rPr>
          <w:snapToGrid w:val="0"/>
          <w:kern w:val="28"/>
          <w:szCs w:val="24"/>
        </w:rPr>
      </w:pPr>
    </w:p>
    <w:p w:rsidR="00D95535" w:rsidRPr="009F71D4" w:rsidP="009F71D4" w14:paraId="4A950F87" w14:textId="24F87797">
      <w:pPr>
        <w:pStyle w:val="ListParagraph"/>
        <w:ind w:left="1080"/>
        <w:rPr>
          <w:snapToGrid w:val="0"/>
          <w:kern w:val="28"/>
          <w:szCs w:val="24"/>
        </w:rPr>
      </w:pPr>
      <w:r w:rsidRPr="009F71D4">
        <w:rPr>
          <w:snapToGrid w:val="0"/>
          <w:kern w:val="28"/>
          <w:szCs w:val="24"/>
        </w:rPr>
        <w:t>Participant</w:t>
      </w:r>
      <w:r w:rsidRPr="009F71D4" w:rsidR="00912F6D">
        <w:rPr>
          <w:snapToGrid w:val="0"/>
          <w:kern w:val="28"/>
          <w:szCs w:val="24"/>
        </w:rPr>
        <w:t>s</w:t>
      </w:r>
      <w:r w:rsidRPr="009F71D4" w:rsidR="0007284D">
        <w:rPr>
          <w:snapToGrid w:val="0"/>
          <w:kern w:val="28"/>
          <w:szCs w:val="24"/>
        </w:rPr>
        <w:t xml:space="preserve"> </w:t>
      </w:r>
      <w:r w:rsidRPr="009F71D4">
        <w:rPr>
          <w:snapToGrid w:val="0"/>
          <w:kern w:val="28"/>
          <w:szCs w:val="24"/>
        </w:rPr>
        <w:t xml:space="preserve">must submit </w:t>
      </w:r>
      <w:r w:rsidRPr="009F71D4" w:rsidR="0021089D">
        <w:rPr>
          <w:snapToGrid w:val="0"/>
          <w:kern w:val="28"/>
          <w:szCs w:val="24"/>
        </w:rPr>
        <w:t xml:space="preserve">eligible </w:t>
      </w:r>
      <w:r w:rsidRPr="009F71D4">
        <w:rPr>
          <w:snapToGrid w:val="0"/>
          <w:kern w:val="28"/>
          <w:szCs w:val="24"/>
        </w:rPr>
        <w:t xml:space="preserve">location information in a tabular format (e.g., a .csv file) into a module within the HUBB.  </w:t>
      </w:r>
      <w:r w:rsidRPr="009F71D4" w:rsidR="00416D93">
        <w:rPr>
          <w:snapToGrid w:val="0"/>
          <w:kern w:val="28"/>
          <w:szCs w:val="24"/>
        </w:rPr>
        <w:t xml:space="preserve">Separate .csv files must be prepared for </w:t>
      </w:r>
      <w:r w:rsidRPr="009F71D4" w:rsidR="00013BCC">
        <w:rPr>
          <w:snapToGrid w:val="0"/>
          <w:kern w:val="28"/>
          <w:szCs w:val="24"/>
        </w:rPr>
        <w:t xml:space="preserve">each </w:t>
      </w:r>
      <w:r w:rsidRPr="009F71D4" w:rsidR="00416D93">
        <w:rPr>
          <w:snapToGrid w:val="0"/>
          <w:kern w:val="28"/>
          <w:szCs w:val="24"/>
        </w:rPr>
        <w:t>qualifying location and prospective location.  For each location entry,</w:t>
      </w:r>
      <w:r w:rsidRPr="009F71D4">
        <w:rPr>
          <w:snapToGrid w:val="0"/>
          <w:kern w:val="28"/>
          <w:szCs w:val="24"/>
        </w:rPr>
        <w:t xml:space="preserve"> </w:t>
      </w:r>
      <w:r w:rsidRPr="009F71D4" w:rsidR="00416D93">
        <w:rPr>
          <w:snapToGrid w:val="0"/>
          <w:kern w:val="28"/>
          <w:szCs w:val="24"/>
        </w:rPr>
        <w:t xml:space="preserve">participants must submit the following </w:t>
      </w:r>
      <w:r w:rsidRPr="009F71D4">
        <w:rPr>
          <w:snapToGrid w:val="0"/>
          <w:kern w:val="28"/>
          <w:szCs w:val="24"/>
        </w:rPr>
        <w:t>information</w:t>
      </w:r>
      <w:r w:rsidRPr="009F71D4" w:rsidR="008632C5">
        <w:rPr>
          <w:snapToGrid w:val="0"/>
          <w:kern w:val="28"/>
          <w:szCs w:val="24"/>
        </w:rPr>
        <w:t xml:space="preserve">: </w:t>
      </w:r>
    </w:p>
    <w:p w:rsidR="00D95535" w:rsidRPr="009F71D4" w:rsidP="009F71D4" w14:paraId="4ACAB2EC" w14:textId="7AB9C078">
      <w:pPr>
        <w:numPr>
          <w:ilvl w:val="0"/>
          <w:numId w:val="18"/>
        </w:numPr>
        <w:rPr>
          <w:szCs w:val="24"/>
        </w:rPr>
      </w:pPr>
      <w:r w:rsidRPr="009F71D4">
        <w:rPr>
          <w:szCs w:val="24"/>
        </w:rPr>
        <w:t>Study Area Code(s)</w:t>
      </w:r>
    </w:p>
    <w:p w:rsidR="006C0A45" w:rsidRPr="009F71D4" w:rsidP="009F71D4" w14:paraId="162A1CF0" w14:textId="5170C6AD">
      <w:pPr>
        <w:numPr>
          <w:ilvl w:val="0"/>
          <w:numId w:val="18"/>
        </w:numPr>
        <w:rPr>
          <w:szCs w:val="24"/>
        </w:rPr>
      </w:pPr>
      <w:r w:rsidRPr="009F71D4">
        <w:rPr>
          <w:szCs w:val="24"/>
        </w:rPr>
        <w:t>Address of location</w:t>
      </w:r>
    </w:p>
    <w:p w:rsidR="00D95535" w:rsidRPr="009F71D4" w:rsidP="009F71D4" w14:paraId="22E0A4FD" w14:textId="25E411C0">
      <w:pPr>
        <w:numPr>
          <w:ilvl w:val="0"/>
          <w:numId w:val="18"/>
        </w:numPr>
        <w:rPr>
          <w:szCs w:val="24"/>
        </w:rPr>
      </w:pPr>
      <w:r w:rsidRPr="009F71D4">
        <w:rPr>
          <w:szCs w:val="24"/>
        </w:rPr>
        <w:t>Latitude of the location (to 6 decimal places)</w:t>
      </w:r>
    </w:p>
    <w:p w:rsidR="00D95535" w:rsidRPr="009F71D4" w:rsidP="009F71D4" w14:paraId="620EE025" w14:textId="77777777">
      <w:pPr>
        <w:numPr>
          <w:ilvl w:val="0"/>
          <w:numId w:val="18"/>
        </w:numPr>
        <w:rPr>
          <w:szCs w:val="24"/>
        </w:rPr>
      </w:pPr>
      <w:r w:rsidRPr="009F71D4">
        <w:rPr>
          <w:szCs w:val="24"/>
        </w:rPr>
        <w:t>Longitude of Location (to 6 decimal places)</w:t>
      </w:r>
    </w:p>
    <w:p w:rsidR="00D95535" w:rsidRPr="009F71D4" w:rsidP="009F71D4" w14:paraId="6CEB663B" w14:textId="77777777">
      <w:pPr>
        <w:numPr>
          <w:ilvl w:val="0"/>
          <w:numId w:val="18"/>
        </w:numPr>
        <w:rPr>
          <w:szCs w:val="24"/>
        </w:rPr>
      </w:pPr>
      <w:r w:rsidRPr="009F71D4">
        <w:rPr>
          <w:szCs w:val="24"/>
        </w:rPr>
        <w:t>Number of units at the location</w:t>
      </w:r>
    </w:p>
    <w:p w:rsidR="00D95535" w:rsidRPr="009F71D4" w:rsidP="009F71D4" w14:paraId="6891AA11" w14:textId="3B348C8E">
      <w:pPr>
        <w:numPr>
          <w:ilvl w:val="0"/>
          <w:numId w:val="18"/>
        </w:numPr>
        <w:rPr>
          <w:szCs w:val="24"/>
        </w:rPr>
      </w:pPr>
      <w:r w:rsidRPr="009F71D4">
        <w:rPr>
          <w:szCs w:val="24"/>
        </w:rPr>
        <w:t>Method information, e.g., GPS methods and/or source used and the “as-of” date of such method or source</w:t>
      </w:r>
    </w:p>
    <w:p w:rsidR="003B2C42" w:rsidRPr="009F71D4" w:rsidP="009F71D4" w14:paraId="40B9CAC8" w14:textId="77777777">
      <w:pPr>
        <w:numPr>
          <w:ilvl w:val="0"/>
          <w:numId w:val="18"/>
        </w:numPr>
        <w:rPr>
          <w:szCs w:val="24"/>
        </w:rPr>
      </w:pPr>
      <w:r w:rsidRPr="009F71D4">
        <w:rPr>
          <w:szCs w:val="24"/>
        </w:rPr>
        <w:t>Location Type, i.e., qualifying location, prospective location, ineligible location</w:t>
      </w:r>
    </w:p>
    <w:p w:rsidR="003B2C42" w:rsidRPr="009F71D4" w:rsidP="009F71D4" w14:paraId="32A534DF" w14:textId="77777777">
      <w:pPr>
        <w:numPr>
          <w:ilvl w:val="0"/>
          <w:numId w:val="18"/>
        </w:numPr>
        <w:rPr>
          <w:szCs w:val="24"/>
        </w:rPr>
      </w:pPr>
      <w:r w:rsidRPr="009F71D4">
        <w:rPr>
          <w:szCs w:val="24"/>
        </w:rPr>
        <w:t>Ineligible Reason Code from Drop-Down List</w:t>
      </w:r>
    </w:p>
    <w:p w:rsidR="003B2C42" w:rsidRPr="009F71D4" w:rsidP="009F71D4" w14:paraId="6A00EE10" w14:textId="0A7F0D71">
      <w:pPr>
        <w:numPr>
          <w:ilvl w:val="0"/>
          <w:numId w:val="18"/>
        </w:numPr>
        <w:rPr>
          <w:szCs w:val="24"/>
        </w:rPr>
      </w:pPr>
      <w:r w:rsidRPr="009F71D4">
        <w:rPr>
          <w:szCs w:val="24"/>
        </w:rPr>
        <w:t>Ineligible Reason Comment if Ineligible Reason Code is “Other”</w:t>
      </w:r>
    </w:p>
    <w:p w:rsidR="00382626" w:rsidRPr="009F71D4" w:rsidP="009F71D4" w14:paraId="6DEA6686" w14:textId="546C1C23">
      <w:pPr>
        <w:rPr>
          <w:szCs w:val="24"/>
        </w:rPr>
      </w:pPr>
    </w:p>
    <w:p w:rsidR="00382626" w:rsidRPr="009F71D4" w:rsidP="009F71D4" w14:paraId="1688D3EC" w14:textId="4447388A">
      <w:pPr>
        <w:ind w:left="1080"/>
        <w:rPr>
          <w:szCs w:val="24"/>
        </w:rPr>
      </w:pPr>
      <w:r w:rsidRPr="009F71D4">
        <w:rPr>
          <w:szCs w:val="24"/>
        </w:rPr>
        <w:t xml:space="preserve">In addition, the participant may submit the above </w:t>
      </w:r>
      <w:r w:rsidRPr="009F71D4" w:rsidR="006C0A45">
        <w:rPr>
          <w:szCs w:val="24"/>
        </w:rPr>
        <w:t xml:space="preserve">location </w:t>
      </w:r>
      <w:r w:rsidRPr="009F71D4">
        <w:rPr>
          <w:szCs w:val="24"/>
        </w:rPr>
        <w:t>information</w:t>
      </w:r>
      <w:r w:rsidRPr="009F71D4" w:rsidR="006C0A45">
        <w:rPr>
          <w:szCs w:val="24"/>
        </w:rPr>
        <w:t xml:space="preserve"> in the same .csv file</w:t>
      </w:r>
      <w:r w:rsidRPr="009F71D4">
        <w:rPr>
          <w:szCs w:val="24"/>
        </w:rPr>
        <w:t xml:space="preserve"> for any location that it has affirmatively determined to be ineligible, together with a description of the reason why such location should not be counted, e.g., derelict, industrial facility, </w:t>
      </w:r>
      <w:r w:rsidRPr="009F71D4" w:rsidR="00D53161">
        <w:rPr>
          <w:szCs w:val="24"/>
        </w:rPr>
        <w:t xml:space="preserve">or </w:t>
      </w:r>
      <w:r w:rsidRPr="009F71D4">
        <w:rPr>
          <w:szCs w:val="24"/>
        </w:rPr>
        <w:t xml:space="preserve">temporary or mobile unit.  </w:t>
      </w:r>
    </w:p>
    <w:p w:rsidR="00382626" w:rsidRPr="009F71D4" w:rsidP="009F71D4" w14:paraId="5280557D" w14:textId="10CFFF7B">
      <w:pPr>
        <w:ind w:left="1080"/>
        <w:rPr>
          <w:szCs w:val="24"/>
        </w:rPr>
      </w:pPr>
    </w:p>
    <w:p w:rsidR="00303BA7" w:rsidRPr="009F71D4" w:rsidP="009F71D4" w14:paraId="2A782D7B" w14:textId="20F7C4D3">
      <w:pPr>
        <w:ind w:left="1080"/>
        <w:rPr>
          <w:szCs w:val="24"/>
        </w:rPr>
      </w:pPr>
      <w:r w:rsidRPr="009F71D4">
        <w:rPr>
          <w:szCs w:val="24"/>
        </w:rPr>
        <w:t>T</w:t>
      </w:r>
      <w:r w:rsidRPr="009F71D4" w:rsidR="00676395">
        <w:rPr>
          <w:szCs w:val="24"/>
        </w:rPr>
        <w:t xml:space="preserve">he participant </w:t>
      </w:r>
      <w:r w:rsidRPr="009F71D4">
        <w:rPr>
          <w:szCs w:val="24"/>
        </w:rPr>
        <w:t xml:space="preserve">also </w:t>
      </w:r>
      <w:r w:rsidRPr="009F71D4" w:rsidR="00676395">
        <w:rPr>
          <w:szCs w:val="24"/>
        </w:rPr>
        <w:t xml:space="preserve">must provide </w:t>
      </w:r>
      <w:r w:rsidRPr="009F71D4" w:rsidR="0059343E">
        <w:rPr>
          <w:szCs w:val="24"/>
        </w:rPr>
        <w:t xml:space="preserve">the following information: </w:t>
      </w:r>
      <w:r w:rsidRPr="009F71D4" w:rsidR="00382626">
        <w:rPr>
          <w:szCs w:val="24"/>
        </w:rPr>
        <w:t>contact information for the person who prepared and submitted the data</w:t>
      </w:r>
      <w:r w:rsidRPr="009F71D4" w:rsidR="00BF2B88">
        <w:rPr>
          <w:szCs w:val="24"/>
        </w:rPr>
        <w:t>;</w:t>
      </w:r>
      <w:r w:rsidRPr="009F71D4">
        <w:rPr>
          <w:szCs w:val="24"/>
        </w:rPr>
        <w:t xml:space="preserve"> </w:t>
      </w:r>
      <w:r w:rsidRPr="009F71D4" w:rsidR="006C0A45">
        <w:rPr>
          <w:szCs w:val="24"/>
        </w:rPr>
        <w:t>an officer certification that the information is true and correct</w:t>
      </w:r>
      <w:r w:rsidRPr="009F71D4" w:rsidR="00BF2B88">
        <w:rPr>
          <w:szCs w:val="24"/>
        </w:rPr>
        <w:t>;</w:t>
      </w:r>
      <w:r w:rsidRPr="009F71D4" w:rsidR="006C0A45">
        <w:rPr>
          <w:szCs w:val="24"/>
        </w:rPr>
        <w:t xml:space="preserve"> and the certifying officer’s official contact information.  A participant may revise and recertify its filing until the filing deadline.  </w:t>
      </w:r>
      <w:r w:rsidRPr="009F71D4" w:rsidR="00676395">
        <w:rPr>
          <w:szCs w:val="24"/>
        </w:rPr>
        <w:t xml:space="preserve"> </w:t>
      </w:r>
    </w:p>
    <w:p w:rsidR="00303BA7" w:rsidRPr="009F71D4" w:rsidP="009F71D4" w14:paraId="3D8071D6" w14:textId="77777777">
      <w:pPr>
        <w:ind w:left="1080"/>
        <w:rPr>
          <w:szCs w:val="24"/>
        </w:rPr>
      </w:pPr>
    </w:p>
    <w:p w:rsidR="00423511" w:rsidRPr="009F71D4" w:rsidP="005815D2" w14:paraId="5650CD9D" w14:textId="7E550733">
      <w:pPr>
        <w:pStyle w:val="ListParagraph"/>
        <w:numPr>
          <w:ilvl w:val="0"/>
          <w:numId w:val="24"/>
        </w:numPr>
        <w:rPr>
          <w:szCs w:val="24"/>
        </w:rPr>
      </w:pPr>
      <w:r w:rsidRPr="009F71D4">
        <w:rPr>
          <w:szCs w:val="24"/>
          <w:u w:val="single"/>
        </w:rPr>
        <w:t xml:space="preserve">Collection of </w:t>
      </w:r>
      <w:r w:rsidRPr="009F71D4" w:rsidR="00844DFF">
        <w:rPr>
          <w:szCs w:val="24"/>
          <w:u w:val="single"/>
        </w:rPr>
        <w:t xml:space="preserve">Methods Description </w:t>
      </w:r>
      <w:r w:rsidRPr="009F71D4" w:rsidR="00691363">
        <w:rPr>
          <w:szCs w:val="24"/>
          <w:u w:val="single"/>
        </w:rPr>
        <w:t xml:space="preserve">from </w:t>
      </w:r>
      <w:r w:rsidRPr="009F71D4" w:rsidR="00844DFF">
        <w:rPr>
          <w:szCs w:val="24"/>
          <w:u w:val="single"/>
        </w:rPr>
        <w:t>P</w:t>
      </w:r>
      <w:r w:rsidRPr="009F71D4" w:rsidR="00691363">
        <w:rPr>
          <w:szCs w:val="24"/>
          <w:u w:val="single"/>
        </w:rPr>
        <w:t>articipants</w:t>
      </w:r>
      <w:r w:rsidRPr="009F71D4" w:rsidR="009338F6">
        <w:rPr>
          <w:szCs w:val="24"/>
          <w:u w:val="single"/>
        </w:rPr>
        <w:t xml:space="preserve"> (See 12.</w:t>
      </w:r>
      <w:r w:rsidRPr="009F71D4" w:rsidR="001D55D5">
        <w:rPr>
          <w:szCs w:val="24"/>
          <w:u w:val="single"/>
        </w:rPr>
        <w:t>d</w:t>
      </w:r>
      <w:r w:rsidRPr="009F71D4" w:rsidR="009338F6">
        <w:rPr>
          <w:szCs w:val="24"/>
          <w:u w:val="single"/>
        </w:rPr>
        <w:t>)</w:t>
      </w:r>
      <w:r w:rsidRPr="005815D2" w:rsidR="003A2F8D">
        <w:rPr>
          <w:szCs w:val="24"/>
          <w:u w:val="single"/>
        </w:rPr>
        <w:t>:</w:t>
      </w:r>
    </w:p>
    <w:p w:rsidR="008D7014" w:rsidRPr="009F71D4" w:rsidP="009F71D4" w14:paraId="106254B2" w14:textId="77777777">
      <w:pPr>
        <w:ind w:left="720"/>
        <w:rPr>
          <w:szCs w:val="24"/>
        </w:rPr>
      </w:pPr>
    </w:p>
    <w:p w:rsidR="00235686" w:rsidRPr="009F71D4" w:rsidP="009F71D4" w14:paraId="6AC889B5" w14:textId="4A33851A">
      <w:pPr>
        <w:ind w:left="1080"/>
        <w:rPr>
          <w:szCs w:val="24"/>
        </w:rPr>
      </w:pPr>
      <w:r w:rsidRPr="009F71D4">
        <w:rPr>
          <w:szCs w:val="24"/>
        </w:rPr>
        <w:t xml:space="preserve">For each state in which </w:t>
      </w:r>
      <w:r w:rsidRPr="009F71D4" w:rsidR="00013BCC">
        <w:rPr>
          <w:szCs w:val="24"/>
        </w:rPr>
        <w:t>it is</w:t>
      </w:r>
      <w:r w:rsidRPr="009F71D4">
        <w:rPr>
          <w:szCs w:val="24"/>
        </w:rPr>
        <w:t xml:space="preserve"> seeking adjustment, </w:t>
      </w:r>
      <w:r w:rsidRPr="009F71D4" w:rsidR="00013BCC">
        <w:rPr>
          <w:szCs w:val="24"/>
        </w:rPr>
        <w:t xml:space="preserve">each </w:t>
      </w:r>
      <w:r w:rsidRPr="009F71D4">
        <w:rPr>
          <w:szCs w:val="24"/>
        </w:rPr>
        <w:t>p</w:t>
      </w:r>
      <w:r w:rsidRPr="009F71D4" w:rsidR="008D7014">
        <w:rPr>
          <w:szCs w:val="24"/>
        </w:rPr>
        <w:t xml:space="preserve">articipant must submit </w:t>
      </w:r>
      <w:r w:rsidRPr="009F71D4" w:rsidR="00013BCC">
        <w:rPr>
          <w:szCs w:val="24"/>
        </w:rPr>
        <w:t xml:space="preserve">its </w:t>
      </w:r>
      <w:r w:rsidRPr="009F71D4" w:rsidR="008D7014">
        <w:rPr>
          <w:szCs w:val="24"/>
        </w:rPr>
        <w:t xml:space="preserve">methods description (e.g., as a .pdf file) into the </w:t>
      </w:r>
      <w:r w:rsidRPr="009F71D4" w:rsidR="00912F6D">
        <w:rPr>
          <w:szCs w:val="24"/>
        </w:rPr>
        <w:t xml:space="preserve">ELAP </w:t>
      </w:r>
      <w:r w:rsidRPr="009F71D4" w:rsidR="008D7014">
        <w:rPr>
          <w:szCs w:val="24"/>
        </w:rPr>
        <w:t xml:space="preserve">module.  </w:t>
      </w:r>
      <w:r w:rsidRPr="009F71D4" w:rsidR="001C3A27">
        <w:rPr>
          <w:szCs w:val="24"/>
        </w:rPr>
        <w:t xml:space="preserve">The description must </w:t>
      </w:r>
      <w:r w:rsidRPr="009F71D4" w:rsidR="008D7014">
        <w:rPr>
          <w:szCs w:val="24"/>
        </w:rPr>
        <w:t xml:space="preserve">describe </w:t>
      </w:r>
      <w:r w:rsidRPr="009F71D4" w:rsidR="005F418F">
        <w:rPr>
          <w:szCs w:val="24"/>
        </w:rPr>
        <w:t xml:space="preserve">the </w:t>
      </w:r>
      <w:r w:rsidRPr="009F71D4" w:rsidR="001C3A27">
        <w:rPr>
          <w:szCs w:val="24"/>
        </w:rPr>
        <w:t xml:space="preserve">participant’s </w:t>
      </w:r>
      <w:r w:rsidRPr="009F71D4" w:rsidR="005F418F">
        <w:rPr>
          <w:szCs w:val="24"/>
        </w:rPr>
        <w:t>method</w:t>
      </w:r>
      <w:r w:rsidRPr="009F71D4" w:rsidR="001C3A27">
        <w:rPr>
          <w:szCs w:val="24"/>
        </w:rPr>
        <w:t>(</w:t>
      </w:r>
      <w:r w:rsidRPr="009F71D4" w:rsidR="005F418F">
        <w:rPr>
          <w:szCs w:val="24"/>
        </w:rPr>
        <w:t>s</w:t>
      </w:r>
      <w:r w:rsidRPr="009F71D4" w:rsidR="001C3A27">
        <w:rPr>
          <w:szCs w:val="24"/>
        </w:rPr>
        <w:t>)</w:t>
      </w:r>
      <w:r w:rsidRPr="009F71D4" w:rsidR="005F418F">
        <w:rPr>
          <w:szCs w:val="24"/>
        </w:rPr>
        <w:t xml:space="preserve"> for identifying every qualifying location within eligible areas within a state.  </w:t>
      </w:r>
      <w:r w:rsidRPr="009F71D4" w:rsidR="008D7014">
        <w:rPr>
          <w:szCs w:val="24"/>
        </w:rPr>
        <w:t>P</w:t>
      </w:r>
      <w:r w:rsidRPr="009F71D4" w:rsidR="005F418F">
        <w:rPr>
          <w:szCs w:val="24"/>
        </w:rPr>
        <w:t xml:space="preserve">articipants must </w:t>
      </w:r>
      <w:r w:rsidRPr="009F71D4" w:rsidR="008D7014">
        <w:rPr>
          <w:szCs w:val="24"/>
        </w:rPr>
        <w:t xml:space="preserve">also </w:t>
      </w:r>
      <w:r w:rsidRPr="009F71D4">
        <w:rPr>
          <w:szCs w:val="24"/>
        </w:rPr>
        <w:t xml:space="preserve">justify their methodological choices and make clear that they systematically and reasonably gathered location data for all eligible areas.  </w:t>
      </w:r>
    </w:p>
    <w:p w:rsidR="005F418F" w:rsidRPr="009F71D4" w:rsidP="009F71D4" w14:paraId="15C4FA14" w14:textId="40BA84AB">
      <w:pPr>
        <w:ind w:left="1080"/>
        <w:rPr>
          <w:szCs w:val="24"/>
        </w:rPr>
      </w:pPr>
    </w:p>
    <w:p w:rsidR="005F418F" w:rsidRPr="009F71D4" w:rsidP="009F71D4" w14:paraId="4E805ED3" w14:textId="1DEB3EBC">
      <w:pPr>
        <w:ind w:left="1080"/>
        <w:rPr>
          <w:szCs w:val="24"/>
        </w:rPr>
      </w:pPr>
      <w:r w:rsidRPr="009F71D4">
        <w:rPr>
          <w:szCs w:val="24"/>
        </w:rPr>
        <w:t xml:space="preserve">In their methods description, participants relying on databases or software to identify locations must demonstrate that the database or geolocation software has an evidentiary basis, such as customer records.  Participants must also establish the source’s accuracy and reliability in the relevant geographic areas, which may be accomplished through, for example, proof of statistical sampling and verification of sampled locations in eligible areas.  Participants relying on publicly available databases/information must </w:t>
      </w:r>
      <w:r w:rsidRPr="009F71D4" w:rsidR="00AB70A5">
        <w:rPr>
          <w:szCs w:val="24"/>
        </w:rPr>
        <w:t xml:space="preserve">describe how </w:t>
      </w:r>
      <w:r w:rsidRPr="009F71D4">
        <w:rPr>
          <w:szCs w:val="24"/>
        </w:rPr>
        <w:t xml:space="preserve">they accounted for any differences between such databases/information and the Commission’s requirements (such as how buildings and other structures are defined as locations) when compiling their location data.  </w:t>
      </w:r>
    </w:p>
    <w:p w:rsidR="00614E72" w:rsidRPr="009F71D4" w:rsidP="009F71D4" w14:paraId="5E9CC450" w14:textId="77777777">
      <w:pPr>
        <w:rPr>
          <w:szCs w:val="24"/>
        </w:rPr>
      </w:pPr>
    </w:p>
    <w:p w:rsidR="00614E72" w:rsidRPr="009F71D4" w:rsidP="009F71D4" w14:paraId="3F240C1A" w14:textId="3D91412D">
      <w:pPr>
        <w:ind w:left="1080"/>
        <w:rPr>
          <w:szCs w:val="24"/>
        </w:rPr>
      </w:pPr>
      <w:r w:rsidRPr="009F71D4">
        <w:rPr>
          <w:szCs w:val="24"/>
        </w:rPr>
        <w:t>The participant also must provide</w:t>
      </w:r>
      <w:r w:rsidRPr="009F71D4" w:rsidR="0059343E">
        <w:rPr>
          <w:szCs w:val="24"/>
        </w:rPr>
        <w:t xml:space="preserve"> the following information</w:t>
      </w:r>
      <w:r w:rsidRPr="009F71D4" w:rsidR="00E437F4">
        <w:rPr>
          <w:szCs w:val="24"/>
        </w:rPr>
        <w:t>:</w:t>
      </w:r>
      <w:r w:rsidRPr="009F71D4">
        <w:rPr>
          <w:szCs w:val="24"/>
        </w:rPr>
        <w:t xml:space="preserve"> contact information for the person who prepared and submitted the data; an officer certification that the information is true and correct; and the certifying officer’s official contact information.  A participant may revise and recertify its filing until the filing deadline.   </w:t>
      </w:r>
    </w:p>
    <w:p w:rsidR="008D7014" w:rsidRPr="009F71D4" w:rsidP="009F71D4" w14:paraId="63C09459" w14:textId="77777777">
      <w:pPr>
        <w:ind w:left="1080"/>
        <w:rPr>
          <w:szCs w:val="24"/>
        </w:rPr>
      </w:pPr>
    </w:p>
    <w:p w:rsidR="008D7014" w:rsidRPr="009F71D4" w:rsidP="005815D2" w14:paraId="23B426E6" w14:textId="1F023CC5">
      <w:pPr>
        <w:pStyle w:val="ListParagraph"/>
        <w:numPr>
          <w:ilvl w:val="0"/>
          <w:numId w:val="24"/>
        </w:numPr>
        <w:rPr>
          <w:szCs w:val="24"/>
        </w:rPr>
      </w:pPr>
      <w:r w:rsidRPr="009F71D4">
        <w:rPr>
          <w:szCs w:val="24"/>
          <w:u w:val="single"/>
        </w:rPr>
        <w:t>Collection of Supporting Evidence from Participants</w:t>
      </w:r>
      <w:r w:rsidRPr="009F71D4" w:rsidR="009338F6">
        <w:rPr>
          <w:szCs w:val="24"/>
          <w:u w:val="single"/>
        </w:rPr>
        <w:t xml:space="preserve"> (See 12.</w:t>
      </w:r>
      <w:r w:rsidRPr="009F71D4" w:rsidR="001D55D5">
        <w:rPr>
          <w:szCs w:val="24"/>
          <w:u w:val="single"/>
        </w:rPr>
        <w:t>e</w:t>
      </w:r>
      <w:r w:rsidRPr="009F71D4" w:rsidR="009338F6">
        <w:rPr>
          <w:szCs w:val="24"/>
          <w:u w:val="single"/>
        </w:rPr>
        <w:t>)</w:t>
      </w:r>
      <w:r w:rsidRPr="005815D2" w:rsidR="003A2F8D">
        <w:rPr>
          <w:szCs w:val="24"/>
          <w:u w:val="single"/>
        </w:rPr>
        <w:t>:</w:t>
      </w:r>
    </w:p>
    <w:p w:rsidR="008D7014" w:rsidRPr="009F71D4" w:rsidP="009F71D4" w14:paraId="05DDD583" w14:textId="6844FE41">
      <w:pPr>
        <w:pStyle w:val="ListParagraph"/>
        <w:ind w:left="1080"/>
        <w:rPr>
          <w:szCs w:val="24"/>
        </w:rPr>
      </w:pPr>
    </w:p>
    <w:p w:rsidR="00ED0D42" w:rsidRPr="009F71D4" w:rsidP="009F71D4" w14:paraId="63638754" w14:textId="64D283BE">
      <w:pPr>
        <w:pStyle w:val="ListParagraph"/>
        <w:ind w:left="1080"/>
        <w:rPr>
          <w:szCs w:val="24"/>
        </w:rPr>
      </w:pPr>
      <w:r w:rsidRPr="009F71D4">
        <w:rPr>
          <w:szCs w:val="24"/>
        </w:rPr>
        <w:t xml:space="preserve">For each state in which </w:t>
      </w:r>
      <w:r w:rsidRPr="009F71D4" w:rsidR="00614E72">
        <w:rPr>
          <w:szCs w:val="24"/>
        </w:rPr>
        <w:t xml:space="preserve">a </w:t>
      </w:r>
      <w:r w:rsidRPr="009F71D4" w:rsidR="0046451E">
        <w:rPr>
          <w:szCs w:val="24"/>
        </w:rPr>
        <w:t>participant</w:t>
      </w:r>
      <w:r w:rsidRPr="009F71D4" w:rsidR="00614E72">
        <w:rPr>
          <w:szCs w:val="24"/>
        </w:rPr>
        <w:t xml:space="preserve"> is</w:t>
      </w:r>
      <w:r w:rsidRPr="009F71D4">
        <w:rPr>
          <w:szCs w:val="24"/>
        </w:rPr>
        <w:t xml:space="preserve"> seeking adjustment</w:t>
      </w:r>
      <w:r w:rsidRPr="009F71D4" w:rsidR="00614E72">
        <w:rPr>
          <w:szCs w:val="24"/>
        </w:rPr>
        <w:t xml:space="preserve"> to its defined deployment obligation</w:t>
      </w:r>
      <w:r w:rsidRPr="009F71D4">
        <w:rPr>
          <w:szCs w:val="24"/>
        </w:rPr>
        <w:t xml:space="preserve">, </w:t>
      </w:r>
      <w:r w:rsidRPr="009F71D4" w:rsidR="00614E72">
        <w:rPr>
          <w:szCs w:val="24"/>
        </w:rPr>
        <w:t>it</w:t>
      </w:r>
      <w:r w:rsidRPr="009F71D4" w:rsidR="0046451E">
        <w:rPr>
          <w:szCs w:val="24"/>
        </w:rPr>
        <w:t xml:space="preserve"> </w:t>
      </w:r>
      <w:r w:rsidRPr="009F71D4">
        <w:rPr>
          <w:szCs w:val="24"/>
        </w:rPr>
        <w:t xml:space="preserve">must </w:t>
      </w:r>
      <w:r w:rsidRPr="009F71D4" w:rsidR="0046451E">
        <w:rPr>
          <w:szCs w:val="24"/>
        </w:rPr>
        <w:t>file in</w:t>
      </w:r>
      <w:r w:rsidRPr="009F71D4">
        <w:rPr>
          <w:szCs w:val="24"/>
        </w:rPr>
        <w:t xml:space="preserve"> the </w:t>
      </w:r>
      <w:r w:rsidRPr="009F71D4" w:rsidR="004619F2">
        <w:rPr>
          <w:szCs w:val="24"/>
        </w:rPr>
        <w:t xml:space="preserve">ELAP </w:t>
      </w:r>
      <w:r w:rsidRPr="009F71D4">
        <w:rPr>
          <w:szCs w:val="24"/>
        </w:rPr>
        <w:t xml:space="preserve">module </w:t>
      </w:r>
      <w:r w:rsidRPr="009F71D4" w:rsidR="008D7014">
        <w:rPr>
          <w:szCs w:val="24"/>
        </w:rPr>
        <w:t>evidence supporting their descriptions of methods and location information</w:t>
      </w:r>
      <w:r w:rsidRPr="009F71D4">
        <w:rPr>
          <w:szCs w:val="24"/>
        </w:rPr>
        <w:t xml:space="preserve"> in a commonly supported format, e.g., pdf</w:t>
      </w:r>
      <w:r w:rsidRPr="009F71D4" w:rsidR="00EC60B6">
        <w:rPr>
          <w:szCs w:val="24"/>
        </w:rPr>
        <w:t>.</w:t>
      </w:r>
      <w:r w:rsidRPr="009F71D4">
        <w:rPr>
          <w:szCs w:val="24"/>
        </w:rPr>
        <w:t>, jpeg</w:t>
      </w:r>
      <w:r w:rsidRPr="009F71D4" w:rsidR="00EC60B6">
        <w:rPr>
          <w:szCs w:val="24"/>
        </w:rPr>
        <w:t>.</w:t>
      </w:r>
      <w:r w:rsidRPr="009F71D4">
        <w:rPr>
          <w:szCs w:val="24"/>
        </w:rPr>
        <w:t>, etc.</w:t>
      </w:r>
      <w:r w:rsidRPr="009F71D4" w:rsidR="008D7014">
        <w:rPr>
          <w:szCs w:val="24"/>
        </w:rPr>
        <w:t xml:space="preserve">  </w:t>
      </w:r>
      <w:r w:rsidRPr="009F71D4">
        <w:rPr>
          <w:szCs w:val="24"/>
        </w:rPr>
        <w:t>This evidence will assist the</w:t>
      </w:r>
      <w:r w:rsidRPr="009F71D4" w:rsidR="008D7014">
        <w:rPr>
          <w:szCs w:val="24"/>
        </w:rPr>
        <w:t xml:space="preserve"> Bureau’s evaluation of the completeness of </w:t>
      </w:r>
      <w:r w:rsidRPr="009F71D4">
        <w:rPr>
          <w:szCs w:val="24"/>
        </w:rPr>
        <w:t xml:space="preserve">participants’ </w:t>
      </w:r>
      <w:r w:rsidRPr="009F71D4" w:rsidR="008D7014">
        <w:rPr>
          <w:szCs w:val="24"/>
        </w:rPr>
        <w:t>location list</w:t>
      </w:r>
      <w:r w:rsidRPr="009F71D4">
        <w:rPr>
          <w:szCs w:val="24"/>
        </w:rPr>
        <w:t xml:space="preserve">s. </w:t>
      </w:r>
      <w:r w:rsidRPr="009F71D4" w:rsidR="00912F6D">
        <w:rPr>
          <w:szCs w:val="24"/>
        </w:rPr>
        <w:t xml:space="preserve"> </w:t>
      </w:r>
    </w:p>
    <w:p w:rsidR="008D7014" w:rsidRPr="009F71D4" w:rsidP="009F71D4" w14:paraId="3907041B" w14:textId="1E8159EC">
      <w:pPr>
        <w:pStyle w:val="ListParagraph"/>
        <w:ind w:left="1080"/>
        <w:rPr>
          <w:szCs w:val="24"/>
        </w:rPr>
      </w:pPr>
      <w:r w:rsidRPr="009F71D4">
        <w:rPr>
          <w:szCs w:val="24"/>
        </w:rPr>
        <w:t xml:space="preserve">  </w:t>
      </w:r>
    </w:p>
    <w:p w:rsidR="007E42A6" w:rsidRPr="009F71D4" w:rsidP="009F71D4" w14:paraId="4490FE3E" w14:textId="3C603DA3">
      <w:pPr>
        <w:ind w:left="1080"/>
        <w:rPr>
          <w:szCs w:val="24"/>
        </w:rPr>
      </w:pPr>
      <w:r w:rsidRPr="009F71D4">
        <w:rPr>
          <w:szCs w:val="24"/>
        </w:rPr>
        <w:t>P</w:t>
      </w:r>
      <w:r w:rsidRPr="009F71D4" w:rsidR="008D7014">
        <w:rPr>
          <w:szCs w:val="24"/>
        </w:rPr>
        <w:t xml:space="preserve">articipants </w:t>
      </w:r>
      <w:r w:rsidRPr="009F71D4">
        <w:rPr>
          <w:szCs w:val="24"/>
        </w:rPr>
        <w:t xml:space="preserve">have </w:t>
      </w:r>
      <w:r w:rsidRPr="009F71D4" w:rsidR="008D7014">
        <w:rPr>
          <w:szCs w:val="24"/>
        </w:rPr>
        <w:t>flexibility in determining what and how much evidence to submit</w:t>
      </w:r>
      <w:r w:rsidRPr="009F71D4">
        <w:rPr>
          <w:szCs w:val="24"/>
        </w:rPr>
        <w:t>.</w:t>
      </w:r>
      <w:r w:rsidRPr="009F71D4" w:rsidR="008D7014">
        <w:rPr>
          <w:szCs w:val="24"/>
        </w:rPr>
        <w:t xml:space="preserve"> </w:t>
      </w:r>
      <w:r w:rsidRPr="009F71D4">
        <w:rPr>
          <w:szCs w:val="24"/>
        </w:rPr>
        <w:t xml:space="preserve"> </w:t>
      </w:r>
      <w:r w:rsidRPr="009F71D4" w:rsidR="0059343E">
        <w:rPr>
          <w:szCs w:val="24"/>
        </w:rPr>
        <w:t xml:space="preserve">For example, participants may submit publicly available information supporting their determination that certain locations are ineligible, such as </w:t>
      </w:r>
      <w:r w:rsidRPr="009F71D4" w:rsidR="00693CE4">
        <w:rPr>
          <w:szCs w:val="24"/>
        </w:rPr>
        <w:t xml:space="preserve">copies </w:t>
      </w:r>
      <w:r w:rsidRPr="009F71D4" w:rsidR="0059343E">
        <w:rPr>
          <w:szCs w:val="24"/>
        </w:rPr>
        <w:t>from county assessor websites</w:t>
      </w:r>
      <w:r w:rsidRPr="009F71D4" w:rsidR="00D2214C">
        <w:rPr>
          <w:szCs w:val="24"/>
        </w:rPr>
        <w:t xml:space="preserve">.  Similar public records information may be submitted to demonstrate the reliability and validity of database or geolocation software. </w:t>
      </w:r>
    </w:p>
    <w:p w:rsidR="006C4629" w:rsidRPr="009F71D4" w:rsidP="009F71D4" w14:paraId="6D2C6B1F" w14:textId="77777777">
      <w:pPr>
        <w:ind w:left="1080"/>
        <w:rPr>
          <w:szCs w:val="24"/>
        </w:rPr>
      </w:pPr>
    </w:p>
    <w:p w:rsidR="00303BA7" w:rsidRPr="009F71D4" w:rsidP="009F71D4" w14:paraId="11B8FC83" w14:textId="33E2142E">
      <w:pPr>
        <w:ind w:left="1080"/>
        <w:rPr>
          <w:szCs w:val="24"/>
        </w:rPr>
      </w:pPr>
      <w:r w:rsidRPr="009F71D4">
        <w:rPr>
          <w:szCs w:val="24"/>
        </w:rPr>
        <w:t>The participant also must provide the following information</w:t>
      </w:r>
      <w:r w:rsidRPr="009F71D4" w:rsidR="00070D1F">
        <w:rPr>
          <w:szCs w:val="24"/>
        </w:rPr>
        <w:t xml:space="preserve">: </w:t>
      </w:r>
      <w:r w:rsidRPr="009F71D4">
        <w:rPr>
          <w:szCs w:val="24"/>
        </w:rPr>
        <w:t xml:space="preserve">contact information for the person who prepared and submitted the data; an officer certification that the </w:t>
      </w:r>
      <w:r w:rsidRPr="009F71D4">
        <w:rPr>
          <w:szCs w:val="24"/>
        </w:rPr>
        <w:t xml:space="preserve">information is true and correct; and the certifying officer’s official contact information.  A participant may revise and recertify its filing until the filing deadline.   </w:t>
      </w:r>
    </w:p>
    <w:p w:rsidR="00303BA7" w:rsidRPr="009F71D4" w:rsidP="009F71D4" w14:paraId="4237A08A" w14:textId="77777777">
      <w:pPr>
        <w:ind w:left="1080"/>
        <w:rPr>
          <w:szCs w:val="24"/>
        </w:rPr>
      </w:pPr>
    </w:p>
    <w:p w:rsidR="0078272D" w:rsidRPr="009F71D4" w:rsidP="005815D2" w14:paraId="57FE6C68" w14:textId="032CEE8C">
      <w:pPr>
        <w:pStyle w:val="ListParagraph"/>
        <w:numPr>
          <w:ilvl w:val="0"/>
          <w:numId w:val="24"/>
        </w:numPr>
        <w:rPr>
          <w:szCs w:val="24"/>
        </w:rPr>
      </w:pPr>
      <w:r w:rsidRPr="009F71D4">
        <w:rPr>
          <w:szCs w:val="24"/>
          <w:u w:val="single"/>
        </w:rPr>
        <w:t>Collection of Information Verifying Stakeholder Eligibility</w:t>
      </w:r>
      <w:r w:rsidRPr="009F71D4" w:rsidR="008F0D0D">
        <w:rPr>
          <w:szCs w:val="24"/>
          <w:u w:val="single"/>
        </w:rPr>
        <w:t xml:space="preserve"> (See 12.</w:t>
      </w:r>
      <w:r w:rsidRPr="009F71D4" w:rsidR="001D55D5">
        <w:rPr>
          <w:szCs w:val="24"/>
          <w:u w:val="single"/>
        </w:rPr>
        <w:t>f</w:t>
      </w:r>
      <w:r w:rsidRPr="009F71D4" w:rsidR="008F0D0D">
        <w:rPr>
          <w:szCs w:val="24"/>
          <w:u w:val="single"/>
        </w:rPr>
        <w:t>)</w:t>
      </w:r>
    </w:p>
    <w:p w:rsidR="00C64263" w:rsidRPr="009F71D4" w:rsidP="009F71D4" w14:paraId="31B5174E" w14:textId="0B4BE541">
      <w:pPr>
        <w:keepNext/>
        <w:rPr>
          <w:szCs w:val="24"/>
        </w:rPr>
      </w:pPr>
    </w:p>
    <w:p w:rsidR="00C64263" w:rsidRPr="009F71D4" w:rsidP="009F71D4" w14:paraId="0877201A" w14:textId="5A94A7F1">
      <w:pPr>
        <w:ind w:left="1080"/>
        <w:rPr>
          <w:szCs w:val="24"/>
        </w:rPr>
      </w:pPr>
      <w:r w:rsidRPr="009F71D4">
        <w:rPr>
          <w:szCs w:val="24"/>
        </w:rPr>
        <w:t xml:space="preserve">In order to participate as stakeholders in the ELAP process, non-governmental entities and individuals must submit </w:t>
      </w:r>
      <w:r w:rsidRPr="009F71D4" w:rsidR="005F6B0A">
        <w:rPr>
          <w:szCs w:val="24"/>
        </w:rPr>
        <w:t xml:space="preserve">certain </w:t>
      </w:r>
      <w:r w:rsidRPr="009F71D4">
        <w:rPr>
          <w:szCs w:val="24"/>
        </w:rPr>
        <w:t xml:space="preserve">information to </w:t>
      </w:r>
      <w:r w:rsidRPr="009F71D4" w:rsidR="00282AEC">
        <w:rPr>
          <w:szCs w:val="24"/>
        </w:rPr>
        <w:t>USAC for the purposes of verifying their identity and eligibility to participate as a stakeholder</w:t>
      </w:r>
      <w:r w:rsidRPr="009F71D4" w:rsidR="00FC1562">
        <w:rPr>
          <w:szCs w:val="24"/>
        </w:rPr>
        <w:t xml:space="preserve"> and must certify that this information is true and correct.</w:t>
      </w:r>
      <w:r w:rsidRPr="009F71D4" w:rsidR="00282AEC">
        <w:rPr>
          <w:szCs w:val="24"/>
        </w:rPr>
        <w:t xml:space="preserve"> </w:t>
      </w:r>
      <w:r w:rsidRPr="009F71D4" w:rsidR="00861A2C">
        <w:rPr>
          <w:szCs w:val="24"/>
        </w:rPr>
        <w:t xml:space="preserve"> </w:t>
      </w:r>
      <w:r w:rsidRPr="009F71D4" w:rsidR="00282AEC">
        <w:rPr>
          <w:szCs w:val="24"/>
        </w:rPr>
        <w:t xml:space="preserve">USAC will submit some of this information to </w:t>
      </w:r>
      <w:r w:rsidRPr="009F71D4">
        <w:rPr>
          <w:szCs w:val="24"/>
        </w:rPr>
        <w:t>a commercial verifier selected by USAC</w:t>
      </w:r>
      <w:r w:rsidRPr="009F71D4" w:rsidR="0072156F">
        <w:rPr>
          <w:szCs w:val="24"/>
        </w:rPr>
        <w:t>.</w:t>
      </w:r>
      <w:r w:rsidRPr="005815D2">
        <w:rPr>
          <w:rStyle w:val="CommentReference"/>
          <w:sz w:val="24"/>
          <w:szCs w:val="24"/>
        </w:rPr>
        <w:t xml:space="preserve">  </w:t>
      </w:r>
      <w:r w:rsidRPr="009F71D4" w:rsidR="00982E22">
        <w:rPr>
          <w:szCs w:val="24"/>
        </w:rPr>
        <w:t>In addition, stakeholders must certify that they do not hold a controlling interest in a direct competitor of the participant.</w:t>
      </w:r>
      <w:r w:rsidRPr="009F71D4" w:rsidR="00282AEC">
        <w:rPr>
          <w:szCs w:val="24"/>
        </w:rPr>
        <w:t xml:space="preserve"> </w:t>
      </w:r>
      <w:r w:rsidRPr="009F71D4" w:rsidR="00861A2C">
        <w:rPr>
          <w:szCs w:val="24"/>
        </w:rPr>
        <w:t xml:space="preserve"> Individuals must acknowledge receipt of a Privacy Act Notice.</w:t>
      </w:r>
    </w:p>
    <w:p w:rsidR="00D87FC9" w:rsidRPr="009F71D4" w:rsidP="009F71D4" w14:paraId="6FE73229" w14:textId="77777777">
      <w:pPr>
        <w:rPr>
          <w:kern w:val="28"/>
          <w:szCs w:val="24"/>
        </w:rPr>
      </w:pPr>
    </w:p>
    <w:p w:rsidR="0078272D" w:rsidRPr="009F71D4" w:rsidP="009F71D4" w14:paraId="27B8D0C6" w14:textId="52124335">
      <w:pPr>
        <w:ind w:left="1080"/>
        <w:rPr>
          <w:szCs w:val="24"/>
        </w:rPr>
      </w:pPr>
      <w:r w:rsidRPr="009F71D4">
        <w:rPr>
          <w:snapToGrid w:val="0"/>
          <w:kern w:val="28"/>
          <w:szCs w:val="24"/>
        </w:rPr>
        <w:t xml:space="preserve">The Bureau anticipates that a variety of stakeholders will file challenges and estimates that there will be at least one unique stakeholder for every participant/state combination, or 148 stakeholders.  The Bureau anticipates that </w:t>
      </w:r>
      <w:r w:rsidRPr="009F71D4" w:rsidR="0060546E">
        <w:rPr>
          <w:snapToGrid w:val="0"/>
          <w:kern w:val="28"/>
          <w:szCs w:val="24"/>
        </w:rPr>
        <w:t xml:space="preserve">50 </w:t>
      </w:r>
      <w:r w:rsidRPr="009F71D4">
        <w:rPr>
          <w:snapToGrid w:val="0"/>
          <w:kern w:val="28"/>
          <w:szCs w:val="24"/>
        </w:rPr>
        <w:t xml:space="preserve">percent </w:t>
      </w:r>
      <w:r w:rsidRPr="009F71D4" w:rsidR="00F4070F">
        <w:rPr>
          <w:snapToGrid w:val="0"/>
          <w:kern w:val="28"/>
          <w:szCs w:val="24"/>
        </w:rPr>
        <w:t>(</w:t>
      </w:r>
      <w:r w:rsidRPr="009F71D4" w:rsidR="0060546E">
        <w:rPr>
          <w:snapToGrid w:val="0"/>
          <w:kern w:val="28"/>
          <w:szCs w:val="24"/>
        </w:rPr>
        <w:t>74</w:t>
      </w:r>
      <w:r w:rsidRPr="009F71D4" w:rsidR="00F4070F">
        <w:rPr>
          <w:snapToGrid w:val="0"/>
          <w:kern w:val="28"/>
          <w:szCs w:val="24"/>
        </w:rPr>
        <w:t xml:space="preserve">) </w:t>
      </w:r>
      <w:r w:rsidRPr="009F71D4">
        <w:rPr>
          <w:snapToGrid w:val="0"/>
          <w:kern w:val="28"/>
          <w:szCs w:val="24"/>
        </w:rPr>
        <w:t xml:space="preserve">of all stakeholders will be </w:t>
      </w:r>
      <w:r w:rsidRPr="009F71D4" w:rsidR="00000E3A">
        <w:rPr>
          <w:snapToGrid w:val="0"/>
          <w:kern w:val="28"/>
          <w:szCs w:val="24"/>
        </w:rPr>
        <w:t>non-governmental entities and individuals</w:t>
      </w:r>
      <w:r w:rsidRPr="009F71D4">
        <w:rPr>
          <w:snapToGrid w:val="0"/>
          <w:kern w:val="28"/>
          <w:szCs w:val="24"/>
        </w:rPr>
        <w:t>.</w:t>
      </w:r>
      <w:r w:rsidRPr="009F71D4" w:rsidR="00F4070F">
        <w:rPr>
          <w:snapToGrid w:val="0"/>
          <w:kern w:val="28"/>
          <w:szCs w:val="24"/>
        </w:rPr>
        <w:t xml:space="preserve"> </w:t>
      </w:r>
      <w:r w:rsidRPr="009F71D4" w:rsidR="00B90628">
        <w:rPr>
          <w:snapToGrid w:val="0"/>
          <w:kern w:val="28"/>
          <w:szCs w:val="24"/>
        </w:rPr>
        <w:t xml:space="preserve"> </w:t>
      </w:r>
      <w:r w:rsidRPr="009F71D4" w:rsidR="00F4070F">
        <w:rPr>
          <w:snapToGrid w:val="0"/>
          <w:kern w:val="28"/>
          <w:szCs w:val="24"/>
        </w:rPr>
        <w:t xml:space="preserve">As noted below, pursuant to the Privacy Act of 1974, as amended, 5 U.S.C. § 552a, the Commission </w:t>
      </w:r>
      <w:r w:rsidRPr="009F71D4" w:rsidR="00600747">
        <w:rPr>
          <w:snapToGrid w:val="0"/>
          <w:kern w:val="28"/>
          <w:szCs w:val="24"/>
        </w:rPr>
        <w:t>will create</w:t>
      </w:r>
      <w:r w:rsidRPr="009F71D4" w:rsidR="00F4070F">
        <w:rPr>
          <w:snapToGrid w:val="0"/>
          <w:kern w:val="28"/>
          <w:szCs w:val="24"/>
        </w:rPr>
        <w:t xml:space="preserve"> a system of records notice (SORN)</w:t>
      </w:r>
      <w:r w:rsidRPr="009F71D4" w:rsidR="00600747">
        <w:rPr>
          <w:snapToGrid w:val="0"/>
          <w:kern w:val="28"/>
          <w:szCs w:val="24"/>
        </w:rPr>
        <w:t xml:space="preserve"> to cover any personal identifiable </w:t>
      </w:r>
      <w:r w:rsidRPr="009F71D4" w:rsidR="00D77EA2">
        <w:rPr>
          <w:snapToGrid w:val="0"/>
          <w:kern w:val="28"/>
          <w:szCs w:val="24"/>
        </w:rPr>
        <w:t>information</w:t>
      </w:r>
      <w:r w:rsidRPr="009F71D4" w:rsidR="00690D38">
        <w:rPr>
          <w:snapToGrid w:val="0"/>
          <w:kern w:val="28"/>
          <w:szCs w:val="24"/>
        </w:rPr>
        <w:t>.</w:t>
      </w:r>
    </w:p>
    <w:p w:rsidR="006149CA" w:rsidRPr="009F71D4" w:rsidP="009F71D4" w14:paraId="7D485A59" w14:textId="77777777">
      <w:pPr>
        <w:rPr>
          <w:szCs w:val="24"/>
        </w:rPr>
      </w:pPr>
    </w:p>
    <w:p w:rsidR="001D4277" w:rsidRPr="009F71D4" w:rsidP="009F71D4" w14:paraId="1A79BDE0" w14:textId="7EBF79E4">
      <w:pPr>
        <w:ind w:left="1080"/>
        <w:rPr>
          <w:szCs w:val="24"/>
        </w:rPr>
      </w:pPr>
      <w:r w:rsidRPr="009F71D4">
        <w:rPr>
          <w:szCs w:val="24"/>
        </w:rPr>
        <w:t xml:space="preserve">Once </w:t>
      </w:r>
      <w:r w:rsidRPr="009F71D4" w:rsidR="00690D38">
        <w:rPr>
          <w:szCs w:val="24"/>
        </w:rPr>
        <w:t>the stakeholder’s eligibility is verified</w:t>
      </w:r>
      <w:r w:rsidRPr="009F71D4">
        <w:rPr>
          <w:szCs w:val="24"/>
        </w:rPr>
        <w:t>, the third-party verifier will submit information to USAC</w:t>
      </w:r>
      <w:r w:rsidRPr="009F71D4" w:rsidR="00F34844">
        <w:rPr>
          <w:szCs w:val="24"/>
        </w:rPr>
        <w:t xml:space="preserve"> </w:t>
      </w:r>
      <w:r w:rsidRPr="009F71D4" w:rsidR="00690D38">
        <w:rPr>
          <w:szCs w:val="24"/>
        </w:rPr>
        <w:t>(</w:t>
      </w:r>
      <w:r w:rsidRPr="009F71D4" w:rsidR="00526351">
        <w:rPr>
          <w:szCs w:val="24"/>
        </w:rPr>
        <w:t xml:space="preserve">e.g., name, e-mail address, </w:t>
      </w:r>
      <w:r w:rsidRPr="009F71D4">
        <w:rPr>
          <w:szCs w:val="24"/>
        </w:rPr>
        <w:t>and confirmation</w:t>
      </w:r>
      <w:r w:rsidRPr="009F71D4" w:rsidR="00690D38">
        <w:rPr>
          <w:szCs w:val="24"/>
        </w:rPr>
        <w:t>)</w:t>
      </w:r>
      <w:r w:rsidRPr="009F71D4">
        <w:rPr>
          <w:szCs w:val="24"/>
        </w:rPr>
        <w:t xml:space="preserve"> on the stakeholder’s eligibility to participate in ELAP.</w:t>
      </w:r>
      <w:r w:rsidRPr="009F71D4" w:rsidR="00282AEC">
        <w:rPr>
          <w:szCs w:val="24"/>
        </w:rPr>
        <w:t xml:space="preserve">  In situations where the prospective stakeholder’s identity and/or eligibility cannot be verified through the commercial verifier, the stakeholder may submit to USAC alternative evidence, such as copies of public records or government-issued documentation.</w:t>
      </w:r>
    </w:p>
    <w:p w:rsidR="001D4277" w:rsidRPr="009F71D4" w:rsidP="009F71D4" w14:paraId="2E2AC176" w14:textId="77777777">
      <w:pPr>
        <w:ind w:left="1080"/>
        <w:rPr>
          <w:szCs w:val="24"/>
        </w:rPr>
      </w:pPr>
    </w:p>
    <w:p w:rsidR="0007284D" w:rsidRPr="009F71D4" w:rsidP="005815D2" w14:paraId="2C8A647F" w14:textId="6DC82F6C">
      <w:pPr>
        <w:pStyle w:val="ListParagraph"/>
        <w:numPr>
          <w:ilvl w:val="0"/>
          <w:numId w:val="24"/>
        </w:numPr>
        <w:rPr>
          <w:snapToGrid w:val="0"/>
          <w:kern w:val="28"/>
          <w:szCs w:val="24"/>
        </w:rPr>
      </w:pPr>
      <w:r w:rsidRPr="005815D2">
        <w:rPr>
          <w:szCs w:val="24"/>
          <w:u w:val="single"/>
        </w:rPr>
        <w:t xml:space="preserve">Collection of Location Information </w:t>
      </w:r>
      <w:r w:rsidRPr="009F71D4">
        <w:rPr>
          <w:szCs w:val="24"/>
          <w:u w:val="single"/>
        </w:rPr>
        <w:t>from</w:t>
      </w:r>
      <w:r w:rsidRPr="005815D2">
        <w:rPr>
          <w:szCs w:val="24"/>
          <w:u w:val="single"/>
        </w:rPr>
        <w:t xml:space="preserve"> Stakeholders</w:t>
      </w:r>
      <w:r w:rsidRPr="005815D2" w:rsidR="009338F6">
        <w:rPr>
          <w:szCs w:val="24"/>
          <w:u w:val="single"/>
        </w:rPr>
        <w:t xml:space="preserve"> (See 12.</w:t>
      </w:r>
      <w:r w:rsidRPr="005815D2" w:rsidR="001D55D5">
        <w:rPr>
          <w:szCs w:val="24"/>
          <w:u w:val="single"/>
        </w:rPr>
        <w:t>g</w:t>
      </w:r>
      <w:r w:rsidRPr="005815D2" w:rsidR="009338F6">
        <w:rPr>
          <w:szCs w:val="24"/>
          <w:u w:val="single"/>
        </w:rPr>
        <w:t>)</w:t>
      </w:r>
      <w:r w:rsidRPr="005815D2" w:rsidR="003A2F8D">
        <w:rPr>
          <w:szCs w:val="24"/>
          <w:u w:val="single"/>
        </w:rPr>
        <w:t>:</w:t>
      </w:r>
      <w:r w:rsidRPr="009F71D4">
        <w:rPr>
          <w:snapToGrid w:val="0"/>
          <w:kern w:val="28"/>
          <w:szCs w:val="24"/>
        </w:rPr>
        <w:t xml:space="preserve"> </w:t>
      </w:r>
    </w:p>
    <w:p w:rsidR="0007284D" w:rsidRPr="009F71D4" w:rsidP="009F71D4" w14:paraId="6C9EE38F" w14:textId="77777777">
      <w:pPr>
        <w:pStyle w:val="ListParagraph"/>
        <w:ind w:left="1080"/>
        <w:rPr>
          <w:snapToGrid w:val="0"/>
          <w:kern w:val="28"/>
          <w:szCs w:val="24"/>
        </w:rPr>
      </w:pPr>
    </w:p>
    <w:p w:rsidR="0007284D" w:rsidRPr="009F71D4" w:rsidP="009F71D4" w14:paraId="1B8B085E" w14:textId="20F5D92B">
      <w:pPr>
        <w:pStyle w:val="ListParagraph"/>
        <w:ind w:left="1080"/>
        <w:rPr>
          <w:snapToGrid w:val="0"/>
          <w:kern w:val="28"/>
          <w:szCs w:val="24"/>
        </w:rPr>
      </w:pPr>
      <w:r w:rsidRPr="009F71D4">
        <w:rPr>
          <w:snapToGrid w:val="0"/>
          <w:kern w:val="28"/>
          <w:szCs w:val="24"/>
        </w:rPr>
        <w:t xml:space="preserve">For each state where the stakeholder is challenging </w:t>
      </w:r>
      <w:r w:rsidRPr="009F71D4" w:rsidR="00987B42">
        <w:rPr>
          <w:snapToGrid w:val="0"/>
          <w:kern w:val="28"/>
          <w:szCs w:val="24"/>
        </w:rPr>
        <w:t xml:space="preserve">a </w:t>
      </w:r>
      <w:r w:rsidRPr="009F71D4">
        <w:rPr>
          <w:snapToGrid w:val="0"/>
          <w:kern w:val="28"/>
          <w:szCs w:val="24"/>
        </w:rPr>
        <w:t>participant</w:t>
      </w:r>
      <w:r w:rsidRPr="009F71D4" w:rsidR="00987B42">
        <w:rPr>
          <w:snapToGrid w:val="0"/>
          <w:kern w:val="28"/>
          <w:szCs w:val="24"/>
        </w:rPr>
        <w:t>’</w:t>
      </w:r>
      <w:r w:rsidRPr="009F71D4">
        <w:rPr>
          <w:snapToGrid w:val="0"/>
          <w:kern w:val="28"/>
          <w:szCs w:val="24"/>
        </w:rPr>
        <w:t xml:space="preserve">s filings, stakeholders may submit location information for eligible locations that they have identified as omitted from </w:t>
      </w:r>
      <w:r w:rsidRPr="009F71D4" w:rsidR="000E2480">
        <w:rPr>
          <w:snapToGrid w:val="0"/>
          <w:kern w:val="28"/>
          <w:szCs w:val="24"/>
        </w:rPr>
        <w:t>the relevant</w:t>
      </w:r>
      <w:r w:rsidRPr="009F71D4" w:rsidR="00301B53">
        <w:rPr>
          <w:snapToGrid w:val="0"/>
          <w:kern w:val="28"/>
          <w:szCs w:val="24"/>
        </w:rPr>
        <w:t xml:space="preserve"> </w:t>
      </w:r>
      <w:r w:rsidRPr="009F71D4">
        <w:rPr>
          <w:snapToGrid w:val="0"/>
          <w:kern w:val="28"/>
          <w:szCs w:val="24"/>
        </w:rPr>
        <w:t>participant</w:t>
      </w:r>
      <w:r w:rsidRPr="009F71D4" w:rsidR="00301B53">
        <w:rPr>
          <w:snapToGrid w:val="0"/>
          <w:kern w:val="28"/>
          <w:szCs w:val="24"/>
        </w:rPr>
        <w:t>’</w:t>
      </w:r>
      <w:r w:rsidRPr="009F71D4">
        <w:rPr>
          <w:snapToGrid w:val="0"/>
          <w:kern w:val="28"/>
          <w:szCs w:val="24"/>
        </w:rPr>
        <w:t xml:space="preserve">s location information.  The Bureau anticipates that a variety of stakeholders will file challenges and estimates that there will be 148 stakeholders. </w:t>
      </w:r>
    </w:p>
    <w:p w:rsidR="0007284D" w:rsidRPr="009F71D4" w:rsidP="009F71D4" w14:paraId="088C1FBF" w14:textId="02AA9FFC">
      <w:pPr>
        <w:pStyle w:val="ListParagraph"/>
        <w:ind w:left="1080"/>
        <w:rPr>
          <w:snapToGrid w:val="0"/>
          <w:kern w:val="28"/>
          <w:szCs w:val="24"/>
        </w:rPr>
      </w:pPr>
    </w:p>
    <w:p w:rsidR="0007284D" w:rsidRPr="009F71D4" w:rsidP="009F71D4" w14:paraId="78639E71" w14:textId="01290949">
      <w:pPr>
        <w:pStyle w:val="ListParagraph"/>
        <w:ind w:left="1080"/>
        <w:rPr>
          <w:snapToGrid w:val="0"/>
          <w:kern w:val="28"/>
          <w:szCs w:val="24"/>
        </w:rPr>
      </w:pPr>
      <w:r w:rsidRPr="009F71D4">
        <w:rPr>
          <w:snapToGrid w:val="0"/>
          <w:kern w:val="28"/>
          <w:szCs w:val="24"/>
        </w:rPr>
        <w:t xml:space="preserve">Stakeholders must submit </w:t>
      </w:r>
      <w:r w:rsidRPr="009F71D4" w:rsidR="0021089D">
        <w:rPr>
          <w:snapToGrid w:val="0"/>
          <w:kern w:val="28"/>
          <w:szCs w:val="24"/>
        </w:rPr>
        <w:t xml:space="preserve">eligible </w:t>
      </w:r>
      <w:r w:rsidRPr="009F71D4">
        <w:rPr>
          <w:snapToGrid w:val="0"/>
          <w:kern w:val="28"/>
          <w:szCs w:val="24"/>
        </w:rPr>
        <w:t>location information in a tabular format (e.g., a .csv file) into the HUBB</w:t>
      </w:r>
      <w:r w:rsidRPr="009F71D4" w:rsidR="00987B42">
        <w:rPr>
          <w:snapToGrid w:val="0"/>
          <w:kern w:val="28"/>
          <w:szCs w:val="24"/>
        </w:rPr>
        <w:t xml:space="preserve"> ELAP module</w:t>
      </w:r>
      <w:r w:rsidRPr="009F71D4">
        <w:rPr>
          <w:snapToGrid w:val="0"/>
          <w:kern w:val="28"/>
          <w:szCs w:val="24"/>
        </w:rPr>
        <w:t xml:space="preserve">.  </w:t>
      </w:r>
      <w:r w:rsidRPr="009F71D4" w:rsidR="00DC3FB8">
        <w:rPr>
          <w:snapToGrid w:val="0"/>
          <w:kern w:val="28"/>
          <w:szCs w:val="24"/>
        </w:rPr>
        <w:t xml:space="preserve">Separate .csv files must be prepared for </w:t>
      </w:r>
      <w:r w:rsidRPr="009F71D4" w:rsidR="00987B42">
        <w:rPr>
          <w:snapToGrid w:val="0"/>
          <w:kern w:val="28"/>
          <w:szCs w:val="24"/>
        </w:rPr>
        <w:t xml:space="preserve">each </w:t>
      </w:r>
      <w:r w:rsidRPr="009F71D4" w:rsidR="00DC3FB8">
        <w:rPr>
          <w:snapToGrid w:val="0"/>
          <w:kern w:val="28"/>
          <w:szCs w:val="24"/>
        </w:rPr>
        <w:t>qualifying location and prospective location.  For each location entry, the stakeholder must submit the following</w:t>
      </w:r>
      <w:r w:rsidRPr="009F71D4">
        <w:rPr>
          <w:snapToGrid w:val="0"/>
          <w:kern w:val="28"/>
          <w:szCs w:val="24"/>
        </w:rPr>
        <w:t xml:space="preserve"> information: </w:t>
      </w:r>
    </w:p>
    <w:p w:rsidR="0090624B" w:rsidRPr="009F71D4" w:rsidP="009F71D4" w14:paraId="51188524" w14:textId="77777777">
      <w:pPr>
        <w:numPr>
          <w:ilvl w:val="0"/>
          <w:numId w:val="20"/>
        </w:numPr>
        <w:ind w:left="1440"/>
        <w:rPr>
          <w:szCs w:val="24"/>
        </w:rPr>
      </w:pPr>
      <w:r w:rsidRPr="009F71D4">
        <w:rPr>
          <w:szCs w:val="24"/>
        </w:rPr>
        <w:t>Study Area Code(s)</w:t>
      </w:r>
    </w:p>
    <w:p w:rsidR="0090624B" w:rsidRPr="009F71D4" w:rsidP="009F71D4" w14:paraId="0028049F" w14:textId="77777777">
      <w:pPr>
        <w:numPr>
          <w:ilvl w:val="0"/>
          <w:numId w:val="20"/>
        </w:numPr>
        <w:ind w:left="1440"/>
        <w:rPr>
          <w:szCs w:val="24"/>
        </w:rPr>
      </w:pPr>
      <w:r w:rsidRPr="009F71D4">
        <w:rPr>
          <w:szCs w:val="24"/>
        </w:rPr>
        <w:t>State(s) for which the carrier is making the filing</w:t>
      </w:r>
    </w:p>
    <w:p w:rsidR="0090624B" w:rsidRPr="009F71D4" w:rsidP="009F71D4" w14:paraId="41DABC96" w14:textId="77777777">
      <w:pPr>
        <w:numPr>
          <w:ilvl w:val="0"/>
          <w:numId w:val="20"/>
        </w:numPr>
        <w:ind w:left="1440"/>
        <w:rPr>
          <w:szCs w:val="24"/>
        </w:rPr>
      </w:pPr>
      <w:r w:rsidRPr="009F71D4">
        <w:rPr>
          <w:szCs w:val="24"/>
        </w:rPr>
        <w:t>Latitude of the location (to 6 decimal places)</w:t>
      </w:r>
    </w:p>
    <w:p w:rsidR="0090624B" w:rsidRPr="009F71D4" w:rsidP="009F71D4" w14:paraId="1B410070" w14:textId="77777777">
      <w:pPr>
        <w:numPr>
          <w:ilvl w:val="0"/>
          <w:numId w:val="20"/>
        </w:numPr>
        <w:ind w:left="1440"/>
        <w:rPr>
          <w:szCs w:val="24"/>
        </w:rPr>
      </w:pPr>
      <w:r w:rsidRPr="009F71D4">
        <w:rPr>
          <w:szCs w:val="24"/>
        </w:rPr>
        <w:t>Longitude of Location (to 6 decimal places)</w:t>
      </w:r>
    </w:p>
    <w:p w:rsidR="0090624B" w:rsidRPr="009F71D4" w:rsidP="009F71D4" w14:paraId="5959CB7A" w14:textId="77777777">
      <w:pPr>
        <w:numPr>
          <w:ilvl w:val="0"/>
          <w:numId w:val="20"/>
        </w:numPr>
        <w:ind w:left="1440"/>
        <w:rPr>
          <w:szCs w:val="24"/>
        </w:rPr>
      </w:pPr>
      <w:r w:rsidRPr="009F71D4">
        <w:rPr>
          <w:szCs w:val="24"/>
        </w:rPr>
        <w:t>Address of location</w:t>
      </w:r>
    </w:p>
    <w:p w:rsidR="0090624B" w:rsidRPr="009F71D4" w:rsidP="009F71D4" w14:paraId="4511B6CD" w14:textId="77777777">
      <w:pPr>
        <w:numPr>
          <w:ilvl w:val="0"/>
          <w:numId w:val="20"/>
        </w:numPr>
        <w:ind w:left="1440"/>
        <w:rPr>
          <w:szCs w:val="24"/>
        </w:rPr>
      </w:pPr>
      <w:r w:rsidRPr="009F71D4">
        <w:rPr>
          <w:szCs w:val="24"/>
        </w:rPr>
        <w:t>Number of units at the location</w:t>
      </w:r>
    </w:p>
    <w:p w:rsidR="0090624B" w:rsidRPr="009F71D4" w:rsidP="009F71D4" w14:paraId="4B0BFC22" w14:textId="4D341166">
      <w:pPr>
        <w:numPr>
          <w:ilvl w:val="0"/>
          <w:numId w:val="20"/>
        </w:numPr>
        <w:ind w:left="1440"/>
        <w:rPr>
          <w:szCs w:val="24"/>
        </w:rPr>
      </w:pPr>
      <w:r w:rsidRPr="009F71D4">
        <w:rPr>
          <w:szCs w:val="24"/>
        </w:rPr>
        <w:t>Method information, e.g., GPS methods and/or source used and the “as-of” date of such method or source</w:t>
      </w:r>
    </w:p>
    <w:p w:rsidR="003B2C42" w:rsidRPr="009F71D4" w:rsidP="009F71D4" w14:paraId="618C44BA" w14:textId="6BAA8FC6">
      <w:pPr>
        <w:numPr>
          <w:ilvl w:val="0"/>
          <w:numId w:val="20"/>
        </w:numPr>
        <w:ind w:left="1440"/>
        <w:rPr>
          <w:szCs w:val="24"/>
        </w:rPr>
      </w:pPr>
      <w:r w:rsidRPr="009F71D4">
        <w:rPr>
          <w:szCs w:val="24"/>
        </w:rPr>
        <w:t>Location Type, i.e., qualifying location, prospective location, ineligible location</w:t>
      </w:r>
    </w:p>
    <w:p w:rsidR="003B2C42" w:rsidRPr="009F71D4" w:rsidP="009F71D4" w14:paraId="095A9A1E" w14:textId="1D660CFE">
      <w:pPr>
        <w:numPr>
          <w:ilvl w:val="0"/>
          <w:numId w:val="20"/>
        </w:numPr>
        <w:ind w:left="1440"/>
        <w:rPr>
          <w:szCs w:val="24"/>
        </w:rPr>
      </w:pPr>
      <w:r w:rsidRPr="009F71D4">
        <w:rPr>
          <w:szCs w:val="24"/>
        </w:rPr>
        <w:t>Ineligible Reason Code from Drop-Down List</w:t>
      </w:r>
    </w:p>
    <w:p w:rsidR="003B2C42" w:rsidRPr="009F71D4" w:rsidP="009F71D4" w14:paraId="2691CC11" w14:textId="793E52D4">
      <w:pPr>
        <w:numPr>
          <w:ilvl w:val="0"/>
          <w:numId w:val="20"/>
        </w:numPr>
        <w:ind w:left="1440"/>
        <w:rPr>
          <w:szCs w:val="24"/>
        </w:rPr>
      </w:pPr>
      <w:r w:rsidRPr="009F71D4">
        <w:rPr>
          <w:szCs w:val="24"/>
        </w:rPr>
        <w:t>Ineligible Reason Comment if Ineligible Reason Code is “Other”</w:t>
      </w:r>
    </w:p>
    <w:p w:rsidR="00676395" w:rsidRPr="009F71D4" w:rsidP="009F71D4" w14:paraId="32A95A97" w14:textId="6FB02FC2">
      <w:pPr>
        <w:ind w:left="1080"/>
        <w:rPr>
          <w:szCs w:val="24"/>
        </w:rPr>
      </w:pPr>
    </w:p>
    <w:p w:rsidR="00ED0D42" w:rsidRPr="009F71D4" w:rsidP="009F71D4" w14:paraId="4F761D07" w14:textId="33D035C7">
      <w:pPr>
        <w:ind w:left="1080"/>
        <w:rPr>
          <w:szCs w:val="24"/>
        </w:rPr>
      </w:pPr>
      <w:r w:rsidRPr="009F71D4">
        <w:rPr>
          <w:szCs w:val="24"/>
        </w:rPr>
        <w:t xml:space="preserve">In addition, </w:t>
      </w:r>
      <w:r w:rsidRPr="009F71D4" w:rsidR="00D43721">
        <w:rPr>
          <w:szCs w:val="24"/>
        </w:rPr>
        <w:t>stakeholders also must provide the following information: contact information for the person who prepared and submitted the data</w:t>
      </w:r>
      <w:r w:rsidRPr="009F71D4" w:rsidR="00B90628">
        <w:rPr>
          <w:szCs w:val="24"/>
        </w:rPr>
        <w:t xml:space="preserve"> and a certification that the information is true and corr</w:t>
      </w:r>
      <w:r w:rsidRPr="009F71D4" w:rsidR="008A18CB">
        <w:rPr>
          <w:szCs w:val="24"/>
        </w:rPr>
        <w:t>ect</w:t>
      </w:r>
      <w:r w:rsidRPr="009F71D4" w:rsidR="00B90628">
        <w:rPr>
          <w:szCs w:val="24"/>
        </w:rPr>
        <w:t xml:space="preserve">.  </w:t>
      </w:r>
      <w:r w:rsidRPr="009F71D4" w:rsidR="008A18CB">
        <w:rPr>
          <w:szCs w:val="24"/>
        </w:rPr>
        <w:t xml:space="preserve">If the stakeholder is an individual, the </w:t>
      </w:r>
      <w:r w:rsidRPr="009F71D4" w:rsidR="00C64263">
        <w:rPr>
          <w:szCs w:val="24"/>
        </w:rPr>
        <w:t xml:space="preserve">individual </w:t>
      </w:r>
      <w:r w:rsidRPr="009F71D4" w:rsidR="008A18CB">
        <w:rPr>
          <w:szCs w:val="24"/>
        </w:rPr>
        <w:t xml:space="preserve">must submit the certification.  If the </w:t>
      </w:r>
      <w:r w:rsidRPr="009F71D4" w:rsidR="00C64263">
        <w:rPr>
          <w:szCs w:val="24"/>
        </w:rPr>
        <w:t>stakeholder is</w:t>
      </w:r>
      <w:r w:rsidRPr="009F71D4" w:rsidR="008A18CB">
        <w:rPr>
          <w:szCs w:val="24"/>
        </w:rPr>
        <w:t xml:space="preserve"> a non-commercial entity or a governmental entity, the certification may be submitted by any representative authorized to act on behalf of the entity. </w:t>
      </w:r>
      <w:r w:rsidRPr="009F71D4" w:rsidR="00C64263">
        <w:rPr>
          <w:szCs w:val="24"/>
        </w:rPr>
        <w:t xml:space="preserve"> </w:t>
      </w:r>
      <w:r w:rsidRPr="009F71D4" w:rsidR="00D43721">
        <w:rPr>
          <w:szCs w:val="24"/>
        </w:rPr>
        <w:t xml:space="preserve">A </w:t>
      </w:r>
      <w:r w:rsidRPr="009F71D4" w:rsidR="008A18CB">
        <w:rPr>
          <w:szCs w:val="24"/>
        </w:rPr>
        <w:t xml:space="preserve">stakeholder </w:t>
      </w:r>
      <w:r w:rsidRPr="009F71D4" w:rsidR="00D43721">
        <w:rPr>
          <w:szCs w:val="24"/>
        </w:rPr>
        <w:t xml:space="preserve">may revise and recertify its filing until the filing deadline.   </w:t>
      </w:r>
    </w:p>
    <w:p w:rsidR="00D43721" w:rsidRPr="009F71D4" w:rsidP="009F71D4" w14:paraId="5D18C008" w14:textId="77777777">
      <w:pPr>
        <w:rPr>
          <w:szCs w:val="24"/>
        </w:rPr>
      </w:pPr>
    </w:p>
    <w:p w:rsidR="00ED0D42" w:rsidRPr="005815D2" w:rsidP="005815D2" w14:paraId="39860668" w14:textId="55ABE14B">
      <w:pPr>
        <w:pStyle w:val="ListParagraph"/>
        <w:numPr>
          <w:ilvl w:val="0"/>
          <w:numId w:val="24"/>
        </w:numPr>
        <w:rPr>
          <w:szCs w:val="24"/>
          <w:u w:val="single"/>
        </w:rPr>
      </w:pPr>
      <w:r w:rsidRPr="009F71D4">
        <w:rPr>
          <w:szCs w:val="24"/>
          <w:u w:val="single"/>
        </w:rPr>
        <w:t xml:space="preserve">Collection of </w:t>
      </w:r>
      <w:r w:rsidRPr="009F71D4" w:rsidR="00E15A24">
        <w:rPr>
          <w:szCs w:val="24"/>
          <w:u w:val="single"/>
        </w:rPr>
        <w:t>M</w:t>
      </w:r>
      <w:r w:rsidRPr="009F71D4">
        <w:rPr>
          <w:szCs w:val="24"/>
          <w:u w:val="single"/>
        </w:rPr>
        <w:t xml:space="preserve">ethods </w:t>
      </w:r>
      <w:r w:rsidRPr="009F71D4" w:rsidR="00E15A24">
        <w:rPr>
          <w:szCs w:val="24"/>
          <w:u w:val="single"/>
        </w:rPr>
        <w:t>D</w:t>
      </w:r>
      <w:r w:rsidRPr="009F71D4">
        <w:rPr>
          <w:szCs w:val="24"/>
          <w:u w:val="single"/>
        </w:rPr>
        <w:t xml:space="preserve">escription and </w:t>
      </w:r>
      <w:r w:rsidRPr="009F71D4" w:rsidR="00E15A24">
        <w:rPr>
          <w:szCs w:val="24"/>
          <w:u w:val="single"/>
        </w:rPr>
        <w:t>S</w:t>
      </w:r>
      <w:r w:rsidRPr="009F71D4">
        <w:rPr>
          <w:szCs w:val="24"/>
          <w:u w:val="single"/>
        </w:rPr>
        <w:t xml:space="preserve">upporting </w:t>
      </w:r>
      <w:r w:rsidRPr="009F71D4" w:rsidR="00E15A24">
        <w:rPr>
          <w:szCs w:val="24"/>
          <w:u w:val="single"/>
        </w:rPr>
        <w:t>E</w:t>
      </w:r>
      <w:r w:rsidRPr="009F71D4">
        <w:rPr>
          <w:szCs w:val="24"/>
          <w:u w:val="single"/>
        </w:rPr>
        <w:t xml:space="preserve">vidence from </w:t>
      </w:r>
      <w:r w:rsidRPr="009F71D4" w:rsidR="00E15A24">
        <w:rPr>
          <w:szCs w:val="24"/>
          <w:u w:val="single"/>
        </w:rPr>
        <w:t>S</w:t>
      </w:r>
      <w:r w:rsidRPr="009F71D4">
        <w:rPr>
          <w:szCs w:val="24"/>
          <w:u w:val="single"/>
        </w:rPr>
        <w:t>takeholders</w:t>
      </w:r>
      <w:r w:rsidRPr="009F71D4" w:rsidR="009D5187">
        <w:rPr>
          <w:szCs w:val="24"/>
          <w:u w:val="single"/>
        </w:rPr>
        <w:t xml:space="preserve"> (See 12.</w:t>
      </w:r>
      <w:r w:rsidRPr="009F71D4" w:rsidR="001D55D5">
        <w:rPr>
          <w:szCs w:val="24"/>
          <w:u w:val="single"/>
        </w:rPr>
        <w:t>h</w:t>
      </w:r>
      <w:r w:rsidRPr="009F71D4" w:rsidR="009D5187">
        <w:rPr>
          <w:szCs w:val="24"/>
          <w:u w:val="single"/>
        </w:rPr>
        <w:t>)</w:t>
      </w:r>
      <w:r w:rsidRPr="005815D2" w:rsidR="003A2F8D">
        <w:rPr>
          <w:szCs w:val="24"/>
          <w:u w:val="single"/>
        </w:rPr>
        <w:t>:</w:t>
      </w:r>
      <w:r w:rsidRPr="005815D2">
        <w:rPr>
          <w:szCs w:val="24"/>
          <w:u w:val="single"/>
        </w:rPr>
        <w:t xml:space="preserve"> </w:t>
      </w:r>
    </w:p>
    <w:p w:rsidR="00ED0D42" w:rsidRPr="009F71D4" w:rsidP="009F71D4" w14:paraId="65B0A4F6" w14:textId="77777777">
      <w:pPr>
        <w:ind w:left="1080"/>
        <w:rPr>
          <w:szCs w:val="24"/>
        </w:rPr>
      </w:pPr>
    </w:p>
    <w:p w:rsidR="00ED0D42" w:rsidRPr="009F71D4" w:rsidP="009F71D4" w14:paraId="44B561C2" w14:textId="1E55F92F">
      <w:pPr>
        <w:ind w:left="1080"/>
        <w:rPr>
          <w:szCs w:val="24"/>
        </w:rPr>
      </w:pPr>
      <w:r w:rsidRPr="009F71D4">
        <w:rPr>
          <w:snapToGrid w:val="0"/>
          <w:kern w:val="28"/>
          <w:szCs w:val="24"/>
        </w:rPr>
        <w:t>For each state where the stakeholder is challenging</w:t>
      </w:r>
      <w:r w:rsidRPr="009F71D4" w:rsidR="00B202C7">
        <w:rPr>
          <w:snapToGrid w:val="0"/>
          <w:kern w:val="28"/>
          <w:szCs w:val="24"/>
        </w:rPr>
        <w:t xml:space="preserve"> a</w:t>
      </w:r>
      <w:r w:rsidRPr="009F71D4">
        <w:rPr>
          <w:snapToGrid w:val="0"/>
          <w:kern w:val="28"/>
          <w:szCs w:val="24"/>
        </w:rPr>
        <w:t xml:space="preserve"> participant</w:t>
      </w:r>
      <w:r w:rsidRPr="009F71D4" w:rsidR="00B202C7">
        <w:rPr>
          <w:snapToGrid w:val="0"/>
          <w:kern w:val="28"/>
          <w:szCs w:val="24"/>
        </w:rPr>
        <w:t>’</w:t>
      </w:r>
      <w:r w:rsidRPr="009F71D4">
        <w:rPr>
          <w:snapToGrid w:val="0"/>
          <w:kern w:val="28"/>
          <w:szCs w:val="24"/>
        </w:rPr>
        <w:t xml:space="preserve">s filings, </w:t>
      </w:r>
      <w:r w:rsidRPr="009F71D4">
        <w:rPr>
          <w:szCs w:val="24"/>
        </w:rPr>
        <w:t>stakeholders must submit a description of how they identified</w:t>
      </w:r>
      <w:r w:rsidRPr="009F71D4" w:rsidR="0021089D">
        <w:rPr>
          <w:szCs w:val="24"/>
        </w:rPr>
        <w:t xml:space="preserve"> eligible</w:t>
      </w:r>
      <w:r w:rsidRPr="009F71D4">
        <w:rPr>
          <w:szCs w:val="24"/>
        </w:rPr>
        <w:t xml:space="preserve"> locations, including any limitations to their methods used, and must submit proof that the location data describes a</w:t>
      </w:r>
      <w:r w:rsidRPr="009F71D4" w:rsidR="0021089D">
        <w:rPr>
          <w:szCs w:val="24"/>
        </w:rPr>
        <w:t>n</w:t>
      </w:r>
      <w:r w:rsidRPr="009F71D4">
        <w:rPr>
          <w:szCs w:val="24"/>
        </w:rPr>
        <w:t xml:space="preserve"> </w:t>
      </w:r>
      <w:r w:rsidRPr="009F71D4" w:rsidR="00B90E33">
        <w:rPr>
          <w:szCs w:val="24"/>
        </w:rPr>
        <w:t>eligible location.</w:t>
      </w:r>
      <w:r w:rsidRPr="009F71D4">
        <w:rPr>
          <w:szCs w:val="24"/>
        </w:rPr>
        <w:t xml:space="preserve"> </w:t>
      </w:r>
    </w:p>
    <w:p w:rsidR="00BB023C" w:rsidRPr="009F71D4" w:rsidP="009F71D4" w14:paraId="57F948B9" w14:textId="77777777">
      <w:pPr>
        <w:ind w:left="1080"/>
        <w:rPr>
          <w:szCs w:val="24"/>
        </w:rPr>
      </w:pPr>
    </w:p>
    <w:p w:rsidR="00ED0D42" w:rsidRPr="009F71D4" w:rsidP="009F71D4" w14:paraId="7D743AFF" w14:textId="4A7E6977">
      <w:pPr>
        <w:ind w:left="1080"/>
        <w:rPr>
          <w:szCs w:val="24"/>
        </w:rPr>
      </w:pPr>
      <w:r w:rsidRPr="009F71D4">
        <w:rPr>
          <w:szCs w:val="24"/>
        </w:rPr>
        <w:t xml:space="preserve">We expect that there will be a variety of stakeholders responding to participants’ submissions.  Accordingly, the description of methodology may range from a simple explanation, such as might occur if a homeowner reports that his/her home has been omitted from the participant’s list of </w:t>
      </w:r>
      <w:r w:rsidRPr="009F71D4" w:rsidR="00B90E33">
        <w:rPr>
          <w:szCs w:val="24"/>
        </w:rPr>
        <w:t>eligib</w:t>
      </w:r>
      <w:r w:rsidRPr="009F71D4">
        <w:rPr>
          <w:szCs w:val="24"/>
        </w:rPr>
        <w:t>l</w:t>
      </w:r>
      <w:r w:rsidRPr="009F71D4" w:rsidR="00B90E33">
        <w:rPr>
          <w:szCs w:val="24"/>
        </w:rPr>
        <w:t>e l</w:t>
      </w:r>
      <w:r w:rsidRPr="009F71D4">
        <w:rPr>
          <w:szCs w:val="24"/>
        </w:rPr>
        <w:t xml:space="preserve">ocations, or a more in-depth explanation, such as might occur if a local government entity claims that several locations have been omitted from the participant’s list.  </w:t>
      </w:r>
    </w:p>
    <w:p w:rsidR="00ED0D42" w:rsidRPr="009F71D4" w:rsidP="009F71D4" w14:paraId="6F083B93" w14:textId="77777777">
      <w:pPr>
        <w:ind w:left="1080"/>
        <w:rPr>
          <w:szCs w:val="24"/>
        </w:rPr>
      </w:pPr>
    </w:p>
    <w:p w:rsidR="00ED0D42" w:rsidRPr="009F71D4" w:rsidP="009F71D4" w14:paraId="29E268D2" w14:textId="6FA72B51">
      <w:pPr>
        <w:ind w:left="1080"/>
        <w:rPr>
          <w:szCs w:val="24"/>
        </w:rPr>
      </w:pPr>
      <w:r w:rsidRPr="009F71D4">
        <w:rPr>
          <w:szCs w:val="24"/>
        </w:rPr>
        <w:t xml:space="preserve">Generally, the Bureau has determined that sets of geocoordinates 36 feet or more from another describe separate structures.  Accordingly, when </w:t>
      </w:r>
      <w:r w:rsidRPr="009F71D4" w:rsidR="0021089D">
        <w:rPr>
          <w:szCs w:val="24"/>
        </w:rPr>
        <w:t xml:space="preserve">a stakeholder-reported location </w:t>
      </w:r>
      <w:r w:rsidRPr="009F71D4">
        <w:rPr>
          <w:szCs w:val="24"/>
        </w:rPr>
        <w:t xml:space="preserve">falls within 36 feet of the geocoordinates reported by the participant (generally, an overlap in the first three decimal places of geocoordinates), the stakeholder must also explain why the location should be considered a separate and unique location from the location reported </w:t>
      </w:r>
      <w:r w:rsidRPr="009F71D4" w:rsidR="0021089D">
        <w:rPr>
          <w:szCs w:val="24"/>
        </w:rPr>
        <w:t xml:space="preserve">by the participant </w:t>
      </w:r>
      <w:r w:rsidRPr="009F71D4">
        <w:rPr>
          <w:szCs w:val="24"/>
        </w:rPr>
        <w:t>(e.g., the</w:t>
      </w:r>
      <w:r w:rsidRPr="009F71D4" w:rsidR="0021089D">
        <w:rPr>
          <w:szCs w:val="24"/>
        </w:rPr>
        <w:t xml:space="preserve"> stakeholder’s</w:t>
      </w:r>
      <w:r w:rsidRPr="009F71D4">
        <w:rPr>
          <w:szCs w:val="24"/>
        </w:rPr>
        <w:t xml:space="preserve"> location data describes a separate business or residential location or unit within the same property/parcel).  </w:t>
      </w:r>
    </w:p>
    <w:p w:rsidR="00ED0D42" w:rsidRPr="009F71D4" w:rsidP="009F71D4" w14:paraId="6DDC01D9" w14:textId="77777777">
      <w:pPr>
        <w:ind w:left="1080"/>
        <w:rPr>
          <w:szCs w:val="24"/>
        </w:rPr>
      </w:pPr>
    </w:p>
    <w:p w:rsidR="00ED0D42" w:rsidRPr="009F71D4" w:rsidP="009F71D4" w14:paraId="2C3FDF90" w14:textId="63453460">
      <w:pPr>
        <w:ind w:left="1080"/>
        <w:rPr>
          <w:szCs w:val="24"/>
        </w:rPr>
      </w:pPr>
      <w:r w:rsidRPr="009F71D4">
        <w:rPr>
          <w:szCs w:val="24"/>
        </w:rPr>
        <w:t xml:space="preserve">If a stakeholder reports </w:t>
      </w:r>
      <w:r w:rsidRPr="009F71D4" w:rsidR="009F09BC">
        <w:rPr>
          <w:szCs w:val="24"/>
        </w:rPr>
        <w:t xml:space="preserve">one or more </w:t>
      </w:r>
      <w:r w:rsidRPr="009F71D4">
        <w:rPr>
          <w:szCs w:val="24"/>
        </w:rPr>
        <w:t xml:space="preserve">prospective locations as </w:t>
      </w:r>
      <w:r w:rsidRPr="009F71D4" w:rsidR="009F09BC">
        <w:rPr>
          <w:szCs w:val="24"/>
        </w:rPr>
        <w:t xml:space="preserve">location(s) </w:t>
      </w:r>
      <w:r w:rsidRPr="009F71D4" w:rsidR="009F09BC">
        <w:rPr>
          <w:snapToGrid w:val="0"/>
          <w:kern w:val="28"/>
          <w:szCs w:val="24"/>
        </w:rPr>
        <w:t xml:space="preserve">omitted from </w:t>
      </w:r>
      <w:r w:rsidRPr="009F71D4" w:rsidR="000E2480">
        <w:rPr>
          <w:snapToGrid w:val="0"/>
          <w:kern w:val="28"/>
          <w:szCs w:val="24"/>
        </w:rPr>
        <w:t xml:space="preserve">the relevant </w:t>
      </w:r>
      <w:r w:rsidRPr="009F71D4" w:rsidR="009F09BC">
        <w:rPr>
          <w:snapToGrid w:val="0"/>
          <w:kern w:val="28"/>
          <w:szCs w:val="24"/>
        </w:rPr>
        <w:t>participant</w:t>
      </w:r>
      <w:r w:rsidRPr="009F71D4" w:rsidR="00301B53">
        <w:rPr>
          <w:snapToGrid w:val="0"/>
          <w:kern w:val="28"/>
          <w:szCs w:val="24"/>
        </w:rPr>
        <w:t>’</w:t>
      </w:r>
      <w:r w:rsidRPr="009F71D4" w:rsidR="009F09BC">
        <w:rPr>
          <w:snapToGrid w:val="0"/>
          <w:kern w:val="28"/>
          <w:szCs w:val="24"/>
        </w:rPr>
        <w:t>s location information</w:t>
      </w:r>
      <w:r w:rsidRPr="009F71D4">
        <w:rPr>
          <w:szCs w:val="24"/>
        </w:rPr>
        <w:t>, it must explain why such location</w:t>
      </w:r>
      <w:r w:rsidRPr="009F71D4" w:rsidR="009F09BC">
        <w:rPr>
          <w:szCs w:val="24"/>
        </w:rPr>
        <w:t>(s)</w:t>
      </w:r>
      <w:r w:rsidRPr="009F71D4">
        <w:rPr>
          <w:szCs w:val="24"/>
        </w:rPr>
        <w:t xml:space="preserve"> should be considered when determining participant</w:t>
      </w:r>
      <w:r w:rsidRPr="009F71D4" w:rsidR="00B202C7">
        <w:rPr>
          <w:szCs w:val="24"/>
        </w:rPr>
        <w:t>’</w:t>
      </w:r>
      <w:r w:rsidRPr="009F71D4">
        <w:rPr>
          <w:szCs w:val="24"/>
        </w:rPr>
        <w:t>s defined deployment obligations and submit some supporting evidence that the location</w:t>
      </w:r>
      <w:r w:rsidRPr="009F71D4" w:rsidR="009F09BC">
        <w:rPr>
          <w:szCs w:val="24"/>
        </w:rPr>
        <w:t>(s)</w:t>
      </w:r>
      <w:r w:rsidRPr="009F71D4">
        <w:rPr>
          <w:szCs w:val="24"/>
        </w:rPr>
        <w:t xml:space="preserve"> will become a qualifying location</w:t>
      </w:r>
      <w:r w:rsidRPr="009F71D4" w:rsidR="009F09BC">
        <w:rPr>
          <w:szCs w:val="24"/>
        </w:rPr>
        <w:t>(s)</w:t>
      </w:r>
      <w:r w:rsidRPr="009F71D4">
        <w:rPr>
          <w:szCs w:val="24"/>
        </w:rPr>
        <w:t xml:space="preserve"> within the </w:t>
      </w:r>
      <w:r w:rsidRPr="009F71D4" w:rsidR="00DC4980">
        <w:rPr>
          <w:szCs w:val="24"/>
        </w:rPr>
        <w:t>participant’s</w:t>
      </w:r>
      <w:r w:rsidRPr="009F71D4">
        <w:rPr>
          <w:szCs w:val="24"/>
        </w:rPr>
        <w:t xml:space="preserve"> build-out period.  Stakeholders may include factual arguments demonstrating why their methodology produces location information more complete or accurate than that of the participant but are not required to do so.  </w:t>
      </w:r>
    </w:p>
    <w:p w:rsidR="00ED0D42" w:rsidRPr="009F71D4" w:rsidP="009F71D4" w14:paraId="2970695C" w14:textId="77777777">
      <w:pPr>
        <w:ind w:left="1080"/>
        <w:rPr>
          <w:szCs w:val="24"/>
        </w:rPr>
      </w:pPr>
    </w:p>
    <w:p w:rsidR="006C0A45" w:rsidRPr="009F71D4" w:rsidP="009F71D4" w14:paraId="23170F12" w14:textId="3DEED775">
      <w:pPr>
        <w:ind w:left="1080"/>
        <w:rPr>
          <w:szCs w:val="24"/>
        </w:rPr>
      </w:pPr>
      <w:r w:rsidRPr="009F71D4">
        <w:rPr>
          <w:szCs w:val="24"/>
        </w:rPr>
        <w:t xml:space="preserve">The stakeholder must </w:t>
      </w:r>
      <w:r w:rsidRPr="009F71D4" w:rsidR="00BF2B88">
        <w:rPr>
          <w:szCs w:val="24"/>
        </w:rPr>
        <w:t xml:space="preserve">submit contact information for the person who prepared the information (if different from the contact information for the party submitting the location information).  In addition, the stakeholder must submit a </w:t>
      </w:r>
      <w:r w:rsidRPr="009F71D4">
        <w:rPr>
          <w:szCs w:val="24"/>
        </w:rPr>
        <w:t xml:space="preserve">certification that the information is true and correct, a certification that the stakeholder is eligible to participate in the process, and the certifying individual’s official </w:t>
      </w:r>
      <w:r w:rsidRPr="009F71D4" w:rsidR="00F52419">
        <w:rPr>
          <w:szCs w:val="24"/>
        </w:rPr>
        <w:t xml:space="preserve">title and/or </w:t>
      </w:r>
      <w:r w:rsidRPr="009F71D4">
        <w:rPr>
          <w:szCs w:val="24"/>
        </w:rPr>
        <w:t xml:space="preserve">contact information (if different from the stakeholder’s contact information).  A stakeholder may revise and recertify its filing until the filing deadline.  </w:t>
      </w:r>
    </w:p>
    <w:p w:rsidR="00E23DDD" w:rsidRPr="009F71D4" w:rsidP="009F71D4" w14:paraId="111A2C32" w14:textId="77777777">
      <w:pPr>
        <w:ind w:left="360"/>
        <w:rPr>
          <w:szCs w:val="24"/>
        </w:rPr>
      </w:pPr>
    </w:p>
    <w:p w:rsidR="00E23DDD" w:rsidRPr="009F71D4" w:rsidP="009F71D4" w14:paraId="2AB88F0B" w14:textId="0ECC7BD9">
      <w:pPr>
        <w:ind w:left="1080"/>
        <w:rPr>
          <w:szCs w:val="24"/>
        </w:rPr>
      </w:pPr>
      <w:r w:rsidRPr="009F71D4">
        <w:rPr>
          <w:szCs w:val="24"/>
        </w:rPr>
        <w:t xml:space="preserve">On behalf of the Commission, USAC will gather certain limited information verifying the identity of stakeholders (e.g., name and contact information) and their interests in ensuring service to the relevant area as well as certain information about locations that the stakeholder asserts are eligible locations which may include information linking an individual to certain property and commercial interests.  The collection of such information is regulated by </w:t>
      </w:r>
      <w:bookmarkStart w:id="3" w:name="_Hlk34220271"/>
      <w:r w:rsidRPr="009F71D4">
        <w:rPr>
          <w:szCs w:val="24"/>
        </w:rPr>
        <w:t>the Privacy Act of 1974, as amended (5 U.S.C. §</w:t>
      </w:r>
      <w:r w:rsidRPr="009F71D4" w:rsidR="00FD2A58">
        <w:rPr>
          <w:szCs w:val="24"/>
        </w:rPr>
        <w:t> </w:t>
      </w:r>
      <w:r w:rsidRPr="009F71D4">
        <w:rPr>
          <w:szCs w:val="24"/>
        </w:rPr>
        <w:t>552a)</w:t>
      </w:r>
      <w:r w:rsidRPr="009F71D4" w:rsidR="0072107C">
        <w:rPr>
          <w:szCs w:val="24"/>
        </w:rPr>
        <w:t xml:space="preserve"> and </w:t>
      </w:r>
      <w:r w:rsidRPr="009F71D4" w:rsidR="00142233">
        <w:rPr>
          <w:szCs w:val="24"/>
        </w:rPr>
        <w:t>will be covered by a</w:t>
      </w:r>
      <w:r w:rsidRPr="009F71D4" w:rsidR="0072107C">
        <w:rPr>
          <w:szCs w:val="24"/>
        </w:rPr>
        <w:t xml:space="preserve"> SORN</w:t>
      </w:r>
      <w:r w:rsidRPr="009F71D4">
        <w:rPr>
          <w:szCs w:val="24"/>
        </w:rPr>
        <w:t xml:space="preserve">.  </w:t>
      </w:r>
      <w:bookmarkEnd w:id="3"/>
    </w:p>
    <w:p w:rsidR="008D7014" w:rsidRPr="009F71D4" w:rsidP="009F71D4" w14:paraId="0E6960E5" w14:textId="1DF5AAC5">
      <w:pPr>
        <w:rPr>
          <w:szCs w:val="24"/>
        </w:rPr>
      </w:pPr>
    </w:p>
    <w:p w:rsidR="00FD02D4" w:rsidRPr="005815D2" w:rsidP="005815D2" w14:paraId="3822724E" w14:textId="122B1B2A">
      <w:pPr>
        <w:pStyle w:val="ListParagraph"/>
        <w:numPr>
          <w:ilvl w:val="0"/>
          <w:numId w:val="24"/>
        </w:numPr>
        <w:rPr>
          <w:szCs w:val="24"/>
          <w:u w:val="single"/>
        </w:rPr>
      </w:pPr>
      <w:r w:rsidRPr="009F71D4">
        <w:rPr>
          <w:szCs w:val="24"/>
          <w:u w:val="single"/>
        </w:rPr>
        <w:t>Collection of Reply</w:t>
      </w:r>
      <w:r w:rsidRPr="009F71D4" w:rsidR="00B202C7">
        <w:rPr>
          <w:szCs w:val="24"/>
          <w:u w:val="single"/>
        </w:rPr>
        <w:t xml:space="preserve"> Information</w:t>
      </w:r>
      <w:r w:rsidRPr="009F71D4">
        <w:rPr>
          <w:szCs w:val="24"/>
          <w:u w:val="single"/>
        </w:rPr>
        <w:t xml:space="preserve"> from Participants</w:t>
      </w:r>
      <w:r w:rsidRPr="009F71D4" w:rsidR="009D5187">
        <w:rPr>
          <w:szCs w:val="24"/>
          <w:u w:val="single"/>
        </w:rPr>
        <w:t xml:space="preserve"> (See 12.</w:t>
      </w:r>
      <w:r w:rsidRPr="009F71D4" w:rsidR="001D55D5">
        <w:rPr>
          <w:szCs w:val="24"/>
          <w:u w:val="single"/>
        </w:rPr>
        <w:t>i</w:t>
      </w:r>
      <w:r w:rsidRPr="009F71D4" w:rsidR="009D5187">
        <w:rPr>
          <w:szCs w:val="24"/>
          <w:u w:val="single"/>
        </w:rPr>
        <w:t>)</w:t>
      </w:r>
      <w:r w:rsidRPr="005815D2" w:rsidR="003A2F8D">
        <w:rPr>
          <w:szCs w:val="24"/>
          <w:u w:val="single"/>
        </w:rPr>
        <w:t>:</w:t>
      </w:r>
    </w:p>
    <w:p w:rsidR="006C0A45" w:rsidRPr="009F71D4" w:rsidP="009F71D4" w14:paraId="02E5880B" w14:textId="77777777">
      <w:pPr>
        <w:rPr>
          <w:szCs w:val="24"/>
        </w:rPr>
      </w:pPr>
    </w:p>
    <w:p w:rsidR="00FD02D4" w:rsidRPr="009F71D4" w:rsidP="009F71D4" w14:paraId="51D342B5" w14:textId="0EF90946">
      <w:pPr>
        <w:pStyle w:val="ListParagraph"/>
        <w:ind w:left="1080"/>
        <w:rPr>
          <w:szCs w:val="24"/>
        </w:rPr>
      </w:pPr>
      <w:r w:rsidRPr="009F71D4">
        <w:rPr>
          <w:szCs w:val="24"/>
        </w:rPr>
        <w:t xml:space="preserve">Participants may submit a reply responding to relevant stakeholder challenge(s).  This reply may include additional location information, methods description, and/or supporting evidence and may also include arguments challenging the methods or evidence of the stakeholder.  The reply must be limited to information in stakeholder challenge(s).  </w:t>
      </w:r>
      <w:r w:rsidRPr="009F71D4" w:rsidR="00423511">
        <w:rPr>
          <w:szCs w:val="24"/>
        </w:rPr>
        <w:br/>
      </w:r>
    </w:p>
    <w:p w:rsidR="009C3E84" w:rsidRPr="009F71D4" w:rsidP="005815D2" w14:paraId="4072557C" w14:textId="742F056E">
      <w:pPr>
        <w:ind w:left="1080"/>
        <w:rPr>
          <w:szCs w:val="24"/>
        </w:rPr>
      </w:pPr>
      <w:r w:rsidRPr="009F71D4">
        <w:rPr>
          <w:szCs w:val="24"/>
        </w:rPr>
        <w:t xml:space="preserve">A participant must </w:t>
      </w:r>
      <w:r w:rsidRPr="009F71D4" w:rsidR="00BF2B88">
        <w:rPr>
          <w:szCs w:val="24"/>
        </w:rPr>
        <w:t xml:space="preserve">submit contact information for the person who prepared and submitted the reply, </w:t>
      </w:r>
      <w:r w:rsidRPr="009F71D4">
        <w:rPr>
          <w:szCs w:val="24"/>
        </w:rPr>
        <w:t>certify that its submission is true and accurate</w:t>
      </w:r>
      <w:r w:rsidRPr="009F71D4" w:rsidR="00F52419">
        <w:rPr>
          <w:szCs w:val="24"/>
        </w:rPr>
        <w:t>,</w:t>
      </w:r>
      <w:r w:rsidRPr="009F71D4">
        <w:rPr>
          <w:szCs w:val="24"/>
        </w:rPr>
        <w:t xml:space="preserve"> and may revise and recertify its filing until the filing deadline.</w:t>
      </w:r>
      <w:r w:rsidRPr="009F71D4">
        <w:rPr>
          <w:b/>
          <w:szCs w:val="24"/>
        </w:rPr>
        <w:t xml:space="preserve">  </w:t>
      </w:r>
    </w:p>
    <w:p w:rsidR="003A0A96" w:rsidRPr="009F71D4" w:rsidP="009F71D4" w14:paraId="45DFF849" w14:textId="77777777">
      <w:pPr>
        <w:ind w:left="720"/>
        <w:rPr>
          <w:szCs w:val="24"/>
        </w:rPr>
      </w:pPr>
    </w:p>
    <w:p w:rsidR="00325894" w:rsidP="009F71D4" w14:paraId="23D520A3" w14:textId="6E2A721F">
      <w:pPr>
        <w:ind w:left="360"/>
        <w:rPr>
          <w:szCs w:val="24"/>
        </w:rPr>
      </w:pPr>
      <w:r w:rsidRPr="009F71D4">
        <w:rPr>
          <w:szCs w:val="24"/>
        </w:rPr>
        <w:t>Statutory authority for this information collection is contained in 47 U.S.C. §</w:t>
      </w:r>
      <w:r w:rsidRPr="009F71D4" w:rsidR="002B1315">
        <w:rPr>
          <w:szCs w:val="24"/>
        </w:rPr>
        <w:t>§</w:t>
      </w:r>
      <w:r w:rsidRPr="009F71D4">
        <w:rPr>
          <w:szCs w:val="24"/>
        </w:rPr>
        <w:t xml:space="preserve"> 151</w:t>
      </w:r>
      <w:r w:rsidRPr="009F71D4" w:rsidR="007B564F">
        <w:rPr>
          <w:szCs w:val="24"/>
        </w:rPr>
        <w:t xml:space="preserve">, </w:t>
      </w:r>
      <w:r w:rsidRPr="009F71D4">
        <w:rPr>
          <w:szCs w:val="24"/>
        </w:rPr>
        <w:t>154</w:t>
      </w:r>
      <w:r w:rsidRPr="009F71D4" w:rsidR="007B564F">
        <w:rPr>
          <w:szCs w:val="24"/>
        </w:rPr>
        <w:t>(i)</w:t>
      </w:r>
      <w:r w:rsidRPr="009F71D4">
        <w:rPr>
          <w:szCs w:val="24"/>
        </w:rPr>
        <w:t>,</w:t>
      </w:r>
      <w:r w:rsidRPr="009F71D4" w:rsidR="007B564F">
        <w:rPr>
          <w:szCs w:val="24"/>
        </w:rPr>
        <w:t xml:space="preserve"> </w:t>
      </w:r>
      <w:r w:rsidRPr="009F71D4" w:rsidR="002B1315">
        <w:rPr>
          <w:szCs w:val="24"/>
        </w:rPr>
        <w:t>155(c), 214, and</w:t>
      </w:r>
      <w:r w:rsidRPr="009F71D4">
        <w:rPr>
          <w:szCs w:val="24"/>
        </w:rPr>
        <w:t xml:space="preserve"> 254.</w:t>
      </w:r>
    </w:p>
    <w:p w:rsidR="00BE1C96" w:rsidP="009F71D4" w14:paraId="1A8434D5" w14:textId="77777777">
      <w:pPr>
        <w:ind w:left="360"/>
        <w:rPr>
          <w:szCs w:val="24"/>
        </w:rPr>
      </w:pPr>
    </w:p>
    <w:p w:rsidR="00BE1C96" w:rsidRPr="009F71D4" w:rsidP="00D46ACE" w14:paraId="371456CD" w14:textId="45688B4C">
      <w:pPr>
        <w:ind w:left="360"/>
        <w:rPr>
          <w:szCs w:val="24"/>
        </w:rPr>
      </w:pPr>
      <w:r w:rsidRPr="00D46ACE">
        <w:rPr>
          <w:szCs w:val="24"/>
        </w:rPr>
        <w:t xml:space="preserve">This information collection does not affect individuals or households; thus, there are no impacts under the Privacy Act.  </w:t>
      </w:r>
    </w:p>
    <w:p w:rsidR="00FE2719" w:rsidRPr="009F71D4" w:rsidP="009F71D4" w14:paraId="450234AA" w14:textId="4746AEF9">
      <w:pPr>
        <w:rPr>
          <w:szCs w:val="24"/>
        </w:rPr>
      </w:pPr>
    </w:p>
    <w:p w:rsidR="00007449" w:rsidRPr="009F71D4" w:rsidP="009F71D4" w14:paraId="28E46CC6" w14:textId="6D6905DF">
      <w:pPr>
        <w:pStyle w:val="ListParagraph"/>
        <w:numPr>
          <w:ilvl w:val="0"/>
          <w:numId w:val="1"/>
        </w:numPr>
        <w:rPr>
          <w:szCs w:val="24"/>
        </w:rPr>
      </w:pPr>
      <w:r w:rsidRPr="009F71D4">
        <w:rPr>
          <w:i/>
          <w:szCs w:val="24"/>
        </w:rPr>
        <w:t>Use of Information</w:t>
      </w:r>
      <w:r w:rsidRPr="009F71D4" w:rsidR="00F25779">
        <w:rPr>
          <w:szCs w:val="24"/>
        </w:rPr>
        <w:t>.</w:t>
      </w:r>
      <w:r w:rsidRPr="009F71D4">
        <w:rPr>
          <w:szCs w:val="24"/>
        </w:rPr>
        <w:t xml:space="preserve">  </w:t>
      </w:r>
      <w:r w:rsidRPr="009F71D4" w:rsidR="002B1315">
        <w:rPr>
          <w:szCs w:val="24"/>
        </w:rPr>
        <w:t xml:space="preserve">For the information collection requirements for Revised A-CAM I and A-CAM II carriers, the Commission will use the information to identify which carriers </w:t>
      </w:r>
      <w:r w:rsidRPr="009F71D4" w:rsidR="001D4FE6">
        <w:rPr>
          <w:szCs w:val="24"/>
        </w:rPr>
        <w:t xml:space="preserve">have reviewed the relevant version of the Fabric, have determined there are fewer locations in their service area than originally estimated by the A-CAM, and that would like </w:t>
      </w:r>
      <w:r w:rsidRPr="009F71D4">
        <w:rPr>
          <w:szCs w:val="24"/>
        </w:rPr>
        <w:t>to participate in the location adjustment process.</w:t>
      </w:r>
    </w:p>
    <w:p w:rsidR="00007449" w:rsidRPr="009F71D4" w:rsidP="009F71D4" w14:paraId="25F261E0" w14:textId="77777777">
      <w:pPr>
        <w:rPr>
          <w:szCs w:val="24"/>
        </w:rPr>
      </w:pPr>
    </w:p>
    <w:p w:rsidR="00EA1048" w:rsidRPr="009F71D4" w:rsidP="009F71D4" w14:paraId="00AB31E8" w14:textId="6B844B13">
      <w:pPr>
        <w:ind w:left="829"/>
        <w:rPr>
          <w:szCs w:val="24"/>
        </w:rPr>
      </w:pPr>
      <w:r w:rsidRPr="009F71D4">
        <w:rPr>
          <w:szCs w:val="24"/>
        </w:rPr>
        <w:t xml:space="preserve">For the information collection requirements for RDOF, the Commission will use the information to </w:t>
      </w:r>
      <w:r w:rsidRPr="009F71D4" w:rsidR="00114C47">
        <w:rPr>
          <w:szCs w:val="24"/>
        </w:rPr>
        <w:t xml:space="preserve">identify which carriers with more locations than estimated by the CAM would like to </w:t>
      </w:r>
      <w:r w:rsidRPr="009F71D4" w:rsidR="00AB551A">
        <w:rPr>
          <w:szCs w:val="24"/>
        </w:rPr>
        <w:t xml:space="preserve">exclude locations from their location total because they are unreasonable to serve.  </w:t>
      </w:r>
      <w:r w:rsidRPr="009F71D4" w:rsidR="00E373F6">
        <w:rPr>
          <w:szCs w:val="24"/>
        </w:rPr>
        <w:t xml:space="preserve">The Commission will also use the certification that is collected as part of this process to require the carrier to certify that it will serve at a minimum the number of </w:t>
      </w:r>
      <w:r w:rsidRPr="009F71D4" w:rsidR="00E373F6">
        <w:rPr>
          <w:szCs w:val="24"/>
        </w:rPr>
        <w:t xml:space="preserve">locations estimate by the CAM given the Commission’s direction that </w:t>
      </w:r>
      <w:r w:rsidRPr="009F71D4" w:rsidR="006C0DCE">
        <w:rPr>
          <w:szCs w:val="24"/>
        </w:rPr>
        <w:t xml:space="preserve">carriers can seek to exclude </w:t>
      </w:r>
      <w:r w:rsidRPr="009F71D4" w:rsidR="00AE14E3">
        <w:rPr>
          <w:szCs w:val="24"/>
        </w:rPr>
        <w:t xml:space="preserve">additional locations beyond the number identified by the CAM.  Additionally, the Commission will review the evidence submitted and make a determination regarding whether a location can be excluded from a carrier’s location requirement because it is unreasonable to serve. </w:t>
      </w:r>
    </w:p>
    <w:p w:rsidR="00EA1048" w:rsidRPr="009F71D4" w:rsidP="009F71D4" w14:paraId="42A64415" w14:textId="77777777">
      <w:pPr>
        <w:pStyle w:val="ListParagraph"/>
        <w:rPr>
          <w:szCs w:val="24"/>
        </w:rPr>
      </w:pPr>
    </w:p>
    <w:p w:rsidR="00046B2C" w:rsidRPr="009F71D4" w:rsidP="009F71D4" w14:paraId="7F8EB94F" w14:textId="3466A671">
      <w:pPr>
        <w:pStyle w:val="ListParagraph"/>
        <w:numPr>
          <w:ilvl w:val="0"/>
          <w:numId w:val="1"/>
        </w:numPr>
        <w:rPr>
          <w:szCs w:val="24"/>
        </w:rPr>
      </w:pPr>
      <w:r w:rsidRPr="009F71D4">
        <w:rPr>
          <w:bCs/>
          <w:i/>
          <w:szCs w:val="24"/>
        </w:rPr>
        <w:t>Technology collection techniques</w:t>
      </w:r>
      <w:r w:rsidRPr="009F71D4" w:rsidR="00F25779">
        <w:rPr>
          <w:bCs/>
          <w:szCs w:val="24"/>
        </w:rPr>
        <w:t>.</w:t>
      </w:r>
      <w:r w:rsidRPr="009F71D4">
        <w:rPr>
          <w:bCs/>
          <w:szCs w:val="24"/>
        </w:rPr>
        <w:t xml:space="preserve"> </w:t>
      </w:r>
      <w:r w:rsidRPr="009F71D4" w:rsidR="00320DF4">
        <w:rPr>
          <w:bCs/>
          <w:szCs w:val="24"/>
        </w:rPr>
        <w:t xml:space="preserve"> </w:t>
      </w:r>
      <w:r w:rsidRPr="009F71D4" w:rsidR="00B57532">
        <w:rPr>
          <w:bCs/>
          <w:szCs w:val="24"/>
        </w:rPr>
        <w:t xml:space="preserve">Revised A-CAM I and A-CAM II carriers will submit their </w:t>
      </w:r>
      <w:r w:rsidRPr="009F71D4" w:rsidR="00827A85">
        <w:rPr>
          <w:bCs/>
          <w:szCs w:val="24"/>
        </w:rPr>
        <w:t>requests</w:t>
      </w:r>
      <w:r w:rsidR="009C1881">
        <w:rPr>
          <w:bCs/>
          <w:szCs w:val="24"/>
        </w:rPr>
        <w:t xml:space="preserve"> </w:t>
      </w:r>
      <w:r w:rsidR="00892993">
        <w:rPr>
          <w:bCs/>
          <w:szCs w:val="24"/>
        </w:rPr>
        <w:t>electronically</w:t>
      </w:r>
      <w:r w:rsidRPr="009F71D4" w:rsidR="00827A85">
        <w:rPr>
          <w:bCs/>
          <w:szCs w:val="24"/>
        </w:rPr>
        <w:t xml:space="preserve"> for a downward adjustment in the Commission’s ECFS in WC Docket No. 10-90.  RDOF carriers will submit their requests to remove locations that are unreasonable to serve </w:t>
      </w:r>
      <w:r w:rsidRPr="009F71D4" w:rsidR="00184DC9">
        <w:rPr>
          <w:bCs/>
          <w:szCs w:val="24"/>
        </w:rPr>
        <w:t xml:space="preserve">using a data collection system set up by USAC at the direction of WCB. </w:t>
      </w:r>
      <w:r w:rsidRPr="009F71D4">
        <w:rPr>
          <w:bCs/>
          <w:szCs w:val="24"/>
        </w:rPr>
        <w:t xml:space="preserve"> </w:t>
      </w:r>
    </w:p>
    <w:p w:rsidR="00046B2C" w:rsidRPr="009F71D4" w:rsidP="009F71D4" w14:paraId="216815A5" w14:textId="77777777">
      <w:pPr>
        <w:pStyle w:val="ListParagraph"/>
        <w:rPr>
          <w:szCs w:val="24"/>
        </w:rPr>
      </w:pPr>
    </w:p>
    <w:p w:rsidR="00046B2C" w:rsidRPr="009F71D4" w:rsidP="009F71D4" w14:paraId="31131DDB" w14:textId="32E19C7E">
      <w:pPr>
        <w:pStyle w:val="ListParagraph"/>
        <w:numPr>
          <w:ilvl w:val="0"/>
          <w:numId w:val="1"/>
        </w:numPr>
        <w:rPr>
          <w:szCs w:val="24"/>
        </w:rPr>
      </w:pPr>
      <w:r w:rsidRPr="009F71D4">
        <w:rPr>
          <w:bCs/>
          <w:i/>
          <w:szCs w:val="24"/>
        </w:rPr>
        <w:t>Efforts to Identify Duplication</w:t>
      </w:r>
      <w:r w:rsidRPr="009F71D4" w:rsidR="00F25779">
        <w:rPr>
          <w:bCs/>
          <w:szCs w:val="24"/>
        </w:rPr>
        <w:t>.</w:t>
      </w:r>
      <w:r w:rsidRPr="009F71D4">
        <w:rPr>
          <w:bCs/>
          <w:szCs w:val="24"/>
        </w:rPr>
        <w:t xml:space="preserve">  </w:t>
      </w:r>
      <w:r w:rsidRPr="00A84B6F" w:rsidR="00A84B6F">
        <w:rPr>
          <w:bCs/>
          <w:szCs w:val="24"/>
        </w:rPr>
        <w:t>There will be no duplication of information. The information sought is unique to each carrier or respondent and similar information is not already available.</w:t>
      </w:r>
    </w:p>
    <w:p w:rsidR="00046B2C" w:rsidRPr="009F71D4" w:rsidP="009F71D4" w14:paraId="456D15E7" w14:textId="77777777">
      <w:pPr>
        <w:pStyle w:val="ListParagraph"/>
        <w:rPr>
          <w:szCs w:val="24"/>
        </w:rPr>
      </w:pPr>
    </w:p>
    <w:p w:rsidR="00C403A4" w:rsidRPr="009F71D4" w:rsidP="009F71D4" w14:paraId="04EE135E" w14:textId="5B46D35C">
      <w:pPr>
        <w:pStyle w:val="ListParagraph"/>
        <w:numPr>
          <w:ilvl w:val="0"/>
          <w:numId w:val="1"/>
        </w:numPr>
        <w:rPr>
          <w:szCs w:val="24"/>
        </w:rPr>
      </w:pPr>
      <w:r w:rsidRPr="009F71D4">
        <w:rPr>
          <w:bCs/>
          <w:i/>
          <w:szCs w:val="24"/>
        </w:rPr>
        <w:t>Impact on Small Entities</w:t>
      </w:r>
      <w:r w:rsidRPr="009F71D4" w:rsidR="00F25779">
        <w:rPr>
          <w:bCs/>
          <w:szCs w:val="24"/>
        </w:rPr>
        <w:t>.</w:t>
      </w:r>
      <w:r w:rsidRPr="009F71D4">
        <w:rPr>
          <w:bCs/>
          <w:szCs w:val="24"/>
        </w:rPr>
        <w:t xml:space="preserve">  </w:t>
      </w:r>
      <w:r w:rsidRPr="009F71D4">
        <w:rPr>
          <w:szCs w:val="24"/>
        </w:rPr>
        <w:t xml:space="preserve">The collection of information may affect small entities as well as large entities.  </w:t>
      </w:r>
      <w:r w:rsidRPr="009F71D4" w:rsidR="00775AD7">
        <w:rPr>
          <w:szCs w:val="24"/>
        </w:rPr>
        <w:t xml:space="preserve">The </w:t>
      </w:r>
      <w:r w:rsidRPr="009F71D4">
        <w:rPr>
          <w:szCs w:val="24"/>
        </w:rPr>
        <w:t>process</w:t>
      </w:r>
      <w:r w:rsidRPr="009F71D4" w:rsidR="00712505">
        <w:rPr>
          <w:szCs w:val="24"/>
        </w:rPr>
        <w:t>es</w:t>
      </w:r>
      <w:r w:rsidRPr="009F71D4">
        <w:rPr>
          <w:szCs w:val="24"/>
        </w:rPr>
        <w:t xml:space="preserve"> has been designed to limit the burden as much as possible on small entities</w:t>
      </w:r>
      <w:r w:rsidRPr="009F71D4" w:rsidR="00775AD7">
        <w:rPr>
          <w:szCs w:val="24"/>
        </w:rPr>
        <w:t xml:space="preserve">.  </w:t>
      </w:r>
    </w:p>
    <w:p w:rsidR="00C403A4" w:rsidRPr="009F71D4" w:rsidP="009F71D4" w14:paraId="3C69A576" w14:textId="77777777">
      <w:pPr>
        <w:pStyle w:val="ListParagraph"/>
        <w:rPr>
          <w:szCs w:val="24"/>
        </w:rPr>
      </w:pPr>
    </w:p>
    <w:p w:rsidR="00E53352" w:rsidRPr="009F71D4" w:rsidP="009F71D4" w14:paraId="049AB8CB" w14:textId="47275F17">
      <w:pPr>
        <w:pStyle w:val="ListParagraph"/>
        <w:numPr>
          <w:ilvl w:val="0"/>
          <w:numId w:val="1"/>
        </w:numPr>
        <w:rPr>
          <w:szCs w:val="24"/>
        </w:rPr>
      </w:pPr>
      <w:r w:rsidRPr="009F71D4">
        <w:rPr>
          <w:bCs/>
          <w:i/>
          <w:szCs w:val="24"/>
        </w:rPr>
        <w:t>Consequences if information is not collected</w:t>
      </w:r>
      <w:r w:rsidRPr="009F71D4">
        <w:rPr>
          <w:bCs/>
          <w:szCs w:val="24"/>
        </w:rPr>
        <w:t xml:space="preserve">.  </w:t>
      </w:r>
      <w:r w:rsidRPr="009F71D4" w:rsidR="00AF016E">
        <w:rPr>
          <w:bCs/>
          <w:szCs w:val="24"/>
        </w:rPr>
        <w:t xml:space="preserve">The </w:t>
      </w:r>
      <w:r w:rsidRPr="009F71D4" w:rsidR="009173E6">
        <w:rPr>
          <w:bCs/>
          <w:szCs w:val="24"/>
        </w:rPr>
        <w:t xml:space="preserve">Revised </w:t>
      </w:r>
      <w:r w:rsidRPr="009F71D4" w:rsidR="00AF016E">
        <w:rPr>
          <w:bCs/>
          <w:szCs w:val="24"/>
        </w:rPr>
        <w:t xml:space="preserve">A-CAM I and A-CAM II </w:t>
      </w:r>
      <w:r w:rsidRPr="009F71D4" w:rsidR="00B72DC0">
        <w:rPr>
          <w:bCs/>
          <w:szCs w:val="24"/>
        </w:rPr>
        <w:t xml:space="preserve">location adjustment process is voluntary.  However, </w:t>
      </w:r>
      <w:r w:rsidRPr="009F71D4" w:rsidR="00B72DC0">
        <w:rPr>
          <w:szCs w:val="24"/>
        </w:rPr>
        <w:t>if an entity does not</w:t>
      </w:r>
      <w:r w:rsidRPr="009F71D4" w:rsidR="0026453E">
        <w:rPr>
          <w:szCs w:val="24"/>
        </w:rPr>
        <w:t xml:space="preserve"> participate </w:t>
      </w:r>
      <w:r w:rsidRPr="009F71D4" w:rsidR="00721D1C">
        <w:rPr>
          <w:szCs w:val="24"/>
        </w:rPr>
        <w:t xml:space="preserve">and </w:t>
      </w:r>
      <w:r w:rsidRPr="009F71D4" w:rsidR="00436AC3">
        <w:rPr>
          <w:szCs w:val="24"/>
        </w:rPr>
        <w:t>is not able to meet its defined deployment obligation at the end of its build</w:t>
      </w:r>
      <w:r w:rsidR="00892993">
        <w:rPr>
          <w:szCs w:val="24"/>
        </w:rPr>
        <w:t>-</w:t>
      </w:r>
      <w:r w:rsidRPr="009F71D4" w:rsidR="00436AC3">
        <w:rPr>
          <w:szCs w:val="24"/>
        </w:rPr>
        <w:t xml:space="preserve">out term because it has been unable to identify the requisite number of </w:t>
      </w:r>
      <w:r w:rsidRPr="009F71D4" w:rsidR="005006C1">
        <w:rPr>
          <w:szCs w:val="24"/>
        </w:rPr>
        <w:t>required</w:t>
      </w:r>
      <w:r w:rsidRPr="009F71D4" w:rsidR="00436AC3">
        <w:rPr>
          <w:szCs w:val="24"/>
        </w:rPr>
        <w:t xml:space="preserve"> locations</w:t>
      </w:r>
      <w:r w:rsidRPr="009F71D4" w:rsidR="005006C1">
        <w:rPr>
          <w:szCs w:val="24"/>
        </w:rPr>
        <w:t xml:space="preserve"> to serve</w:t>
      </w:r>
      <w:r w:rsidRPr="009F71D4" w:rsidR="00436AC3">
        <w:rPr>
          <w:szCs w:val="24"/>
        </w:rPr>
        <w:t>, it will be held in default of its obligations and subject to the recover</w:t>
      </w:r>
      <w:r w:rsidRPr="009F71D4" w:rsidR="0021089D">
        <w:rPr>
          <w:szCs w:val="24"/>
        </w:rPr>
        <w:t>y</w:t>
      </w:r>
      <w:r w:rsidRPr="009F71D4" w:rsidR="00436AC3">
        <w:rPr>
          <w:szCs w:val="24"/>
        </w:rPr>
        <w:t xml:space="preserve"> of support and potential </w:t>
      </w:r>
      <w:r w:rsidRPr="009F71D4" w:rsidR="007A1873">
        <w:rPr>
          <w:szCs w:val="24"/>
        </w:rPr>
        <w:t>non-compliance measures</w:t>
      </w:r>
      <w:r w:rsidRPr="009F71D4" w:rsidR="00D13B09">
        <w:rPr>
          <w:szCs w:val="24"/>
        </w:rPr>
        <w:t xml:space="preserve">. </w:t>
      </w:r>
      <w:r w:rsidRPr="009F71D4" w:rsidR="00436AC3">
        <w:rPr>
          <w:szCs w:val="24"/>
        </w:rPr>
        <w:t xml:space="preserve"> </w:t>
      </w:r>
      <w:r w:rsidRPr="009F71D4" w:rsidR="00225EB5">
        <w:rPr>
          <w:szCs w:val="24"/>
        </w:rPr>
        <w:t>47 CFR § 54.320(c) &amp; (d)</w:t>
      </w:r>
      <w:r w:rsidRPr="009F71D4" w:rsidR="00DC1A65">
        <w:rPr>
          <w:szCs w:val="24"/>
        </w:rPr>
        <w:t>.</w:t>
      </w:r>
      <w:r w:rsidRPr="009F71D4" w:rsidR="005006C1">
        <w:rPr>
          <w:szCs w:val="24"/>
        </w:rPr>
        <w:t xml:space="preserve">  Similarly, the RDOF unreasonable location process is also voluntary.  However, if a carrier does not participate or provide the required information</w:t>
      </w:r>
      <w:r w:rsidRPr="009F71D4" w:rsidR="00225EB5">
        <w:rPr>
          <w:szCs w:val="24"/>
        </w:rPr>
        <w:t xml:space="preserve"> to demonstrate a location is unreasonable to serve</w:t>
      </w:r>
      <w:r w:rsidRPr="009F71D4" w:rsidR="005006C1">
        <w:rPr>
          <w:szCs w:val="24"/>
        </w:rPr>
        <w:t xml:space="preserve">, </w:t>
      </w:r>
      <w:r w:rsidRPr="009F71D4" w:rsidR="00A3095C">
        <w:rPr>
          <w:szCs w:val="24"/>
        </w:rPr>
        <w:t>the</w:t>
      </w:r>
      <w:r w:rsidRPr="009F71D4" w:rsidR="005006C1">
        <w:rPr>
          <w:szCs w:val="24"/>
        </w:rPr>
        <w:t xml:space="preserve"> </w:t>
      </w:r>
      <w:r w:rsidRPr="009F71D4" w:rsidR="00A94E53">
        <w:rPr>
          <w:szCs w:val="24"/>
        </w:rPr>
        <w:t>carrier will be subject to an</w:t>
      </w:r>
      <w:r w:rsidRPr="009F71D4" w:rsidR="00AE47B6">
        <w:rPr>
          <w:szCs w:val="24"/>
        </w:rPr>
        <w:t>y</w:t>
      </w:r>
      <w:r w:rsidRPr="009F71D4" w:rsidR="00A94E53">
        <w:rPr>
          <w:szCs w:val="24"/>
        </w:rPr>
        <w:t xml:space="preserve"> non-compliance measures, including support recovery, for failing to serve </w:t>
      </w:r>
      <w:r w:rsidRPr="009F71D4" w:rsidR="00A3095C">
        <w:rPr>
          <w:szCs w:val="24"/>
        </w:rPr>
        <w:t xml:space="preserve">these locations. </w:t>
      </w:r>
      <w:r w:rsidRPr="009F71D4" w:rsidR="00225EB5">
        <w:rPr>
          <w:szCs w:val="24"/>
        </w:rPr>
        <w:t xml:space="preserve"> 47 CFR §§ 54.320(d)</w:t>
      </w:r>
      <w:r w:rsidRPr="009F71D4" w:rsidR="00D9412D">
        <w:rPr>
          <w:szCs w:val="24"/>
        </w:rPr>
        <w:t xml:space="preserve"> </w:t>
      </w:r>
      <w:r w:rsidRPr="009F71D4" w:rsidR="00225EB5">
        <w:rPr>
          <w:szCs w:val="24"/>
        </w:rPr>
        <w:t>&amp;</w:t>
      </w:r>
      <w:r w:rsidRPr="009F71D4" w:rsidR="00D9412D">
        <w:rPr>
          <w:szCs w:val="24"/>
        </w:rPr>
        <w:t xml:space="preserve"> </w:t>
      </w:r>
      <w:r w:rsidRPr="009F71D4" w:rsidR="00225EB5">
        <w:rPr>
          <w:szCs w:val="24"/>
        </w:rPr>
        <w:t>(c), 54.806(</w:t>
      </w:r>
      <w:r w:rsidRPr="009F71D4" w:rsidR="00D9412D">
        <w:rPr>
          <w:szCs w:val="24"/>
        </w:rPr>
        <w:t>b) &amp; (c).</w:t>
      </w:r>
    </w:p>
    <w:p w:rsidR="0011348D" w:rsidRPr="009F71D4" w:rsidP="009F71D4" w14:paraId="503EA596" w14:textId="6E310C2A">
      <w:pPr>
        <w:rPr>
          <w:szCs w:val="24"/>
        </w:rPr>
      </w:pPr>
    </w:p>
    <w:p w:rsidR="00E53352" w:rsidRPr="009F71D4" w:rsidP="009F71D4" w14:paraId="3EB00083" w14:textId="77777777">
      <w:pPr>
        <w:pStyle w:val="ListParagraph"/>
        <w:numPr>
          <w:ilvl w:val="0"/>
          <w:numId w:val="1"/>
        </w:numPr>
        <w:rPr>
          <w:szCs w:val="24"/>
        </w:rPr>
      </w:pPr>
      <w:r w:rsidRPr="009F71D4">
        <w:rPr>
          <w:bCs/>
          <w:i/>
          <w:szCs w:val="24"/>
        </w:rPr>
        <w:t>Special Circumstance</w:t>
      </w:r>
      <w:r w:rsidRPr="009F71D4">
        <w:rPr>
          <w:bCs/>
          <w:szCs w:val="24"/>
        </w:rPr>
        <w:t xml:space="preserve">.  We do not foresee any special circumstances with this information collection.  </w:t>
      </w:r>
    </w:p>
    <w:p w:rsidR="00E53352" w:rsidRPr="009F71D4" w:rsidP="009F71D4" w14:paraId="01108759" w14:textId="77777777">
      <w:pPr>
        <w:pStyle w:val="ListParagraph"/>
        <w:rPr>
          <w:szCs w:val="24"/>
        </w:rPr>
      </w:pPr>
    </w:p>
    <w:p w:rsidR="00B2571D" w:rsidRPr="00B2571D" w:rsidP="00B2571D" w14:paraId="52703C82" w14:textId="547F19DE">
      <w:pPr>
        <w:pStyle w:val="ListParagraph"/>
        <w:numPr>
          <w:ilvl w:val="0"/>
          <w:numId w:val="1"/>
        </w:numPr>
        <w:rPr>
          <w:szCs w:val="24"/>
        </w:rPr>
      </w:pPr>
      <w:r w:rsidRPr="005D728E">
        <w:rPr>
          <w:bCs/>
          <w:i/>
          <w:szCs w:val="24"/>
        </w:rPr>
        <w:t>Federal Register notice</w:t>
      </w:r>
      <w:r w:rsidRPr="005D728E">
        <w:rPr>
          <w:i/>
          <w:szCs w:val="24"/>
        </w:rPr>
        <w:t xml:space="preserve">; efforts to consult with persons outside the Commission.  </w:t>
      </w:r>
      <w:r w:rsidRPr="005952B4">
        <w:t xml:space="preserve">A 60-day notice was published in the Federal Register pursuant to 5 C.F.R. § 1320.8(d) on November 21, 2025.  </w:t>
      </w:r>
      <w:r w:rsidRPr="00643AAF" w:rsidR="00B96A67">
        <w:rPr>
          <w:i/>
          <w:iCs/>
        </w:rPr>
        <w:t>See</w:t>
      </w:r>
      <w:r w:rsidR="00B96A67">
        <w:t xml:space="preserve"> 90 FR 52661.  </w:t>
      </w:r>
      <w:r w:rsidRPr="005952B4">
        <w:t xml:space="preserve">We received one comment in response to this notice.  </w:t>
      </w:r>
      <w:r w:rsidRPr="00B2571D">
        <w:rPr>
          <w:i/>
          <w:iCs/>
        </w:rPr>
        <w:t>See</w:t>
      </w:r>
      <w:r w:rsidRPr="005952B4">
        <w:t xml:space="preserve"> Volt Broadband, LLC on Proposed Information Collection Requirements, OMB Control No. 3060-1279 (Connect America Fund- Alternative Connect America Cost Model (A-CAM) Voluntary Location Adjustment Process and Rural Digital Opportunity Fund (RDOF) Unreasonable Locations Process) (filed Jan. 20, 2026) (Volt Comments).  Volt “seeks clarification on the criteria used in evaluating [F]</w:t>
      </w:r>
      <w:r w:rsidRPr="005952B4">
        <w:t>abric</w:t>
      </w:r>
      <w:r w:rsidRPr="005952B4">
        <w:t xml:space="preserve"> challenges and permissible types of supporting documentation.”  </w:t>
      </w:r>
    </w:p>
    <w:p w:rsidR="00B2571D" w:rsidP="00B2571D" w14:paraId="538239D4" w14:textId="77777777"/>
    <w:p w:rsidR="00B2571D" w:rsidRPr="005952B4" w:rsidP="00B2571D" w14:paraId="36CE2D0E" w14:textId="7B67ADC4">
      <w:pPr>
        <w:ind w:left="829"/>
      </w:pPr>
      <w:r w:rsidRPr="005952B4">
        <w:t xml:space="preserve">In the </w:t>
      </w:r>
      <w:r w:rsidRPr="00F905FE">
        <w:rPr>
          <w:i/>
          <w:iCs/>
        </w:rPr>
        <w:t>RDOF Order</w:t>
      </w:r>
      <w:r w:rsidRPr="005952B4">
        <w:t>, the Commission held that RDOF carriers with more locations in their service area than originally estimated could seek to have their new location count adjusted to exclude additional locations beyond the original estimate that it determines before the end of the eighth year service milestone are</w:t>
      </w:r>
      <w:r>
        <w:t xml:space="preserve">: </w:t>
      </w:r>
      <w:r w:rsidRPr="005952B4">
        <w:t xml:space="preserve"> 1) ineligible, 2) unreasonable to deploy to, or 3) part of a development newly built after year six for which the cost and/or time to deploy before the end of the support term would be reasonable.  </w:t>
      </w:r>
      <w:r w:rsidRPr="005952B4">
        <w:rPr>
          <w:i/>
          <w:iCs/>
          <w:color w:val="000000"/>
        </w:rPr>
        <w:t>See RDOF Order</w:t>
      </w:r>
    </w:p>
    <w:p w:rsidR="00B2571D" w:rsidP="00B2571D" w14:paraId="7566F722" w14:textId="77777777"/>
    <w:p w:rsidR="00B2571D" w:rsidRPr="005952B4" w:rsidP="00B2571D" w14:paraId="1EA34628" w14:textId="2B7CFF9D">
      <w:pPr>
        <w:ind w:left="829"/>
      </w:pPr>
      <w:r w:rsidRPr="005952B4">
        <w:t xml:space="preserve">To demonstrate a location is ineligible, the Bureau </w:t>
      </w:r>
      <w:r w:rsidRPr="4448A513">
        <w:t xml:space="preserve">stated that </w:t>
      </w:r>
      <w:r>
        <w:t>RDOF carriers</w:t>
      </w:r>
      <w:r w:rsidRPr="4448A513">
        <w:t xml:space="preserve"> </w:t>
      </w:r>
      <w:r w:rsidRPr="005952B4">
        <w:t>“must first successfully challenge the location through the [Broadband Data Collection’s] Fabric challenge process.”  Separately, for locations that the RDOF carrier claims are unreasonable to serve, the Bureau</w:t>
      </w:r>
      <w:r>
        <w:t xml:space="preserve"> adopted a process for carriers to demonstrate that the locations are unreasonable to serve and</w:t>
      </w:r>
      <w:r w:rsidRPr="005952B4">
        <w:t xml:space="preserve"> set forth some factors that it indicated it would consider, but declined to adopt specific criteria or presumptions, finding that “each RDOF carrier will be uniquely situated” and “it would be best to examine each situation on a case-by-case basis.”   </w:t>
      </w:r>
      <w:r w:rsidRPr="3D6D1D0C">
        <w:rPr>
          <w:i/>
          <w:iCs/>
          <w:color w:val="000000" w:themeColor="text1"/>
        </w:rPr>
        <w:t>See High-Cost Fabric Order.</w:t>
      </w:r>
    </w:p>
    <w:p w:rsidR="00B2571D" w:rsidP="00B2571D" w14:paraId="5A78EF9D" w14:textId="77777777"/>
    <w:p w:rsidR="00B2571D" w:rsidRPr="005952B4" w:rsidP="00B2571D" w14:paraId="78C73EB9" w14:textId="6E7F8BA6">
      <w:pPr>
        <w:ind w:left="829"/>
      </w:pPr>
      <w:r w:rsidRPr="005952B4">
        <w:t>The Bureau is seeking P</w:t>
      </w:r>
      <w:r w:rsidR="006056AD">
        <w:t>aperwork Reduction Act</w:t>
      </w:r>
      <w:r w:rsidRPr="005952B4">
        <w:t xml:space="preserve"> approval for the process that </w:t>
      </w:r>
      <w:r>
        <w:t xml:space="preserve">it </w:t>
      </w:r>
      <w:r w:rsidRPr="005952B4">
        <w:t xml:space="preserve">will </w:t>
      </w:r>
      <w:r>
        <w:t xml:space="preserve">use to </w:t>
      </w:r>
      <w:r w:rsidRPr="005952B4">
        <w:t>determine whether a location is unreasonable to serve</w:t>
      </w:r>
      <w:r>
        <w:t>.  It is not seeking PRA approval for the</w:t>
      </w:r>
      <w:r w:rsidRPr="005952B4">
        <w:t xml:space="preserve"> </w:t>
      </w:r>
      <w:r>
        <w:t>Fabric challenge process that carriers were instructed to utilize to demonstrate that</w:t>
      </w:r>
      <w:r w:rsidRPr="005952B4">
        <w:t xml:space="preserve"> a location is ineligible.  Volt appears to be conflating the two processes as its comments are focused on concerns with the Fabric challenge process.  </w:t>
      </w:r>
    </w:p>
    <w:p w:rsidR="00B2571D" w:rsidP="00B2571D" w14:paraId="73F2C62E" w14:textId="77777777"/>
    <w:p w:rsidR="00B2571D" w:rsidP="003B314E" w14:paraId="0EBE4961" w14:textId="64F3B1A4">
      <w:pPr>
        <w:ind w:left="829"/>
      </w:pPr>
      <w:r>
        <w:t>The Paperwork Reduction Act does not apply to t</w:t>
      </w:r>
      <w:r w:rsidRPr="6E77A88F">
        <w:t xml:space="preserve">he Fabric </w:t>
      </w:r>
      <w:r>
        <w:t>challenge process, as part of the processes required by the Broadband Deployment Accuracy and T</w:t>
      </w:r>
      <w:r w:rsidRPr="4448A513">
        <w:t>ec</w:t>
      </w:r>
      <w:r>
        <w:t>h</w:t>
      </w:r>
      <w:r w:rsidRPr="4448A513">
        <w:t>nological</w:t>
      </w:r>
      <w:r>
        <w:t xml:space="preserve"> Availability Act (Broadband DATA Act), pursuant to 47 U.S.C. § 646(b).  As such, challenge process questions are beyond the scope of this response.</w:t>
      </w:r>
    </w:p>
    <w:p w:rsidR="005D728E" w:rsidRPr="005D728E" w:rsidP="005D728E" w14:paraId="4E3C35D6" w14:textId="77777777">
      <w:pPr>
        <w:pStyle w:val="ListParagraph"/>
        <w:ind w:left="829"/>
        <w:rPr>
          <w:szCs w:val="24"/>
        </w:rPr>
      </w:pPr>
    </w:p>
    <w:p w:rsidR="00C53134" w:rsidRPr="009F71D4" w:rsidP="009F71D4" w14:paraId="2BFD7087" w14:textId="77777777">
      <w:pPr>
        <w:pStyle w:val="ListParagraph"/>
        <w:numPr>
          <w:ilvl w:val="0"/>
          <w:numId w:val="1"/>
        </w:numPr>
        <w:rPr>
          <w:szCs w:val="24"/>
        </w:rPr>
      </w:pPr>
      <w:r w:rsidRPr="009F71D4">
        <w:rPr>
          <w:i/>
          <w:szCs w:val="24"/>
        </w:rPr>
        <w:t>Payments or gifts to respondents</w:t>
      </w:r>
      <w:r w:rsidRPr="009F71D4">
        <w:rPr>
          <w:szCs w:val="24"/>
        </w:rPr>
        <w:t>.  The Commission does not anticipate providing any payment or gifts to respondents.</w:t>
      </w:r>
    </w:p>
    <w:p w:rsidR="00C53134" w:rsidRPr="009F71D4" w:rsidP="009F71D4" w14:paraId="34D2C542" w14:textId="77777777">
      <w:pPr>
        <w:pStyle w:val="ListParagraph"/>
        <w:rPr>
          <w:szCs w:val="24"/>
        </w:rPr>
      </w:pPr>
    </w:p>
    <w:p w:rsidR="0011348D" w:rsidRPr="009F71D4" w:rsidP="009F71D4" w14:paraId="6EB98E24" w14:textId="2D92F9F8">
      <w:pPr>
        <w:pStyle w:val="ListParagraph"/>
        <w:numPr>
          <w:ilvl w:val="0"/>
          <w:numId w:val="1"/>
        </w:numPr>
        <w:rPr>
          <w:szCs w:val="24"/>
        </w:rPr>
      </w:pPr>
      <w:r w:rsidRPr="009F71D4">
        <w:rPr>
          <w:i/>
          <w:szCs w:val="24"/>
        </w:rPr>
        <w:t>Assurances of confidentialit</w:t>
      </w:r>
      <w:r w:rsidRPr="009F71D4" w:rsidR="007B3D6C">
        <w:rPr>
          <w:i/>
          <w:szCs w:val="24"/>
        </w:rPr>
        <w:t>y.</w:t>
      </w:r>
      <w:r w:rsidRPr="009F71D4" w:rsidR="0020529A">
        <w:rPr>
          <w:i/>
          <w:szCs w:val="24"/>
        </w:rPr>
        <w:t xml:space="preserve">  </w:t>
      </w:r>
      <w:bookmarkStart w:id="4" w:name="_Hlk37241913"/>
      <w:r w:rsidR="00AF539B">
        <w:rPr>
          <w:iCs/>
          <w:szCs w:val="24"/>
        </w:rPr>
        <w:t>There are no assurances of confidentiality.</w:t>
      </w:r>
      <w:r w:rsidRPr="009F71D4" w:rsidR="0020506D">
        <w:rPr>
          <w:iCs/>
          <w:szCs w:val="24"/>
        </w:rPr>
        <w:t xml:space="preserve">  </w:t>
      </w:r>
      <w:r w:rsidRPr="009F71D4" w:rsidR="003F134C">
        <w:rPr>
          <w:iCs/>
          <w:szCs w:val="24"/>
        </w:rPr>
        <w:t xml:space="preserve">If </w:t>
      </w:r>
      <w:r w:rsidRPr="009F71D4" w:rsidR="0020506D">
        <w:rPr>
          <w:iCs/>
          <w:szCs w:val="24"/>
        </w:rPr>
        <w:t xml:space="preserve">a </w:t>
      </w:r>
      <w:r w:rsidR="000770C4">
        <w:rPr>
          <w:iCs/>
          <w:szCs w:val="24"/>
        </w:rPr>
        <w:t>respondent</w:t>
      </w:r>
      <w:r w:rsidRPr="009F71D4" w:rsidR="0020506D">
        <w:rPr>
          <w:iCs/>
          <w:szCs w:val="24"/>
        </w:rPr>
        <w:t xml:space="preserve"> is submitting</w:t>
      </w:r>
      <w:r w:rsidRPr="009F71D4" w:rsidR="003F134C">
        <w:rPr>
          <w:iCs/>
          <w:szCs w:val="24"/>
        </w:rPr>
        <w:t xml:space="preserve"> information </w:t>
      </w:r>
      <w:r w:rsidRPr="009F71D4" w:rsidR="0020506D">
        <w:rPr>
          <w:iCs/>
          <w:szCs w:val="24"/>
        </w:rPr>
        <w:t>that it</w:t>
      </w:r>
      <w:r w:rsidRPr="009F71D4" w:rsidR="003F134C">
        <w:rPr>
          <w:iCs/>
          <w:szCs w:val="24"/>
        </w:rPr>
        <w:t xml:space="preserve"> believe</w:t>
      </w:r>
      <w:r w:rsidRPr="009F71D4" w:rsidR="0020506D">
        <w:rPr>
          <w:iCs/>
          <w:szCs w:val="24"/>
        </w:rPr>
        <w:t>s</w:t>
      </w:r>
      <w:r w:rsidRPr="009F71D4" w:rsidR="003F134C">
        <w:rPr>
          <w:iCs/>
          <w:szCs w:val="24"/>
        </w:rPr>
        <w:t xml:space="preserve"> is confidential, </w:t>
      </w:r>
      <w:r w:rsidR="000770C4">
        <w:rPr>
          <w:iCs/>
          <w:szCs w:val="24"/>
        </w:rPr>
        <w:t>it</w:t>
      </w:r>
      <w:r w:rsidRPr="009F71D4" w:rsidR="003F134C">
        <w:rPr>
          <w:iCs/>
          <w:szCs w:val="24"/>
        </w:rPr>
        <w:t xml:space="preserve"> may request confidential treatment of such information under section 0.459 of the Commission’s rules.</w:t>
      </w:r>
      <w:r w:rsidRPr="009F71D4" w:rsidR="00484E7D">
        <w:rPr>
          <w:iCs/>
          <w:szCs w:val="24"/>
        </w:rPr>
        <w:t xml:space="preserve"> </w:t>
      </w:r>
      <w:r w:rsidRPr="009F71D4" w:rsidR="0020506D">
        <w:rPr>
          <w:iCs/>
          <w:szCs w:val="24"/>
        </w:rPr>
        <w:t xml:space="preserve"> </w:t>
      </w:r>
    </w:p>
    <w:bookmarkEnd w:id="4"/>
    <w:p w:rsidR="00202691" w:rsidRPr="009F71D4" w:rsidP="009F71D4" w14:paraId="60AA0DC5" w14:textId="77777777">
      <w:pPr>
        <w:pStyle w:val="ListParagraph"/>
        <w:rPr>
          <w:szCs w:val="24"/>
        </w:rPr>
      </w:pPr>
      <w:r w:rsidRPr="009F71D4">
        <w:rPr>
          <w:bCs/>
          <w:szCs w:val="24"/>
        </w:rPr>
        <w:t xml:space="preserve"> </w:t>
      </w:r>
    </w:p>
    <w:p w:rsidR="00AD1940" w:rsidRPr="009F71D4" w:rsidP="009F71D4" w14:paraId="76DF3506" w14:textId="663AD2ED">
      <w:pPr>
        <w:pStyle w:val="ListParagraph"/>
        <w:numPr>
          <w:ilvl w:val="0"/>
          <w:numId w:val="1"/>
        </w:numPr>
        <w:rPr>
          <w:szCs w:val="24"/>
        </w:rPr>
      </w:pPr>
      <w:r w:rsidRPr="009F71D4">
        <w:rPr>
          <w:i/>
          <w:iCs/>
          <w:szCs w:val="24"/>
        </w:rPr>
        <w:t>Questions</w:t>
      </w:r>
      <w:r w:rsidRPr="009F71D4">
        <w:rPr>
          <w:bCs/>
          <w:i/>
          <w:szCs w:val="24"/>
        </w:rPr>
        <w:t xml:space="preserve"> of a sensitive nature</w:t>
      </w:r>
      <w:r w:rsidRPr="009F71D4" w:rsidR="002B3B74">
        <w:rPr>
          <w:bCs/>
          <w:i/>
          <w:szCs w:val="24"/>
        </w:rPr>
        <w:t>.</w:t>
      </w:r>
      <w:r w:rsidRPr="009F71D4" w:rsidR="002B3B74">
        <w:rPr>
          <w:szCs w:val="24"/>
        </w:rPr>
        <w:t xml:space="preserve">  </w:t>
      </w:r>
      <w:r w:rsidRPr="009F71D4" w:rsidR="008B0CA5">
        <w:rPr>
          <w:szCs w:val="24"/>
        </w:rPr>
        <w:t xml:space="preserve">This information collection does not address any matters of a sensitive nature. </w:t>
      </w:r>
      <w:r w:rsidRPr="009F71D4" w:rsidR="00484E7D">
        <w:rPr>
          <w:szCs w:val="24"/>
        </w:rPr>
        <w:t xml:space="preserve">  </w:t>
      </w:r>
    </w:p>
    <w:p w:rsidR="00AD1940" w:rsidRPr="009F71D4" w:rsidP="009F71D4" w14:paraId="6C022E0C" w14:textId="77777777">
      <w:pPr>
        <w:pStyle w:val="ListParagraph"/>
        <w:rPr>
          <w:szCs w:val="24"/>
        </w:rPr>
      </w:pPr>
      <w:r w:rsidRPr="009F71D4">
        <w:rPr>
          <w:szCs w:val="24"/>
        </w:rPr>
        <w:t xml:space="preserve"> </w:t>
      </w:r>
    </w:p>
    <w:p w:rsidR="00AD1940" w:rsidRPr="009F71D4" w:rsidP="009F71D4" w14:paraId="2AAD80C4" w14:textId="5751C109">
      <w:pPr>
        <w:pStyle w:val="ListParagraph"/>
        <w:numPr>
          <w:ilvl w:val="0"/>
          <w:numId w:val="1"/>
        </w:numPr>
        <w:rPr>
          <w:szCs w:val="24"/>
        </w:rPr>
      </w:pPr>
      <w:r w:rsidRPr="009F71D4">
        <w:rPr>
          <w:bCs/>
          <w:i/>
          <w:szCs w:val="24"/>
        </w:rPr>
        <w:t>Estimates</w:t>
      </w:r>
      <w:r w:rsidRPr="009F71D4" w:rsidR="00046B2C">
        <w:rPr>
          <w:bCs/>
          <w:szCs w:val="24"/>
        </w:rPr>
        <w:t xml:space="preserve"> </w:t>
      </w:r>
      <w:r w:rsidRPr="009F71D4">
        <w:rPr>
          <w:i/>
          <w:szCs w:val="24"/>
        </w:rPr>
        <w:t>of the hour burden of the collection to respondents.</w:t>
      </w:r>
      <w:r w:rsidRPr="009F71D4">
        <w:rPr>
          <w:szCs w:val="24"/>
        </w:rPr>
        <w:t xml:space="preserve">  </w:t>
      </w:r>
    </w:p>
    <w:p w:rsidR="00AD1940" w:rsidRPr="009F71D4" w:rsidP="009F71D4" w14:paraId="5D31A329" w14:textId="77777777">
      <w:pPr>
        <w:pStyle w:val="ListParagraph"/>
        <w:rPr>
          <w:szCs w:val="24"/>
        </w:rPr>
      </w:pPr>
    </w:p>
    <w:p w:rsidR="0063176F" w:rsidRPr="009F71D4" w:rsidP="009F71D4" w14:paraId="2EABE785" w14:textId="1D66BFDF">
      <w:pPr>
        <w:pStyle w:val="ListParagraph"/>
        <w:numPr>
          <w:ilvl w:val="2"/>
          <w:numId w:val="1"/>
        </w:numPr>
        <w:ind w:left="990" w:firstLine="0"/>
        <w:rPr>
          <w:b/>
          <w:szCs w:val="24"/>
          <w:u w:val="single"/>
        </w:rPr>
      </w:pPr>
      <w:r w:rsidRPr="009F71D4">
        <w:rPr>
          <w:b/>
          <w:szCs w:val="24"/>
          <w:u w:val="single"/>
        </w:rPr>
        <w:t>Revised A-CAM I and ACAM II Location Adjustment Process</w:t>
      </w:r>
      <w:r w:rsidRPr="009F71D4" w:rsidR="00B86436">
        <w:rPr>
          <w:b/>
          <w:szCs w:val="24"/>
          <w:u w:val="single"/>
        </w:rPr>
        <w:t xml:space="preserve"> (new requirement)</w:t>
      </w:r>
      <w:r w:rsidR="00597476">
        <w:rPr>
          <w:bCs/>
          <w:szCs w:val="24"/>
        </w:rPr>
        <w:t>:</w:t>
      </w:r>
    </w:p>
    <w:p w:rsidR="0063176F" w:rsidRPr="009F71D4" w:rsidP="009F71D4" w14:paraId="13DDB495" w14:textId="77777777">
      <w:pPr>
        <w:pStyle w:val="ListParagraph"/>
        <w:ind w:left="990"/>
        <w:rPr>
          <w:b/>
          <w:szCs w:val="24"/>
          <w:u w:val="single"/>
        </w:rPr>
      </w:pPr>
    </w:p>
    <w:p w:rsidR="0063176F" w:rsidRPr="009F71D4" w:rsidP="009F71D4" w14:paraId="3B6574BF" w14:textId="09DBA0E3">
      <w:pPr>
        <w:pStyle w:val="ListParagraph"/>
        <w:numPr>
          <w:ilvl w:val="3"/>
          <w:numId w:val="1"/>
        </w:numPr>
        <w:ind w:left="1350"/>
        <w:rPr>
          <w:szCs w:val="24"/>
        </w:rPr>
      </w:pPr>
      <w:r w:rsidRPr="009F71D4">
        <w:rPr>
          <w:szCs w:val="24"/>
          <w:u w:val="single"/>
        </w:rPr>
        <w:t>Number of Respondents</w:t>
      </w:r>
      <w:r w:rsidRPr="009F71D4">
        <w:rPr>
          <w:szCs w:val="24"/>
        </w:rPr>
        <w:t>: 15.</w:t>
      </w:r>
    </w:p>
    <w:p w:rsidR="0063176F" w:rsidRPr="009F71D4" w:rsidP="009F71D4" w14:paraId="3E3C9B34" w14:textId="77777777">
      <w:pPr>
        <w:pStyle w:val="ListParagraph"/>
        <w:ind w:left="1350"/>
        <w:rPr>
          <w:szCs w:val="24"/>
        </w:rPr>
      </w:pPr>
    </w:p>
    <w:p w:rsidR="0063176F" w:rsidRPr="009F71D4" w:rsidP="009F71D4" w14:paraId="361AEF3C" w14:textId="49B7D3E5">
      <w:pPr>
        <w:pStyle w:val="ListParagraph"/>
        <w:numPr>
          <w:ilvl w:val="3"/>
          <w:numId w:val="1"/>
        </w:numPr>
        <w:ind w:left="1350"/>
        <w:rPr>
          <w:szCs w:val="24"/>
        </w:rPr>
      </w:pPr>
      <w:r w:rsidRPr="009F71D4">
        <w:rPr>
          <w:szCs w:val="24"/>
          <w:u w:val="single"/>
        </w:rPr>
        <w:t>Frequency of Response</w:t>
      </w:r>
      <w:r w:rsidRPr="009F71D4">
        <w:rPr>
          <w:szCs w:val="24"/>
        </w:rPr>
        <w:t>: Once.</w:t>
      </w:r>
    </w:p>
    <w:p w:rsidR="0063176F" w:rsidRPr="009F71D4" w:rsidP="009F71D4" w14:paraId="4258A65D" w14:textId="77777777">
      <w:pPr>
        <w:pStyle w:val="ListParagraph"/>
        <w:ind w:left="1350"/>
        <w:rPr>
          <w:szCs w:val="24"/>
        </w:rPr>
      </w:pPr>
    </w:p>
    <w:p w:rsidR="0063176F" w:rsidRPr="009F71D4" w:rsidP="009F71D4" w14:paraId="5DF32842" w14:textId="2C48D135">
      <w:pPr>
        <w:pStyle w:val="ListParagraph"/>
        <w:numPr>
          <w:ilvl w:val="3"/>
          <w:numId w:val="1"/>
        </w:numPr>
        <w:ind w:left="1350"/>
        <w:rPr>
          <w:szCs w:val="24"/>
        </w:rPr>
      </w:pPr>
      <w:r w:rsidRPr="009F71D4">
        <w:rPr>
          <w:szCs w:val="24"/>
          <w:u w:val="single"/>
        </w:rPr>
        <w:t>Total number of responses per respondent</w:t>
      </w:r>
      <w:r w:rsidRPr="009F71D4">
        <w:rPr>
          <w:szCs w:val="24"/>
        </w:rPr>
        <w:t>: One.</w:t>
      </w:r>
    </w:p>
    <w:p w:rsidR="0063176F" w:rsidRPr="009F71D4" w:rsidP="009F71D4" w14:paraId="545C4A16" w14:textId="77777777">
      <w:pPr>
        <w:pStyle w:val="ListParagraph"/>
        <w:ind w:left="1350"/>
        <w:rPr>
          <w:szCs w:val="24"/>
        </w:rPr>
      </w:pPr>
    </w:p>
    <w:p w:rsidR="0063176F" w:rsidRPr="009F71D4" w:rsidP="009F71D4" w14:paraId="73930D39" w14:textId="77777777">
      <w:pPr>
        <w:pStyle w:val="ListParagraph"/>
        <w:numPr>
          <w:ilvl w:val="3"/>
          <w:numId w:val="1"/>
        </w:numPr>
        <w:ind w:left="1350"/>
        <w:rPr>
          <w:szCs w:val="24"/>
        </w:rPr>
      </w:pPr>
      <w:r w:rsidRPr="009F71D4">
        <w:rPr>
          <w:szCs w:val="24"/>
          <w:u w:val="single"/>
        </w:rPr>
        <w:t>Estimated time per response</w:t>
      </w:r>
      <w:r w:rsidRPr="009F71D4">
        <w:rPr>
          <w:szCs w:val="24"/>
        </w:rPr>
        <w:t>: 5 hours.</w:t>
      </w:r>
    </w:p>
    <w:p w:rsidR="0063176F" w:rsidRPr="009F71D4" w:rsidP="009F71D4" w14:paraId="6B6F3EBD" w14:textId="77777777">
      <w:pPr>
        <w:pStyle w:val="ListParagraph"/>
        <w:ind w:left="1350"/>
        <w:rPr>
          <w:szCs w:val="24"/>
        </w:rPr>
      </w:pPr>
    </w:p>
    <w:p w:rsidR="0063176F" w:rsidRPr="009F71D4" w:rsidP="009F71D4" w14:paraId="25C6BC64" w14:textId="7D02D05B">
      <w:pPr>
        <w:pStyle w:val="ListParagraph"/>
        <w:numPr>
          <w:ilvl w:val="3"/>
          <w:numId w:val="1"/>
        </w:numPr>
        <w:ind w:left="1350"/>
        <w:rPr>
          <w:szCs w:val="24"/>
        </w:rPr>
      </w:pPr>
      <w:r w:rsidRPr="009F71D4">
        <w:rPr>
          <w:szCs w:val="24"/>
          <w:u w:val="single"/>
        </w:rPr>
        <w:t>Total annual hour burden</w:t>
      </w:r>
      <w:r w:rsidRPr="009F71D4">
        <w:rPr>
          <w:szCs w:val="24"/>
        </w:rPr>
        <w:t xml:space="preserve">: 75 hours.     </w:t>
      </w:r>
    </w:p>
    <w:p w:rsidR="0063176F" w:rsidRPr="009F71D4" w:rsidP="009F71D4" w14:paraId="5436192D" w14:textId="77777777">
      <w:pPr>
        <w:pStyle w:val="ListParagraph"/>
        <w:ind w:left="1350"/>
        <w:rPr>
          <w:szCs w:val="24"/>
        </w:rPr>
      </w:pPr>
    </w:p>
    <w:p w:rsidR="0063176F" w:rsidRPr="009F71D4" w:rsidP="009F71D4" w14:paraId="3A70ACD0" w14:textId="77777777">
      <w:pPr>
        <w:ind w:left="1350"/>
        <w:rPr>
          <w:szCs w:val="24"/>
        </w:rPr>
      </w:pPr>
      <w:r w:rsidRPr="009F71D4">
        <w:rPr>
          <w:szCs w:val="24"/>
        </w:rPr>
        <w:t xml:space="preserve">5 hours per respondent for 15 carriers filing on an annual basis.  Total annual hour burden is calculated as follows:  </w:t>
      </w:r>
    </w:p>
    <w:p w:rsidR="0063176F" w:rsidRPr="009F71D4" w:rsidP="009F71D4" w14:paraId="0FA27CC2" w14:textId="77777777">
      <w:pPr>
        <w:ind w:left="720"/>
        <w:rPr>
          <w:szCs w:val="24"/>
        </w:rPr>
      </w:pPr>
      <w:r w:rsidRPr="009F71D4">
        <w:rPr>
          <w:szCs w:val="24"/>
        </w:rPr>
        <w:tab/>
      </w:r>
    </w:p>
    <w:p w:rsidR="0063176F" w:rsidRPr="009F71D4" w:rsidP="009F71D4" w14:paraId="6798E61B" w14:textId="505FC9C9">
      <w:pPr>
        <w:pStyle w:val="ListParagraph"/>
        <w:ind w:left="1350"/>
        <w:rPr>
          <w:szCs w:val="24"/>
        </w:rPr>
      </w:pPr>
      <w:r w:rsidRPr="009F71D4">
        <w:rPr>
          <w:szCs w:val="24"/>
        </w:rPr>
        <w:t xml:space="preserve">15 respondents x 1 report per respondent = 15 responses x 5 hours = </w:t>
      </w:r>
      <w:r w:rsidRPr="009F71D4">
        <w:rPr>
          <w:b/>
          <w:szCs w:val="24"/>
        </w:rPr>
        <w:t>75 total annual hours.</w:t>
      </w:r>
    </w:p>
    <w:p w:rsidR="0063176F" w:rsidRPr="009F71D4" w:rsidP="009F71D4" w14:paraId="6FC08C85" w14:textId="77777777">
      <w:pPr>
        <w:pStyle w:val="ListParagraph"/>
        <w:ind w:left="1350"/>
        <w:rPr>
          <w:szCs w:val="24"/>
        </w:rPr>
      </w:pPr>
    </w:p>
    <w:p w:rsidR="0063176F" w:rsidRPr="00D46ACE" w:rsidP="005815D2" w14:paraId="17DEA583" w14:textId="6BFA0C70">
      <w:pPr>
        <w:pStyle w:val="ListParagraph"/>
        <w:numPr>
          <w:ilvl w:val="3"/>
          <w:numId w:val="1"/>
        </w:numPr>
        <w:ind w:left="1350"/>
      </w:pPr>
      <w:r w:rsidRPr="009F71D4">
        <w:rPr>
          <w:szCs w:val="24"/>
          <w:u w:val="single"/>
        </w:rPr>
        <w:t>Total estimate of in-house cost to respondents</w:t>
      </w:r>
      <w:r w:rsidRPr="009F71D4">
        <w:rPr>
          <w:szCs w:val="24"/>
        </w:rPr>
        <w:t>: $</w:t>
      </w:r>
      <w:r w:rsidR="00A97A35">
        <w:rPr>
          <w:szCs w:val="24"/>
        </w:rPr>
        <w:t>3</w:t>
      </w:r>
      <w:r w:rsidR="00C558CD">
        <w:rPr>
          <w:szCs w:val="24"/>
        </w:rPr>
        <w:t>,</w:t>
      </w:r>
      <w:r w:rsidR="00A97A35">
        <w:rPr>
          <w:szCs w:val="24"/>
        </w:rPr>
        <w:t>000</w:t>
      </w:r>
      <w:r w:rsidRPr="009F71D4">
        <w:rPr>
          <w:szCs w:val="24"/>
        </w:rPr>
        <w:t xml:space="preserve"> (</w:t>
      </w:r>
      <w:r w:rsidR="00EF7DC1">
        <w:rPr>
          <w:szCs w:val="24"/>
        </w:rPr>
        <w:t xml:space="preserve">75 </w:t>
      </w:r>
      <w:r w:rsidRPr="009F71D4">
        <w:rPr>
          <w:szCs w:val="24"/>
        </w:rPr>
        <w:t>hours x $</w:t>
      </w:r>
      <w:r w:rsidR="00EF7DC1">
        <w:rPr>
          <w:szCs w:val="24"/>
        </w:rPr>
        <w:t>40</w:t>
      </w:r>
      <w:r w:rsidRPr="009F71D4">
        <w:rPr>
          <w:szCs w:val="24"/>
        </w:rPr>
        <w:t>/hour).</w:t>
      </w:r>
    </w:p>
    <w:p w:rsidR="00D46ACE" w:rsidRPr="009F71D4" w:rsidP="00951DBC" w14:paraId="50E587C7" w14:textId="77777777">
      <w:pPr>
        <w:pStyle w:val="ListParagraph"/>
        <w:ind w:left="1350"/>
      </w:pPr>
    </w:p>
    <w:p w:rsidR="0063176F" w:rsidRPr="009F71D4" w:rsidP="009F71D4" w14:paraId="53805307" w14:textId="1BE305CF">
      <w:pPr>
        <w:pStyle w:val="ListParagraph"/>
        <w:numPr>
          <w:ilvl w:val="3"/>
          <w:numId w:val="1"/>
        </w:numPr>
        <w:ind w:left="1350"/>
        <w:rPr>
          <w:szCs w:val="24"/>
        </w:rPr>
      </w:pPr>
      <w:r w:rsidRPr="009F71D4">
        <w:rPr>
          <w:szCs w:val="24"/>
          <w:u w:val="single"/>
        </w:rPr>
        <w:t>Explanation of calculation</w:t>
      </w:r>
      <w:r w:rsidRPr="009F71D4">
        <w:rPr>
          <w:szCs w:val="24"/>
        </w:rPr>
        <w:t>: We estimate that each carrier will take, on average, five hours to gather information for its submission and make its submission.  Carriers are already expected to have familiarity with the Fabric as part of their B</w:t>
      </w:r>
      <w:r w:rsidRPr="009F71D4" w:rsidR="00EF0641">
        <w:rPr>
          <w:szCs w:val="24"/>
        </w:rPr>
        <w:t>DC</w:t>
      </w:r>
      <w:r w:rsidRPr="009F71D4">
        <w:rPr>
          <w:szCs w:val="24"/>
        </w:rPr>
        <w:t xml:space="preserve"> reporting, and thus we do not expect carriers will need to do significant additional analysis to make the required certification.  </w:t>
      </w:r>
    </w:p>
    <w:p w:rsidR="0063176F" w:rsidRPr="009F71D4" w:rsidP="009F71D4" w14:paraId="7CFE1579" w14:textId="77777777">
      <w:pPr>
        <w:pStyle w:val="ListParagraph"/>
        <w:rPr>
          <w:szCs w:val="24"/>
        </w:rPr>
      </w:pPr>
    </w:p>
    <w:p w:rsidR="0063176F" w:rsidRPr="009F71D4" w:rsidP="009F71D4" w14:paraId="3A8AAC4F" w14:textId="3633B663">
      <w:pPr>
        <w:pStyle w:val="ListParagraph"/>
        <w:numPr>
          <w:ilvl w:val="2"/>
          <w:numId w:val="1"/>
        </w:numPr>
        <w:ind w:left="990" w:firstLine="0"/>
        <w:rPr>
          <w:b/>
          <w:szCs w:val="24"/>
          <w:u w:val="single"/>
        </w:rPr>
      </w:pPr>
      <w:r w:rsidRPr="005815D2">
        <w:rPr>
          <w:b/>
          <w:bCs/>
          <w:szCs w:val="24"/>
          <w:u w:val="single"/>
        </w:rPr>
        <w:t>Process for Removing Unreasonable Locations for Carriers with More RDOF Locations</w:t>
      </w:r>
      <w:r w:rsidRPr="009F71D4" w:rsidR="00B86436">
        <w:rPr>
          <w:b/>
          <w:szCs w:val="24"/>
          <w:u w:val="single"/>
        </w:rPr>
        <w:t xml:space="preserve"> (new requirement)</w:t>
      </w:r>
      <w:r w:rsidR="00597476">
        <w:rPr>
          <w:bCs/>
          <w:szCs w:val="24"/>
        </w:rPr>
        <w:t>:</w:t>
      </w:r>
    </w:p>
    <w:p w:rsidR="0063176F" w:rsidRPr="009F71D4" w:rsidP="009F71D4" w14:paraId="75011528" w14:textId="77777777">
      <w:pPr>
        <w:pStyle w:val="ListParagraph"/>
        <w:ind w:left="990"/>
        <w:rPr>
          <w:b/>
          <w:szCs w:val="24"/>
          <w:u w:val="single"/>
        </w:rPr>
      </w:pPr>
    </w:p>
    <w:p w:rsidR="0063176F" w:rsidRPr="009F71D4" w:rsidP="009F71D4" w14:paraId="4595A428" w14:textId="78E8BA9E">
      <w:pPr>
        <w:pStyle w:val="ListParagraph"/>
        <w:numPr>
          <w:ilvl w:val="3"/>
          <w:numId w:val="1"/>
        </w:numPr>
        <w:ind w:left="1350"/>
        <w:rPr>
          <w:szCs w:val="24"/>
        </w:rPr>
      </w:pPr>
      <w:r w:rsidRPr="009F71D4">
        <w:rPr>
          <w:szCs w:val="24"/>
          <w:u w:val="single"/>
        </w:rPr>
        <w:t>Number of Respondents</w:t>
      </w:r>
      <w:r w:rsidRPr="009F71D4">
        <w:rPr>
          <w:szCs w:val="24"/>
        </w:rPr>
        <w:t>: 100.</w:t>
      </w:r>
    </w:p>
    <w:p w:rsidR="0063176F" w:rsidRPr="009F71D4" w:rsidP="009F71D4" w14:paraId="18C7597E" w14:textId="77777777">
      <w:pPr>
        <w:pStyle w:val="ListParagraph"/>
        <w:ind w:left="1350"/>
        <w:rPr>
          <w:szCs w:val="24"/>
        </w:rPr>
      </w:pPr>
    </w:p>
    <w:p w:rsidR="0063176F" w:rsidRPr="009F71D4" w:rsidP="009F71D4" w14:paraId="32C0EAC6" w14:textId="134C4A9E">
      <w:pPr>
        <w:pStyle w:val="ListParagraph"/>
        <w:numPr>
          <w:ilvl w:val="3"/>
          <w:numId w:val="1"/>
        </w:numPr>
        <w:ind w:left="1350"/>
        <w:rPr>
          <w:szCs w:val="24"/>
        </w:rPr>
      </w:pPr>
      <w:r w:rsidRPr="009F71D4">
        <w:rPr>
          <w:szCs w:val="24"/>
          <w:u w:val="single"/>
        </w:rPr>
        <w:t>Frequency of Response</w:t>
      </w:r>
      <w:r w:rsidRPr="009F71D4">
        <w:rPr>
          <w:szCs w:val="24"/>
        </w:rPr>
        <w:t>: On occasion.</w:t>
      </w:r>
    </w:p>
    <w:p w:rsidR="0063176F" w:rsidRPr="009F71D4" w:rsidP="009F71D4" w14:paraId="2DFB8A05" w14:textId="77777777">
      <w:pPr>
        <w:pStyle w:val="ListParagraph"/>
        <w:ind w:left="1350"/>
        <w:rPr>
          <w:szCs w:val="24"/>
        </w:rPr>
      </w:pPr>
    </w:p>
    <w:p w:rsidR="0063176F" w:rsidRPr="009F71D4" w:rsidP="009F71D4" w14:paraId="25EA9E5C" w14:textId="70D755C1">
      <w:pPr>
        <w:pStyle w:val="ListParagraph"/>
        <w:numPr>
          <w:ilvl w:val="3"/>
          <w:numId w:val="1"/>
        </w:numPr>
        <w:ind w:left="1350"/>
        <w:rPr>
          <w:szCs w:val="24"/>
        </w:rPr>
      </w:pPr>
      <w:r w:rsidRPr="009F71D4">
        <w:rPr>
          <w:szCs w:val="24"/>
          <w:u w:val="single"/>
        </w:rPr>
        <w:t>Total number of responses per respondent</w:t>
      </w:r>
      <w:r w:rsidRPr="009F71D4">
        <w:rPr>
          <w:szCs w:val="24"/>
        </w:rPr>
        <w:t>: One.</w:t>
      </w:r>
    </w:p>
    <w:p w:rsidR="0063176F" w:rsidRPr="009F71D4" w:rsidP="009F71D4" w14:paraId="34CA0045" w14:textId="77777777">
      <w:pPr>
        <w:pStyle w:val="ListParagraph"/>
        <w:ind w:left="1350"/>
        <w:rPr>
          <w:szCs w:val="24"/>
        </w:rPr>
      </w:pPr>
    </w:p>
    <w:p w:rsidR="0063176F" w:rsidRPr="009F71D4" w:rsidP="009F71D4" w14:paraId="44793088" w14:textId="77777777">
      <w:pPr>
        <w:pStyle w:val="ListParagraph"/>
        <w:numPr>
          <w:ilvl w:val="3"/>
          <w:numId w:val="1"/>
        </w:numPr>
        <w:ind w:left="1350"/>
        <w:rPr>
          <w:szCs w:val="24"/>
        </w:rPr>
      </w:pPr>
      <w:r w:rsidRPr="009F71D4">
        <w:rPr>
          <w:szCs w:val="24"/>
          <w:u w:val="single"/>
        </w:rPr>
        <w:t>Estimated time per response</w:t>
      </w:r>
      <w:r w:rsidRPr="009F71D4">
        <w:rPr>
          <w:szCs w:val="24"/>
        </w:rPr>
        <w:t>: 40 hours.</w:t>
      </w:r>
    </w:p>
    <w:p w:rsidR="0063176F" w:rsidRPr="009F71D4" w:rsidP="009F71D4" w14:paraId="7847A699" w14:textId="77777777">
      <w:pPr>
        <w:pStyle w:val="ListParagraph"/>
        <w:ind w:left="1350"/>
        <w:rPr>
          <w:szCs w:val="24"/>
        </w:rPr>
      </w:pPr>
    </w:p>
    <w:p w:rsidR="0063176F" w:rsidRPr="009F71D4" w:rsidP="009F71D4" w14:paraId="6FCF2993" w14:textId="2DA7AB59">
      <w:pPr>
        <w:pStyle w:val="ListParagraph"/>
        <w:numPr>
          <w:ilvl w:val="3"/>
          <w:numId w:val="1"/>
        </w:numPr>
        <w:ind w:left="1350"/>
        <w:rPr>
          <w:szCs w:val="24"/>
        </w:rPr>
      </w:pPr>
      <w:r w:rsidRPr="009F71D4">
        <w:rPr>
          <w:szCs w:val="24"/>
          <w:u w:val="single"/>
        </w:rPr>
        <w:t>Total annual hour burden</w:t>
      </w:r>
      <w:r w:rsidRPr="009F71D4">
        <w:rPr>
          <w:szCs w:val="24"/>
        </w:rPr>
        <w:t xml:space="preserve">: 4,000 hours.     </w:t>
      </w:r>
    </w:p>
    <w:p w:rsidR="0063176F" w:rsidRPr="009F71D4" w:rsidP="009F71D4" w14:paraId="797ADF1D" w14:textId="77777777">
      <w:pPr>
        <w:pStyle w:val="ListParagraph"/>
        <w:ind w:left="1350"/>
        <w:rPr>
          <w:szCs w:val="24"/>
        </w:rPr>
      </w:pPr>
    </w:p>
    <w:p w:rsidR="0063176F" w:rsidRPr="009F71D4" w:rsidP="009F71D4" w14:paraId="79CE5F55" w14:textId="77777777">
      <w:pPr>
        <w:ind w:left="1350"/>
        <w:rPr>
          <w:szCs w:val="24"/>
        </w:rPr>
      </w:pPr>
      <w:r w:rsidRPr="009F71D4">
        <w:rPr>
          <w:szCs w:val="24"/>
        </w:rPr>
        <w:t xml:space="preserve">40 hours per respondent for 100 carriers filing on an annual basis.  Total annual hour burden is calculated as follows:  </w:t>
      </w:r>
    </w:p>
    <w:p w:rsidR="0063176F" w:rsidRPr="009F71D4" w:rsidP="009F71D4" w14:paraId="7D2C2D32" w14:textId="77777777">
      <w:pPr>
        <w:ind w:left="720"/>
        <w:rPr>
          <w:szCs w:val="24"/>
        </w:rPr>
      </w:pPr>
      <w:r w:rsidRPr="009F71D4">
        <w:rPr>
          <w:szCs w:val="24"/>
        </w:rPr>
        <w:tab/>
      </w:r>
    </w:p>
    <w:p w:rsidR="0063176F" w:rsidRPr="009F71D4" w:rsidP="009F71D4" w14:paraId="22CED7F8" w14:textId="494A3D75">
      <w:pPr>
        <w:pStyle w:val="ListParagraph"/>
        <w:ind w:left="1350"/>
        <w:rPr>
          <w:szCs w:val="24"/>
        </w:rPr>
      </w:pPr>
      <w:r w:rsidRPr="009F71D4">
        <w:rPr>
          <w:szCs w:val="24"/>
        </w:rPr>
        <w:t xml:space="preserve"> 100 respondents x 1 report per respondent = 100 responses x 40 hours = </w:t>
      </w:r>
      <w:r w:rsidRPr="009F71D4">
        <w:rPr>
          <w:b/>
          <w:szCs w:val="24"/>
        </w:rPr>
        <w:t>4</w:t>
      </w:r>
      <w:r w:rsidR="00C558CD">
        <w:rPr>
          <w:b/>
          <w:szCs w:val="24"/>
        </w:rPr>
        <w:t>,</w:t>
      </w:r>
      <w:r w:rsidRPr="009F71D4">
        <w:rPr>
          <w:b/>
          <w:szCs w:val="24"/>
        </w:rPr>
        <w:t>00</w:t>
      </w:r>
      <w:r w:rsidR="009E56F9">
        <w:rPr>
          <w:b/>
          <w:szCs w:val="24"/>
        </w:rPr>
        <w:t>0</w:t>
      </w:r>
      <w:r w:rsidRPr="009F71D4">
        <w:rPr>
          <w:b/>
          <w:szCs w:val="24"/>
        </w:rPr>
        <w:t xml:space="preserve"> total annual hours.</w:t>
      </w:r>
    </w:p>
    <w:p w:rsidR="0063176F" w:rsidRPr="009F71D4" w:rsidP="009F71D4" w14:paraId="744001DC" w14:textId="77777777">
      <w:pPr>
        <w:pStyle w:val="ListParagraph"/>
        <w:ind w:left="1350"/>
        <w:rPr>
          <w:szCs w:val="24"/>
        </w:rPr>
      </w:pPr>
    </w:p>
    <w:p w:rsidR="0063176F" w:rsidRPr="009F71D4" w:rsidP="009F71D4" w14:paraId="56943AAC" w14:textId="5687822A">
      <w:pPr>
        <w:pStyle w:val="ListParagraph"/>
        <w:numPr>
          <w:ilvl w:val="3"/>
          <w:numId w:val="1"/>
        </w:numPr>
        <w:ind w:left="1350"/>
        <w:rPr>
          <w:szCs w:val="24"/>
        </w:rPr>
      </w:pPr>
      <w:r w:rsidRPr="009F71D4">
        <w:rPr>
          <w:szCs w:val="24"/>
          <w:u w:val="single"/>
        </w:rPr>
        <w:t>Total estimate of in-house cost to respondents</w:t>
      </w:r>
      <w:r w:rsidRPr="009F71D4">
        <w:rPr>
          <w:szCs w:val="24"/>
        </w:rPr>
        <w:t>: $</w:t>
      </w:r>
      <w:r w:rsidR="00F76863">
        <w:rPr>
          <w:szCs w:val="24"/>
        </w:rPr>
        <w:t>160</w:t>
      </w:r>
      <w:r w:rsidR="009651E4">
        <w:rPr>
          <w:szCs w:val="24"/>
        </w:rPr>
        <w:t>,</w:t>
      </w:r>
      <w:r w:rsidR="00F76863">
        <w:rPr>
          <w:szCs w:val="24"/>
        </w:rPr>
        <w:t>0</w:t>
      </w:r>
      <w:r w:rsidR="009651E4">
        <w:rPr>
          <w:szCs w:val="24"/>
        </w:rPr>
        <w:t>00</w:t>
      </w:r>
      <w:r w:rsidRPr="009F71D4">
        <w:rPr>
          <w:szCs w:val="24"/>
        </w:rPr>
        <w:t xml:space="preserve"> (4</w:t>
      </w:r>
      <w:r w:rsidR="00C558CD">
        <w:rPr>
          <w:szCs w:val="24"/>
        </w:rPr>
        <w:t>,</w:t>
      </w:r>
      <w:r w:rsidRPr="009F71D4">
        <w:rPr>
          <w:szCs w:val="24"/>
        </w:rPr>
        <w:t>0</w:t>
      </w:r>
      <w:r w:rsidR="00A07A1C">
        <w:rPr>
          <w:szCs w:val="24"/>
        </w:rPr>
        <w:t xml:space="preserve">00 </w:t>
      </w:r>
      <w:r w:rsidRPr="009F71D4">
        <w:rPr>
          <w:szCs w:val="24"/>
        </w:rPr>
        <w:t>hours x $</w:t>
      </w:r>
      <w:r w:rsidR="00D43AE1">
        <w:rPr>
          <w:szCs w:val="24"/>
        </w:rPr>
        <w:t>40</w:t>
      </w:r>
      <w:r w:rsidRPr="009F71D4">
        <w:rPr>
          <w:szCs w:val="24"/>
        </w:rPr>
        <w:t>/hour).</w:t>
      </w:r>
    </w:p>
    <w:p w:rsidR="0063176F" w:rsidRPr="009F71D4" w:rsidP="005815D2" w14:paraId="6346216E" w14:textId="77777777"/>
    <w:p w:rsidR="0063176F" w:rsidRPr="009F71D4" w:rsidP="009F71D4" w14:paraId="147D54FA" w14:textId="56535961">
      <w:pPr>
        <w:pStyle w:val="ListParagraph"/>
        <w:numPr>
          <w:ilvl w:val="3"/>
          <w:numId w:val="1"/>
        </w:numPr>
        <w:ind w:left="1350"/>
        <w:rPr>
          <w:szCs w:val="24"/>
        </w:rPr>
      </w:pPr>
      <w:r w:rsidRPr="009F71D4">
        <w:rPr>
          <w:szCs w:val="24"/>
          <w:u w:val="single"/>
        </w:rPr>
        <w:t>Explanation of calculation</w:t>
      </w:r>
      <w:r w:rsidRPr="009F71D4">
        <w:rPr>
          <w:szCs w:val="24"/>
        </w:rPr>
        <w:t xml:space="preserve">: We estimate that each carrier will take, on average, 40 hours to gather information for its submission and make its submission.  Carriers are already expected to have familiarity with the Fabric as part of their Broadband </w:t>
      </w:r>
      <w:r w:rsidRPr="009F71D4">
        <w:rPr>
          <w:szCs w:val="24"/>
        </w:rPr>
        <w:t xml:space="preserve">Data Collection reporting and should already be collecting information in furtherance of meeting their RDOF obligations to determine the costs of and any obstacles for meeting their deployment obligations.  </w:t>
      </w:r>
    </w:p>
    <w:p w:rsidR="0063176F" w:rsidRPr="009F71D4" w:rsidP="005815D2" w14:paraId="7597E3B9" w14:textId="77777777">
      <w:pPr>
        <w:pStyle w:val="ListParagraph"/>
        <w:ind w:left="1350"/>
        <w:rPr>
          <w:szCs w:val="24"/>
        </w:rPr>
      </w:pPr>
    </w:p>
    <w:p w:rsidR="004432D9" w:rsidRPr="009F71D4" w:rsidP="009F71D4" w14:paraId="20659B72" w14:textId="3B8A2C8F">
      <w:pPr>
        <w:pStyle w:val="ListParagraph"/>
        <w:numPr>
          <w:ilvl w:val="2"/>
          <w:numId w:val="1"/>
        </w:numPr>
        <w:ind w:left="900" w:firstLine="90"/>
        <w:rPr>
          <w:szCs w:val="24"/>
        </w:rPr>
      </w:pPr>
      <w:r w:rsidRPr="005815D2">
        <w:rPr>
          <w:b/>
          <w:szCs w:val="24"/>
          <w:u w:val="single"/>
        </w:rPr>
        <w:t xml:space="preserve">Collection of Location </w:t>
      </w:r>
      <w:r w:rsidRPr="005815D2" w:rsidR="00F77685">
        <w:rPr>
          <w:b/>
          <w:szCs w:val="24"/>
          <w:u w:val="single"/>
        </w:rPr>
        <w:t>Information</w:t>
      </w:r>
      <w:r w:rsidRPr="005815D2">
        <w:rPr>
          <w:b/>
          <w:szCs w:val="24"/>
          <w:u w:val="single"/>
        </w:rPr>
        <w:t xml:space="preserve"> from Participants</w:t>
      </w:r>
      <w:r w:rsidRPr="005815D2" w:rsidR="00B528E5">
        <w:rPr>
          <w:b/>
          <w:szCs w:val="24"/>
          <w:u w:val="single"/>
        </w:rPr>
        <w:t xml:space="preserve"> (</w:t>
      </w:r>
      <w:r w:rsidRPr="009F71D4" w:rsidR="00186A28">
        <w:rPr>
          <w:b/>
          <w:szCs w:val="24"/>
          <w:u w:val="single"/>
        </w:rPr>
        <w:t>e</w:t>
      </w:r>
      <w:r w:rsidRPr="005815D2" w:rsidR="00B528E5">
        <w:rPr>
          <w:b/>
          <w:szCs w:val="24"/>
          <w:u w:val="single"/>
        </w:rPr>
        <w:t>liminate</w:t>
      </w:r>
      <w:r w:rsidRPr="009F71D4" w:rsidR="00EF0641">
        <w:rPr>
          <w:b/>
          <w:szCs w:val="24"/>
          <w:u w:val="single"/>
        </w:rPr>
        <w:t>d</w:t>
      </w:r>
      <w:r w:rsidRPr="005815D2" w:rsidR="00B528E5">
        <w:rPr>
          <w:b/>
          <w:szCs w:val="24"/>
          <w:u w:val="single"/>
        </w:rPr>
        <w:t xml:space="preserve"> </w:t>
      </w:r>
      <w:r w:rsidRPr="009F71D4" w:rsidR="00EF0641">
        <w:rPr>
          <w:b/>
          <w:szCs w:val="24"/>
          <w:u w:val="single"/>
        </w:rPr>
        <w:t>r</w:t>
      </w:r>
      <w:r w:rsidRPr="005815D2" w:rsidR="00B528E5">
        <w:rPr>
          <w:b/>
          <w:szCs w:val="24"/>
          <w:u w:val="single"/>
        </w:rPr>
        <w:t>equirement)</w:t>
      </w:r>
      <w:r w:rsidRPr="005815D2" w:rsidR="005E011F">
        <w:rPr>
          <w:b/>
          <w:bCs/>
          <w:szCs w:val="24"/>
        </w:rPr>
        <w:t>:</w:t>
      </w:r>
    </w:p>
    <w:p w:rsidR="00AD1940" w:rsidRPr="009F71D4" w:rsidP="009F71D4" w14:paraId="35602D70" w14:textId="77777777">
      <w:pPr>
        <w:pStyle w:val="ListParagraph"/>
        <w:ind w:left="900"/>
        <w:rPr>
          <w:szCs w:val="24"/>
        </w:rPr>
      </w:pPr>
    </w:p>
    <w:p w:rsidR="00713903" w:rsidRPr="009F71D4" w:rsidP="009F71D4" w14:paraId="45BBF59B" w14:textId="3EDC43A4">
      <w:pPr>
        <w:pStyle w:val="ListParagraph"/>
        <w:numPr>
          <w:ilvl w:val="3"/>
          <w:numId w:val="1"/>
        </w:numPr>
        <w:ind w:left="1350"/>
        <w:rPr>
          <w:szCs w:val="24"/>
        </w:rPr>
      </w:pPr>
      <w:r w:rsidRPr="009F71D4">
        <w:rPr>
          <w:szCs w:val="24"/>
          <w:u w:val="single"/>
        </w:rPr>
        <w:t>Number of Respondents</w:t>
      </w:r>
      <w:r w:rsidRPr="009F71D4">
        <w:rPr>
          <w:szCs w:val="24"/>
        </w:rPr>
        <w:t xml:space="preserve">: </w:t>
      </w:r>
      <w:r w:rsidRPr="009F71D4" w:rsidR="000821E3">
        <w:rPr>
          <w:szCs w:val="24"/>
        </w:rPr>
        <w:t>0.</w:t>
      </w:r>
    </w:p>
    <w:p w:rsidR="00366E02" w:rsidRPr="009F71D4" w:rsidP="009F71D4" w14:paraId="56CA25EE" w14:textId="77777777">
      <w:pPr>
        <w:pStyle w:val="ListParagraph"/>
        <w:ind w:left="1350"/>
        <w:rPr>
          <w:szCs w:val="24"/>
        </w:rPr>
      </w:pPr>
    </w:p>
    <w:p w:rsidR="00123B44" w:rsidRPr="009F71D4" w:rsidP="009F71D4" w14:paraId="241E0782" w14:textId="231BAE51">
      <w:pPr>
        <w:pStyle w:val="ListParagraph"/>
        <w:numPr>
          <w:ilvl w:val="3"/>
          <w:numId w:val="1"/>
        </w:numPr>
        <w:ind w:left="1350"/>
        <w:rPr>
          <w:szCs w:val="24"/>
        </w:rPr>
      </w:pPr>
      <w:r w:rsidRPr="009F71D4">
        <w:rPr>
          <w:szCs w:val="24"/>
          <w:u w:val="single"/>
        </w:rPr>
        <w:t>Frequency of Response</w:t>
      </w:r>
      <w:r w:rsidRPr="009F71D4">
        <w:rPr>
          <w:szCs w:val="24"/>
        </w:rPr>
        <w:t xml:space="preserve">: </w:t>
      </w:r>
      <w:r w:rsidRPr="009F71D4" w:rsidR="000821E3">
        <w:rPr>
          <w:szCs w:val="24"/>
        </w:rPr>
        <w:t>N/A.</w:t>
      </w:r>
    </w:p>
    <w:p w:rsidR="00123B44" w:rsidRPr="009F71D4" w:rsidP="009F71D4" w14:paraId="2F12DD38" w14:textId="77777777">
      <w:pPr>
        <w:rPr>
          <w:szCs w:val="24"/>
        </w:rPr>
      </w:pPr>
    </w:p>
    <w:p w:rsidR="00123B44" w:rsidRPr="009F71D4" w:rsidP="009F71D4" w14:paraId="01BD82C4" w14:textId="77FB14B1">
      <w:pPr>
        <w:pStyle w:val="ListParagraph"/>
        <w:numPr>
          <w:ilvl w:val="3"/>
          <w:numId w:val="1"/>
        </w:numPr>
        <w:ind w:left="1350"/>
        <w:rPr>
          <w:szCs w:val="24"/>
        </w:rPr>
      </w:pPr>
      <w:r w:rsidRPr="009F71D4">
        <w:rPr>
          <w:szCs w:val="24"/>
          <w:u w:val="single"/>
        </w:rPr>
        <w:t>Total number of responses per respondent</w:t>
      </w:r>
      <w:r w:rsidRPr="009F71D4">
        <w:rPr>
          <w:szCs w:val="24"/>
        </w:rPr>
        <w:t xml:space="preserve">: </w:t>
      </w:r>
      <w:r w:rsidRPr="009F71D4" w:rsidR="000821E3">
        <w:rPr>
          <w:szCs w:val="24"/>
        </w:rPr>
        <w:t>0.</w:t>
      </w:r>
    </w:p>
    <w:p w:rsidR="00123B44" w:rsidRPr="009F71D4" w:rsidP="009F71D4" w14:paraId="5E4E4F60" w14:textId="77777777">
      <w:pPr>
        <w:rPr>
          <w:szCs w:val="24"/>
        </w:rPr>
      </w:pPr>
    </w:p>
    <w:p w:rsidR="00123B44" w:rsidRPr="009F71D4" w:rsidP="009F71D4" w14:paraId="7D47FC3A" w14:textId="7655BE23">
      <w:pPr>
        <w:pStyle w:val="ListParagraph"/>
        <w:numPr>
          <w:ilvl w:val="3"/>
          <w:numId w:val="1"/>
        </w:numPr>
        <w:ind w:left="1350"/>
        <w:rPr>
          <w:szCs w:val="24"/>
        </w:rPr>
      </w:pPr>
      <w:r w:rsidRPr="009F71D4">
        <w:rPr>
          <w:szCs w:val="24"/>
          <w:u w:val="single"/>
        </w:rPr>
        <w:t>Estimated time per response</w:t>
      </w:r>
      <w:r w:rsidRPr="009F71D4">
        <w:rPr>
          <w:szCs w:val="24"/>
        </w:rPr>
        <w:t xml:space="preserve">: </w:t>
      </w:r>
      <w:r w:rsidRPr="009F71D4" w:rsidR="00F5563F">
        <w:rPr>
          <w:szCs w:val="24"/>
        </w:rPr>
        <w:t>0</w:t>
      </w:r>
      <w:r w:rsidRPr="009F71D4">
        <w:rPr>
          <w:szCs w:val="24"/>
        </w:rPr>
        <w:t xml:space="preserve"> hours</w:t>
      </w:r>
      <w:r w:rsidRPr="009F71D4" w:rsidR="00027167">
        <w:rPr>
          <w:szCs w:val="24"/>
        </w:rPr>
        <w:t>.</w:t>
      </w:r>
    </w:p>
    <w:p w:rsidR="00123B44" w:rsidRPr="009F71D4" w:rsidP="009F71D4" w14:paraId="4DA4328F" w14:textId="459CDC04">
      <w:pPr>
        <w:rPr>
          <w:szCs w:val="24"/>
        </w:rPr>
      </w:pPr>
    </w:p>
    <w:p w:rsidR="00150A41" w:rsidRPr="009F71D4" w:rsidP="009F71D4" w14:paraId="2F346A99" w14:textId="526C3E06">
      <w:pPr>
        <w:pStyle w:val="ListParagraph"/>
        <w:numPr>
          <w:ilvl w:val="3"/>
          <w:numId w:val="1"/>
        </w:numPr>
        <w:ind w:left="1350"/>
        <w:rPr>
          <w:szCs w:val="24"/>
        </w:rPr>
      </w:pPr>
      <w:r w:rsidRPr="009F71D4">
        <w:rPr>
          <w:szCs w:val="24"/>
          <w:u w:val="single"/>
        </w:rPr>
        <w:t>Total annual hour burden</w:t>
      </w:r>
      <w:r w:rsidRPr="009F71D4">
        <w:rPr>
          <w:szCs w:val="24"/>
        </w:rPr>
        <w:t>:</w:t>
      </w:r>
      <w:r w:rsidRPr="009F71D4" w:rsidR="00DB2CF8">
        <w:rPr>
          <w:szCs w:val="24"/>
        </w:rPr>
        <w:t xml:space="preserve"> </w:t>
      </w:r>
      <w:r w:rsidRPr="009F71D4" w:rsidR="000821E3">
        <w:rPr>
          <w:szCs w:val="24"/>
        </w:rPr>
        <w:t>0 hours</w:t>
      </w:r>
      <w:r w:rsidRPr="009F71D4" w:rsidR="00F5563F">
        <w:rPr>
          <w:szCs w:val="24"/>
        </w:rPr>
        <w:t>.</w:t>
      </w:r>
    </w:p>
    <w:p w:rsidR="00150A41" w:rsidRPr="009F71D4" w:rsidP="009F71D4" w14:paraId="08EA3079" w14:textId="77777777">
      <w:pPr>
        <w:rPr>
          <w:szCs w:val="24"/>
        </w:rPr>
      </w:pPr>
    </w:p>
    <w:p w:rsidR="00150A41" w:rsidRPr="009F71D4" w:rsidP="009F71D4" w14:paraId="1B5250F9" w14:textId="70200C24">
      <w:pPr>
        <w:pStyle w:val="ListParagraph"/>
        <w:ind w:left="1350"/>
        <w:rPr>
          <w:szCs w:val="24"/>
        </w:rPr>
      </w:pPr>
      <w:r w:rsidRPr="009F71D4">
        <w:rPr>
          <w:szCs w:val="24"/>
        </w:rPr>
        <w:t xml:space="preserve">0 hours per </w:t>
      </w:r>
      <w:r w:rsidRPr="009F71D4" w:rsidR="00353DB2">
        <w:rPr>
          <w:szCs w:val="24"/>
        </w:rPr>
        <w:t xml:space="preserve">response </w:t>
      </w:r>
      <w:r w:rsidRPr="009F71D4">
        <w:rPr>
          <w:szCs w:val="24"/>
        </w:rPr>
        <w:t xml:space="preserve">per respondent filing.  Total annual hour burden is calculated as follows:  </w:t>
      </w:r>
    </w:p>
    <w:p w:rsidR="00150A41" w:rsidRPr="009F71D4" w:rsidP="009F71D4" w14:paraId="3FF93115" w14:textId="77777777">
      <w:pPr>
        <w:pStyle w:val="ListParagraph"/>
        <w:ind w:left="1350"/>
        <w:rPr>
          <w:szCs w:val="24"/>
        </w:rPr>
      </w:pPr>
    </w:p>
    <w:p w:rsidR="002444C7" w:rsidRPr="009F71D4" w:rsidP="009F71D4" w14:paraId="0AC548B8" w14:textId="35C54F41">
      <w:pPr>
        <w:pStyle w:val="ListParagraph"/>
        <w:ind w:left="1350"/>
        <w:rPr>
          <w:b/>
          <w:szCs w:val="24"/>
        </w:rPr>
      </w:pPr>
      <w:r w:rsidRPr="009F71D4">
        <w:rPr>
          <w:szCs w:val="24"/>
        </w:rPr>
        <w:t xml:space="preserve">0 </w:t>
      </w:r>
      <w:r w:rsidRPr="009F71D4" w:rsidR="00150A41">
        <w:rPr>
          <w:szCs w:val="24"/>
        </w:rPr>
        <w:t>respondents x</w:t>
      </w:r>
      <w:r w:rsidRPr="009F71D4" w:rsidR="00BA03CD">
        <w:rPr>
          <w:szCs w:val="24"/>
        </w:rPr>
        <w:t xml:space="preserve"> </w:t>
      </w:r>
      <w:r w:rsidRPr="009F71D4">
        <w:rPr>
          <w:szCs w:val="24"/>
        </w:rPr>
        <w:t>0</w:t>
      </w:r>
      <w:r w:rsidRPr="009F71D4" w:rsidR="00BA03CD">
        <w:rPr>
          <w:szCs w:val="24"/>
        </w:rPr>
        <w:t xml:space="preserve"> </w:t>
      </w:r>
      <w:r w:rsidRPr="009F71D4" w:rsidR="00353DB2">
        <w:rPr>
          <w:szCs w:val="24"/>
        </w:rPr>
        <w:t>response</w:t>
      </w:r>
      <w:r w:rsidRPr="009F71D4" w:rsidR="00BA03CD">
        <w:rPr>
          <w:szCs w:val="24"/>
        </w:rPr>
        <w:t xml:space="preserve"> x</w:t>
      </w:r>
      <w:r w:rsidRPr="009F71D4" w:rsidR="00150A41">
        <w:rPr>
          <w:szCs w:val="24"/>
        </w:rPr>
        <w:t xml:space="preserve"> </w:t>
      </w:r>
      <w:r w:rsidRPr="009F71D4" w:rsidR="00774B3C">
        <w:rPr>
          <w:szCs w:val="24"/>
        </w:rPr>
        <w:t>0</w:t>
      </w:r>
      <w:r w:rsidRPr="009F71D4" w:rsidR="00150A41">
        <w:rPr>
          <w:szCs w:val="24"/>
        </w:rPr>
        <w:t xml:space="preserve"> hours</w:t>
      </w:r>
      <w:r w:rsidRPr="009F71D4" w:rsidR="000A4FB1">
        <w:rPr>
          <w:szCs w:val="24"/>
        </w:rPr>
        <w:t xml:space="preserve"> </w:t>
      </w:r>
      <w:r w:rsidRPr="009F71D4" w:rsidR="00BA03CD">
        <w:rPr>
          <w:szCs w:val="24"/>
        </w:rPr>
        <w:t xml:space="preserve">= </w:t>
      </w:r>
      <w:r w:rsidRPr="009F71D4">
        <w:rPr>
          <w:b/>
          <w:szCs w:val="24"/>
        </w:rPr>
        <w:t>0</w:t>
      </w:r>
      <w:r w:rsidRPr="009F71D4" w:rsidR="00150A41">
        <w:rPr>
          <w:b/>
          <w:szCs w:val="24"/>
        </w:rPr>
        <w:t xml:space="preserve"> total annual hours.  </w:t>
      </w:r>
    </w:p>
    <w:p w:rsidR="00150A41" w:rsidRPr="009F71D4" w:rsidP="009F71D4" w14:paraId="0F6C8DFF" w14:textId="77777777">
      <w:pPr>
        <w:pStyle w:val="ListParagraph"/>
        <w:ind w:left="1350"/>
        <w:rPr>
          <w:szCs w:val="24"/>
        </w:rPr>
      </w:pPr>
    </w:p>
    <w:p w:rsidR="00150A41" w:rsidRPr="009F71D4" w:rsidP="009F71D4" w14:paraId="52903625" w14:textId="1D944905">
      <w:pPr>
        <w:pStyle w:val="ListParagraph"/>
        <w:numPr>
          <w:ilvl w:val="3"/>
          <w:numId w:val="1"/>
        </w:numPr>
        <w:ind w:left="1350"/>
        <w:rPr>
          <w:szCs w:val="24"/>
        </w:rPr>
      </w:pPr>
      <w:r w:rsidRPr="009F71D4">
        <w:rPr>
          <w:szCs w:val="24"/>
          <w:u w:val="single"/>
        </w:rPr>
        <w:t>Total estimate of in-house cost to respondents</w:t>
      </w:r>
      <w:r w:rsidRPr="009F71D4">
        <w:rPr>
          <w:szCs w:val="24"/>
        </w:rPr>
        <w:t>:</w:t>
      </w:r>
      <w:r w:rsidRPr="009F71D4" w:rsidR="007E4C79">
        <w:rPr>
          <w:szCs w:val="24"/>
        </w:rPr>
        <w:t xml:space="preserve"> </w:t>
      </w:r>
      <w:r w:rsidRPr="009F71D4">
        <w:rPr>
          <w:szCs w:val="24"/>
        </w:rPr>
        <w:t>$</w:t>
      </w:r>
      <w:r w:rsidRPr="009F71D4" w:rsidR="00037467">
        <w:rPr>
          <w:szCs w:val="24"/>
        </w:rPr>
        <w:t>0</w:t>
      </w:r>
      <w:r w:rsidRPr="009F71D4" w:rsidR="00F5563F">
        <w:rPr>
          <w:szCs w:val="24"/>
        </w:rPr>
        <w:t xml:space="preserve"> </w:t>
      </w:r>
      <w:r w:rsidRPr="009F71D4">
        <w:rPr>
          <w:szCs w:val="24"/>
        </w:rPr>
        <w:t>(</w:t>
      </w:r>
      <w:r w:rsidRPr="009F71D4" w:rsidR="00F5563F">
        <w:rPr>
          <w:szCs w:val="24"/>
        </w:rPr>
        <w:t>0</w:t>
      </w:r>
      <w:r w:rsidRPr="009F71D4" w:rsidR="00BA03CD">
        <w:rPr>
          <w:szCs w:val="24"/>
        </w:rPr>
        <w:t xml:space="preserve"> </w:t>
      </w:r>
      <w:r w:rsidRPr="009F71D4">
        <w:rPr>
          <w:szCs w:val="24"/>
        </w:rPr>
        <w:t>hours x $0/h</w:t>
      </w:r>
      <w:r w:rsidRPr="009F71D4" w:rsidR="005E011F">
        <w:rPr>
          <w:szCs w:val="24"/>
        </w:rPr>
        <w:t>our</w:t>
      </w:r>
      <w:r w:rsidRPr="009F71D4">
        <w:rPr>
          <w:szCs w:val="24"/>
        </w:rPr>
        <w:t>).</w:t>
      </w:r>
    </w:p>
    <w:p w:rsidR="00150A41" w:rsidRPr="009F71D4" w:rsidP="009F71D4" w14:paraId="017A005D" w14:textId="77777777">
      <w:pPr>
        <w:pStyle w:val="ListParagraph"/>
        <w:ind w:left="1350"/>
        <w:rPr>
          <w:szCs w:val="24"/>
        </w:rPr>
      </w:pPr>
    </w:p>
    <w:p w:rsidR="004B0389" w:rsidRPr="009F71D4" w:rsidP="009F71D4" w14:paraId="406C97DF" w14:textId="5CC1FA50">
      <w:pPr>
        <w:pStyle w:val="ListParagraph"/>
        <w:numPr>
          <w:ilvl w:val="3"/>
          <w:numId w:val="1"/>
        </w:numPr>
        <w:ind w:left="1350"/>
        <w:rPr>
          <w:szCs w:val="24"/>
        </w:rPr>
      </w:pPr>
      <w:r w:rsidRPr="009F71D4">
        <w:rPr>
          <w:szCs w:val="24"/>
          <w:u w:val="single"/>
        </w:rPr>
        <w:t>Explanation of calculation</w:t>
      </w:r>
      <w:r w:rsidRPr="009F71D4">
        <w:rPr>
          <w:szCs w:val="24"/>
        </w:rPr>
        <w:t xml:space="preserve">: </w:t>
      </w:r>
      <w:r w:rsidRPr="009F71D4" w:rsidR="00FF5F41">
        <w:rPr>
          <w:szCs w:val="24"/>
        </w:rPr>
        <w:t xml:space="preserve">The obligations associated with this reporting requirement are no longer effective, so this requirement no longer applies.  The total annual hour burden and in-house costs for respondents will therefore be 0.  </w:t>
      </w:r>
    </w:p>
    <w:p w:rsidR="004B0389" w:rsidRPr="009F71D4" w:rsidP="009F71D4" w14:paraId="210B26AC" w14:textId="77777777">
      <w:pPr>
        <w:rPr>
          <w:szCs w:val="24"/>
        </w:rPr>
      </w:pPr>
    </w:p>
    <w:p w:rsidR="004B0389" w:rsidRPr="009F71D4" w:rsidP="009F71D4" w14:paraId="3879F14D" w14:textId="77777777">
      <w:pPr>
        <w:pStyle w:val="ListParagraph"/>
        <w:ind w:left="1350"/>
        <w:rPr>
          <w:szCs w:val="24"/>
        </w:rPr>
      </w:pPr>
    </w:p>
    <w:p w:rsidR="002D4734" w:rsidRPr="009F71D4" w:rsidP="009F71D4" w14:paraId="392AF695" w14:textId="0F7D5B79">
      <w:pPr>
        <w:pStyle w:val="ListParagraph"/>
        <w:numPr>
          <w:ilvl w:val="2"/>
          <w:numId w:val="1"/>
        </w:numPr>
        <w:ind w:left="900" w:firstLine="90"/>
        <w:rPr>
          <w:szCs w:val="24"/>
        </w:rPr>
      </w:pPr>
      <w:r w:rsidRPr="009F71D4">
        <w:rPr>
          <w:b/>
          <w:bCs/>
          <w:szCs w:val="24"/>
          <w:u w:val="single"/>
        </w:rPr>
        <w:t>Collection of Methods Description from Participant</w:t>
      </w:r>
      <w:r w:rsidRPr="009F71D4" w:rsidR="002C067E">
        <w:rPr>
          <w:b/>
          <w:bCs/>
          <w:szCs w:val="24"/>
          <w:u w:val="single"/>
        </w:rPr>
        <w:t>s</w:t>
      </w:r>
      <w:r w:rsidRPr="009F71D4" w:rsidR="00EF0641">
        <w:rPr>
          <w:b/>
          <w:bCs/>
          <w:szCs w:val="24"/>
          <w:u w:val="single"/>
        </w:rPr>
        <w:t xml:space="preserve"> (eliminated requirement)</w:t>
      </w:r>
      <w:r w:rsidRPr="009F71D4" w:rsidR="000F5B11">
        <w:rPr>
          <w:b/>
          <w:bCs/>
          <w:szCs w:val="24"/>
        </w:rPr>
        <w:t>:</w:t>
      </w:r>
    </w:p>
    <w:p w:rsidR="002D4734" w:rsidRPr="009F71D4" w:rsidP="009F71D4" w14:paraId="40428347" w14:textId="77777777">
      <w:pPr>
        <w:pStyle w:val="ListParagraph"/>
        <w:ind w:left="900"/>
        <w:rPr>
          <w:szCs w:val="24"/>
        </w:rPr>
      </w:pPr>
    </w:p>
    <w:p w:rsidR="002D4734" w:rsidRPr="009F71D4" w:rsidP="009F71D4" w14:paraId="52B309C4" w14:textId="18ACC36E">
      <w:pPr>
        <w:pStyle w:val="ListParagraph"/>
        <w:numPr>
          <w:ilvl w:val="3"/>
          <w:numId w:val="1"/>
        </w:numPr>
        <w:ind w:left="1350"/>
        <w:rPr>
          <w:szCs w:val="24"/>
        </w:rPr>
      </w:pPr>
      <w:r w:rsidRPr="009F71D4">
        <w:rPr>
          <w:szCs w:val="24"/>
          <w:u w:val="single"/>
        </w:rPr>
        <w:t>Number of Respondents</w:t>
      </w:r>
      <w:r w:rsidRPr="009F71D4">
        <w:rPr>
          <w:szCs w:val="24"/>
        </w:rPr>
        <w:t xml:space="preserve">: </w:t>
      </w:r>
      <w:r w:rsidRPr="009F71D4" w:rsidR="00FF5F41">
        <w:rPr>
          <w:szCs w:val="24"/>
        </w:rPr>
        <w:t>0.</w:t>
      </w:r>
    </w:p>
    <w:p w:rsidR="002D4734" w:rsidRPr="009F71D4" w:rsidP="009F71D4" w14:paraId="398A8F47" w14:textId="77777777">
      <w:pPr>
        <w:pStyle w:val="ListParagraph"/>
        <w:ind w:left="1350"/>
        <w:rPr>
          <w:szCs w:val="24"/>
        </w:rPr>
      </w:pPr>
    </w:p>
    <w:p w:rsidR="002D4734" w:rsidRPr="009F71D4" w:rsidP="009F71D4" w14:paraId="13A75FED" w14:textId="36D209CF">
      <w:pPr>
        <w:pStyle w:val="ListParagraph"/>
        <w:numPr>
          <w:ilvl w:val="3"/>
          <w:numId w:val="1"/>
        </w:numPr>
        <w:ind w:left="1350"/>
        <w:rPr>
          <w:szCs w:val="24"/>
        </w:rPr>
      </w:pPr>
      <w:r w:rsidRPr="009F71D4">
        <w:rPr>
          <w:szCs w:val="24"/>
          <w:u w:val="single"/>
        </w:rPr>
        <w:t>Frequency of Response</w:t>
      </w:r>
      <w:r w:rsidRPr="009F71D4">
        <w:rPr>
          <w:szCs w:val="24"/>
        </w:rPr>
        <w:t xml:space="preserve">: </w:t>
      </w:r>
      <w:r w:rsidRPr="009F71D4" w:rsidR="00FF5F41">
        <w:rPr>
          <w:szCs w:val="24"/>
        </w:rPr>
        <w:t>N/A</w:t>
      </w:r>
      <w:r w:rsidRPr="009F71D4" w:rsidR="004432D9">
        <w:rPr>
          <w:szCs w:val="24"/>
        </w:rPr>
        <w:t>.</w:t>
      </w:r>
    </w:p>
    <w:p w:rsidR="002D4734" w:rsidRPr="009F71D4" w:rsidP="009F71D4" w14:paraId="1717C55E" w14:textId="77777777">
      <w:pPr>
        <w:pStyle w:val="ListParagraph"/>
        <w:ind w:left="1350"/>
        <w:rPr>
          <w:szCs w:val="24"/>
        </w:rPr>
      </w:pPr>
    </w:p>
    <w:p w:rsidR="002D4734" w:rsidRPr="009F71D4" w:rsidP="009F71D4" w14:paraId="05FB5875" w14:textId="32CF228A">
      <w:pPr>
        <w:pStyle w:val="ListParagraph"/>
        <w:numPr>
          <w:ilvl w:val="3"/>
          <w:numId w:val="1"/>
        </w:numPr>
        <w:ind w:left="1350"/>
        <w:rPr>
          <w:szCs w:val="24"/>
        </w:rPr>
      </w:pPr>
      <w:r w:rsidRPr="009F71D4">
        <w:rPr>
          <w:szCs w:val="24"/>
          <w:u w:val="single"/>
        </w:rPr>
        <w:t>Total number of responses per respondent</w:t>
      </w:r>
      <w:r w:rsidRPr="009F71D4">
        <w:rPr>
          <w:szCs w:val="24"/>
        </w:rPr>
        <w:t xml:space="preserve">: </w:t>
      </w:r>
      <w:r w:rsidRPr="009F71D4" w:rsidR="00FF5F41">
        <w:rPr>
          <w:szCs w:val="24"/>
        </w:rPr>
        <w:t>0</w:t>
      </w:r>
      <w:r w:rsidRPr="009F71D4" w:rsidR="006F3E27">
        <w:rPr>
          <w:szCs w:val="24"/>
        </w:rPr>
        <w:t>.</w:t>
      </w:r>
    </w:p>
    <w:p w:rsidR="002D4734" w:rsidRPr="009F71D4" w:rsidP="009F71D4" w14:paraId="167D218D" w14:textId="77777777">
      <w:pPr>
        <w:pStyle w:val="ListParagraph"/>
        <w:ind w:left="1350"/>
        <w:rPr>
          <w:szCs w:val="24"/>
        </w:rPr>
      </w:pPr>
    </w:p>
    <w:p w:rsidR="002D4734" w:rsidRPr="009F71D4" w:rsidP="009F71D4" w14:paraId="597CD5AB" w14:textId="4F6CE7E4">
      <w:pPr>
        <w:pStyle w:val="ListParagraph"/>
        <w:numPr>
          <w:ilvl w:val="3"/>
          <w:numId w:val="1"/>
        </w:numPr>
        <w:ind w:left="1350"/>
        <w:rPr>
          <w:szCs w:val="24"/>
        </w:rPr>
      </w:pPr>
      <w:r w:rsidRPr="009F71D4">
        <w:rPr>
          <w:szCs w:val="24"/>
          <w:u w:val="single"/>
        </w:rPr>
        <w:t>Estimated time per response</w:t>
      </w:r>
      <w:r w:rsidRPr="009F71D4">
        <w:rPr>
          <w:szCs w:val="24"/>
        </w:rPr>
        <w:t xml:space="preserve">: </w:t>
      </w:r>
      <w:r w:rsidRPr="009F71D4" w:rsidR="00FF5F41">
        <w:rPr>
          <w:szCs w:val="24"/>
        </w:rPr>
        <w:t>0</w:t>
      </w:r>
      <w:r w:rsidRPr="009F71D4">
        <w:rPr>
          <w:szCs w:val="24"/>
        </w:rPr>
        <w:t xml:space="preserve"> hours</w:t>
      </w:r>
      <w:r w:rsidRPr="009F71D4" w:rsidR="00493234">
        <w:rPr>
          <w:szCs w:val="24"/>
        </w:rPr>
        <w:t>.</w:t>
      </w:r>
    </w:p>
    <w:p w:rsidR="002D4734" w:rsidRPr="009F71D4" w:rsidP="009F71D4" w14:paraId="251DEAD9" w14:textId="77777777">
      <w:pPr>
        <w:rPr>
          <w:szCs w:val="24"/>
        </w:rPr>
      </w:pPr>
    </w:p>
    <w:p w:rsidR="002D4734" w:rsidRPr="009F71D4" w:rsidP="009F71D4" w14:paraId="07C745A0" w14:textId="2008F4EA">
      <w:pPr>
        <w:pStyle w:val="ListParagraph"/>
        <w:numPr>
          <w:ilvl w:val="3"/>
          <w:numId w:val="1"/>
        </w:numPr>
        <w:ind w:left="1350"/>
        <w:rPr>
          <w:szCs w:val="24"/>
        </w:rPr>
      </w:pPr>
      <w:r w:rsidRPr="009F71D4">
        <w:rPr>
          <w:szCs w:val="24"/>
          <w:u w:val="single"/>
        </w:rPr>
        <w:t>Total annual hour burden</w:t>
      </w:r>
      <w:r w:rsidRPr="009F71D4">
        <w:rPr>
          <w:szCs w:val="24"/>
        </w:rPr>
        <w:t>:</w:t>
      </w:r>
      <w:r w:rsidRPr="009F71D4" w:rsidR="00DB2CF8">
        <w:rPr>
          <w:szCs w:val="24"/>
        </w:rPr>
        <w:t xml:space="preserve"> </w:t>
      </w:r>
      <w:r w:rsidRPr="009F71D4" w:rsidR="00FF5F41">
        <w:rPr>
          <w:szCs w:val="24"/>
        </w:rPr>
        <w:t>0 hours</w:t>
      </w:r>
      <w:r w:rsidRPr="009F71D4" w:rsidR="004432D9">
        <w:rPr>
          <w:szCs w:val="24"/>
        </w:rPr>
        <w:t>.</w:t>
      </w:r>
      <w:r w:rsidRPr="009F71D4">
        <w:rPr>
          <w:szCs w:val="24"/>
        </w:rPr>
        <w:t xml:space="preserve">  </w:t>
      </w:r>
    </w:p>
    <w:p w:rsidR="002D4734" w:rsidRPr="009F71D4" w:rsidP="009F71D4" w14:paraId="02C6C6D9" w14:textId="77777777">
      <w:pPr>
        <w:rPr>
          <w:szCs w:val="24"/>
        </w:rPr>
      </w:pPr>
    </w:p>
    <w:p w:rsidR="00FF5F41" w:rsidRPr="009F71D4" w:rsidP="009F71D4" w14:paraId="58FCECC3" w14:textId="77777777">
      <w:pPr>
        <w:pStyle w:val="ListParagraph"/>
        <w:ind w:left="1350"/>
        <w:rPr>
          <w:szCs w:val="24"/>
        </w:rPr>
      </w:pPr>
      <w:r w:rsidRPr="009F71D4">
        <w:rPr>
          <w:szCs w:val="24"/>
        </w:rPr>
        <w:t xml:space="preserve">0 hours per response per respondent filing.  Total annual hour burden is calculated as follows:  </w:t>
      </w:r>
    </w:p>
    <w:p w:rsidR="00FF5F41" w:rsidRPr="009F71D4" w:rsidP="009F71D4" w14:paraId="7A13ED06" w14:textId="77777777">
      <w:pPr>
        <w:pStyle w:val="ListParagraph"/>
        <w:ind w:left="1350"/>
        <w:rPr>
          <w:szCs w:val="24"/>
        </w:rPr>
      </w:pPr>
    </w:p>
    <w:p w:rsidR="002D4734" w:rsidRPr="009F71D4" w:rsidP="009F71D4" w14:paraId="64AFD1EA" w14:textId="6978E681">
      <w:pPr>
        <w:pStyle w:val="ListParagraph"/>
        <w:ind w:left="1350"/>
        <w:rPr>
          <w:szCs w:val="24"/>
        </w:rPr>
      </w:pPr>
      <w:r w:rsidRPr="009F71D4">
        <w:rPr>
          <w:szCs w:val="24"/>
        </w:rPr>
        <w:t xml:space="preserve">0 respondents x 0 response x 0 hours = </w:t>
      </w:r>
      <w:r w:rsidRPr="009F71D4">
        <w:rPr>
          <w:b/>
          <w:szCs w:val="24"/>
        </w:rPr>
        <w:t xml:space="preserve">0 total annual hours.  </w:t>
      </w:r>
      <w:r w:rsidRPr="009F71D4" w:rsidR="00774B3C">
        <w:rPr>
          <w:szCs w:val="24"/>
        </w:rPr>
        <w:t xml:space="preserve"> </w:t>
      </w:r>
    </w:p>
    <w:p w:rsidR="002D4734" w:rsidRPr="009F71D4" w:rsidP="009F71D4" w14:paraId="4814E350" w14:textId="77777777">
      <w:pPr>
        <w:pStyle w:val="ListParagraph"/>
        <w:ind w:left="1350"/>
        <w:rPr>
          <w:szCs w:val="24"/>
        </w:rPr>
      </w:pPr>
    </w:p>
    <w:p w:rsidR="002D4734" w:rsidRPr="009F71D4" w:rsidP="009F71D4" w14:paraId="64613DB7" w14:textId="12A87BBE">
      <w:pPr>
        <w:pStyle w:val="ListParagraph"/>
        <w:numPr>
          <w:ilvl w:val="3"/>
          <w:numId w:val="1"/>
        </w:numPr>
        <w:ind w:left="1350"/>
        <w:rPr>
          <w:szCs w:val="24"/>
        </w:rPr>
      </w:pPr>
      <w:r w:rsidRPr="009F71D4">
        <w:rPr>
          <w:szCs w:val="24"/>
          <w:u w:val="single"/>
        </w:rPr>
        <w:t>Total estimate of in-house cost to respondents</w:t>
      </w:r>
      <w:r w:rsidRPr="009F71D4">
        <w:rPr>
          <w:szCs w:val="24"/>
        </w:rPr>
        <w:t>: $</w:t>
      </w:r>
      <w:r w:rsidRPr="009F71D4" w:rsidR="00FF5F41">
        <w:rPr>
          <w:szCs w:val="24"/>
        </w:rPr>
        <w:t>0</w:t>
      </w:r>
      <w:r w:rsidRPr="009F71D4">
        <w:rPr>
          <w:szCs w:val="24"/>
        </w:rPr>
        <w:t xml:space="preserve"> (</w:t>
      </w:r>
      <w:r w:rsidRPr="009F71D4" w:rsidR="00FF5F41">
        <w:rPr>
          <w:szCs w:val="24"/>
        </w:rPr>
        <w:t>0</w:t>
      </w:r>
      <w:r w:rsidRPr="009F71D4">
        <w:rPr>
          <w:szCs w:val="24"/>
        </w:rPr>
        <w:t xml:space="preserve"> hours x $0/h</w:t>
      </w:r>
      <w:r w:rsidRPr="009F71D4" w:rsidR="005E011F">
        <w:rPr>
          <w:szCs w:val="24"/>
        </w:rPr>
        <w:t>our</w:t>
      </w:r>
      <w:r w:rsidRPr="009F71D4">
        <w:rPr>
          <w:szCs w:val="24"/>
        </w:rPr>
        <w:t>).</w:t>
      </w:r>
    </w:p>
    <w:p w:rsidR="002D4734" w:rsidRPr="009F71D4" w:rsidP="009F71D4" w14:paraId="01898487" w14:textId="77777777">
      <w:pPr>
        <w:pStyle w:val="ListParagraph"/>
        <w:ind w:left="1350"/>
        <w:rPr>
          <w:szCs w:val="24"/>
        </w:rPr>
      </w:pPr>
    </w:p>
    <w:p w:rsidR="00B5723C" w:rsidRPr="009F71D4" w:rsidP="009F71D4" w14:paraId="46198038" w14:textId="649FED7B">
      <w:pPr>
        <w:pStyle w:val="ListParagraph"/>
        <w:numPr>
          <w:ilvl w:val="3"/>
          <w:numId w:val="1"/>
        </w:numPr>
        <w:ind w:left="1350"/>
        <w:rPr>
          <w:szCs w:val="24"/>
        </w:rPr>
      </w:pPr>
      <w:r w:rsidRPr="009F71D4">
        <w:rPr>
          <w:szCs w:val="24"/>
          <w:u w:val="single"/>
        </w:rPr>
        <w:t>Explanation of calculation</w:t>
      </w:r>
      <w:r w:rsidRPr="009F71D4">
        <w:rPr>
          <w:szCs w:val="24"/>
        </w:rPr>
        <w:t xml:space="preserve">: </w:t>
      </w:r>
      <w:r w:rsidRPr="009F71D4" w:rsidR="00F560A7">
        <w:rPr>
          <w:szCs w:val="24"/>
        </w:rPr>
        <w:t xml:space="preserve">The obligations associated with this reporting requirement are no longer effective, so this requirement no longer applies.  The total annual hour burden and in-house costs for respondents will therefore be 0.  </w:t>
      </w:r>
    </w:p>
    <w:p w:rsidR="00024B3E" w:rsidRPr="009F71D4" w:rsidP="009F71D4" w14:paraId="3EA98988" w14:textId="77777777">
      <w:pPr>
        <w:pStyle w:val="ListParagraph"/>
        <w:ind w:left="1350"/>
        <w:rPr>
          <w:szCs w:val="24"/>
        </w:rPr>
      </w:pPr>
    </w:p>
    <w:p w:rsidR="00B26E02" w:rsidRPr="009F71D4" w:rsidP="009F71D4" w14:paraId="5B58B0B2" w14:textId="740EA9F0">
      <w:pPr>
        <w:pStyle w:val="ListParagraph"/>
        <w:numPr>
          <w:ilvl w:val="2"/>
          <w:numId w:val="1"/>
        </w:numPr>
        <w:ind w:left="990" w:firstLine="0"/>
        <w:rPr>
          <w:szCs w:val="24"/>
        </w:rPr>
      </w:pPr>
      <w:r w:rsidRPr="009F71D4">
        <w:rPr>
          <w:szCs w:val="24"/>
        </w:rPr>
        <w:t xml:space="preserve"> </w:t>
      </w:r>
      <w:r w:rsidRPr="009F71D4" w:rsidR="00946545">
        <w:rPr>
          <w:b/>
          <w:szCs w:val="24"/>
          <w:u w:val="single"/>
        </w:rPr>
        <w:t>Collection of Supporting Evidence from Participants</w:t>
      </w:r>
      <w:r w:rsidRPr="009F71D4" w:rsidR="00EF0641">
        <w:rPr>
          <w:b/>
          <w:szCs w:val="24"/>
          <w:u w:val="single"/>
        </w:rPr>
        <w:t xml:space="preserve"> (eliminated requirement)</w:t>
      </w:r>
      <w:r w:rsidRPr="009F71D4" w:rsidR="002444C7">
        <w:rPr>
          <w:b/>
          <w:szCs w:val="24"/>
        </w:rPr>
        <w:t>:</w:t>
      </w:r>
    </w:p>
    <w:p w:rsidR="004C2436" w:rsidRPr="009F71D4" w:rsidP="009F71D4" w14:paraId="747F7A06" w14:textId="77777777">
      <w:pPr>
        <w:pStyle w:val="ListParagraph"/>
        <w:ind w:left="990"/>
        <w:rPr>
          <w:szCs w:val="24"/>
        </w:rPr>
      </w:pPr>
    </w:p>
    <w:p w:rsidR="004C2436" w:rsidRPr="009F71D4" w:rsidP="009F71D4" w14:paraId="59791E75" w14:textId="66667022">
      <w:pPr>
        <w:pStyle w:val="ListParagraph"/>
        <w:numPr>
          <w:ilvl w:val="3"/>
          <w:numId w:val="1"/>
        </w:numPr>
        <w:ind w:left="1350"/>
        <w:rPr>
          <w:szCs w:val="24"/>
        </w:rPr>
      </w:pPr>
      <w:r w:rsidRPr="009F71D4">
        <w:rPr>
          <w:szCs w:val="24"/>
          <w:u w:val="single"/>
        </w:rPr>
        <w:t>Number of Respondents</w:t>
      </w:r>
      <w:r w:rsidRPr="009F71D4">
        <w:rPr>
          <w:szCs w:val="24"/>
        </w:rPr>
        <w:t xml:space="preserve">: </w:t>
      </w:r>
      <w:r w:rsidRPr="009F71D4" w:rsidR="00F560A7">
        <w:rPr>
          <w:szCs w:val="24"/>
        </w:rPr>
        <w:t>0</w:t>
      </w:r>
      <w:r w:rsidRPr="009F71D4" w:rsidR="00946545">
        <w:rPr>
          <w:szCs w:val="24"/>
        </w:rPr>
        <w:t xml:space="preserve">.   </w:t>
      </w:r>
    </w:p>
    <w:p w:rsidR="004C2436" w:rsidRPr="009F71D4" w:rsidP="009F71D4" w14:paraId="16924619" w14:textId="77777777">
      <w:pPr>
        <w:pStyle w:val="ListParagraph"/>
        <w:ind w:left="1350"/>
        <w:rPr>
          <w:szCs w:val="24"/>
        </w:rPr>
      </w:pPr>
    </w:p>
    <w:p w:rsidR="004C2436" w:rsidRPr="009F71D4" w:rsidP="009F71D4" w14:paraId="0497ED86" w14:textId="02E8AA23">
      <w:pPr>
        <w:pStyle w:val="ListParagraph"/>
        <w:numPr>
          <w:ilvl w:val="3"/>
          <w:numId w:val="1"/>
        </w:numPr>
        <w:ind w:left="1350"/>
        <w:rPr>
          <w:szCs w:val="24"/>
        </w:rPr>
      </w:pPr>
      <w:r w:rsidRPr="009F71D4">
        <w:rPr>
          <w:szCs w:val="24"/>
          <w:u w:val="single"/>
        </w:rPr>
        <w:t>Frequency of Response</w:t>
      </w:r>
      <w:r w:rsidRPr="009F71D4">
        <w:rPr>
          <w:szCs w:val="24"/>
        </w:rPr>
        <w:t xml:space="preserve">: </w:t>
      </w:r>
      <w:r w:rsidRPr="009F71D4" w:rsidR="00F560A7">
        <w:rPr>
          <w:szCs w:val="24"/>
        </w:rPr>
        <w:t>N/A</w:t>
      </w:r>
      <w:r w:rsidRPr="009F71D4" w:rsidR="00024B3E">
        <w:rPr>
          <w:szCs w:val="24"/>
        </w:rPr>
        <w:t>.</w:t>
      </w:r>
    </w:p>
    <w:p w:rsidR="004C2436" w:rsidRPr="009F71D4" w:rsidP="009F71D4" w14:paraId="537FE93F" w14:textId="77777777">
      <w:pPr>
        <w:pStyle w:val="ListParagraph"/>
        <w:ind w:left="1350"/>
        <w:rPr>
          <w:szCs w:val="24"/>
        </w:rPr>
      </w:pPr>
    </w:p>
    <w:p w:rsidR="004C2436" w:rsidRPr="009F71D4" w:rsidP="009F71D4" w14:paraId="6D23FF3C" w14:textId="32D3B5C4">
      <w:pPr>
        <w:pStyle w:val="ListParagraph"/>
        <w:numPr>
          <w:ilvl w:val="3"/>
          <w:numId w:val="1"/>
        </w:numPr>
        <w:ind w:left="1350"/>
        <w:rPr>
          <w:szCs w:val="24"/>
        </w:rPr>
      </w:pPr>
      <w:r w:rsidRPr="009F71D4">
        <w:rPr>
          <w:szCs w:val="24"/>
          <w:u w:val="single"/>
        </w:rPr>
        <w:t>Total number of responses per respondent</w:t>
      </w:r>
      <w:r w:rsidRPr="009F71D4">
        <w:rPr>
          <w:szCs w:val="24"/>
        </w:rPr>
        <w:t xml:space="preserve">: </w:t>
      </w:r>
      <w:r w:rsidRPr="009F71D4" w:rsidR="00F560A7">
        <w:rPr>
          <w:szCs w:val="24"/>
        </w:rPr>
        <w:t>0</w:t>
      </w:r>
      <w:r w:rsidRPr="009F71D4" w:rsidR="0029608D">
        <w:rPr>
          <w:szCs w:val="24"/>
        </w:rPr>
        <w:t>.</w:t>
      </w:r>
    </w:p>
    <w:p w:rsidR="004C2436" w:rsidRPr="009F71D4" w:rsidP="009F71D4" w14:paraId="19038979" w14:textId="77777777">
      <w:pPr>
        <w:pStyle w:val="ListParagraph"/>
        <w:ind w:left="1350"/>
        <w:rPr>
          <w:szCs w:val="24"/>
        </w:rPr>
      </w:pPr>
    </w:p>
    <w:p w:rsidR="004C2436" w:rsidRPr="009F71D4" w:rsidP="009F71D4" w14:paraId="37BDB75B" w14:textId="7EF0EAC1">
      <w:pPr>
        <w:pStyle w:val="ListParagraph"/>
        <w:numPr>
          <w:ilvl w:val="3"/>
          <w:numId w:val="1"/>
        </w:numPr>
        <w:ind w:left="1350"/>
        <w:rPr>
          <w:szCs w:val="24"/>
        </w:rPr>
      </w:pPr>
      <w:r w:rsidRPr="009F71D4">
        <w:rPr>
          <w:szCs w:val="24"/>
          <w:u w:val="single"/>
        </w:rPr>
        <w:t>Estimated time per response</w:t>
      </w:r>
      <w:r w:rsidRPr="009F71D4">
        <w:rPr>
          <w:szCs w:val="24"/>
        </w:rPr>
        <w:t xml:space="preserve">: </w:t>
      </w:r>
      <w:r w:rsidRPr="009F71D4" w:rsidR="00F560A7">
        <w:rPr>
          <w:szCs w:val="24"/>
        </w:rPr>
        <w:t>0</w:t>
      </w:r>
      <w:r w:rsidRPr="009F71D4" w:rsidR="004F6AE7">
        <w:rPr>
          <w:szCs w:val="24"/>
        </w:rPr>
        <w:t xml:space="preserve"> hours</w:t>
      </w:r>
      <w:r w:rsidRPr="009F71D4" w:rsidR="0029608D">
        <w:rPr>
          <w:szCs w:val="24"/>
        </w:rPr>
        <w:t>.</w:t>
      </w:r>
    </w:p>
    <w:p w:rsidR="004C2436" w:rsidRPr="009F71D4" w:rsidP="009F71D4" w14:paraId="042FF415" w14:textId="77777777">
      <w:pPr>
        <w:pStyle w:val="ListParagraph"/>
        <w:ind w:left="1350"/>
        <w:rPr>
          <w:szCs w:val="24"/>
        </w:rPr>
      </w:pPr>
    </w:p>
    <w:p w:rsidR="004C2436" w:rsidRPr="009F71D4" w:rsidP="009F71D4" w14:paraId="3EB36AD3" w14:textId="7B6AFB0D">
      <w:pPr>
        <w:pStyle w:val="ListParagraph"/>
        <w:numPr>
          <w:ilvl w:val="3"/>
          <w:numId w:val="1"/>
        </w:numPr>
        <w:ind w:left="1350"/>
        <w:rPr>
          <w:szCs w:val="24"/>
        </w:rPr>
      </w:pPr>
      <w:r w:rsidRPr="009F71D4">
        <w:rPr>
          <w:szCs w:val="24"/>
          <w:u w:val="single"/>
        </w:rPr>
        <w:t>Total annual hour burden</w:t>
      </w:r>
      <w:r w:rsidRPr="009F71D4">
        <w:rPr>
          <w:szCs w:val="24"/>
        </w:rPr>
        <w:t>:</w:t>
      </w:r>
      <w:r w:rsidRPr="009F71D4" w:rsidR="00DB2CF8">
        <w:rPr>
          <w:szCs w:val="24"/>
        </w:rPr>
        <w:t xml:space="preserve"> </w:t>
      </w:r>
      <w:r w:rsidRPr="009F71D4" w:rsidR="00024B3E">
        <w:rPr>
          <w:szCs w:val="24"/>
        </w:rPr>
        <w:t>0</w:t>
      </w:r>
      <w:r w:rsidRPr="009F71D4" w:rsidR="00F560A7">
        <w:rPr>
          <w:szCs w:val="24"/>
        </w:rPr>
        <w:t xml:space="preserve"> hours</w:t>
      </w:r>
      <w:r w:rsidRPr="009F71D4" w:rsidR="0029608D">
        <w:rPr>
          <w:szCs w:val="24"/>
        </w:rPr>
        <w:t>.</w:t>
      </w:r>
      <w:r w:rsidRPr="009F71D4">
        <w:rPr>
          <w:szCs w:val="24"/>
        </w:rPr>
        <w:t xml:space="preserve">     </w:t>
      </w:r>
    </w:p>
    <w:p w:rsidR="004C2436" w:rsidRPr="009F71D4" w:rsidP="009F71D4" w14:paraId="0415E60A" w14:textId="77777777">
      <w:pPr>
        <w:pStyle w:val="ListParagraph"/>
        <w:ind w:left="1350"/>
        <w:rPr>
          <w:szCs w:val="24"/>
        </w:rPr>
      </w:pPr>
    </w:p>
    <w:p w:rsidR="00E02BFA" w:rsidRPr="009F71D4" w:rsidP="009F71D4" w14:paraId="4C04DD66" w14:textId="77777777">
      <w:pPr>
        <w:ind w:left="1350" w:firstLine="90"/>
        <w:rPr>
          <w:szCs w:val="24"/>
        </w:rPr>
      </w:pPr>
      <w:r w:rsidRPr="009F71D4">
        <w:rPr>
          <w:szCs w:val="24"/>
        </w:rPr>
        <w:t xml:space="preserve">0 hours per respondent for 0 carriers filing on an annual basis.  Total annual hour burden is calculated as follows:  </w:t>
      </w:r>
    </w:p>
    <w:p w:rsidR="00E02BFA" w:rsidRPr="009F71D4" w:rsidP="009F71D4" w14:paraId="71AE615D" w14:textId="77777777">
      <w:pPr>
        <w:ind w:left="720"/>
        <w:rPr>
          <w:szCs w:val="24"/>
        </w:rPr>
      </w:pPr>
    </w:p>
    <w:p w:rsidR="004C2436" w:rsidRPr="009F71D4" w:rsidP="009F71D4" w14:paraId="6FC608B4" w14:textId="4CEFA8D4">
      <w:pPr>
        <w:pStyle w:val="ListParagraph"/>
        <w:ind w:left="1350"/>
        <w:rPr>
          <w:szCs w:val="24"/>
        </w:rPr>
      </w:pPr>
      <w:r w:rsidRPr="009F71D4">
        <w:rPr>
          <w:szCs w:val="24"/>
        </w:rPr>
        <w:t xml:space="preserve">0 respondents x 0 report per respondent = 0 responses x 0 hours = </w:t>
      </w:r>
      <w:r w:rsidRPr="009F71D4">
        <w:rPr>
          <w:b/>
          <w:szCs w:val="24"/>
        </w:rPr>
        <w:t>0 total annual hours</w:t>
      </w:r>
      <w:r w:rsidRPr="009F71D4" w:rsidR="00774B3C">
        <w:rPr>
          <w:b/>
          <w:szCs w:val="24"/>
        </w:rPr>
        <w:t>.</w:t>
      </w:r>
      <w:r w:rsidRPr="009F71D4" w:rsidR="00774B3C">
        <w:rPr>
          <w:szCs w:val="24"/>
        </w:rPr>
        <w:t xml:space="preserve">  </w:t>
      </w:r>
    </w:p>
    <w:p w:rsidR="004C2436" w:rsidRPr="009F71D4" w:rsidP="009F71D4" w14:paraId="1B48D5D5" w14:textId="77777777">
      <w:pPr>
        <w:pStyle w:val="ListParagraph"/>
        <w:ind w:left="1350"/>
        <w:rPr>
          <w:szCs w:val="24"/>
        </w:rPr>
      </w:pPr>
    </w:p>
    <w:p w:rsidR="004C2436" w:rsidRPr="009F71D4" w:rsidP="009F71D4" w14:paraId="54400A58" w14:textId="5041A7A9">
      <w:pPr>
        <w:pStyle w:val="ListParagraph"/>
        <w:numPr>
          <w:ilvl w:val="3"/>
          <w:numId w:val="1"/>
        </w:numPr>
        <w:ind w:left="1350"/>
        <w:rPr>
          <w:szCs w:val="24"/>
        </w:rPr>
      </w:pPr>
      <w:r w:rsidRPr="009F71D4">
        <w:rPr>
          <w:szCs w:val="24"/>
          <w:u w:val="single"/>
        </w:rPr>
        <w:t>Total estimate of in-house cost to respondents</w:t>
      </w:r>
      <w:r w:rsidRPr="009F71D4">
        <w:rPr>
          <w:szCs w:val="24"/>
        </w:rPr>
        <w:t>:</w:t>
      </w:r>
      <w:r w:rsidRPr="009F71D4" w:rsidR="004F6AE7">
        <w:rPr>
          <w:szCs w:val="24"/>
        </w:rPr>
        <w:t xml:space="preserve"> </w:t>
      </w:r>
      <w:r w:rsidRPr="009F71D4" w:rsidR="0014327F">
        <w:rPr>
          <w:szCs w:val="24"/>
        </w:rPr>
        <w:t>$ 0. (0 hours x $0/hour).</w:t>
      </w:r>
    </w:p>
    <w:p w:rsidR="004C2436" w:rsidRPr="009F71D4" w:rsidP="009F71D4" w14:paraId="37D9B420" w14:textId="77777777">
      <w:pPr>
        <w:pStyle w:val="ListParagraph"/>
        <w:ind w:left="1350"/>
        <w:rPr>
          <w:szCs w:val="24"/>
        </w:rPr>
      </w:pPr>
    </w:p>
    <w:p w:rsidR="004C2436" w:rsidRPr="009F71D4" w:rsidP="009F71D4" w14:paraId="35E00784" w14:textId="01C9D2B1">
      <w:pPr>
        <w:pStyle w:val="ListParagraph"/>
        <w:numPr>
          <w:ilvl w:val="3"/>
          <w:numId w:val="1"/>
        </w:numPr>
        <w:ind w:left="1350"/>
        <w:rPr>
          <w:szCs w:val="24"/>
        </w:rPr>
      </w:pPr>
      <w:r w:rsidRPr="009F71D4">
        <w:rPr>
          <w:szCs w:val="24"/>
          <w:u w:val="single"/>
        </w:rPr>
        <w:t>Explanation of calculation</w:t>
      </w:r>
      <w:r w:rsidRPr="009F71D4">
        <w:rPr>
          <w:szCs w:val="24"/>
        </w:rPr>
        <w:t xml:space="preserve">: </w:t>
      </w:r>
      <w:r w:rsidRPr="009F71D4" w:rsidR="00DB46F9">
        <w:rPr>
          <w:szCs w:val="24"/>
        </w:rPr>
        <w:t xml:space="preserve">The obligations associated with this reporting requirement are no longer effective, so this requirement no longer applies.  The total annual hour burden and in-house costs for respondents will therefore be 0.  </w:t>
      </w:r>
    </w:p>
    <w:p w:rsidR="004F6AE7" w:rsidRPr="009F71D4" w:rsidP="009F71D4" w14:paraId="6E8D2F43" w14:textId="77777777">
      <w:pPr>
        <w:rPr>
          <w:szCs w:val="24"/>
        </w:rPr>
      </w:pPr>
    </w:p>
    <w:p w:rsidR="00024B3E" w:rsidRPr="009F71D4" w:rsidP="009F71D4" w14:paraId="046E37F8" w14:textId="77777777">
      <w:pPr>
        <w:pStyle w:val="ListParagraph"/>
        <w:rPr>
          <w:szCs w:val="24"/>
        </w:rPr>
      </w:pPr>
    </w:p>
    <w:p w:rsidR="00377594" w:rsidRPr="009F71D4" w:rsidP="009F71D4" w14:paraId="6F536D86" w14:textId="0FB2FCDA">
      <w:pPr>
        <w:pStyle w:val="ListParagraph"/>
        <w:numPr>
          <w:ilvl w:val="2"/>
          <w:numId w:val="1"/>
        </w:numPr>
        <w:ind w:left="990" w:firstLine="90"/>
        <w:rPr>
          <w:b/>
          <w:szCs w:val="24"/>
        </w:rPr>
      </w:pPr>
      <w:r w:rsidRPr="009F71D4">
        <w:rPr>
          <w:b/>
          <w:szCs w:val="24"/>
          <w:u w:val="single"/>
        </w:rPr>
        <w:t>Collection of Information Verifying Stakeholder Eligibility</w:t>
      </w:r>
      <w:r w:rsidRPr="009F71D4" w:rsidR="00516422">
        <w:rPr>
          <w:b/>
          <w:szCs w:val="24"/>
          <w:u w:val="single"/>
        </w:rPr>
        <w:t xml:space="preserve"> (eliminated requirement</w:t>
      </w:r>
      <w:r w:rsidRPr="009F71D4">
        <w:rPr>
          <w:b/>
          <w:szCs w:val="24"/>
        </w:rPr>
        <w:t>:</w:t>
      </w:r>
    </w:p>
    <w:p w:rsidR="00377594" w:rsidRPr="009F71D4" w:rsidP="009F71D4" w14:paraId="54D485C6" w14:textId="77777777">
      <w:pPr>
        <w:pStyle w:val="ListParagraph"/>
        <w:ind w:left="900"/>
        <w:rPr>
          <w:szCs w:val="24"/>
        </w:rPr>
      </w:pPr>
    </w:p>
    <w:p w:rsidR="00377594" w:rsidRPr="009F71D4" w:rsidP="009F71D4" w14:paraId="781CD079" w14:textId="36A4910A">
      <w:pPr>
        <w:pStyle w:val="ListParagraph"/>
        <w:numPr>
          <w:ilvl w:val="3"/>
          <w:numId w:val="1"/>
        </w:numPr>
        <w:ind w:left="1350"/>
        <w:rPr>
          <w:szCs w:val="24"/>
        </w:rPr>
      </w:pPr>
      <w:r w:rsidRPr="009F71D4">
        <w:rPr>
          <w:szCs w:val="24"/>
          <w:u w:val="single"/>
        </w:rPr>
        <w:t>Number of Respondents</w:t>
      </w:r>
      <w:r w:rsidRPr="009F71D4">
        <w:rPr>
          <w:szCs w:val="24"/>
        </w:rPr>
        <w:t xml:space="preserve">: </w:t>
      </w:r>
      <w:r w:rsidRPr="009F71D4" w:rsidR="00DB46F9">
        <w:rPr>
          <w:szCs w:val="24"/>
        </w:rPr>
        <w:t>0</w:t>
      </w:r>
      <w:r w:rsidRPr="009F71D4">
        <w:rPr>
          <w:szCs w:val="24"/>
        </w:rPr>
        <w:t>.</w:t>
      </w:r>
    </w:p>
    <w:p w:rsidR="00377594" w:rsidRPr="009F71D4" w:rsidP="009F71D4" w14:paraId="0476A01B" w14:textId="77777777">
      <w:pPr>
        <w:pStyle w:val="ListParagraph"/>
        <w:ind w:left="1350"/>
        <w:rPr>
          <w:szCs w:val="24"/>
        </w:rPr>
      </w:pPr>
    </w:p>
    <w:p w:rsidR="00377594" w:rsidRPr="009F71D4" w:rsidP="009F71D4" w14:paraId="55E8DFE2" w14:textId="625D0413">
      <w:pPr>
        <w:pStyle w:val="ListParagraph"/>
        <w:numPr>
          <w:ilvl w:val="3"/>
          <w:numId w:val="1"/>
        </w:numPr>
        <w:ind w:left="1350"/>
        <w:rPr>
          <w:szCs w:val="24"/>
        </w:rPr>
      </w:pPr>
      <w:r w:rsidRPr="009F71D4">
        <w:rPr>
          <w:szCs w:val="24"/>
          <w:u w:val="single"/>
        </w:rPr>
        <w:t>Frequency of Response</w:t>
      </w:r>
      <w:r w:rsidRPr="009F71D4">
        <w:rPr>
          <w:szCs w:val="24"/>
        </w:rPr>
        <w:t xml:space="preserve">: </w:t>
      </w:r>
      <w:r w:rsidRPr="009F71D4" w:rsidR="00DB46F9">
        <w:rPr>
          <w:szCs w:val="24"/>
        </w:rPr>
        <w:t>N/A</w:t>
      </w:r>
      <w:r w:rsidRPr="009F71D4">
        <w:rPr>
          <w:szCs w:val="24"/>
        </w:rPr>
        <w:t>.</w:t>
      </w:r>
    </w:p>
    <w:p w:rsidR="00377594" w:rsidRPr="009F71D4" w:rsidP="009F71D4" w14:paraId="61E1C428" w14:textId="77777777">
      <w:pPr>
        <w:rPr>
          <w:szCs w:val="24"/>
        </w:rPr>
      </w:pPr>
    </w:p>
    <w:p w:rsidR="00377594" w:rsidRPr="009F71D4" w:rsidP="009F71D4" w14:paraId="2D2F1151" w14:textId="25723CC6">
      <w:pPr>
        <w:pStyle w:val="ListParagraph"/>
        <w:numPr>
          <w:ilvl w:val="3"/>
          <w:numId w:val="1"/>
        </w:numPr>
        <w:ind w:left="1350"/>
        <w:rPr>
          <w:szCs w:val="24"/>
        </w:rPr>
      </w:pPr>
      <w:r w:rsidRPr="009F71D4">
        <w:rPr>
          <w:szCs w:val="24"/>
          <w:u w:val="single"/>
        </w:rPr>
        <w:t>Total number of responses per respondent</w:t>
      </w:r>
      <w:r w:rsidRPr="009F71D4">
        <w:rPr>
          <w:szCs w:val="24"/>
        </w:rPr>
        <w:t xml:space="preserve">: </w:t>
      </w:r>
      <w:r w:rsidRPr="009F71D4" w:rsidR="00DB46F9">
        <w:rPr>
          <w:szCs w:val="24"/>
        </w:rPr>
        <w:t>0</w:t>
      </w:r>
      <w:r w:rsidRPr="009F71D4">
        <w:rPr>
          <w:szCs w:val="24"/>
        </w:rPr>
        <w:t>.</w:t>
      </w:r>
    </w:p>
    <w:p w:rsidR="00377594" w:rsidRPr="009F71D4" w:rsidP="009F71D4" w14:paraId="01B821A7" w14:textId="77777777">
      <w:pPr>
        <w:rPr>
          <w:szCs w:val="24"/>
        </w:rPr>
      </w:pPr>
    </w:p>
    <w:p w:rsidR="00377594" w:rsidRPr="009F71D4" w:rsidP="009F71D4" w14:paraId="0FEFB340" w14:textId="2A9232AD">
      <w:pPr>
        <w:pStyle w:val="ListParagraph"/>
        <w:numPr>
          <w:ilvl w:val="3"/>
          <w:numId w:val="1"/>
        </w:numPr>
        <w:ind w:left="1350"/>
        <w:rPr>
          <w:szCs w:val="24"/>
        </w:rPr>
      </w:pPr>
      <w:r w:rsidRPr="009F71D4">
        <w:rPr>
          <w:szCs w:val="24"/>
          <w:u w:val="single"/>
        </w:rPr>
        <w:t>Estimated time per response</w:t>
      </w:r>
      <w:r w:rsidRPr="009F71D4">
        <w:rPr>
          <w:szCs w:val="24"/>
        </w:rPr>
        <w:t xml:space="preserve">: </w:t>
      </w:r>
      <w:r w:rsidRPr="009F71D4" w:rsidR="00DB46F9">
        <w:rPr>
          <w:szCs w:val="24"/>
        </w:rPr>
        <w:t>0</w:t>
      </w:r>
      <w:r w:rsidRPr="009F71D4">
        <w:rPr>
          <w:szCs w:val="24"/>
        </w:rPr>
        <w:t xml:space="preserve"> hours.</w:t>
      </w:r>
    </w:p>
    <w:p w:rsidR="00377594" w:rsidRPr="009F71D4" w:rsidP="009F71D4" w14:paraId="79BC5ED6" w14:textId="77777777">
      <w:pPr>
        <w:rPr>
          <w:szCs w:val="24"/>
        </w:rPr>
      </w:pPr>
    </w:p>
    <w:p w:rsidR="00377594" w:rsidRPr="009F71D4" w:rsidP="009F71D4" w14:paraId="4A8F3E9D" w14:textId="45AED9E9">
      <w:pPr>
        <w:pStyle w:val="ListParagraph"/>
        <w:numPr>
          <w:ilvl w:val="3"/>
          <w:numId w:val="1"/>
        </w:numPr>
        <w:ind w:left="1350"/>
        <w:rPr>
          <w:szCs w:val="24"/>
        </w:rPr>
      </w:pPr>
      <w:r w:rsidRPr="009F71D4">
        <w:rPr>
          <w:szCs w:val="24"/>
          <w:u w:val="single"/>
        </w:rPr>
        <w:t>Total annual hour burden</w:t>
      </w:r>
      <w:r w:rsidRPr="009F71D4">
        <w:rPr>
          <w:szCs w:val="24"/>
        </w:rPr>
        <w:t xml:space="preserve">: </w:t>
      </w:r>
      <w:r w:rsidRPr="009F71D4" w:rsidR="00DB46F9">
        <w:rPr>
          <w:szCs w:val="24"/>
        </w:rPr>
        <w:t>0 hours</w:t>
      </w:r>
      <w:r w:rsidRPr="009F71D4">
        <w:rPr>
          <w:szCs w:val="24"/>
        </w:rPr>
        <w:t>.</w:t>
      </w:r>
    </w:p>
    <w:p w:rsidR="00377594" w:rsidRPr="009F71D4" w:rsidP="009F71D4" w14:paraId="7461E513" w14:textId="77777777">
      <w:pPr>
        <w:rPr>
          <w:szCs w:val="24"/>
        </w:rPr>
      </w:pPr>
    </w:p>
    <w:p w:rsidR="00D444BF" w:rsidRPr="009F71D4" w:rsidP="009F71D4" w14:paraId="46C1A6BF" w14:textId="77777777">
      <w:pPr>
        <w:ind w:left="1350"/>
        <w:rPr>
          <w:szCs w:val="24"/>
        </w:rPr>
      </w:pPr>
      <w:r w:rsidRPr="009F71D4">
        <w:rPr>
          <w:szCs w:val="24"/>
        </w:rPr>
        <w:t xml:space="preserve">0 hours per respondent for 0 carriers filing on an annual basis.  Total annual hour burden is calculated as follows:  </w:t>
      </w:r>
    </w:p>
    <w:p w:rsidR="00D444BF" w:rsidRPr="009F71D4" w:rsidP="009F71D4" w14:paraId="0E26D757" w14:textId="77777777">
      <w:pPr>
        <w:ind w:left="720"/>
        <w:rPr>
          <w:szCs w:val="24"/>
        </w:rPr>
      </w:pPr>
    </w:p>
    <w:p w:rsidR="00377594" w:rsidRPr="009F71D4" w:rsidP="009F71D4" w14:paraId="13F3F8DA" w14:textId="031FD1F1">
      <w:pPr>
        <w:pStyle w:val="ListParagraph"/>
        <w:ind w:left="1350"/>
        <w:rPr>
          <w:b/>
          <w:szCs w:val="24"/>
        </w:rPr>
      </w:pPr>
      <w:r w:rsidRPr="009F71D4">
        <w:rPr>
          <w:szCs w:val="24"/>
        </w:rPr>
        <w:t xml:space="preserve">0 respondents x 0 report per respondent = 0 responses x 0 hours = </w:t>
      </w:r>
      <w:r w:rsidRPr="009F71D4">
        <w:rPr>
          <w:b/>
          <w:szCs w:val="24"/>
        </w:rPr>
        <w:t>0 total annual hours.</w:t>
      </w:r>
    </w:p>
    <w:p w:rsidR="00377594" w:rsidRPr="009F71D4" w:rsidP="009F71D4" w14:paraId="119E8E80" w14:textId="77777777">
      <w:pPr>
        <w:pStyle w:val="ListParagraph"/>
        <w:ind w:left="1350"/>
        <w:rPr>
          <w:b/>
          <w:szCs w:val="24"/>
        </w:rPr>
      </w:pPr>
    </w:p>
    <w:p w:rsidR="00377594" w:rsidRPr="009F71D4" w:rsidP="009F71D4" w14:paraId="0ACD8D09" w14:textId="5FEA88EC">
      <w:pPr>
        <w:pStyle w:val="ListParagraph"/>
        <w:numPr>
          <w:ilvl w:val="3"/>
          <w:numId w:val="1"/>
        </w:numPr>
        <w:ind w:left="1350"/>
        <w:rPr>
          <w:szCs w:val="24"/>
        </w:rPr>
      </w:pPr>
      <w:r w:rsidRPr="009F71D4">
        <w:rPr>
          <w:szCs w:val="24"/>
          <w:u w:val="single"/>
        </w:rPr>
        <w:t>Total estimate of in-house cost to respondents</w:t>
      </w:r>
      <w:r w:rsidRPr="009F71D4">
        <w:rPr>
          <w:szCs w:val="24"/>
        </w:rPr>
        <w:t>: $</w:t>
      </w:r>
      <w:r w:rsidRPr="009F71D4" w:rsidR="00793A36">
        <w:rPr>
          <w:szCs w:val="24"/>
        </w:rPr>
        <w:t>0</w:t>
      </w:r>
      <w:r w:rsidRPr="009F71D4">
        <w:rPr>
          <w:szCs w:val="24"/>
        </w:rPr>
        <w:t>.</w:t>
      </w:r>
    </w:p>
    <w:p w:rsidR="00377594" w:rsidRPr="009F71D4" w:rsidP="009F71D4" w14:paraId="0AA83F28" w14:textId="77777777">
      <w:pPr>
        <w:pStyle w:val="ListParagraph"/>
        <w:ind w:left="1350"/>
        <w:rPr>
          <w:szCs w:val="24"/>
        </w:rPr>
      </w:pPr>
    </w:p>
    <w:p w:rsidR="00377594" w:rsidRPr="009F71D4" w:rsidP="009F71D4" w14:paraId="50253E90" w14:textId="4393B84D">
      <w:pPr>
        <w:pStyle w:val="ListParagraph"/>
        <w:numPr>
          <w:ilvl w:val="3"/>
          <w:numId w:val="1"/>
        </w:numPr>
        <w:ind w:left="1350"/>
        <w:rPr>
          <w:szCs w:val="24"/>
        </w:rPr>
      </w:pPr>
      <w:r w:rsidRPr="009F71D4">
        <w:rPr>
          <w:szCs w:val="24"/>
          <w:u w:val="single"/>
        </w:rPr>
        <w:t>Explanation of calculation</w:t>
      </w:r>
      <w:r w:rsidRPr="009F71D4">
        <w:rPr>
          <w:szCs w:val="24"/>
        </w:rPr>
        <w:t xml:space="preserve">: </w:t>
      </w:r>
      <w:r w:rsidRPr="009F71D4" w:rsidR="00751A63">
        <w:rPr>
          <w:szCs w:val="24"/>
        </w:rPr>
        <w:t xml:space="preserve">The obligations associated with this reporting requirement are no longer effective, so this requirement no longer applies.  The total annual hour burden and in-house costs for respondents will therefore be 0.  </w:t>
      </w:r>
    </w:p>
    <w:p w:rsidR="00377594" w:rsidRPr="009F71D4" w:rsidP="009F71D4" w14:paraId="23523E07" w14:textId="40FC0A4D">
      <w:pPr>
        <w:rPr>
          <w:b/>
          <w:szCs w:val="24"/>
        </w:rPr>
      </w:pPr>
    </w:p>
    <w:p w:rsidR="00024B3E" w:rsidRPr="009F71D4" w:rsidP="009F71D4" w14:paraId="1365CAB6" w14:textId="66A59F0A">
      <w:pPr>
        <w:pStyle w:val="ListParagraph"/>
        <w:numPr>
          <w:ilvl w:val="2"/>
          <w:numId w:val="1"/>
        </w:numPr>
        <w:ind w:left="900" w:firstLine="90"/>
        <w:rPr>
          <w:szCs w:val="24"/>
        </w:rPr>
      </w:pPr>
      <w:r w:rsidRPr="009F71D4">
        <w:rPr>
          <w:b/>
          <w:szCs w:val="24"/>
          <w:u w:val="single"/>
        </w:rPr>
        <w:t xml:space="preserve">Collection of Location </w:t>
      </w:r>
      <w:r w:rsidRPr="009F71D4" w:rsidR="009338F6">
        <w:rPr>
          <w:b/>
          <w:szCs w:val="24"/>
          <w:u w:val="single"/>
        </w:rPr>
        <w:t xml:space="preserve">Information </w:t>
      </w:r>
      <w:r w:rsidRPr="009F71D4">
        <w:rPr>
          <w:b/>
          <w:szCs w:val="24"/>
          <w:u w:val="single"/>
        </w:rPr>
        <w:t>from Stakeholders</w:t>
      </w:r>
      <w:r w:rsidRPr="009F71D4" w:rsidR="00516422">
        <w:rPr>
          <w:b/>
          <w:szCs w:val="24"/>
          <w:u w:val="single"/>
        </w:rPr>
        <w:t xml:space="preserve"> (eliminated requirement</w:t>
      </w:r>
      <w:r w:rsidRPr="009F71D4" w:rsidR="00684815">
        <w:rPr>
          <w:b/>
          <w:szCs w:val="24"/>
          <w:u w:val="single"/>
        </w:rPr>
        <w:t>)</w:t>
      </w:r>
      <w:r w:rsidRPr="009F71D4" w:rsidR="002444C7">
        <w:rPr>
          <w:b/>
          <w:bCs/>
          <w:szCs w:val="24"/>
        </w:rPr>
        <w:t>:</w:t>
      </w:r>
    </w:p>
    <w:p w:rsidR="00024B3E" w:rsidRPr="009F71D4" w:rsidP="009F71D4" w14:paraId="431E62A3" w14:textId="77777777">
      <w:pPr>
        <w:pStyle w:val="ListParagraph"/>
        <w:ind w:left="900"/>
        <w:rPr>
          <w:szCs w:val="24"/>
        </w:rPr>
      </w:pPr>
    </w:p>
    <w:p w:rsidR="00024B3E" w:rsidRPr="009F71D4" w:rsidP="009F71D4" w14:paraId="7FBADBBB" w14:textId="15123166">
      <w:pPr>
        <w:pStyle w:val="ListParagraph"/>
        <w:numPr>
          <w:ilvl w:val="3"/>
          <w:numId w:val="1"/>
        </w:numPr>
        <w:ind w:left="1350"/>
        <w:rPr>
          <w:szCs w:val="24"/>
        </w:rPr>
      </w:pPr>
      <w:r w:rsidRPr="009F71D4">
        <w:rPr>
          <w:szCs w:val="24"/>
          <w:u w:val="single"/>
        </w:rPr>
        <w:t>Number of Respondents</w:t>
      </w:r>
      <w:r w:rsidRPr="009F71D4">
        <w:rPr>
          <w:szCs w:val="24"/>
        </w:rPr>
        <w:t xml:space="preserve">: </w:t>
      </w:r>
      <w:r w:rsidRPr="009F71D4" w:rsidR="00751A63">
        <w:rPr>
          <w:szCs w:val="24"/>
        </w:rPr>
        <w:t>0</w:t>
      </w:r>
      <w:r w:rsidRPr="009F71D4">
        <w:rPr>
          <w:szCs w:val="24"/>
        </w:rPr>
        <w:t>.</w:t>
      </w:r>
    </w:p>
    <w:p w:rsidR="00024B3E" w:rsidRPr="009F71D4" w:rsidP="009F71D4" w14:paraId="3E8C90F1" w14:textId="77777777">
      <w:pPr>
        <w:pStyle w:val="ListParagraph"/>
        <w:ind w:left="1350"/>
        <w:rPr>
          <w:szCs w:val="24"/>
        </w:rPr>
      </w:pPr>
    </w:p>
    <w:p w:rsidR="00024B3E" w:rsidRPr="009F71D4" w:rsidP="009F71D4" w14:paraId="31A138B4" w14:textId="75FDDE35">
      <w:pPr>
        <w:pStyle w:val="ListParagraph"/>
        <w:numPr>
          <w:ilvl w:val="3"/>
          <w:numId w:val="1"/>
        </w:numPr>
        <w:ind w:left="1350"/>
        <w:rPr>
          <w:szCs w:val="24"/>
        </w:rPr>
      </w:pPr>
      <w:r w:rsidRPr="009F71D4">
        <w:rPr>
          <w:szCs w:val="24"/>
          <w:u w:val="single"/>
        </w:rPr>
        <w:t>Frequency of Response</w:t>
      </w:r>
      <w:r w:rsidRPr="009F71D4">
        <w:rPr>
          <w:szCs w:val="24"/>
        </w:rPr>
        <w:t xml:space="preserve">: </w:t>
      </w:r>
      <w:r w:rsidRPr="009F71D4" w:rsidR="00751A63">
        <w:rPr>
          <w:szCs w:val="24"/>
        </w:rPr>
        <w:t>N/A</w:t>
      </w:r>
      <w:r w:rsidRPr="009F71D4">
        <w:rPr>
          <w:szCs w:val="24"/>
        </w:rPr>
        <w:t>.</w:t>
      </w:r>
    </w:p>
    <w:p w:rsidR="00024B3E" w:rsidRPr="009F71D4" w:rsidP="009F71D4" w14:paraId="1109325A" w14:textId="77777777">
      <w:pPr>
        <w:rPr>
          <w:szCs w:val="24"/>
        </w:rPr>
      </w:pPr>
    </w:p>
    <w:p w:rsidR="00024B3E" w:rsidRPr="009F71D4" w:rsidP="009F71D4" w14:paraId="28DD5BD2" w14:textId="27429463">
      <w:pPr>
        <w:pStyle w:val="ListParagraph"/>
        <w:numPr>
          <w:ilvl w:val="3"/>
          <w:numId w:val="1"/>
        </w:numPr>
        <w:ind w:left="1350"/>
        <w:rPr>
          <w:szCs w:val="24"/>
        </w:rPr>
      </w:pPr>
      <w:r w:rsidRPr="009F71D4">
        <w:rPr>
          <w:szCs w:val="24"/>
          <w:u w:val="single"/>
        </w:rPr>
        <w:t>Total number of responses per respondent</w:t>
      </w:r>
      <w:r w:rsidRPr="009F71D4">
        <w:rPr>
          <w:szCs w:val="24"/>
        </w:rPr>
        <w:t xml:space="preserve">: </w:t>
      </w:r>
      <w:r w:rsidRPr="009F71D4" w:rsidR="00751A63">
        <w:rPr>
          <w:szCs w:val="24"/>
        </w:rPr>
        <w:t>0</w:t>
      </w:r>
      <w:r w:rsidRPr="009F71D4">
        <w:rPr>
          <w:szCs w:val="24"/>
        </w:rPr>
        <w:t>.</w:t>
      </w:r>
    </w:p>
    <w:p w:rsidR="00024B3E" w:rsidRPr="009F71D4" w:rsidP="009F71D4" w14:paraId="4F1858CF" w14:textId="77777777">
      <w:pPr>
        <w:rPr>
          <w:szCs w:val="24"/>
        </w:rPr>
      </w:pPr>
    </w:p>
    <w:p w:rsidR="00024B3E" w:rsidRPr="009F71D4" w:rsidP="009F71D4" w14:paraId="7413EF03" w14:textId="40435AA1">
      <w:pPr>
        <w:pStyle w:val="ListParagraph"/>
        <w:numPr>
          <w:ilvl w:val="3"/>
          <w:numId w:val="1"/>
        </w:numPr>
        <w:ind w:left="1350"/>
        <w:rPr>
          <w:szCs w:val="24"/>
        </w:rPr>
      </w:pPr>
      <w:r w:rsidRPr="009F71D4">
        <w:rPr>
          <w:szCs w:val="24"/>
          <w:u w:val="single"/>
        </w:rPr>
        <w:t>Estimated time per response</w:t>
      </w:r>
      <w:r w:rsidRPr="009F71D4">
        <w:rPr>
          <w:szCs w:val="24"/>
        </w:rPr>
        <w:t xml:space="preserve">: </w:t>
      </w:r>
      <w:r w:rsidRPr="009F71D4" w:rsidR="00751A63">
        <w:rPr>
          <w:szCs w:val="24"/>
        </w:rPr>
        <w:t>0</w:t>
      </w:r>
      <w:r w:rsidRPr="009F71D4" w:rsidR="00ED5C64">
        <w:rPr>
          <w:szCs w:val="24"/>
        </w:rPr>
        <w:t xml:space="preserve"> </w:t>
      </w:r>
      <w:r w:rsidRPr="009F71D4">
        <w:rPr>
          <w:szCs w:val="24"/>
        </w:rPr>
        <w:t>hours.</w:t>
      </w:r>
    </w:p>
    <w:p w:rsidR="00024B3E" w:rsidRPr="009F71D4" w:rsidP="009F71D4" w14:paraId="3BC542EC" w14:textId="77777777">
      <w:pPr>
        <w:rPr>
          <w:szCs w:val="24"/>
        </w:rPr>
      </w:pPr>
    </w:p>
    <w:p w:rsidR="00024B3E" w:rsidRPr="009F71D4" w:rsidP="009F71D4" w14:paraId="19A522E4" w14:textId="72F8A2F5">
      <w:pPr>
        <w:pStyle w:val="ListParagraph"/>
        <w:numPr>
          <w:ilvl w:val="3"/>
          <w:numId w:val="1"/>
        </w:numPr>
        <w:ind w:left="1350"/>
        <w:rPr>
          <w:szCs w:val="24"/>
        </w:rPr>
      </w:pPr>
      <w:r w:rsidRPr="009F71D4">
        <w:rPr>
          <w:szCs w:val="24"/>
          <w:u w:val="single"/>
        </w:rPr>
        <w:t>Total annual hour burden</w:t>
      </w:r>
      <w:r w:rsidRPr="009F71D4">
        <w:rPr>
          <w:szCs w:val="24"/>
        </w:rPr>
        <w:t>:</w:t>
      </w:r>
      <w:r w:rsidRPr="009F71D4" w:rsidR="00A3639E">
        <w:rPr>
          <w:szCs w:val="24"/>
        </w:rPr>
        <w:t xml:space="preserve"> </w:t>
      </w:r>
      <w:r w:rsidRPr="009F71D4" w:rsidR="00ED5C64">
        <w:rPr>
          <w:szCs w:val="24"/>
        </w:rPr>
        <w:t>0</w:t>
      </w:r>
      <w:r w:rsidRPr="009F71D4" w:rsidR="00751A63">
        <w:rPr>
          <w:szCs w:val="24"/>
        </w:rPr>
        <w:t xml:space="preserve"> hours</w:t>
      </w:r>
      <w:r w:rsidRPr="009F71D4">
        <w:rPr>
          <w:szCs w:val="24"/>
        </w:rPr>
        <w:t>.</w:t>
      </w:r>
    </w:p>
    <w:p w:rsidR="00024B3E" w:rsidRPr="009F71D4" w:rsidP="009F71D4" w14:paraId="6F383F6B" w14:textId="77777777">
      <w:pPr>
        <w:rPr>
          <w:szCs w:val="24"/>
        </w:rPr>
      </w:pPr>
    </w:p>
    <w:p w:rsidR="00C0456D" w:rsidRPr="009F71D4" w:rsidP="009F71D4" w14:paraId="195E774A" w14:textId="77777777">
      <w:pPr>
        <w:ind w:left="1350"/>
        <w:rPr>
          <w:szCs w:val="24"/>
        </w:rPr>
      </w:pPr>
      <w:r w:rsidRPr="009F71D4">
        <w:rPr>
          <w:szCs w:val="24"/>
        </w:rPr>
        <w:t xml:space="preserve">0 hours per respondent for 0 carriers filing on an annual basis.  Total annual hour burden is calculated as follows:  </w:t>
      </w:r>
    </w:p>
    <w:p w:rsidR="00C0456D" w:rsidRPr="009F71D4" w:rsidP="009F71D4" w14:paraId="581315D7" w14:textId="77777777">
      <w:pPr>
        <w:ind w:left="720"/>
        <w:rPr>
          <w:szCs w:val="24"/>
        </w:rPr>
      </w:pPr>
    </w:p>
    <w:p w:rsidR="00024B3E" w:rsidRPr="009F71D4" w:rsidP="009F71D4" w14:paraId="37E1E842" w14:textId="6F39CFA4">
      <w:pPr>
        <w:pStyle w:val="ListParagraph"/>
        <w:ind w:left="1350"/>
        <w:rPr>
          <w:b/>
          <w:szCs w:val="24"/>
        </w:rPr>
      </w:pPr>
      <w:r w:rsidRPr="009F71D4">
        <w:rPr>
          <w:szCs w:val="24"/>
        </w:rPr>
        <w:t xml:space="preserve">0 respondents x 0 report per respondent = 0 responses x 0 hours = </w:t>
      </w:r>
      <w:r w:rsidRPr="009F71D4">
        <w:rPr>
          <w:b/>
          <w:szCs w:val="24"/>
        </w:rPr>
        <w:t>0 total annual hours.</w:t>
      </w:r>
      <w:r w:rsidRPr="009F71D4">
        <w:rPr>
          <w:szCs w:val="24"/>
        </w:rPr>
        <w:t xml:space="preserve"> </w:t>
      </w:r>
      <w:r w:rsidRPr="009F71D4" w:rsidR="00774B3C">
        <w:rPr>
          <w:b/>
          <w:szCs w:val="24"/>
        </w:rPr>
        <w:t xml:space="preserve"> </w:t>
      </w:r>
    </w:p>
    <w:p w:rsidR="00024B3E" w:rsidRPr="009F71D4" w:rsidP="009F71D4" w14:paraId="7097FE52" w14:textId="77777777">
      <w:pPr>
        <w:pStyle w:val="ListParagraph"/>
        <w:ind w:left="1350"/>
        <w:rPr>
          <w:b/>
          <w:szCs w:val="24"/>
        </w:rPr>
      </w:pPr>
    </w:p>
    <w:p w:rsidR="00024B3E" w:rsidRPr="009F71D4" w:rsidP="009F71D4" w14:paraId="12048189" w14:textId="4790945A">
      <w:pPr>
        <w:pStyle w:val="ListParagraph"/>
        <w:numPr>
          <w:ilvl w:val="3"/>
          <w:numId w:val="1"/>
        </w:numPr>
        <w:ind w:left="1350"/>
        <w:rPr>
          <w:szCs w:val="24"/>
        </w:rPr>
      </w:pPr>
      <w:r w:rsidRPr="009F71D4">
        <w:rPr>
          <w:szCs w:val="24"/>
          <w:u w:val="single"/>
        </w:rPr>
        <w:t>Total estimate of in-house cost to respondents</w:t>
      </w:r>
      <w:r w:rsidRPr="009F71D4">
        <w:rPr>
          <w:szCs w:val="24"/>
        </w:rPr>
        <w:t>: $</w:t>
      </w:r>
      <w:r w:rsidRPr="009F71D4" w:rsidR="00C0456D">
        <w:rPr>
          <w:szCs w:val="24"/>
        </w:rPr>
        <w:t>0</w:t>
      </w:r>
      <w:r w:rsidRPr="009F71D4">
        <w:rPr>
          <w:szCs w:val="24"/>
        </w:rPr>
        <w:t>.</w:t>
      </w:r>
    </w:p>
    <w:p w:rsidR="00024B3E" w:rsidRPr="009F71D4" w:rsidP="009F71D4" w14:paraId="51EA0E0E" w14:textId="77777777">
      <w:pPr>
        <w:pStyle w:val="ListParagraph"/>
        <w:ind w:left="1350"/>
        <w:rPr>
          <w:szCs w:val="24"/>
        </w:rPr>
      </w:pPr>
    </w:p>
    <w:p w:rsidR="00024B3E" w:rsidRPr="009F71D4" w:rsidP="009F71D4" w14:paraId="02135142" w14:textId="10982A92">
      <w:pPr>
        <w:pStyle w:val="ListParagraph"/>
        <w:numPr>
          <w:ilvl w:val="3"/>
          <w:numId w:val="1"/>
        </w:numPr>
        <w:ind w:left="1350"/>
        <w:rPr>
          <w:szCs w:val="24"/>
        </w:rPr>
      </w:pPr>
      <w:r w:rsidRPr="009F71D4">
        <w:rPr>
          <w:szCs w:val="24"/>
          <w:u w:val="single"/>
        </w:rPr>
        <w:t>Explanation of calculation</w:t>
      </w:r>
      <w:r w:rsidRPr="009F71D4">
        <w:rPr>
          <w:szCs w:val="24"/>
        </w:rPr>
        <w:t xml:space="preserve">: </w:t>
      </w:r>
      <w:r w:rsidRPr="009F71D4" w:rsidR="008C6B9C">
        <w:rPr>
          <w:szCs w:val="24"/>
        </w:rPr>
        <w:t>The obligations associated with this reporting requirement are no longer effective, so this requirement no longer applies.  The total annual hour burden and in-house costs for respondents will therefore be 0.</w:t>
      </w:r>
    </w:p>
    <w:p w:rsidR="00024B3E" w:rsidRPr="009F71D4" w:rsidP="009F71D4" w14:paraId="3A2108F3" w14:textId="77777777">
      <w:pPr>
        <w:pStyle w:val="ListParagraph"/>
        <w:ind w:left="1350"/>
        <w:rPr>
          <w:szCs w:val="24"/>
        </w:rPr>
      </w:pPr>
    </w:p>
    <w:p w:rsidR="00024B3E" w:rsidRPr="009F71D4" w:rsidP="009F71D4" w14:paraId="2061200F" w14:textId="3AA53D0F">
      <w:pPr>
        <w:pStyle w:val="ListParagraph"/>
        <w:numPr>
          <w:ilvl w:val="2"/>
          <w:numId w:val="1"/>
        </w:numPr>
        <w:ind w:left="1350" w:hanging="360"/>
        <w:rPr>
          <w:b/>
          <w:szCs w:val="24"/>
          <w:u w:val="single"/>
        </w:rPr>
      </w:pPr>
      <w:r w:rsidRPr="009F71D4">
        <w:rPr>
          <w:b/>
          <w:szCs w:val="24"/>
          <w:u w:val="single"/>
        </w:rPr>
        <w:t xml:space="preserve">Collection of Methods Description </w:t>
      </w:r>
      <w:r w:rsidRPr="009F71D4" w:rsidR="009D5187">
        <w:rPr>
          <w:b/>
          <w:szCs w:val="24"/>
          <w:u w:val="single"/>
        </w:rPr>
        <w:t xml:space="preserve">and Supporting Evidence </w:t>
      </w:r>
      <w:r w:rsidRPr="009F71D4">
        <w:rPr>
          <w:b/>
          <w:szCs w:val="24"/>
          <w:u w:val="single"/>
        </w:rPr>
        <w:t xml:space="preserve">from </w:t>
      </w:r>
      <w:r w:rsidRPr="009F71D4" w:rsidR="00CF757D">
        <w:rPr>
          <w:b/>
          <w:szCs w:val="24"/>
          <w:u w:val="single"/>
        </w:rPr>
        <w:t>Stakeholders</w:t>
      </w:r>
      <w:r w:rsidRPr="009F71D4" w:rsidR="00684815">
        <w:rPr>
          <w:b/>
          <w:szCs w:val="24"/>
          <w:u w:val="single"/>
        </w:rPr>
        <w:t xml:space="preserve"> (eliminated requirement)</w:t>
      </w:r>
      <w:r w:rsidRPr="009F71D4">
        <w:rPr>
          <w:b/>
          <w:bCs/>
          <w:szCs w:val="24"/>
        </w:rPr>
        <w:t>:</w:t>
      </w:r>
    </w:p>
    <w:p w:rsidR="00024B3E" w:rsidRPr="009F71D4" w:rsidP="009F71D4" w14:paraId="49179865" w14:textId="77777777">
      <w:pPr>
        <w:pStyle w:val="ListParagraph"/>
        <w:ind w:left="900"/>
        <w:rPr>
          <w:szCs w:val="24"/>
        </w:rPr>
      </w:pPr>
    </w:p>
    <w:p w:rsidR="00024B3E" w:rsidRPr="009F71D4" w:rsidP="009F71D4" w14:paraId="293E3655" w14:textId="38A5EFC4">
      <w:pPr>
        <w:pStyle w:val="ListParagraph"/>
        <w:numPr>
          <w:ilvl w:val="3"/>
          <w:numId w:val="1"/>
        </w:numPr>
        <w:ind w:left="1350"/>
        <w:rPr>
          <w:szCs w:val="24"/>
        </w:rPr>
      </w:pPr>
      <w:r w:rsidRPr="009F71D4">
        <w:rPr>
          <w:szCs w:val="24"/>
          <w:u w:val="single"/>
        </w:rPr>
        <w:t>Number of Respondents</w:t>
      </w:r>
      <w:r w:rsidRPr="009F71D4">
        <w:rPr>
          <w:szCs w:val="24"/>
        </w:rPr>
        <w:t xml:space="preserve">: </w:t>
      </w:r>
      <w:r w:rsidRPr="009F71D4" w:rsidR="008C6B9C">
        <w:rPr>
          <w:szCs w:val="24"/>
        </w:rPr>
        <w:t>0</w:t>
      </w:r>
      <w:r w:rsidRPr="009F71D4" w:rsidR="00CF757D">
        <w:rPr>
          <w:szCs w:val="24"/>
        </w:rPr>
        <w:t>.</w:t>
      </w:r>
    </w:p>
    <w:p w:rsidR="00024B3E" w:rsidRPr="009F71D4" w:rsidP="009F71D4" w14:paraId="52B713F9" w14:textId="77777777">
      <w:pPr>
        <w:pStyle w:val="ListParagraph"/>
        <w:ind w:left="1350"/>
        <w:rPr>
          <w:szCs w:val="24"/>
        </w:rPr>
      </w:pPr>
    </w:p>
    <w:p w:rsidR="00024B3E" w:rsidRPr="009F71D4" w:rsidP="009F71D4" w14:paraId="54862108" w14:textId="50EC0C0B">
      <w:pPr>
        <w:pStyle w:val="ListParagraph"/>
        <w:numPr>
          <w:ilvl w:val="3"/>
          <w:numId w:val="1"/>
        </w:numPr>
        <w:ind w:left="1350"/>
        <w:rPr>
          <w:szCs w:val="24"/>
        </w:rPr>
      </w:pPr>
      <w:r w:rsidRPr="009F71D4">
        <w:rPr>
          <w:szCs w:val="24"/>
          <w:u w:val="single"/>
        </w:rPr>
        <w:t>Frequency of Response</w:t>
      </w:r>
      <w:r w:rsidRPr="009F71D4">
        <w:rPr>
          <w:szCs w:val="24"/>
        </w:rPr>
        <w:t xml:space="preserve">: </w:t>
      </w:r>
      <w:r w:rsidRPr="009F71D4" w:rsidR="008C6B9C">
        <w:rPr>
          <w:szCs w:val="24"/>
        </w:rPr>
        <w:t>N/A</w:t>
      </w:r>
      <w:r w:rsidRPr="009F71D4">
        <w:rPr>
          <w:szCs w:val="24"/>
        </w:rPr>
        <w:t>.</w:t>
      </w:r>
    </w:p>
    <w:p w:rsidR="00024B3E" w:rsidRPr="009F71D4" w:rsidP="009F71D4" w14:paraId="38AE0720" w14:textId="77777777">
      <w:pPr>
        <w:pStyle w:val="ListParagraph"/>
        <w:ind w:left="1350"/>
        <w:rPr>
          <w:szCs w:val="24"/>
        </w:rPr>
      </w:pPr>
    </w:p>
    <w:p w:rsidR="00024B3E" w:rsidRPr="009F71D4" w:rsidP="009F71D4" w14:paraId="07541A97" w14:textId="0A96D3AC">
      <w:pPr>
        <w:pStyle w:val="ListParagraph"/>
        <w:numPr>
          <w:ilvl w:val="3"/>
          <w:numId w:val="1"/>
        </w:numPr>
        <w:ind w:left="1350"/>
        <w:rPr>
          <w:szCs w:val="24"/>
        </w:rPr>
      </w:pPr>
      <w:r w:rsidRPr="009F71D4">
        <w:rPr>
          <w:szCs w:val="24"/>
          <w:u w:val="single"/>
        </w:rPr>
        <w:t>Total number of responses per respondent</w:t>
      </w:r>
      <w:r w:rsidRPr="009F71D4">
        <w:rPr>
          <w:szCs w:val="24"/>
        </w:rPr>
        <w:t xml:space="preserve">: </w:t>
      </w:r>
      <w:r w:rsidRPr="009F71D4" w:rsidR="008C6B9C">
        <w:rPr>
          <w:szCs w:val="24"/>
        </w:rPr>
        <w:t>0</w:t>
      </w:r>
      <w:r w:rsidRPr="009F71D4">
        <w:rPr>
          <w:szCs w:val="24"/>
        </w:rPr>
        <w:t>.</w:t>
      </w:r>
    </w:p>
    <w:p w:rsidR="00024B3E" w:rsidRPr="009F71D4" w:rsidP="009F71D4" w14:paraId="408CBCAA" w14:textId="77777777">
      <w:pPr>
        <w:pStyle w:val="ListParagraph"/>
        <w:ind w:left="1350"/>
        <w:rPr>
          <w:szCs w:val="24"/>
        </w:rPr>
      </w:pPr>
    </w:p>
    <w:p w:rsidR="00024B3E" w:rsidRPr="009F71D4" w:rsidP="009F71D4" w14:paraId="722EAD3B" w14:textId="57432082">
      <w:pPr>
        <w:pStyle w:val="ListParagraph"/>
        <w:numPr>
          <w:ilvl w:val="3"/>
          <w:numId w:val="1"/>
        </w:numPr>
        <w:ind w:left="1350"/>
        <w:rPr>
          <w:szCs w:val="24"/>
        </w:rPr>
      </w:pPr>
      <w:r w:rsidRPr="009F71D4">
        <w:rPr>
          <w:szCs w:val="24"/>
          <w:u w:val="single"/>
        </w:rPr>
        <w:t>Estimated time per response</w:t>
      </w:r>
      <w:r w:rsidRPr="009F71D4">
        <w:rPr>
          <w:szCs w:val="24"/>
        </w:rPr>
        <w:t xml:space="preserve">: </w:t>
      </w:r>
      <w:r w:rsidRPr="009F71D4" w:rsidR="008C6B9C">
        <w:rPr>
          <w:szCs w:val="24"/>
        </w:rPr>
        <w:t>0</w:t>
      </w:r>
      <w:r w:rsidRPr="009F71D4" w:rsidR="00AB31DA">
        <w:rPr>
          <w:szCs w:val="24"/>
        </w:rPr>
        <w:t xml:space="preserve"> </w:t>
      </w:r>
      <w:r w:rsidRPr="009F71D4">
        <w:rPr>
          <w:szCs w:val="24"/>
        </w:rPr>
        <w:t>hours.</w:t>
      </w:r>
    </w:p>
    <w:p w:rsidR="00024B3E" w:rsidRPr="009F71D4" w:rsidP="009F71D4" w14:paraId="03B8AAB8" w14:textId="77777777">
      <w:pPr>
        <w:pStyle w:val="ListParagraph"/>
        <w:ind w:left="1350"/>
        <w:rPr>
          <w:szCs w:val="24"/>
        </w:rPr>
      </w:pPr>
    </w:p>
    <w:p w:rsidR="00024B3E" w:rsidRPr="009F71D4" w:rsidP="009F71D4" w14:paraId="5E7A191A" w14:textId="45430FD1">
      <w:pPr>
        <w:pStyle w:val="ListParagraph"/>
        <w:numPr>
          <w:ilvl w:val="3"/>
          <w:numId w:val="1"/>
        </w:numPr>
        <w:ind w:left="1350"/>
        <w:rPr>
          <w:szCs w:val="24"/>
        </w:rPr>
      </w:pPr>
      <w:r w:rsidRPr="009F71D4">
        <w:rPr>
          <w:szCs w:val="24"/>
          <w:u w:val="single"/>
        </w:rPr>
        <w:t>Total annual hour burden</w:t>
      </w:r>
      <w:r w:rsidRPr="009F71D4">
        <w:rPr>
          <w:szCs w:val="24"/>
        </w:rPr>
        <w:t xml:space="preserve">: </w:t>
      </w:r>
      <w:r w:rsidRPr="009F71D4" w:rsidR="008C6B9C">
        <w:rPr>
          <w:szCs w:val="24"/>
        </w:rPr>
        <w:t>0</w:t>
      </w:r>
      <w:r w:rsidRPr="009F71D4">
        <w:rPr>
          <w:szCs w:val="24"/>
        </w:rPr>
        <w:t xml:space="preserve">.  </w:t>
      </w:r>
    </w:p>
    <w:p w:rsidR="00024B3E" w:rsidRPr="009F71D4" w:rsidP="009F71D4" w14:paraId="0D21E67F" w14:textId="77777777">
      <w:pPr>
        <w:pStyle w:val="ListParagraph"/>
        <w:ind w:left="1350"/>
        <w:rPr>
          <w:szCs w:val="24"/>
        </w:rPr>
      </w:pPr>
    </w:p>
    <w:p w:rsidR="006A013D" w:rsidRPr="009F71D4" w:rsidP="009F71D4" w14:paraId="56A5DB12" w14:textId="77777777">
      <w:pPr>
        <w:ind w:left="1350"/>
        <w:rPr>
          <w:szCs w:val="24"/>
        </w:rPr>
      </w:pPr>
      <w:r w:rsidRPr="009F71D4">
        <w:rPr>
          <w:szCs w:val="24"/>
        </w:rPr>
        <w:t xml:space="preserve">0 hours per respondent for 0 carriers filing on an annual basis.  Total annual hour burden is calculated as follows:  </w:t>
      </w:r>
    </w:p>
    <w:p w:rsidR="006A013D" w:rsidRPr="009F71D4" w:rsidP="009F71D4" w14:paraId="33D22425" w14:textId="77777777">
      <w:pPr>
        <w:ind w:left="720"/>
        <w:rPr>
          <w:szCs w:val="24"/>
        </w:rPr>
      </w:pPr>
    </w:p>
    <w:p w:rsidR="00024B3E" w:rsidRPr="009F71D4" w:rsidP="005815D2" w14:paraId="0B4A8A4D" w14:textId="1D848F50">
      <w:pPr>
        <w:ind w:left="1350"/>
        <w:rPr>
          <w:szCs w:val="24"/>
        </w:rPr>
      </w:pPr>
      <w:r w:rsidRPr="009F71D4">
        <w:rPr>
          <w:szCs w:val="24"/>
        </w:rPr>
        <w:t xml:space="preserve">0 respondents x 0 report per respondent = 0 responses x 0 hours = </w:t>
      </w:r>
      <w:r w:rsidRPr="009F71D4">
        <w:rPr>
          <w:b/>
          <w:szCs w:val="24"/>
        </w:rPr>
        <w:t>0 total annual hours.</w:t>
      </w:r>
      <w:r w:rsidRPr="009F71D4">
        <w:rPr>
          <w:szCs w:val="24"/>
        </w:rPr>
        <w:t xml:space="preserve">  </w:t>
      </w:r>
    </w:p>
    <w:p w:rsidR="00024B3E" w:rsidRPr="009F71D4" w:rsidP="009F71D4" w14:paraId="45A86BF6" w14:textId="77777777">
      <w:pPr>
        <w:pStyle w:val="ListParagraph"/>
        <w:ind w:left="1350"/>
        <w:rPr>
          <w:szCs w:val="24"/>
        </w:rPr>
      </w:pPr>
    </w:p>
    <w:p w:rsidR="00024B3E" w:rsidRPr="009F71D4" w:rsidP="009F71D4" w14:paraId="69429AD9" w14:textId="017A9F59">
      <w:pPr>
        <w:pStyle w:val="ListParagraph"/>
        <w:numPr>
          <w:ilvl w:val="3"/>
          <w:numId w:val="1"/>
        </w:numPr>
        <w:ind w:left="1350"/>
        <w:rPr>
          <w:szCs w:val="24"/>
        </w:rPr>
      </w:pPr>
      <w:r w:rsidRPr="009F71D4">
        <w:rPr>
          <w:szCs w:val="24"/>
          <w:u w:val="single"/>
        </w:rPr>
        <w:t>Total estimate of in-house cost to respondents</w:t>
      </w:r>
      <w:r w:rsidRPr="009F71D4">
        <w:rPr>
          <w:szCs w:val="24"/>
        </w:rPr>
        <w:t xml:space="preserve">: </w:t>
      </w:r>
      <w:r w:rsidRPr="009F71D4" w:rsidR="001E7EF3">
        <w:rPr>
          <w:szCs w:val="24"/>
        </w:rPr>
        <w:t>$0 (0 hours x $0/hour).</w:t>
      </w:r>
    </w:p>
    <w:p w:rsidR="00024B3E" w:rsidRPr="009F71D4" w:rsidP="009F71D4" w14:paraId="3B3B78E8" w14:textId="77777777">
      <w:pPr>
        <w:pStyle w:val="ListParagraph"/>
        <w:ind w:left="1350"/>
        <w:rPr>
          <w:szCs w:val="24"/>
        </w:rPr>
      </w:pPr>
    </w:p>
    <w:p w:rsidR="00024B3E" w:rsidRPr="009F71D4" w:rsidP="009F71D4" w14:paraId="4E346BFF" w14:textId="583FBE0C">
      <w:pPr>
        <w:pStyle w:val="ListParagraph"/>
        <w:numPr>
          <w:ilvl w:val="3"/>
          <w:numId w:val="1"/>
        </w:numPr>
        <w:ind w:left="1350"/>
        <w:rPr>
          <w:szCs w:val="24"/>
        </w:rPr>
      </w:pPr>
      <w:r w:rsidRPr="009F71D4">
        <w:rPr>
          <w:szCs w:val="24"/>
          <w:u w:val="single"/>
        </w:rPr>
        <w:t>Explanation of calculation</w:t>
      </w:r>
      <w:r w:rsidRPr="009F71D4">
        <w:rPr>
          <w:szCs w:val="24"/>
        </w:rPr>
        <w:t xml:space="preserve">: </w:t>
      </w:r>
      <w:r w:rsidRPr="009F71D4" w:rsidR="00C477C3">
        <w:rPr>
          <w:szCs w:val="24"/>
        </w:rPr>
        <w:t>The obligations associated with this reporting requirement are no longer effective, so this requirement no longer applies.  The total annual hour burden and in-house costs for respondents will therefore be 0.</w:t>
      </w:r>
    </w:p>
    <w:p w:rsidR="00024B3E" w:rsidRPr="009F71D4" w:rsidP="009F71D4" w14:paraId="4C1FE416" w14:textId="77777777">
      <w:pPr>
        <w:pStyle w:val="ListParagraph"/>
        <w:ind w:left="1350"/>
        <w:rPr>
          <w:szCs w:val="24"/>
        </w:rPr>
      </w:pPr>
    </w:p>
    <w:p w:rsidR="00024B3E" w:rsidRPr="009F71D4" w:rsidP="009F71D4" w14:paraId="7E7E00A5" w14:textId="12034844">
      <w:pPr>
        <w:pStyle w:val="ListParagraph"/>
        <w:numPr>
          <w:ilvl w:val="2"/>
          <w:numId w:val="1"/>
        </w:numPr>
        <w:ind w:left="990" w:firstLine="0"/>
        <w:rPr>
          <w:szCs w:val="24"/>
        </w:rPr>
      </w:pPr>
      <w:r w:rsidRPr="009F71D4">
        <w:rPr>
          <w:b/>
          <w:szCs w:val="24"/>
          <w:u w:val="single"/>
        </w:rPr>
        <w:t xml:space="preserve">Collection of </w:t>
      </w:r>
      <w:r w:rsidRPr="009F71D4" w:rsidR="009D5187">
        <w:rPr>
          <w:b/>
          <w:szCs w:val="24"/>
          <w:u w:val="single"/>
        </w:rPr>
        <w:t xml:space="preserve">Reply </w:t>
      </w:r>
      <w:r w:rsidRPr="009F71D4" w:rsidR="003632D3">
        <w:rPr>
          <w:b/>
          <w:szCs w:val="24"/>
          <w:u w:val="single"/>
        </w:rPr>
        <w:t>Informat</w:t>
      </w:r>
      <w:r w:rsidRPr="009F71D4" w:rsidR="004619F2">
        <w:rPr>
          <w:b/>
          <w:szCs w:val="24"/>
          <w:u w:val="single"/>
        </w:rPr>
        <w:t>i</w:t>
      </w:r>
      <w:r w:rsidRPr="009F71D4" w:rsidR="003632D3">
        <w:rPr>
          <w:b/>
          <w:szCs w:val="24"/>
          <w:u w:val="single"/>
        </w:rPr>
        <w:t xml:space="preserve">on </w:t>
      </w:r>
      <w:r w:rsidRPr="009F71D4">
        <w:rPr>
          <w:b/>
          <w:szCs w:val="24"/>
          <w:u w:val="single"/>
        </w:rPr>
        <w:t xml:space="preserve">from </w:t>
      </w:r>
      <w:r w:rsidRPr="009F71D4" w:rsidR="009D5187">
        <w:rPr>
          <w:b/>
          <w:szCs w:val="24"/>
          <w:u w:val="single"/>
        </w:rPr>
        <w:t>Participants</w:t>
      </w:r>
      <w:r w:rsidRPr="009F71D4" w:rsidR="00684815">
        <w:rPr>
          <w:b/>
          <w:szCs w:val="24"/>
          <w:u w:val="single"/>
        </w:rPr>
        <w:t xml:space="preserve"> (eliminated requirement)</w:t>
      </w:r>
      <w:r w:rsidRPr="009F71D4" w:rsidR="009D5187">
        <w:rPr>
          <w:b/>
          <w:szCs w:val="24"/>
        </w:rPr>
        <w:t>:</w:t>
      </w:r>
    </w:p>
    <w:p w:rsidR="00024B3E" w:rsidRPr="009F71D4" w:rsidP="009F71D4" w14:paraId="42EBC648" w14:textId="77777777">
      <w:pPr>
        <w:pStyle w:val="ListParagraph"/>
        <w:ind w:left="990"/>
        <w:rPr>
          <w:szCs w:val="24"/>
        </w:rPr>
      </w:pPr>
    </w:p>
    <w:p w:rsidR="00024B3E" w:rsidRPr="009F71D4" w:rsidP="009F71D4" w14:paraId="6A229A3C" w14:textId="206AAC5A">
      <w:pPr>
        <w:pStyle w:val="ListParagraph"/>
        <w:numPr>
          <w:ilvl w:val="3"/>
          <w:numId w:val="1"/>
        </w:numPr>
        <w:ind w:left="1350"/>
        <w:rPr>
          <w:szCs w:val="24"/>
        </w:rPr>
      </w:pPr>
      <w:r w:rsidRPr="009F71D4">
        <w:rPr>
          <w:szCs w:val="24"/>
          <w:u w:val="single"/>
        </w:rPr>
        <w:t>Number of Respondents</w:t>
      </w:r>
      <w:r w:rsidRPr="009F71D4">
        <w:rPr>
          <w:szCs w:val="24"/>
        </w:rPr>
        <w:t xml:space="preserve">: </w:t>
      </w:r>
      <w:r w:rsidRPr="009F71D4" w:rsidR="00C477C3">
        <w:rPr>
          <w:szCs w:val="24"/>
        </w:rPr>
        <w:t>0</w:t>
      </w:r>
      <w:r w:rsidRPr="009F71D4" w:rsidR="00CF757D">
        <w:rPr>
          <w:szCs w:val="24"/>
        </w:rPr>
        <w:t>.</w:t>
      </w:r>
    </w:p>
    <w:p w:rsidR="00024B3E" w:rsidRPr="009F71D4" w:rsidP="009F71D4" w14:paraId="4C83E715" w14:textId="77777777">
      <w:pPr>
        <w:pStyle w:val="ListParagraph"/>
        <w:ind w:left="1350"/>
        <w:rPr>
          <w:szCs w:val="24"/>
        </w:rPr>
      </w:pPr>
    </w:p>
    <w:p w:rsidR="00024B3E" w:rsidRPr="009F71D4" w:rsidP="009F71D4" w14:paraId="7B44F10F" w14:textId="3762BD68">
      <w:pPr>
        <w:pStyle w:val="ListParagraph"/>
        <w:numPr>
          <w:ilvl w:val="3"/>
          <w:numId w:val="1"/>
        </w:numPr>
        <w:ind w:left="1350"/>
        <w:rPr>
          <w:szCs w:val="24"/>
        </w:rPr>
      </w:pPr>
      <w:r w:rsidRPr="009F71D4">
        <w:rPr>
          <w:szCs w:val="24"/>
          <w:u w:val="single"/>
        </w:rPr>
        <w:t>Frequency of Response</w:t>
      </w:r>
      <w:r w:rsidRPr="009F71D4">
        <w:rPr>
          <w:szCs w:val="24"/>
        </w:rPr>
        <w:t xml:space="preserve">: </w:t>
      </w:r>
      <w:r w:rsidRPr="009F71D4" w:rsidR="00C477C3">
        <w:rPr>
          <w:szCs w:val="24"/>
        </w:rPr>
        <w:t>N/A</w:t>
      </w:r>
      <w:r w:rsidRPr="009F71D4">
        <w:rPr>
          <w:szCs w:val="24"/>
        </w:rPr>
        <w:t>.</w:t>
      </w:r>
    </w:p>
    <w:p w:rsidR="00024B3E" w:rsidRPr="009F71D4" w:rsidP="009F71D4" w14:paraId="1EE0C3E3" w14:textId="77777777">
      <w:pPr>
        <w:pStyle w:val="ListParagraph"/>
        <w:ind w:left="1350"/>
        <w:rPr>
          <w:szCs w:val="24"/>
        </w:rPr>
      </w:pPr>
    </w:p>
    <w:p w:rsidR="00024B3E" w:rsidRPr="009F71D4" w:rsidP="009F71D4" w14:paraId="2FC7A39F" w14:textId="620907E9">
      <w:pPr>
        <w:pStyle w:val="ListParagraph"/>
        <w:numPr>
          <w:ilvl w:val="3"/>
          <w:numId w:val="1"/>
        </w:numPr>
        <w:ind w:left="1350"/>
        <w:rPr>
          <w:szCs w:val="24"/>
        </w:rPr>
      </w:pPr>
      <w:r w:rsidRPr="009F71D4">
        <w:rPr>
          <w:szCs w:val="24"/>
          <w:u w:val="single"/>
        </w:rPr>
        <w:t>Total number of responses per respondent</w:t>
      </w:r>
      <w:r w:rsidRPr="009F71D4">
        <w:rPr>
          <w:szCs w:val="24"/>
        </w:rPr>
        <w:t xml:space="preserve">: </w:t>
      </w:r>
      <w:r w:rsidRPr="009F71D4" w:rsidR="00C477C3">
        <w:rPr>
          <w:szCs w:val="24"/>
        </w:rPr>
        <w:t>0</w:t>
      </w:r>
      <w:r w:rsidRPr="009F71D4">
        <w:rPr>
          <w:szCs w:val="24"/>
        </w:rPr>
        <w:t>.</w:t>
      </w:r>
    </w:p>
    <w:p w:rsidR="00024B3E" w:rsidRPr="009F71D4" w:rsidP="009F71D4" w14:paraId="18DCE188" w14:textId="77777777">
      <w:pPr>
        <w:pStyle w:val="ListParagraph"/>
        <w:ind w:left="1350"/>
        <w:rPr>
          <w:szCs w:val="24"/>
        </w:rPr>
      </w:pPr>
    </w:p>
    <w:p w:rsidR="00024B3E" w:rsidRPr="009F71D4" w:rsidP="009F71D4" w14:paraId="6CC4DEEB" w14:textId="0F815A47">
      <w:pPr>
        <w:pStyle w:val="ListParagraph"/>
        <w:numPr>
          <w:ilvl w:val="3"/>
          <w:numId w:val="1"/>
        </w:numPr>
        <w:ind w:left="1350"/>
        <w:rPr>
          <w:szCs w:val="24"/>
        </w:rPr>
      </w:pPr>
      <w:r w:rsidRPr="009F71D4">
        <w:rPr>
          <w:szCs w:val="24"/>
          <w:u w:val="single"/>
        </w:rPr>
        <w:t>Estimated time per response</w:t>
      </w:r>
      <w:r w:rsidRPr="009F71D4">
        <w:rPr>
          <w:szCs w:val="24"/>
        </w:rPr>
        <w:t xml:space="preserve">: </w:t>
      </w:r>
      <w:r w:rsidRPr="009F71D4" w:rsidR="00C477C3">
        <w:rPr>
          <w:szCs w:val="24"/>
        </w:rPr>
        <w:t xml:space="preserve">0 </w:t>
      </w:r>
      <w:r w:rsidRPr="009F71D4">
        <w:rPr>
          <w:szCs w:val="24"/>
        </w:rPr>
        <w:t>hours.</w:t>
      </w:r>
    </w:p>
    <w:p w:rsidR="00024B3E" w:rsidRPr="009F71D4" w:rsidP="009F71D4" w14:paraId="57A8C645" w14:textId="77777777">
      <w:pPr>
        <w:pStyle w:val="ListParagraph"/>
        <w:ind w:left="1350"/>
        <w:rPr>
          <w:szCs w:val="24"/>
        </w:rPr>
      </w:pPr>
    </w:p>
    <w:p w:rsidR="00024B3E" w:rsidRPr="009F71D4" w:rsidP="009F71D4" w14:paraId="00CB2A4C" w14:textId="70710718">
      <w:pPr>
        <w:pStyle w:val="ListParagraph"/>
        <w:numPr>
          <w:ilvl w:val="3"/>
          <w:numId w:val="1"/>
        </w:numPr>
        <w:ind w:left="1350"/>
        <w:rPr>
          <w:szCs w:val="24"/>
        </w:rPr>
      </w:pPr>
      <w:r w:rsidRPr="009F71D4">
        <w:rPr>
          <w:szCs w:val="24"/>
          <w:u w:val="single"/>
        </w:rPr>
        <w:t>Total annual hour burden</w:t>
      </w:r>
      <w:r w:rsidRPr="009F71D4">
        <w:rPr>
          <w:szCs w:val="24"/>
        </w:rPr>
        <w:t xml:space="preserve">: </w:t>
      </w:r>
      <w:r w:rsidRPr="009F71D4" w:rsidR="00C477C3">
        <w:rPr>
          <w:szCs w:val="24"/>
        </w:rPr>
        <w:t>0 hours</w:t>
      </w:r>
      <w:r w:rsidRPr="009F71D4">
        <w:rPr>
          <w:szCs w:val="24"/>
        </w:rPr>
        <w:t xml:space="preserve">.     </w:t>
      </w:r>
    </w:p>
    <w:p w:rsidR="00024B3E" w:rsidRPr="009F71D4" w:rsidP="009F71D4" w14:paraId="0D22684D" w14:textId="77777777">
      <w:pPr>
        <w:pStyle w:val="ListParagraph"/>
        <w:ind w:left="1350"/>
        <w:rPr>
          <w:szCs w:val="24"/>
        </w:rPr>
      </w:pPr>
    </w:p>
    <w:p w:rsidR="00A362B7" w:rsidRPr="009F71D4" w:rsidP="009F71D4" w14:paraId="6DC81459" w14:textId="77777777">
      <w:pPr>
        <w:ind w:left="1350"/>
        <w:rPr>
          <w:szCs w:val="24"/>
        </w:rPr>
      </w:pPr>
      <w:r w:rsidRPr="009F71D4">
        <w:rPr>
          <w:szCs w:val="24"/>
        </w:rPr>
        <w:t xml:space="preserve">0 hours per respondent for 0 carriers filing on an annual basis.  Total annual hour burden is calculated as follows:  </w:t>
      </w:r>
    </w:p>
    <w:p w:rsidR="00A362B7" w:rsidRPr="009F71D4" w:rsidP="009F71D4" w14:paraId="2FC19990" w14:textId="61010820">
      <w:pPr>
        <w:ind w:left="720"/>
        <w:rPr>
          <w:szCs w:val="24"/>
        </w:rPr>
      </w:pPr>
      <w:r w:rsidRPr="009F71D4">
        <w:rPr>
          <w:szCs w:val="24"/>
        </w:rPr>
        <w:tab/>
      </w:r>
    </w:p>
    <w:p w:rsidR="00024B3E" w:rsidRPr="009F71D4" w:rsidP="009F71D4" w14:paraId="01D0FE62" w14:textId="312CED46">
      <w:pPr>
        <w:pStyle w:val="ListParagraph"/>
        <w:ind w:left="1350"/>
        <w:rPr>
          <w:szCs w:val="24"/>
        </w:rPr>
      </w:pPr>
      <w:r w:rsidRPr="009F71D4">
        <w:rPr>
          <w:szCs w:val="24"/>
        </w:rPr>
        <w:t xml:space="preserve">0 respondents x 0 report per respondent = 0 responses x 0 hours = </w:t>
      </w:r>
      <w:r w:rsidRPr="009F71D4">
        <w:rPr>
          <w:b/>
          <w:szCs w:val="24"/>
        </w:rPr>
        <w:t>0 total annual hours.</w:t>
      </w:r>
    </w:p>
    <w:p w:rsidR="00024B3E" w:rsidRPr="009F71D4" w:rsidP="009F71D4" w14:paraId="49BB99B7" w14:textId="77777777">
      <w:pPr>
        <w:pStyle w:val="ListParagraph"/>
        <w:ind w:left="1350"/>
        <w:rPr>
          <w:szCs w:val="24"/>
        </w:rPr>
      </w:pPr>
    </w:p>
    <w:p w:rsidR="00024B3E" w:rsidRPr="009F71D4" w:rsidP="009F71D4" w14:paraId="3D04F074" w14:textId="3B2A117D">
      <w:pPr>
        <w:pStyle w:val="ListParagraph"/>
        <w:numPr>
          <w:ilvl w:val="3"/>
          <w:numId w:val="1"/>
        </w:numPr>
        <w:ind w:left="1350"/>
        <w:rPr>
          <w:szCs w:val="24"/>
        </w:rPr>
      </w:pPr>
      <w:r w:rsidRPr="009F71D4">
        <w:rPr>
          <w:szCs w:val="24"/>
          <w:u w:val="single"/>
        </w:rPr>
        <w:t>Total estimate of in-house cost to respondents</w:t>
      </w:r>
      <w:r w:rsidRPr="009F71D4">
        <w:rPr>
          <w:szCs w:val="24"/>
        </w:rPr>
        <w:t>: $</w:t>
      </w:r>
      <w:r w:rsidRPr="009F71D4" w:rsidR="00A362B7">
        <w:rPr>
          <w:szCs w:val="24"/>
        </w:rPr>
        <w:t>0</w:t>
      </w:r>
      <w:r w:rsidRPr="009F71D4" w:rsidR="001E7EF3">
        <w:rPr>
          <w:szCs w:val="24"/>
        </w:rPr>
        <w:t xml:space="preserve"> (0 hours x $0/hour)</w:t>
      </w:r>
      <w:r w:rsidRPr="009F71D4">
        <w:rPr>
          <w:szCs w:val="24"/>
        </w:rPr>
        <w:t>.</w:t>
      </w:r>
    </w:p>
    <w:p w:rsidR="00024B3E" w:rsidRPr="009F71D4" w:rsidP="009F71D4" w14:paraId="01895D00" w14:textId="77777777">
      <w:pPr>
        <w:pStyle w:val="ListParagraph"/>
        <w:ind w:left="1350"/>
        <w:rPr>
          <w:szCs w:val="24"/>
        </w:rPr>
      </w:pPr>
    </w:p>
    <w:p w:rsidR="00024B3E" w:rsidRPr="009F71D4" w:rsidP="009F71D4" w14:paraId="6A7AD273" w14:textId="57EDC64B">
      <w:pPr>
        <w:pStyle w:val="ListParagraph"/>
        <w:numPr>
          <w:ilvl w:val="3"/>
          <w:numId w:val="1"/>
        </w:numPr>
        <w:ind w:left="1350"/>
        <w:rPr>
          <w:b/>
          <w:szCs w:val="24"/>
          <w:u w:val="single"/>
        </w:rPr>
      </w:pPr>
      <w:r w:rsidRPr="009F71D4">
        <w:rPr>
          <w:szCs w:val="24"/>
          <w:u w:val="single"/>
        </w:rPr>
        <w:t>Explanation of calculation</w:t>
      </w:r>
      <w:r w:rsidRPr="009F71D4">
        <w:rPr>
          <w:szCs w:val="24"/>
        </w:rPr>
        <w:t xml:space="preserve">: </w:t>
      </w:r>
      <w:r w:rsidRPr="009F71D4" w:rsidR="002A4CCF">
        <w:rPr>
          <w:szCs w:val="24"/>
        </w:rPr>
        <w:t xml:space="preserve">The obligations associated with this reporting requirement are no longer effective, so this requirement no longer applies.  The total annual hour burden and in-house costs for respondents will therefore be 0.  </w:t>
      </w:r>
      <w:r w:rsidRPr="009F71D4">
        <w:rPr>
          <w:szCs w:val="24"/>
        </w:rPr>
        <w:t xml:space="preserve"> </w:t>
      </w:r>
    </w:p>
    <w:p w:rsidR="002A4CCF" w:rsidRPr="009F71D4" w:rsidP="009F71D4" w14:paraId="63EE3D06" w14:textId="77777777">
      <w:pPr>
        <w:pStyle w:val="ListParagraph"/>
        <w:rPr>
          <w:b/>
          <w:szCs w:val="24"/>
          <w:u w:val="single"/>
        </w:rPr>
      </w:pPr>
    </w:p>
    <w:p w:rsidR="00A3639E" w:rsidRPr="009F71D4" w:rsidP="009F71D4" w14:paraId="628396CA" w14:textId="77777777">
      <w:pPr>
        <w:outlineLvl w:val="0"/>
        <w:rPr>
          <w:b/>
          <w:szCs w:val="24"/>
        </w:rPr>
      </w:pPr>
    </w:p>
    <w:p w:rsidR="0089320D" w:rsidP="009F71D4" w14:paraId="7E7DBAA4" w14:textId="5EF7C669">
      <w:pPr>
        <w:outlineLvl w:val="0"/>
        <w:rPr>
          <w:b/>
          <w:szCs w:val="24"/>
        </w:rPr>
      </w:pPr>
      <w:r w:rsidRPr="009F71D4">
        <w:rPr>
          <w:b/>
          <w:szCs w:val="24"/>
        </w:rPr>
        <w:t>The estimated respondents and responses and burden hours are listed below:</w:t>
      </w:r>
    </w:p>
    <w:p w:rsidR="00CC19EB" w:rsidRPr="009F71D4" w:rsidP="009F71D4" w14:paraId="22F36611" w14:textId="77777777">
      <w:pPr>
        <w:outlineLvl w:val="0"/>
        <w:rPr>
          <w:b/>
          <w:szCs w:val="24"/>
        </w:rPr>
      </w:pPr>
    </w:p>
    <w:p w:rsidR="0089320D" w:rsidRPr="009F71D4" w:rsidP="009F71D4" w14:paraId="7652C877" w14:textId="77777777">
      <w:pPr>
        <w:rPr>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2"/>
        <w:gridCol w:w="1530"/>
        <w:gridCol w:w="1283"/>
        <w:gridCol w:w="1440"/>
        <w:gridCol w:w="1080"/>
        <w:gridCol w:w="1710"/>
      </w:tblGrid>
      <w:tr w14:paraId="4122D075" w14:textId="77777777" w:rsidTr="007C1236">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blHeader/>
        </w:trPr>
        <w:tc>
          <w:tcPr>
            <w:tcW w:w="2422" w:type="dxa"/>
            <w:vAlign w:val="bottom"/>
          </w:tcPr>
          <w:p w:rsidR="0089320D" w:rsidRPr="009F71D4" w:rsidP="009F71D4" w14:paraId="60E16C92" w14:textId="77777777">
            <w:pPr>
              <w:jc w:val="center"/>
              <w:rPr>
                <w:b/>
                <w:bCs/>
                <w:szCs w:val="24"/>
              </w:rPr>
            </w:pPr>
          </w:p>
          <w:p w:rsidR="0089320D" w:rsidRPr="009F71D4" w:rsidP="009F71D4" w14:paraId="430F1A3F" w14:textId="77777777">
            <w:pPr>
              <w:jc w:val="center"/>
              <w:rPr>
                <w:b/>
                <w:bCs/>
                <w:szCs w:val="24"/>
              </w:rPr>
            </w:pPr>
          </w:p>
          <w:p w:rsidR="0089320D" w:rsidRPr="009F71D4" w:rsidP="009F71D4" w14:paraId="356EAA5F" w14:textId="77777777">
            <w:pPr>
              <w:jc w:val="center"/>
              <w:rPr>
                <w:b/>
                <w:bCs/>
                <w:szCs w:val="24"/>
              </w:rPr>
            </w:pPr>
            <w:r w:rsidRPr="009F71D4">
              <w:rPr>
                <w:b/>
                <w:bCs/>
                <w:szCs w:val="24"/>
              </w:rPr>
              <w:t>Information Collection Requirements</w:t>
            </w:r>
          </w:p>
        </w:tc>
        <w:tc>
          <w:tcPr>
            <w:tcW w:w="1530" w:type="dxa"/>
            <w:vAlign w:val="bottom"/>
          </w:tcPr>
          <w:p w:rsidR="0089320D" w:rsidRPr="009F71D4" w:rsidP="009F71D4" w14:paraId="718ABCED" w14:textId="77777777">
            <w:pPr>
              <w:jc w:val="center"/>
              <w:rPr>
                <w:b/>
                <w:bCs/>
                <w:szCs w:val="24"/>
              </w:rPr>
            </w:pPr>
          </w:p>
          <w:p w:rsidR="0089320D" w:rsidRPr="009F71D4" w:rsidP="009F71D4" w14:paraId="727EB5B3" w14:textId="77777777">
            <w:pPr>
              <w:jc w:val="center"/>
              <w:rPr>
                <w:b/>
                <w:bCs/>
                <w:szCs w:val="24"/>
              </w:rPr>
            </w:pPr>
            <w:r w:rsidRPr="009F71D4">
              <w:rPr>
                <w:b/>
                <w:bCs/>
                <w:szCs w:val="24"/>
              </w:rPr>
              <w:t>Number of Respondents</w:t>
            </w:r>
          </w:p>
        </w:tc>
        <w:tc>
          <w:tcPr>
            <w:tcW w:w="1283" w:type="dxa"/>
            <w:vAlign w:val="bottom"/>
          </w:tcPr>
          <w:p w:rsidR="0089320D" w:rsidRPr="009F71D4" w:rsidP="009F71D4" w14:paraId="020D798F" w14:textId="77777777">
            <w:pPr>
              <w:jc w:val="center"/>
              <w:rPr>
                <w:b/>
                <w:bCs/>
                <w:szCs w:val="24"/>
              </w:rPr>
            </w:pPr>
          </w:p>
          <w:p w:rsidR="0089320D" w:rsidRPr="009F71D4" w:rsidP="009F71D4" w14:paraId="59FD1B38" w14:textId="77777777">
            <w:pPr>
              <w:jc w:val="center"/>
              <w:rPr>
                <w:b/>
                <w:bCs/>
                <w:szCs w:val="24"/>
              </w:rPr>
            </w:pPr>
            <w:r w:rsidRPr="009F71D4">
              <w:rPr>
                <w:b/>
                <w:bCs/>
                <w:szCs w:val="24"/>
              </w:rPr>
              <w:t>Number of Responses</w:t>
            </w:r>
          </w:p>
          <w:p w:rsidR="0089320D" w:rsidRPr="009F71D4" w:rsidP="009F71D4" w14:paraId="5E0A1CFE" w14:textId="77777777">
            <w:pPr>
              <w:jc w:val="center"/>
              <w:rPr>
                <w:b/>
                <w:bCs/>
                <w:szCs w:val="24"/>
              </w:rPr>
            </w:pPr>
            <w:r w:rsidRPr="009F71D4">
              <w:rPr>
                <w:b/>
                <w:bCs/>
                <w:szCs w:val="24"/>
              </w:rPr>
              <w:t>Per Year</w:t>
            </w:r>
          </w:p>
        </w:tc>
        <w:tc>
          <w:tcPr>
            <w:tcW w:w="1440" w:type="dxa"/>
            <w:vAlign w:val="bottom"/>
          </w:tcPr>
          <w:p w:rsidR="0089320D" w:rsidRPr="009F71D4" w:rsidP="009F71D4" w14:paraId="45073176" w14:textId="77777777">
            <w:pPr>
              <w:jc w:val="center"/>
              <w:rPr>
                <w:b/>
                <w:bCs/>
                <w:szCs w:val="24"/>
              </w:rPr>
            </w:pPr>
          </w:p>
          <w:p w:rsidR="0089320D" w:rsidRPr="009F71D4" w:rsidP="009F71D4" w14:paraId="40015901" w14:textId="77777777">
            <w:pPr>
              <w:jc w:val="center"/>
              <w:rPr>
                <w:b/>
                <w:bCs/>
                <w:szCs w:val="24"/>
              </w:rPr>
            </w:pPr>
            <w:r w:rsidRPr="009F71D4">
              <w:rPr>
                <w:b/>
                <w:bCs/>
                <w:szCs w:val="24"/>
              </w:rPr>
              <w:t>Estimated Time per Response (hours)</w:t>
            </w:r>
          </w:p>
        </w:tc>
        <w:tc>
          <w:tcPr>
            <w:tcW w:w="1080" w:type="dxa"/>
            <w:vAlign w:val="bottom"/>
          </w:tcPr>
          <w:p w:rsidR="0089320D" w:rsidRPr="009F71D4" w:rsidP="009F71D4" w14:paraId="0EC04CBD" w14:textId="77777777">
            <w:pPr>
              <w:jc w:val="center"/>
              <w:rPr>
                <w:b/>
                <w:bCs/>
                <w:szCs w:val="24"/>
              </w:rPr>
            </w:pPr>
          </w:p>
          <w:p w:rsidR="0089320D" w:rsidRPr="009F71D4" w:rsidP="009F71D4" w14:paraId="024CAC2E" w14:textId="77777777">
            <w:pPr>
              <w:jc w:val="center"/>
              <w:rPr>
                <w:b/>
                <w:bCs/>
                <w:szCs w:val="24"/>
              </w:rPr>
            </w:pPr>
            <w:r w:rsidRPr="009F71D4">
              <w:rPr>
                <w:b/>
                <w:bCs/>
                <w:szCs w:val="24"/>
              </w:rPr>
              <w:t>Total Burden Hours</w:t>
            </w:r>
          </w:p>
        </w:tc>
        <w:tc>
          <w:tcPr>
            <w:tcW w:w="1710" w:type="dxa"/>
            <w:vAlign w:val="bottom"/>
          </w:tcPr>
          <w:p w:rsidR="0089320D" w:rsidRPr="009F71D4" w:rsidP="009F71D4" w14:paraId="5276190E" w14:textId="77777777">
            <w:pPr>
              <w:jc w:val="center"/>
              <w:rPr>
                <w:b/>
                <w:bCs/>
                <w:szCs w:val="24"/>
              </w:rPr>
            </w:pPr>
          </w:p>
          <w:p w:rsidR="0089320D" w:rsidRPr="009F71D4" w:rsidP="009F71D4" w14:paraId="17AC1EB5" w14:textId="77777777">
            <w:pPr>
              <w:jc w:val="center"/>
              <w:rPr>
                <w:b/>
                <w:bCs/>
                <w:szCs w:val="24"/>
              </w:rPr>
            </w:pPr>
            <w:r w:rsidRPr="009F71D4">
              <w:rPr>
                <w:b/>
                <w:bCs/>
                <w:szCs w:val="24"/>
              </w:rPr>
              <w:t>In-house Cost to Respondents</w:t>
            </w:r>
          </w:p>
        </w:tc>
      </w:tr>
      <w:tr w14:paraId="19DE3CC9" w14:textId="77777777" w:rsidTr="00301B53">
        <w:tblPrEx>
          <w:tblW w:w="9465" w:type="dxa"/>
          <w:tblInd w:w="93" w:type="dxa"/>
          <w:tblLayout w:type="fixed"/>
          <w:tblLook w:val="0000"/>
        </w:tblPrEx>
        <w:trPr>
          <w:cantSplit/>
          <w:trHeight w:val="1380"/>
        </w:trPr>
        <w:tc>
          <w:tcPr>
            <w:tcW w:w="2422" w:type="dxa"/>
            <w:vAlign w:val="bottom"/>
          </w:tcPr>
          <w:p w:rsidR="00447A68" w:rsidRPr="009F71D4" w:rsidP="009F71D4" w14:paraId="6FA3F603" w14:textId="24B15695">
            <w:pPr>
              <w:rPr>
                <w:b/>
                <w:bCs/>
                <w:szCs w:val="24"/>
              </w:rPr>
            </w:pPr>
            <w:r>
              <w:rPr>
                <w:b/>
                <w:szCs w:val="24"/>
              </w:rPr>
              <w:t>a</w:t>
            </w:r>
            <w:r w:rsidRPr="009F71D4">
              <w:rPr>
                <w:b/>
                <w:szCs w:val="24"/>
              </w:rPr>
              <w:t>. Revised A-CAM I and ACAM II Location Adjustment Process</w:t>
            </w:r>
          </w:p>
        </w:tc>
        <w:tc>
          <w:tcPr>
            <w:tcW w:w="1530" w:type="dxa"/>
            <w:vAlign w:val="bottom"/>
          </w:tcPr>
          <w:p w:rsidR="00447A68" w:rsidRPr="009F71D4" w:rsidP="009F71D4" w14:paraId="0021C54F" w14:textId="425347A1">
            <w:pPr>
              <w:jc w:val="center"/>
              <w:rPr>
                <w:b/>
                <w:bCs/>
                <w:szCs w:val="24"/>
              </w:rPr>
            </w:pPr>
            <w:r w:rsidRPr="009F71D4">
              <w:rPr>
                <w:b/>
                <w:bCs/>
                <w:szCs w:val="24"/>
              </w:rPr>
              <w:t>15</w:t>
            </w:r>
          </w:p>
        </w:tc>
        <w:tc>
          <w:tcPr>
            <w:tcW w:w="1283" w:type="dxa"/>
            <w:vAlign w:val="bottom"/>
          </w:tcPr>
          <w:p w:rsidR="00447A68" w:rsidRPr="009F71D4" w:rsidP="009F71D4" w14:paraId="2A9B10B0" w14:textId="0FEFB97E">
            <w:pPr>
              <w:jc w:val="center"/>
              <w:rPr>
                <w:b/>
                <w:bCs/>
                <w:szCs w:val="24"/>
              </w:rPr>
            </w:pPr>
            <w:r w:rsidRPr="009F71D4">
              <w:rPr>
                <w:b/>
                <w:bCs/>
                <w:szCs w:val="24"/>
              </w:rPr>
              <w:t>1</w:t>
            </w:r>
          </w:p>
        </w:tc>
        <w:tc>
          <w:tcPr>
            <w:tcW w:w="1440" w:type="dxa"/>
            <w:vAlign w:val="bottom"/>
          </w:tcPr>
          <w:p w:rsidR="00447A68" w:rsidRPr="009F71D4" w:rsidP="009F71D4" w14:paraId="19DBF121" w14:textId="7AABCD9E">
            <w:pPr>
              <w:jc w:val="center"/>
              <w:rPr>
                <w:b/>
                <w:bCs/>
                <w:szCs w:val="24"/>
              </w:rPr>
            </w:pPr>
            <w:r w:rsidRPr="009F71D4">
              <w:rPr>
                <w:b/>
                <w:bCs/>
                <w:szCs w:val="24"/>
              </w:rPr>
              <w:t>5</w:t>
            </w:r>
          </w:p>
        </w:tc>
        <w:tc>
          <w:tcPr>
            <w:tcW w:w="1080" w:type="dxa"/>
            <w:vAlign w:val="bottom"/>
          </w:tcPr>
          <w:p w:rsidR="00447A68" w:rsidRPr="009F71D4" w:rsidP="009F71D4" w14:paraId="25BE41E7" w14:textId="2BFC251B">
            <w:pPr>
              <w:jc w:val="center"/>
              <w:rPr>
                <w:b/>
                <w:bCs/>
                <w:szCs w:val="24"/>
              </w:rPr>
            </w:pPr>
            <w:r w:rsidRPr="009F71D4">
              <w:rPr>
                <w:b/>
                <w:szCs w:val="24"/>
              </w:rPr>
              <w:t>75</w:t>
            </w:r>
          </w:p>
        </w:tc>
        <w:tc>
          <w:tcPr>
            <w:tcW w:w="1710" w:type="dxa"/>
            <w:vAlign w:val="bottom"/>
          </w:tcPr>
          <w:p w:rsidR="00447A68" w:rsidRPr="009F71D4" w:rsidP="009F71D4" w14:paraId="0EF2F644" w14:textId="1952BCE0">
            <w:pPr>
              <w:jc w:val="center"/>
              <w:rPr>
                <w:b/>
                <w:szCs w:val="24"/>
              </w:rPr>
            </w:pPr>
            <w:r w:rsidRPr="009F71D4">
              <w:rPr>
                <w:b/>
                <w:bCs/>
                <w:szCs w:val="24"/>
              </w:rPr>
              <w:t>$</w:t>
            </w:r>
            <w:r w:rsidR="00F76863">
              <w:rPr>
                <w:b/>
                <w:bCs/>
                <w:szCs w:val="24"/>
              </w:rPr>
              <w:t>3</w:t>
            </w:r>
            <w:r w:rsidR="00C558CD">
              <w:rPr>
                <w:b/>
                <w:bCs/>
                <w:szCs w:val="24"/>
              </w:rPr>
              <w:t>,</w:t>
            </w:r>
            <w:r w:rsidR="00F76863">
              <w:rPr>
                <w:b/>
                <w:bCs/>
                <w:szCs w:val="24"/>
              </w:rPr>
              <w:t>000</w:t>
            </w:r>
          </w:p>
        </w:tc>
      </w:tr>
      <w:tr w14:paraId="721C5249" w14:textId="77777777" w:rsidTr="00301B53">
        <w:tblPrEx>
          <w:tblW w:w="9465" w:type="dxa"/>
          <w:tblInd w:w="93" w:type="dxa"/>
          <w:tblLayout w:type="fixed"/>
          <w:tblLook w:val="0000"/>
        </w:tblPrEx>
        <w:trPr>
          <w:cantSplit/>
          <w:trHeight w:val="1380"/>
        </w:trPr>
        <w:tc>
          <w:tcPr>
            <w:tcW w:w="2422" w:type="dxa"/>
            <w:vAlign w:val="bottom"/>
          </w:tcPr>
          <w:p w:rsidR="00CC19EB" w:rsidP="009F71D4" w14:paraId="1BC56C06" w14:textId="77777777">
            <w:pPr>
              <w:rPr>
                <w:b/>
                <w:szCs w:val="24"/>
              </w:rPr>
            </w:pPr>
          </w:p>
          <w:p w:rsidR="00447A68" w:rsidRPr="009F71D4" w:rsidP="009F71D4" w14:paraId="7DCEB9B1" w14:textId="38B727D9">
            <w:pPr>
              <w:rPr>
                <w:b/>
                <w:szCs w:val="24"/>
              </w:rPr>
            </w:pPr>
            <w:r>
              <w:rPr>
                <w:b/>
                <w:szCs w:val="24"/>
              </w:rPr>
              <w:t>b</w:t>
            </w:r>
            <w:r w:rsidRPr="009F71D4">
              <w:rPr>
                <w:b/>
                <w:szCs w:val="24"/>
              </w:rPr>
              <w:t xml:space="preserve">. </w:t>
            </w:r>
            <w:r w:rsidRPr="005815D2" w:rsidR="00CC19EB">
              <w:rPr>
                <w:b/>
                <w:szCs w:val="24"/>
              </w:rPr>
              <w:t>Process for Removing Unreasonable Locations for Carriers with More RDOF Locations</w:t>
            </w:r>
            <w:r w:rsidRPr="009F71D4" w:rsidR="00CC19EB">
              <w:rPr>
                <w:b/>
                <w:szCs w:val="24"/>
              </w:rPr>
              <w:t xml:space="preserve"> </w:t>
            </w:r>
          </w:p>
        </w:tc>
        <w:tc>
          <w:tcPr>
            <w:tcW w:w="1530" w:type="dxa"/>
            <w:vAlign w:val="bottom"/>
          </w:tcPr>
          <w:p w:rsidR="00447A68" w:rsidRPr="009F71D4" w:rsidP="009F71D4" w14:paraId="7EB6B0DC" w14:textId="65807272">
            <w:pPr>
              <w:jc w:val="center"/>
              <w:rPr>
                <w:b/>
                <w:bCs/>
                <w:szCs w:val="24"/>
              </w:rPr>
            </w:pPr>
            <w:r w:rsidRPr="009F71D4">
              <w:rPr>
                <w:b/>
                <w:bCs/>
                <w:szCs w:val="24"/>
              </w:rPr>
              <w:t>100</w:t>
            </w:r>
          </w:p>
        </w:tc>
        <w:tc>
          <w:tcPr>
            <w:tcW w:w="1283" w:type="dxa"/>
            <w:vAlign w:val="bottom"/>
          </w:tcPr>
          <w:p w:rsidR="00447A68" w:rsidRPr="009F71D4" w:rsidP="009F71D4" w14:paraId="41ABE7F9" w14:textId="0BB35C41">
            <w:pPr>
              <w:jc w:val="center"/>
              <w:rPr>
                <w:b/>
                <w:bCs/>
                <w:szCs w:val="24"/>
              </w:rPr>
            </w:pPr>
            <w:r w:rsidRPr="009F71D4">
              <w:rPr>
                <w:b/>
                <w:bCs/>
                <w:szCs w:val="24"/>
              </w:rPr>
              <w:t>1</w:t>
            </w:r>
          </w:p>
        </w:tc>
        <w:tc>
          <w:tcPr>
            <w:tcW w:w="1440" w:type="dxa"/>
            <w:vAlign w:val="bottom"/>
          </w:tcPr>
          <w:p w:rsidR="00447A68" w:rsidRPr="009F71D4" w:rsidP="009F71D4" w14:paraId="7AEF25A1" w14:textId="7AE6DF1C">
            <w:pPr>
              <w:jc w:val="center"/>
              <w:rPr>
                <w:b/>
                <w:bCs/>
                <w:szCs w:val="24"/>
              </w:rPr>
            </w:pPr>
            <w:r w:rsidRPr="009F71D4">
              <w:rPr>
                <w:b/>
                <w:bCs/>
                <w:szCs w:val="24"/>
              </w:rPr>
              <w:t>40</w:t>
            </w:r>
          </w:p>
        </w:tc>
        <w:tc>
          <w:tcPr>
            <w:tcW w:w="1080" w:type="dxa"/>
            <w:vAlign w:val="bottom"/>
          </w:tcPr>
          <w:p w:rsidR="00447A68" w:rsidRPr="009F71D4" w:rsidP="009F71D4" w14:paraId="43837A17" w14:textId="060A298A">
            <w:pPr>
              <w:jc w:val="center"/>
              <w:rPr>
                <w:b/>
                <w:bCs/>
                <w:szCs w:val="24"/>
              </w:rPr>
            </w:pPr>
            <w:r w:rsidRPr="009F71D4">
              <w:rPr>
                <w:b/>
                <w:szCs w:val="24"/>
              </w:rPr>
              <w:t>4,000</w:t>
            </w:r>
          </w:p>
        </w:tc>
        <w:tc>
          <w:tcPr>
            <w:tcW w:w="1710" w:type="dxa"/>
            <w:vAlign w:val="bottom"/>
          </w:tcPr>
          <w:p w:rsidR="00447A68" w:rsidRPr="009F71D4" w:rsidP="009F71D4" w14:paraId="25EF8DB6" w14:textId="4EE84A0E">
            <w:pPr>
              <w:jc w:val="center"/>
              <w:rPr>
                <w:b/>
                <w:szCs w:val="24"/>
              </w:rPr>
            </w:pPr>
            <w:r w:rsidRPr="009F71D4">
              <w:rPr>
                <w:b/>
                <w:bCs/>
                <w:szCs w:val="24"/>
              </w:rPr>
              <w:t>$</w:t>
            </w:r>
            <w:r w:rsidR="00A07A1C">
              <w:rPr>
                <w:b/>
                <w:bCs/>
                <w:szCs w:val="24"/>
              </w:rPr>
              <w:t>160,000</w:t>
            </w:r>
          </w:p>
        </w:tc>
      </w:tr>
      <w:tr w14:paraId="69D0CB87" w14:textId="77777777" w:rsidTr="00DD632C">
        <w:tblPrEx>
          <w:tblW w:w="9465" w:type="dxa"/>
          <w:tblInd w:w="93" w:type="dxa"/>
          <w:tblLayout w:type="fixed"/>
          <w:tblLook w:val="0000"/>
        </w:tblPrEx>
        <w:trPr>
          <w:cantSplit/>
          <w:trHeight w:val="1115"/>
        </w:trPr>
        <w:tc>
          <w:tcPr>
            <w:tcW w:w="2422" w:type="dxa"/>
            <w:vAlign w:val="bottom"/>
          </w:tcPr>
          <w:p w:rsidR="00581FEB" w:rsidP="009F71D4" w14:paraId="7C63CEAB" w14:textId="77777777">
            <w:pPr>
              <w:rPr>
                <w:b/>
                <w:szCs w:val="24"/>
              </w:rPr>
            </w:pPr>
          </w:p>
          <w:p w:rsidR="00037D97" w:rsidRPr="00581FEB" w:rsidP="009F71D4" w14:paraId="459DAEBF" w14:textId="1ADEF36B">
            <w:pPr>
              <w:rPr>
                <w:b/>
                <w:szCs w:val="24"/>
              </w:rPr>
            </w:pPr>
            <w:r w:rsidRPr="005815D2">
              <w:rPr>
                <w:b/>
                <w:szCs w:val="24"/>
              </w:rPr>
              <w:t>c. Collection of Location Information from Participants</w:t>
            </w:r>
          </w:p>
        </w:tc>
        <w:tc>
          <w:tcPr>
            <w:tcW w:w="1530" w:type="dxa"/>
            <w:vAlign w:val="bottom"/>
          </w:tcPr>
          <w:p w:rsidR="00037D97" w:rsidRPr="009F71D4" w:rsidP="009F71D4" w14:paraId="4D45AB41" w14:textId="1C230FB4">
            <w:pPr>
              <w:jc w:val="center"/>
              <w:rPr>
                <w:b/>
                <w:bCs/>
                <w:szCs w:val="24"/>
              </w:rPr>
            </w:pPr>
            <w:r>
              <w:rPr>
                <w:b/>
                <w:bCs/>
                <w:szCs w:val="24"/>
              </w:rPr>
              <w:t>0</w:t>
            </w:r>
          </w:p>
        </w:tc>
        <w:tc>
          <w:tcPr>
            <w:tcW w:w="1283" w:type="dxa"/>
            <w:vAlign w:val="bottom"/>
          </w:tcPr>
          <w:p w:rsidR="00037D97" w:rsidRPr="009F71D4" w:rsidP="009F71D4" w14:paraId="04C7BC9A" w14:textId="5CD04932">
            <w:pPr>
              <w:jc w:val="center"/>
              <w:rPr>
                <w:b/>
                <w:bCs/>
                <w:szCs w:val="24"/>
              </w:rPr>
            </w:pPr>
            <w:r>
              <w:rPr>
                <w:b/>
                <w:bCs/>
                <w:szCs w:val="24"/>
              </w:rPr>
              <w:t>0</w:t>
            </w:r>
          </w:p>
        </w:tc>
        <w:tc>
          <w:tcPr>
            <w:tcW w:w="1440" w:type="dxa"/>
            <w:vAlign w:val="bottom"/>
          </w:tcPr>
          <w:p w:rsidR="00037D97" w:rsidRPr="009F71D4" w:rsidP="009F71D4" w14:paraId="7D9B0734" w14:textId="4F06BFBA">
            <w:pPr>
              <w:jc w:val="center"/>
              <w:rPr>
                <w:b/>
                <w:bCs/>
                <w:szCs w:val="24"/>
              </w:rPr>
            </w:pPr>
            <w:r>
              <w:rPr>
                <w:b/>
                <w:bCs/>
                <w:szCs w:val="24"/>
              </w:rPr>
              <w:t>0</w:t>
            </w:r>
          </w:p>
        </w:tc>
        <w:tc>
          <w:tcPr>
            <w:tcW w:w="1080" w:type="dxa"/>
            <w:vAlign w:val="bottom"/>
          </w:tcPr>
          <w:p w:rsidR="00037D97" w:rsidRPr="009F71D4" w:rsidP="009F71D4" w14:paraId="3F705CFD" w14:textId="241E9C34">
            <w:pPr>
              <w:jc w:val="center"/>
              <w:rPr>
                <w:b/>
                <w:szCs w:val="24"/>
              </w:rPr>
            </w:pPr>
            <w:r>
              <w:rPr>
                <w:b/>
                <w:szCs w:val="24"/>
              </w:rPr>
              <w:t>0</w:t>
            </w:r>
          </w:p>
        </w:tc>
        <w:tc>
          <w:tcPr>
            <w:tcW w:w="1710" w:type="dxa"/>
            <w:vAlign w:val="bottom"/>
          </w:tcPr>
          <w:p w:rsidR="00037D97" w:rsidRPr="009F71D4" w:rsidP="009F71D4" w14:paraId="54AC1C91" w14:textId="456DAB43">
            <w:pPr>
              <w:jc w:val="center"/>
              <w:rPr>
                <w:b/>
                <w:szCs w:val="24"/>
              </w:rPr>
            </w:pPr>
            <w:r>
              <w:rPr>
                <w:b/>
                <w:szCs w:val="24"/>
              </w:rPr>
              <w:t>$0</w:t>
            </w:r>
          </w:p>
        </w:tc>
      </w:tr>
      <w:tr w14:paraId="2F8843F3" w14:textId="77777777" w:rsidTr="00DD632C">
        <w:tblPrEx>
          <w:tblW w:w="9465" w:type="dxa"/>
          <w:tblInd w:w="93" w:type="dxa"/>
          <w:tblLayout w:type="fixed"/>
          <w:tblLook w:val="0000"/>
        </w:tblPrEx>
        <w:trPr>
          <w:cantSplit/>
          <w:trHeight w:val="1115"/>
        </w:trPr>
        <w:tc>
          <w:tcPr>
            <w:tcW w:w="2422" w:type="dxa"/>
            <w:vAlign w:val="bottom"/>
          </w:tcPr>
          <w:p w:rsidR="00037D97" w:rsidRPr="000A5C93" w:rsidP="009F71D4" w14:paraId="4E03D5FF" w14:textId="30AC13B9">
            <w:pPr>
              <w:rPr>
                <w:b/>
                <w:szCs w:val="24"/>
              </w:rPr>
            </w:pPr>
            <w:r w:rsidRPr="005815D2">
              <w:rPr>
                <w:b/>
                <w:bCs/>
                <w:szCs w:val="24"/>
              </w:rPr>
              <w:t>d. Collection of Methods Description from Participants</w:t>
            </w:r>
          </w:p>
        </w:tc>
        <w:tc>
          <w:tcPr>
            <w:tcW w:w="1530" w:type="dxa"/>
            <w:vAlign w:val="bottom"/>
          </w:tcPr>
          <w:p w:rsidR="00037D97" w:rsidRPr="009F71D4" w:rsidP="009F71D4" w14:paraId="04356BEF" w14:textId="4FA91E38">
            <w:pPr>
              <w:jc w:val="center"/>
              <w:rPr>
                <w:b/>
                <w:bCs/>
                <w:szCs w:val="24"/>
              </w:rPr>
            </w:pPr>
            <w:r>
              <w:rPr>
                <w:b/>
                <w:bCs/>
                <w:szCs w:val="24"/>
              </w:rPr>
              <w:t>0</w:t>
            </w:r>
          </w:p>
        </w:tc>
        <w:tc>
          <w:tcPr>
            <w:tcW w:w="1283" w:type="dxa"/>
            <w:vAlign w:val="bottom"/>
          </w:tcPr>
          <w:p w:rsidR="00037D97" w:rsidRPr="009F71D4" w:rsidP="009F71D4" w14:paraId="107A7091" w14:textId="255F3018">
            <w:pPr>
              <w:jc w:val="center"/>
              <w:rPr>
                <w:b/>
                <w:bCs/>
                <w:szCs w:val="24"/>
              </w:rPr>
            </w:pPr>
            <w:r>
              <w:rPr>
                <w:b/>
                <w:bCs/>
                <w:szCs w:val="24"/>
              </w:rPr>
              <w:t>0</w:t>
            </w:r>
          </w:p>
        </w:tc>
        <w:tc>
          <w:tcPr>
            <w:tcW w:w="1440" w:type="dxa"/>
            <w:vAlign w:val="bottom"/>
          </w:tcPr>
          <w:p w:rsidR="00037D97" w:rsidRPr="009F71D4" w:rsidP="009F71D4" w14:paraId="443D1BC1" w14:textId="63944743">
            <w:pPr>
              <w:jc w:val="center"/>
              <w:rPr>
                <w:b/>
                <w:bCs/>
                <w:szCs w:val="24"/>
              </w:rPr>
            </w:pPr>
            <w:r>
              <w:rPr>
                <w:b/>
                <w:bCs/>
                <w:szCs w:val="24"/>
              </w:rPr>
              <w:t>0</w:t>
            </w:r>
          </w:p>
        </w:tc>
        <w:tc>
          <w:tcPr>
            <w:tcW w:w="1080" w:type="dxa"/>
            <w:vAlign w:val="bottom"/>
          </w:tcPr>
          <w:p w:rsidR="00037D97" w:rsidRPr="009F71D4" w:rsidP="009F71D4" w14:paraId="775E93FA" w14:textId="07FA4918">
            <w:pPr>
              <w:jc w:val="center"/>
              <w:rPr>
                <w:b/>
                <w:szCs w:val="24"/>
              </w:rPr>
            </w:pPr>
            <w:r>
              <w:rPr>
                <w:b/>
                <w:szCs w:val="24"/>
              </w:rPr>
              <w:t>0</w:t>
            </w:r>
          </w:p>
        </w:tc>
        <w:tc>
          <w:tcPr>
            <w:tcW w:w="1710" w:type="dxa"/>
            <w:vAlign w:val="bottom"/>
          </w:tcPr>
          <w:p w:rsidR="00037D97" w:rsidRPr="009F71D4" w:rsidP="009F71D4" w14:paraId="025FC7FF" w14:textId="389C77E8">
            <w:pPr>
              <w:jc w:val="center"/>
              <w:rPr>
                <w:b/>
                <w:szCs w:val="24"/>
              </w:rPr>
            </w:pPr>
            <w:r>
              <w:rPr>
                <w:b/>
                <w:szCs w:val="24"/>
              </w:rPr>
              <w:t>$0</w:t>
            </w:r>
          </w:p>
        </w:tc>
      </w:tr>
      <w:tr w14:paraId="5D2A3941" w14:textId="77777777" w:rsidTr="005815D2">
        <w:tblPrEx>
          <w:tblW w:w="9465" w:type="dxa"/>
          <w:tblInd w:w="93" w:type="dxa"/>
          <w:tblLayout w:type="fixed"/>
          <w:tblLook w:val="0000"/>
        </w:tblPrEx>
        <w:trPr>
          <w:cantSplit/>
          <w:trHeight w:val="1115"/>
        </w:trPr>
        <w:tc>
          <w:tcPr>
            <w:tcW w:w="2422" w:type="dxa"/>
            <w:vAlign w:val="bottom"/>
          </w:tcPr>
          <w:p w:rsidR="00447A68" w:rsidRPr="009F71D4" w:rsidP="009F71D4" w14:paraId="438DAC30" w14:textId="406DDA65">
            <w:pPr>
              <w:rPr>
                <w:b/>
                <w:szCs w:val="24"/>
              </w:rPr>
            </w:pPr>
            <w:r>
              <w:rPr>
                <w:b/>
                <w:szCs w:val="24"/>
              </w:rPr>
              <w:t>e</w:t>
            </w:r>
            <w:r w:rsidRPr="009F71D4">
              <w:rPr>
                <w:b/>
                <w:szCs w:val="24"/>
              </w:rPr>
              <w:t>. Collection of Supporting Evidence from Participants</w:t>
            </w:r>
          </w:p>
        </w:tc>
        <w:tc>
          <w:tcPr>
            <w:tcW w:w="1530" w:type="dxa"/>
            <w:vAlign w:val="bottom"/>
          </w:tcPr>
          <w:p w:rsidR="00447A68" w:rsidRPr="009F71D4" w:rsidP="009F71D4" w14:paraId="2D13760B" w14:textId="5D5D57D2">
            <w:pPr>
              <w:jc w:val="center"/>
              <w:rPr>
                <w:b/>
                <w:bCs/>
                <w:szCs w:val="24"/>
              </w:rPr>
            </w:pPr>
            <w:r w:rsidRPr="009F71D4">
              <w:rPr>
                <w:b/>
                <w:bCs/>
                <w:szCs w:val="24"/>
              </w:rPr>
              <w:t>0</w:t>
            </w:r>
          </w:p>
        </w:tc>
        <w:tc>
          <w:tcPr>
            <w:tcW w:w="1283" w:type="dxa"/>
            <w:vAlign w:val="bottom"/>
          </w:tcPr>
          <w:p w:rsidR="00447A68" w:rsidRPr="009F71D4" w:rsidP="009F71D4" w14:paraId="5EA45E35" w14:textId="312C0205">
            <w:pPr>
              <w:jc w:val="center"/>
              <w:rPr>
                <w:b/>
                <w:bCs/>
                <w:szCs w:val="24"/>
              </w:rPr>
            </w:pPr>
            <w:r w:rsidRPr="009F71D4">
              <w:rPr>
                <w:b/>
                <w:bCs/>
                <w:szCs w:val="24"/>
              </w:rPr>
              <w:t>0</w:t>
            </w:r>
          </w:p>
        </w:tc>
        <w:tc>
          <w:tcPr>
            <w:tcW w:w="1440" w:type="dxa"/>
            <w:vAlign w:val="bottom"/>
          </w:tcPr>
          <w:p w:rsidR="00447A68" w:rsidRPr="009F71D4" w:rsidP="009F71D4" w14:paraId="62BF0BC4" w14:textId="0A052F05">
            <w:pPr>
              <w:jc w:val="center"/>
              <w:rPr>
                <w:b/>
                <w:bCs/>
                <w:szCs w:val="24"/>
              </w:rPr>
            </w:pPr>
            <w:r w:rsidRPr="009F71D4">
              <w:rPr>
                <w:b/>
                <w:bCs/>
                <w:szCs w:val="24"/>
              </w:rPr>
              <w:t>0</w:t>
            </w:r>
          </w:p>
        </w:tc>
        <w:tc>
          <w:tcPr>
            <w:tcW w:w="1080" w:type="dxa"/>
            <w:vAlign w:val="bottom"/>
          </w:tcPr>
          <w:p w:rsidR="00447A68" w:rsidRPr="009F71D4" w:rsidP="009F71D4" w14:paraId="56334959" w14:textId="2F399DA9">
            <w:pPr>
              <w:jc w:val="center"/>
              <w:rPr>
                <w:b/>
                <w:bCs/>
                <w:szCs w:val="24"/>
              </w:rPr>
            </w:pPr>
            <w:r w:rsidRPr="009F71D4">
              <w:rPr>
                <w:b/>
                <w:szCs w:val="24"/>
              </w:rPr>
              <w:t>0</w:t>
            </w:r>
          </w:p>
        </w:tc>
        <w:tc>
          <w:tcPr>
            <w:tcW w:w="1710" w:type="dxa"/>
            <w:vAlign w:val="bottom"/>
          </w:tcPr>
          <w:p w:rsidR="00447A68" w:rsidRPr="009F71D4" w:rsidP="009F71D4" w14:paraId="0891D1CC" w14:textId="612A940D">
            <w:pPr>
              <w:jc w:val="center"/>
              <w:rPr>
                <w:b/>
                <w:szCs w:val="24"/>
              </w:rPr>
            </w:pPr>
            <w:r w:rsidRPr="009F71D4">
              <w:rPr>
                <w:b/>
                <w:szCs w:val="24"/>
              </w:rPr>
              <w:t>$0</w:t>
            </w:r>
          </w:p>
        </w:tc>
      </w:tr>
      <w:tr w14:paraId="26903F0B" w14:textId="77777777" w:rsidTr="00301B53">
        <w:tblPrEx>
          <w:tblW w:w="9465" w:type="dxa"/>
          <w:tblInd w:w="93" w:type="dxa"/>
          <w:tblLayout w:type="fixed"/>
          <w:tblLook w:val="0000"/>
        </w:tblPrEx>
        <w:trPr>
          <w:cantSplit/>
          <w:trHeight w:val="1380"/>
        </w:trPr>
        <w:tc>
          <w:tcPr>
            <w:tcW w:w="2422" w:type="dxa"/>
            <w:vAlign w:val="bottom"/>
          </w:tcPr>
          <w:p w:rsidR="00DD632C" w:rsidP="009F71D4" w14:paraId="78666736" w14:textId="77777777">
            <w:pPr>
              <w:rPr>
                <w:b/>
                <w:szCs w:val="24"/>
              </w:rPr>
            </w:pPr>
          </w:p>
          <w:p w:rsidR="00447A68" w:rsidRPr="009F71D4" w:rsidP="009F71D4" w14:paraId="178E9366" w14:textId="51603054">
            <w:pPr>
              <w:rPr>
                <w:b/>
                <w:szCs w:val="24"/>
              </w:rPr>
            </w:pPr>
            <w:r>
              <w:rPr>
                <w:b/>
                <w:szCs w:val="24"/>
              </w:rPr>
              <w:t>f</w:t>
            </w:r>
            <w:r w:rsidRPr="009F71D4">
              <w:rPr>
                <w:b/>
                <w:szCs w:val="24"/>
              </w:rPr>
              <w:t>. Collection of Information Verifying Stakeholder Eligibility</w:t>
            </w:r>
          </w:p>
        </w:tc>
        <w:tc>
          <w:tcPr>
            <w:tcW w:w="1530" w:type="dxa"/>
            <w:vAlign w:val="bottom"/>
          </w:tcPr>
          <w:p w:rsidR="00447A68" w:rsidRPr="009F71D4" w:rsidP="009F71D4" w14:paraId="53B9791C" w14:textId="69ABBFBE">
            <w:pPr>
              <w:jc w:val="center"/>
              <w:rPr>
                <w:b/>
                <w:bCs/>
                <w:szCs w:val="24"/>
              </w:rPr>
            </w:pPr>
            <w:r w:rsidRPr="009F71D4">
              <w:rPr>
                <w:b/>
                <w:bCs/>
                <w:szCs w:val="24"/>
              </w:rPr>
              <w:t>0</w:t>
            </w:r>
          </w:p>
        </w:tc>
        <w:tc>
          <w:tcPr>
            <w:tcW w:w="1283" w:type="dxa"/>
            <w:vAlign w:val="bottom"/>
          </w:tcPr>
          <w:p w:rsidR="00447A68" w:rsidRPr="009F71D4" w:rsidP="009F71D4" w14:paraId="0D6804D6" w14:textId="61CDFEB8">
            <w:pPr>
              <w:jc w:val="center"/>
              <w:rPr>
                <w:b/>
                <w:bCs/>
                <w:szCs w:val="24"/>
              </w:rPr>
            </w:pPr>
            <w:r w:rsidRPr="009F71D4">
              <w:rPr>
                <w:b/>
                <w:bCs/>
                <w:szCs w:val="24"/>
              </w:rPr>
              <w:t>0</w:t>
            </w:r>
          </w:p>
        </w:tc>
        <w:tc>
          <w:tcPr>
            <w:tcW w:w="1440" w:type="dxa"/>
            <w:vAlign w:val="bottom"/>
          </w:tcPr>
          <w:p w:rsidR="00447A68" w:rsidRPr="009F71D4" w:rsidP="009F71D4" w14:paraId="6A8E3B2A" w14:textId="5EFA7D60">
            <w:pPr>
              <w:jc w:val="center"/>
              <w:rPr>
                <w:b/>
                <w:bCs/>
                <w:szCs w:val="24"/>
              </w:rPr>
            </w:pPr>
            <w:r w:rsidRPr="009F71D4">
              <w:rPr>
                <w:b/>
                <w:bCs/>
                <w:szCs w:val="24"/>
              </w:rPr>
              <w:t>0</w:t>
            </w:r>
          </w:p>
        </w:tc>
        <w:tc>
          <w:tcPr>
            <w:tcW w:w="1080" w:type="dxa"/>
            <w:vAlign w:val="bottom"/>
          </w:tcPr>
          <w:p w:rsidR="00447A68" w:rsidRPr="009F71D4" w:rsidP="009F71D4" w14:paraId="6D80A7A7" w14:textId="4642C89D">
            <w:pPr>
              <w:jc w:val="center"/>
              <w:rPr>
                <w:b/>
                <w:bCs/>
                <w:szCs w:val="24"/>
              </w:rPr>
            </w:pPr>
            <w:r w:rsidRPr="009F71D4">
              <w:rPr>
                <w:b/>
                <w:szCs w:val="24"/>
              </w:rPr>
              <w:t>0</w:t>
            </w:r>
          </w:p>
        </w:tc>
        <w:tc>
          <w:tcPr>
            <w:tcW w:w="1710" w:type="dxa"/>
            <w:vAlign w:val="bottom"/>
          </w:tcPr>
          <w:p w:rsidR="00447A68" w:rsidRPr="009F71D4" w:rsidP="009F71D4" w14:paraId="7BAC92FF" w14:textId="0D99CC9A">
            <w:pPr>
              <w:jc w:val="center"/>
              <w:rPr>
                <w:b/>
                <w:szCs w:val="24"/>
              </w:rPr>
            </w:pPr>
            <w:r w:rsidRPr="009F71D4">
              <w:rPr>
                <w:b/>
                <w:szCs w:val="24"/>
              </w:rPr>
              <w:t>$0</w:t>
            </w:r>
          </w:p>
        </w:tc>
      </w:tr>
      <w:tr w14:paraId="47E37297" w14:textId="77777777" w:rsidTr="00301B53">
        <w:tblPrEx>
          <w:tblW w:w="9465" w:type="dxa"/>
          <w:tblInd w:w="93" w:type="dxa"/>
          <w:tblLayout w:type="fixed"/>
          <w:tblLook w:val="0000"/>
        </w:tblPrEx>
        <w:trPr>
          <w:cantSplit/>
          <w:trHeight w:val="1380"/>
        </w:trPr>
        <w:tc>
          <w:tcPr>
            <w:tcW w:w="2422" w:type="dxa"/>
            <w:vAlign w:val="bottom"/>
          </w:tcPr>
          <w:p w:rsidR="00447A68" w:rsidRPr="009F71D4" w:rsidP="009F71D4" w14:paraId="3C6B17F5" w14:textId="722AE5F9">
            <w:pPr>
              <w:rPr>
                <w:b/>
                <w:szCs w:val="24"/>
              </w:rPr>
            </w:pPr>
            <w:r>
              <w:rPr>
                <w:b/>
                <w:szCs w:val="24"/>
              </w:rPr>
              <w:t>g</w:t>
            </w:r>
            <w:r w:rsidRPr="009F71D4">
              <w:rPr>
                <w:b/>
                <w:szCs w:val="24"/>
              </w:rPr>
              <w:t>. Collection of Location Information from Stakeholders</w:t>
            </w:r>
          </w:p>
        </w:tc>
        <w:tc>
          <w:tcPr>
            <w:tcW w:w="1530" w:type="dxa"/>
            <w:vAlign w:val="bottom"/>
          </w:tcPr>
          <w:p w:rsidR="00447A68" w:rsidRPr="009F71D4" w:rsidP="009F71D4" w14:paraId="7382ED57" w14:textId="7ED54F7E">
            <w:pPr>
              <w:jc w:val="center"/>
              <w:rPr>
                <w:b/>
                <w:bCs/>
                <w:szCs w:val="24"/>
              </w:rPr>
            </w:pPr>
            <w:r w:rsidRPr="009F71D4">
              <w:rPr>
                <w:b/>
                <w:bCs/>
                <w:szCs w:val="24"/>
              </w:rPr>
              <w:t>0</w:t>
            </w:r>
          </w:p>
        </w:tc>
        <w:tc>
          <w:tcPr>
            <w:tcW w:w="1283" w:type="dxa"/>
            <w:vAlign w:val="bottom"/>
          </w:tcPr>
          <w:p w:rsidR="00447A68" w:rsidRPr="009F71D4" w:rsidP="009F71D4" w14:paraId="00D80C8F" w14:textId="31547F81">
            <w:pPr>
              <w:jc w:val="center"/>
              <w:rPr>
                <w:b/>
                <w:bCs/>
                <w:szCs w:val="24"/>
              </w:rPr>
            </w:pPr>
            <w:r w:rsidRPr="009F71D4">
              <w:rPr>
                <w:b/>
                <w:bCs/>
                <w:szCs w:val="24"/>
              </w:rPr>
              <w:t>0</w:t>
            </w:r>
          </w:p>
        </w:tc>
        <w:tc>
          <w:tcPr>
            <w:tcW w:w="1440" w:type="dxa"/>
            <w:vAlign w:val="bottom"/>
          </w:tcPr>
          <w:p w:rsidR="00447A68" w:rsidRPr="009F71D4" w:rsidP="009F71D4" w14:paraId="7B66776D" w14:textId="198266AE">
            <w:pPr>
              <w:jc w:val="center"/>
              <w:rPr>
                <w:b/>
                <w:bCs/>
                <w:szCs w:val="24"/>
              </w:rPr>
            </w:pPr>
            <w:r w:rsidRPr="009F71D4">
              <w:rPr>
                <w:b/>
                <w:bCs/>
                <w:szCs w:val="24"/>
              </w:rPr>
              <w:t>0</w:t>
            </w:r>
          </w:p>
        </w:tc>
        <w:tc>
          <w:tcPr>
            <w:tcW w:w="1080" w:type="dxa"/>
            <w:vAlign w:val="bottom"/>
          </w:tcPr>
          <w:p w:rsidR="00447A68" w:rsidRPr="009F71D4" w:rsidP="009F71D4" w14:paraId="25009A9E" w14:textId="210C0D35">
            <w:pPr>
              <w:jc w:val="center"/>
              <w:rPr>
                <w:b/>
                <w:bCs/>
                <w:szCs w:val="24"/>
              </w:rPr>
            </w:pPr>
            <w:r w:rsidRPr="009F71D4">
              <w:rPr>
                <w:b/>
                <w:szCs w:val="24"/>
              </w:rPr>
              <w:t>0</w:t>
            </w:r>
          </w:p>
        </w:tc>
        <w:tc>
          <w:tcPr>
            <w:tcW w:w="1710" w:type="dxa"/>
            <w:vAlign w:val="bottom"/>
          </w:tcPr>
          <w:p w:rsidR="00447A68" w:rsidRPr="009F71D4" w:rsidP="009F71D4" w14:paraId="233874BE" w14:textId="0D184039">
            <w:pPr>
              <w:jc w:val="center"/>
              <w:rPr>
                <w:b/>
                <w:szCs w:val="24"/>
              </w:rPr>
            </w:pPr>
            <w:r w:rsidRPr="009F71D4">
              <w:rPr>
                <w:b/>
                <w:szCs w:val="24"/>
              </w:rPr>
              <w:t>$0</w:t>
            </w:r>
          </w:p>
        </w:tc>
      </w:tr>
      <w:tr w14:paraId="092FE47F" w14:textId="77777777" w:rsidTr="00301B53">
        <w:tblPrEx>
          <w:tblW w:w="9465" w:type="dxa"/>
          <w:tblInd w:w="93" w:type="dxa"/>
          <w:tblLayout w:type="fixed"/>
          <w:tblLook w:val="0000"/>
        </w:tblPrEx>
        <w:trPr>
          <w:cantSplit/>
          <w:trHeight w:val="1380"/>
        </w:trPr>
        <w:tc>
          <w:tcPr>
            <w:tcW w:w="2422" w:type="dxa"/>
            <w:vAlign w:val="bottom"/>
          </w:tcPr>
          <w:p w:rsidR="00447A68" w:rsidRPr="009F71D4" w:rsidP="009F71D4" w14:paraId="7A292B32" w14:textId="77777777">
            <w:pPr>
              <w:rPr>
                <w:b/>
                <w:szCs w:val="24"/>
              </w:rPr>
            </w:pPr>
          </w:p>
          <w:p w:rsidR="00447A68" w:rsidRPr="009F71D4" w:rsidP="009F71D4" w14:paraId="0E499FEC" w14:textId="72C56B07">
            <w:pPr>
              <w:rPr>
                <w:b/>
                <w:szCs w:val="24"/>
              </w:rPr>
            </w:pPr>
            <w:r>
              <w:rPr>
                <w:b/>
                <w:szCs w:val="24"/>
              </w:rPr>
              <w:t>h</w:t>
            </w:r>
            <w:r w:rsidRPr="009F71D4">
              <w:rPr>
                <w:b/>
                <w:szCs w:val="24"/>
              </w:rPr>
              <w:t>. Collection of Methods Description and Supporting Evidence from Stakeholders</w:t>
            </w:r>
          </w:p>
        </w:tc>
        <w:tc>
          <w:tcPr>
            <w:tcW w:w="1530" w:type="dxa"/>
            <w:vAlign w:val="bottom"/>
          </w:tcPr>
          <w:p w:rsidR="00447A68" w:rsidRPr="009F71D4" w:rsidP="009F71D4" w14:paraId="3988D303" w14:textId="68A9D9A0">
            <w:pPr>
              <w:jc w:val="center"/>
              <w:rPr>
                <w:b/>
                <w:bCs/>
                <w:szCs w:val="24"/>
              </w:rPr>
            </w:pPr>
            <w:r w:rsidRPr="009F71D4">
              <w:rPr>
                <w:b/>
                <w:bCs/>
                <w:szCs w:val="24"/>
              </w:rPr>
              <w:t>0</w:t>
            </w:r>
          </w:p>
        </w:tc>
        <w:tc>
          <w:tcPr>
            <w:tcW w:w="1283" w:type="dxa"/>
            <w:vAlign w:val="bottom"/>
          </w:tcPr>
          <w:p w:rsidR="00447A68" w:rsidRPr="009F71D4" w:rsidP="009F71D4" w14:paraId="5113EF5C" w14:textId="6DA201C8">
            <w:pPr>
              <w:jc w:val="center"/>
              <w:rPr>
                <w:b/>
                <w:bCs/>
                <w:szCs w:val="24"/>
              </w:rPr>
            </w:pPr>
            <w:r w:rsidRPr="009F71D4">
              <w:rPr>
                <w:b/>
                <w:bCs/>
                <w:szCs w:val="24"/>
              </w:rPr>
              <w:t>0</w:t>
            </w:r>
          </w:p>
        </w:tc>
        <w:tc>
          <w:tcPr>
            <w:tcW w:w="1440" w:type="dxa"/>
            <w:vAlign w:val="bottom"/>
          </w:tcPr>
          <w:p w:rsidR="00447A68" w:rsidRPr="009F71D4" w:rsidP="009F71D4" w14:paraId="04D26B07" w14:textId="4578EE0D">
            <w:pPr>
              <w:jc w:val="center"/>
              <w:rPr>
                <w:b/>
                <w:bCs/>
                <w:szCs w:val="24"/>
              </w:rPr>
            </w:pPr>
            <w:r w:rsidRPr="009F71D4">
              <w:rPr>
                <w:b/>
                <w:bCs/>
                <w:szCs w:val="24"/>
              </w:rPr>
              <w:t>0</w:t>
            </w:r>
          </w:p>
        </w:tc>
        <w:tc>
          <w:tcPr>
            <w:tcW w:w="1080" w:type="dxa"/>
            <w:vAlign w:val="bottom"/>
          </w:tcPr>
          <w:p w:rsidR="00447A68" w:rsidRPr="009F71D4" w:rsidP="009F71D4" w14:paraId="17608D6A" w14:textId="059BF533">
            <w:pPr>
              <w:jc w:val="center"/>
              <w:rPr>
                <w:b/>
                <w:bCs/>
                <w:szCs w:val="24"/>
              </w:rPr>
            </w:pPr>
            <w:r w:rsidRPr="009F71D4">
              <w:rPr>
                <w:b/>
                <w:szCs w:val="24"/>
              </w:rPr>
              <w:t>0</w:t>
            </w:r>
          </w:p>
        </w:tc>
        <w:tc>
          <w:tcPr>
            <w:tcW w:w="1710" w:type="dxa"/>
            <w:vAlign w:val="bottom"/>
          </w:tcPr>
          <w:p w:rsidR="00447A68" w:rsidRPr="009F71D4" w:rsidP="009F71D4" w14:paraId="6E1DD2E1" w14:textId="4A90A729">
            <w:pPr>
              <w:jc w:val="center"/>
              <w:rPr>
                <w:b/>
                <w:szCs w:val="24"/>
              </w:rPr>
            </w:pPr>
            <w:r w:rsidRPr="009F71D4">
              <w:rPr>
                <w:b/>
                <w:szCs w:val="24"/>
              </w:rPr>
              <w:t>$0</w:t>
            </w:r>
          </w:p>
        </w:tc>
      </w:tr>
      <w:tr w14:paraId="3812BEB5" w14:textId="77777777" w:rsidTr="00301B53">
        <w:tblPrEx>
          <w:tblW w:w="9465" w:type="dxa"/>
          <w:tblInd w:w="93" w:type="dxa"/>
          <w:tblLayout w:type="fixed"/>
          <w:tblLook w:val="0000"/>
        </w:tblPrEx>
        <w:trPr>
          <w:cantSplit/>
          <w:trHeight w:val="845"/>
        </w:trPr>
        <w:tc>
          <w:tcPr>
            <w:tcW w:w="2422" w:type="dxa"/>
            <w:vAlign w:val="bottom"/>
          </w:tcPr>
          <w:p w:rsidR="00037D97" w:rsidP="009F71D4" w14:paraId="73CDAD03" w14:textId="77777777">
            <w:pPr>
              <w:rPr>
                <w:b/>
                <w:szCs w:val="24"/>
              </w:rPr>
            </w:pPr>
          </w:p>
          <w:p w:rsidR="00447A68" w:rsidRPr="009F71D4" w:rsidP="009F71D4" w14:paraId="0D5D9F33" w14:textId="36AA1488">
            <w:pPr>
              <w:rPr>
                <w:b/>
                <w:szCs w:val="24"/>
              </w:rPr>
            </w:pPr>
            <w:r>
              <w:rPr>
                <w:b/>
                <w:szCs w:val="24"/>
              </w:rPr>
              <w:t>i</w:t>
            </w:r>
            <w:r w:rsidRPr="009F71D4">
              <w:rPr>
                <w:b/>
                <w:szCs w:val="24"/>
              </w:rPr>
              <w:t>. Collection of Repl</w:t>
            </w:r>
            <w:r w:rsidR="0014179C">
              <w:rPr>
                <w:b/>
                <w:szCs w:val="24"/>
              </w:rPr>
              <w:t>y Information</w:t>
            </w:r>
            <w:r w:rsidRPr="009F71D4">
              <w:rPr>
                <w:b/>
                <w:szCs w:val="24"/>
              </w:rPr>
              <w:t xml:space="preserve"> from Participants</w:t>
            </w:r>
          </w:p>
        </w:tc>
        <w:tc>
          <w:tcPr>
            <w:tcW w:w="1530" w:type="dxa"/>
            <w:vAlign w:val="bottom"/>
          </w:tcPr>
          <w:p w:rsidR="00447A68" w:rsidRPr="009F71D4" w:rsidP="009F71D4" w14:paraId="5BB130CE" w14:textId="19E7FFE8">
            <w:pPr>
              <w:jc w:val="center"/>
              <w:rPr>
                <w:b/>
                <w:bCs/>
                <w:szCs w:val="24"/>
              </w:rPr>
            </w:pPr>
            <w:r w:rsidRPr="009F71D4">
              <w:rPr>
                <w:b/>
                <w:bCs/>
                <w:szCs w:val="24"/>
              </w:rPr>
              <w:t>0</w:t>
            </w:r>
          </w:p>
        </w:tc>
        <w:tc>
          <w:tcPr>
            <w:tcW w:w="1283" w:type="dxa"/>
            <w:vAlign w:val="bottom"/>
          </w:tcPr>
          <w:p w:rsidR="00447A68" w:rsidRPr="009F71D4" w:rsidP="009F71D4" w14:paraId="37AA4167" w14:textId="66F230D8">
            <w:pPr>
              <w:jc w:val="center"/>
              <w:rPr>
                <w:b/>
                <w:bCs/>
                <w:szCs w:val="24"/>
              </w:rPr>
            </w:pPr>
            <w:r w:rsidRPr="009F71D4">
              <w:rPr>
                <w:b/>
                <w:bCs/>
                <w:szCs w:val="24"/>
              </w:rPr>
              <w:t>0</w:t>
            </w:r>
          </w:p>
        </w:tc>
        <w:tc>
          <w:tcPr>
            <w:tcW w:w="1440" w:type="dxa"/>
            <w:vAlign w:val="bottom"/>
          </w:tcPr>
          <w:p w:rsidR="00447A68" w:rsidRPr="009F71D4" w:rsidP="009F71D4" w14:paraId="199BDBD8" w14:textId="25CC0993">
            <w:pPr>
              <w:jc w:val="center"/>
              <w:rPr>
                <w:b/>
                <w:bCs/>
                <w:szCs w:val="24"/>
              </w:rPr>
            </w:pPr>
            <w:r w:rsidRPr="009F71D4">
              <w:rPr>
                <w:b/>
                <w:bCs/>
                <w:szCs w:val="24"/>
              </w:rPr>
              <w:t>0</w:t>
            </w:r>
          </w:p>
        </w:tc>
        <w:tc>
          <w:tcPr>
            <w:tcW w:w="1080" w:type="dxa"/>
            <w:vAlign w:val="bottom"/>
          </w:tcPr>
          <w:p w:rsidR="00447A68" w:rsidRPr="009F71D4" w:rsidP="009F71D4" w14:paraId="0B4DB5A1" w14:textId="29A6F9B7">
            <w:pPr>
              <w:jc w:val="center"/>
              <w:rPr>
                <w:b/>
                <w:bCs/>
                <w:szCs w:val="24"/>
              </w:rPr>
            </w:pPr>
            <w:r w:rsidRPr="009F71D4">
              <w:rPr>
                <w:b/>
                <w:szCs w:val="24"/>
              </w:rPr>
              <w:t>0</w:t>
            </w:r>
          </w:p>
        </w:tc>
        <w:tc>
          <w:tcPr>
            <w:tcW w:w="1710" w:type="dxa"/>
            <w:vAlign w:val="bottom"/>
          </w:tcPr>
          <w:p w:rsidR="00447A68" w:rsidRPr="009F71D4" w:rsidP="009F71D4" w14:paraId="3F3D91E4" w14:textId="335AD27B">
            <w:pPr>
              <w:jc w:val="center"/>
              <w:rPr>
                <w:b/>
                <w:szCs w:val="24"/>
              </w:rPr>
            </w:pPr>
            <w:r w:rsidRPr="009F71D4">
              <w:rPr>
                <w:b/>
                <w:szCs w:val="24"/>
              </w:rPr>
              <w:t>$0</w:t>
            </w:r>
          </w:p>
        </w:tc>
      </w:tr>
    </w:tbl>
    <w:p w:rsidR="002865FD" w:rsidRPr="009F71D4" w:rsidP="009F71D4" w14:paraId="58970466" w14:textId="77777777">
      <w:pPr>
        <w:rPr>
          <w:szCs w:val="24"/>
        </w:rPr>
      </w:pPr>
    </w:p>
    <w:p w:rsidR="00326545" w:rsidRPr="009F71D4" w:rsidP="009F71D4" w14:paraId="37E34AA8" w14:textId="7FBEDFA7">
      <w:pPr>
        <w:rPr>
          <w:szCs w:val="24"/>
        </w:rPr>
      </w:pPr>
      <w:r w:rsidRPr="009F71D4">
        <w:rPr>
          <w:szCs w:val="24"/>
        </w:rPr>
        <w:tab/>
      </w:r>
      <w:r w:rsidRPr="009F71D4">
        <w:rPr>
          <w:szCs w:val="24"/>
        </w:rPr>
        <w:tab/>
      </w:r>
      <w:r w:rsidRPr="009F71D4">
        <w:rPr>
          <w:szCs w:val="24"/>
        </w:rPr>
        <w:tab/>
      </w:r>
    </w:p>
    <w:p w:rsidR="00D56F3D" w:rsidRPr="009F71D4" w:rsidP="009F71D4" w14:paraId="3F989ED0" w14:textId="4E2B3A50">
      <w:pPr>
        <w:outlineLvl w:val="0"/>
        <w:rPr>
          <w:b/>
          <w:szCs w:val="24"/>
        </w:rPr>
      </w:pPr>
      <w:r w:rsidRPr="009F71D4">
        <w:rPr>
          <w:b/>
          <w:szCs w:val="24"/>
          <w:u w:val="single"/>
        </w:rPr>
        <w:t>TOTALS</w:t>
      </w:r>
      <w:r w:rsidRPr="009F71D4">
        <w:rPr>
          <w:b/>
          <w:szCs w:val="24"/>
        </w:rPr>
        <w:t>:</w:t>
      </w:r>
    </w:p>
    <w:p w:rsidR="00D56F3D" w:rsidRPr="009F71D4" w:rsidP="009F71D4" w14:paraId="717C54DB" w14:textId="77777777">
      <w:pPr>
        <w:outlineLvl w:val="0"/>
        <w:rPr>
          <w:b/>
          <w:szCs w:val="24"/>
        </w:rPr>
      </w:pPr>
    </w:p>
    <w:p w:rsidR="00363978" w:rsidRPr="009F71D4" w:rsidP="009F71D4" w14:paraId="69A9767C" w14:textId="20722C80">
      <w:pPr>
        <w:outlineLvl w:val="0"/>
        <w:rPr>
          <w:b/>
          <w:szCs w:val="24"/>
        </w:rPr>
      </w:pPr>
      <w:r w:rsidRPr="009F71D4">
        <w:rPr>
          <w:b/>
          <w:szCs w:val="24"/>
        </w:rPr>
        <w:t>Total Number of Respondents:</w:t>
      </w:r>
      <w:r w:rsidRPr="009F71D4" w:rsidR="00F77685">
        <w:rPr>
          <w:b/>
          <w:szCs w:val="24"/>
        </w:rPr>
        <w:t xml:space="preserve"> </w:t>
      </w:r>
      <w:r w:rsidRPr="009F71D4" w:rsidR="00E52688">
        <w:rPr>
          <w:b/>
          <w:szCs w:val="24"/>
        </w:rPr>
        <w:t>115</w:t>
      </w:r>
      <w:r w:rsidRPr="009F71D4" w:rsidR="00DD75EB">
        <w:rPr>
          <w:b/>
          <w:szCs w:val="24"/>
        </w:rPr>
        <w:t xml:space="preserve"> </w:t>
      </w:r>
      <w:r w:rsidRPr="009F71D4">
        <w:rPr>
          <w:b/>
          <w:szCs w:val="24"/>
        </w:rPr>
        <w:t>respondents</w:t>
      </w:r>
      <w:r w:rsidRPr="009F71D4" w:rsidR="00A3639E">
        <w:rPr>
          <w:b/>
          <w:szCs w:val="24"/>
        </w:rPr>
        <w:t xml:space="preserve"> </w:t>
      </w:r>
      <w:r w:rsidRPr="009F71D4" w:rsidR="00F77685">
        <w:rPr>
          <w:b/>
          <w:szCs w:val="24"/>
        </w:rPr>
        <w:t>filing multiple times</w:t>
      </w:r>
      <w:r w:rsidRPr="009F71D4" w:rsidR="00D56F3D">
        <w:rPr>
          <w:b/>
          <w:szCs w:val="24"/>
        </w:rPr>
        <w:t>.</w:t>
      </w:r>
    </w:p>
    <w:p w:rsidR="00363978" w:rsidRPr="009F71D4" w:rsidP="009F71D4" w14:paraId="4E52982A" w14:textId="77777777">
      <w:pPr>
        <w:rPr>
          <w:b/>
          <w:szCs w:val="24"/>
        </w:rPr>
      </w:pPr>
    </w:p>
    <w:p w:rsidR="00363978" w:rsidRPr="009F71D4" w:rsidP="009F71D4" w14:paraId="48118E14" w14:textId="4B97F71C">
      <w:pPr>
        <w:outlineLvl w:val="0"/>
        <w:rPr>
          <w:b/>
          <w:szCs w:val="24"/>
        </w:rPr>
      </w:pPr>
      <w:r w:rsidRPr="009F71D4">
        <w:rPr>
          <w:b/>
          <w:szCs w:val="24"/>
        </w:rPr>
        <w:t xml:space="preserve">Total Number of Responses Annually: </w:t>
      </w:r>
      <w:r w:rsidRPr="009F71D4" w:rsidR="00521BDE">
        <w:rPr>
          <w:b/>
          <w:szCs w:val="24"/>
        </w:rPr>
        <w:t>1</w:t>
      </w:r>
      <w:r w:rsidRPr="009F71D4" w:rsidR="00405ADB">
        <w:rPr>
          <w:b/>
          <w:szCs w:val="24"/>
        </w:rPr>
        <w:t>15</w:t>
      </w:r>
    </w:p>
    <w:p w:rsidR="00363978" w:rsidRPr="009F71D4" w:rsidP="009F71D4" w14:paraId="4EF001F7" w14:textId="13B9557E">
      <w:pPr>
        <w:rPr>
          <w:b/>
          <w:szCs w:val="24"/>
        </w:rPr>
      </w:pPr>
      <w:r w:rsidRPr="009F71D4">
        <w:rPr>
          <w:b/>
          <w:szCs w:val="24"/>
        </w:rPr>
        <w:t xml:space="preserve"> </w:t>
      </w:r>
    </w:p>
    <w:p w:rsidR="00363978" w:rsidRPr="009F71D4" w:rsidP="009F71D4" w14:paraId="5540CC42" w14:textId="173AEEE8">
      <w:pPr>
        <w:outlineLvl w:val="0"/>
        <w:rPr>
          <w:b/>
          <w:szCs w:val="24"/>
        </w:rPr>
      </w:pPr>
      <w:r w:rsidRPr="009F71D4">
        <w:rPr>
          <w:b/>
          <w:szCs w:val="24"/>
        </w:rPr>
        <w:t>Total Annual Hourly Burden for Requirements</w:t>
      </w:r>
      <w:r w:rsidR="00DD632C">
        <w:rPr>
          <w:b/>
          <w:szCs w:val="24"/>
        </w:rPr>
        <w:t>:</w:t>
      </w:r>
      <w:r w:rsidRPr="009F71D4">
        <w:rPr>
          <w:b/>
          <w:szCs w:val="24"/>
        </w:rPr>
        <w:t xml:space="preserve"> (a) – (</w:t>
      </w:r>
      <w:r w:rsidRPr="009F71D4" w:rsidR="00521BDE">
        <w:rPr>
          <w:b/>
          <w:szCs w:val="24"/>
        </w:rPr>
        <w:t>i</w:t>
      </w:r>
      <w:r w:rsidRPr="009F71D4">
        <w:rPr>
          <w:b/>
          <w:szCs w:val="24"/>
        </w:rPr>
        <w:t xml:space="preserve">): </w:t>
      </w:r>
      <w:r w:rsidRPr="009F71D4" w:rsidR="00521BDE">
        <w:rPr>
          <w:b/>
          <w:szCs w:val="24"/>
        </w:rPr>
        <w:t>4</w:t>
      </w:r>
      <w:r w:rsidR="000770C4">
        <w:rPr>
          <w:b/>
          <w:szCs w:val="24"/>
        </w:rPr>
        <w:t>,</w:t>
      </w:r>
      <w:r w:rsidR="003C3A6A">
        <w:rPr>
          <w:b/>
          <w:szCs w:val="24"/>
        </w:rPr>
        <w:t>075</w:t>
      </w:r>
    </w:p>
    <w:p w:rsidR="00363978" w:rsidRPr="009F71D4" w:rsidP="009F71D4" w14:paraId="381552FA" w14:textId="51E7F52B">
      <w:pPr>
        <w:rPr>
          <w:b/>
          <w:szCs w:val="24"/>
        </w:rPr>
      </w:pPr>
      <w:r w:rsidRPr="009F71D4">
        <w:rPr>
          <w:b/>
          <w:szCs w:val="24"/>
        </w:rPr>
        <w:br/>
        <w:t xml:space="preserve">Total Annual In-House Costs to Respondents: </w:t>
      </w:r>
      <w:r w:rsidRPr="009F71D4" w:rsidR="00AE05D5">
        <w:rPr>
          <w:b/>
          <w:szCs w:val="24"/>
        </w:rPr>
        <w:t>$</w:t>
      </w:r>
      <w:r w:rsidR="007D1291">
        <w:rPr>
          <w:b/>
          <w:szCs w:val="24"/>
        </w:rPr>
        <w:t>163,000</w:t>
      </w:r>
    </w:p>
    <w:p w:rsidR="00363978" w:rsidRPr="009F71D4" w:rsidP="009F71D4" w14:paraId="5417BC25" w14:textId="77777777">
      <w:pPr>
        <w:rPr>
          <w:szCs w:val="24"/>
        </w:rPr>
      </w:pPr>
    </w:p>
    <w:p w:rsidR="00326545" w:rsidRPr="009F71D4" w:rsidP="009F71D4" w14:paraId="25B3D2EB" w14:textId="79BAA9A8">
      <w:pPr>
        <w:pStyle w:val="ListParagraph"/>
        <w:numPr>
          <w:ilvl w:val="0"/>
          <w:numId w:val="1"/>
        </w:numPr>
        <w:rPr>
          <w:szCs w:val="24"/>
        </w:rPr>
      </w:pPr>
      <w:r w:rsidRPr="009F71D4">
        <w:rPr>
          <w:i/>
          <w:szCs w:val="24"/>
        </w:rPr>
        <w:t>Estimates for the cost burden of the collection to respondents</w:t>
      </w:r>
      <w:r w:rsidRPr="009F71D4">
        <w:rPr>
          <w:szCs w:val="24"/>
        </w:rPr>
        <w:t xml:space="preserve">.  </w:t>
      </w:r>
      <w:r w:rsidRPr="009F71D4" w:rsidR="00453754">
        <w:rPr>
          <w:szCs w:val="24"/>
        </w:rPr>
        <w:t>There is no external cost burden to the respondents.  Carriers should not incur capital and start-up costs or operation and maintenance of purchase of services in connection with responding to this information collection.  The information collected as part of these processes should be collected and maintained as part of the customary and usual business of the applicant and to comply with A-CAM or RDOF requirements.</w:t>
      </w:r>
    </w:p>
    <w:p w:rsidR="00326545" w:rsidRPr="009F71D4" w:rsidP="009F71D4" w14:paraId="7EAF4A93" w14:textId="77777777">
      <w:pPr>
        <w:pStyle w:val="ListParagraph"/>
        <w:rPr>
          <w:szCs w:val="24"/>
        </w:rPr>
      </w:pPr>
    </w:p>
    <w:p w:rsidR="00326545" w:rsidRPr="009F71D4" w:rsidP="009F71D4" w14:paraId="25CCD500" w14:textId="05628F5D">
      <w:pPr>
        <w:pStyle w:val="ListParagraph"/>
        <w:numPr>
          <w:ilvl w:val="0"/>
          <w:numId w:val="1"/>
        </w:numPr>
        <w:rPr>
          <w:szCs w:val="24"/>
        </w:rPr>
      </w:pPr>
      <w:r w:rsidRPr="009F71D4">
        <w:rPr>
          <w:i/>
          <w:szCs w:val="24"/>
        </w:rPr>
        <w:t xml:space="preserve">Estimates of the cost burden to the Commission.  </w:t>
      </w:r>
      <w:r w:rsidRPr="009F71D4">
        <w:rPr>
          <w:szCs w:val="24"/>
        </w:rPr>
        <w:t xml:space="preserve">There will be few, if any, costs to the Commission because ensuring proper use of universal service support is already part of Commission duties.  </w:t>
      </w:r>
    </w:p>
    <w:p w:rsidR="00582DCF" w:rsidRPr="009F71D4" w:rsidP="009F71D4" w14:paraId="6BD83026" w14:textId="77777777">
      <w:pPr>
        <w:pStyle w:val="ListParagraph"/>
        <w:rPr>
          <w:szCs w:val="24"/>
        </w:rPr>
      </w:pPr>
    </w:p>
    <w:p w:rsidR="007D45AC" w:rsidRPr="00017685" w:rsidP="009F71D4" w14:paraId="6D75BBDD" w14:textId="6B6E1DDE">
      <w:pPr>
        <w:pStyle w:val="ListParagraph"/>
        <w:numPr>
          <w:ilvl w:val="0"/>
          <w:numId w:val="1"/>
        </w:numPr>
        <w:rPr>
          <w:szCs w:val="24"/>
        </w:rPr>
      </w:pPr>
      <w:r w:rsidRPr="009F71D4">
        <w:rPr>
          <w:i/>
          <w:iCs/>
          <w:szCs w:val="24"/>
        </w:rPr>
        <w:t>Program changes or adjustments</w:t>
      </w:r>
      <w:r w:rsidRPr="009F71D4">
        <w:rPr>
          <w:iCs/>
          <w:szCs w:val="24"/>
        </w:rPr>
        <w:t xml:space="preserve">.  </w:t>
      </w:r>
      <w:r w:rsidRPr="009F71D4" w:rsidR="00BF1C8B">
        <w:rPr>
          <w:szCs w:val="24"/>
        </w:rPr>
        <w:t>The Commission is reporting</w:t>
      </w:r>
      <w:r w:rsidRPr="009F71D4" w:rsidR="00AB677F">
        <w:rPr>
          <w:szCs w:val="24"/>
        </w:rPr>
        <w:t xml:space="preserve"> </w:t>
      </w:r>
      <w:r w:rsidRPr="009F71D4" w:rsidR="00BF1C8B">
        <w:rPr>
          <w:szCs w:val="24"/>
        </w:rPr>
        <w:t>program change</w:t>
      </w:r>
      <w:r w:rsidRPr="009F71D4" w:rsidR="00AB677F">
        <w:rPr>
          <w:szCs w:val="24"/>
        </w:rPr>
        <w:t>s</w:t>
      </w:r>
      <w:r w:rsidRPr="009F71D4" w:rsidR="00BF1C8B">
        <w:rPr>
          <w:szCs w:val="24"/>
        </w:rPr>
        <w:t xml:space="preserve"> to this collection due to the completion of the Eligible Adjustment Location Process and the implementation of th</w:t>
      </w:r>
      <w:r w:rsidRPr="009F71D4" w:rsidR="001C610A">
        <w:rPr>
          <w:szCs w:val="24"/>
        </w:rPr>
        <w:t xml:space="preserve">e Revised A-CAM I and A-CAM II location adjustment processes and the implementation of the process for certain RDOF carriers to demonstrate that certain locations are unreasonable to serve. </w:t>
      </w:r>
      <w:r w:rsidRPr="009F71D4" w:rsidR="00AB677F">
        <w:rPr>
          <w:szCs w:val="24"/>
        </w:rPr>
        <w:t xml:space="preserve"> </w:t>
      </w:r>
      <w:r w:rsidRPr="009F71D4" w:rsidR="00AB677F">
        <w:rPr>
          <w:iCs/>
          <w:szCs w:val="24"/>
        </w:rPr>
        <w:t xml:space="preserve">As a result of these program changes, the total </w:t>
      </w:r>
      <w:r w:rsidR="00982968">
        <w:rPr>
          <w:iCs/>
          <w:szCs w:val="24"/>
        </w:rPr>
        <w:t xml:space="preserve">number of </w:t>
      </w:r>
      <w:r w:rsidRPr="009F71D4" w:rsidR="00AB677F">
        <w:rPr>
          <w:iCs/>
          <w:szCs w:val="24"/>
        </w:rPr>
        <w:t xml:space="preserve">respondents </w:t>
      </w:r>
      <w:r w:rsidRPr="009F71D4" w:rsidR="00405ADB">
        <w:rPr>
          <w:iCs/>
          <w:szCs w:val="24"/>
        </w:rPr>
        <w:t>decreased</w:t>
      </w:r>
      <w:r w:rsidRPr="009F71D4" w:rsidR="00AB677F">
        <w:rPr>
          <w:iCs/>
          <w:szCs w:val="24"/>
        </w:rPr>
        <w:t xml:space="preserve"> from </w:t>
      </w:r>
      <w:r w:rsidRPr="009F71D4" w:rsidR="00405ADB">
        <w:rPr>
          <w:iCs/>
          <w:szCs w:val="24"/>
        </w:rPr>
        <w:t>296</w:t>
      </w:r>
      <w:r w:rsidRPr="009F71D4" w:rsidR="00AB677F">
        <w:rPr>
          <w:iCs/>
          <w:szCs w:val="24"/>
        </w:rPr>
        <w:t xml:space="preserve"> to </w:t>
      </w:r>
      <w:r w:rsidRPr="009F71D4" w:rsidR="00405ADB">
        <w:rPr>
          <w:iCs/>
          <w:szCs w:val="24"/>
        </w:rPr>
        <w:t>1</w:t>
      </w:r>
      <w:r w:rsidRPr="009F71D4" w:rsidR="000770DC">
        <w:rPr>
          <w:iCs/>
          <w:szCs w:val="24"/>
        </w:rPr>
        <w:t>15</w:t>
      </w:r>
      <w:r w:rsidRPr="009F71D4" w:rsidR="00AB677F">
        <w:rPr>
          <w:iCs/>
          <w:szCs w:val="24"/>
        </w:rPr>
        <w:t xml:space="preserve"> </w:t>
      </w:r>
      <w:r w:rsidRPr="009F71D4" w:rsidR="000770DC">
        <w:rPr>
          <w:iCs/>
          <w:szCs w:val="24"/>
        </w:rPr>
        <w:t>(-181</w:t>
      </w:r>
      <w:r w:rsidRPr="009F71D4" w:rsidR="00AB677F">
        <w:rPr>
          <w:iCs/>
          <w:szCs w:val="24"/>
        </w:rPr>
        <w:t xml:space="preserve">), the total annual responses </w:t>
      </w:r>
      <w:r w:rsidR="00C23E88">
        <w:rPr>
          <w:iCs/>
          <w:szCs w:val="24"/>
        </w:rPr>
        <w:t xml:space="preserve">decreased </w:t>
      </w:r>
      <w:r w:rsidRPr="009F71D4" w:rsidR="00AB677F">
        <w:rPr>
          <w:iCs/>
          <w:szCs w:val="24"/>
        </w:rPr>
        <w:t xml:space="preserve">from </w:t>
      </w:r>
      <w:r w:rsidRPr="009F71D4" w:rsidR="005552E2">
        <w:rPr>
          <w:iCs/>
          <w:szCs w:val="24"/>
        </w:rPr>
        <w:t>962</w:t>
      </w:r>
      <w:r w:rsidRPr="009F71D4" w:rsidR="00AB677F">
        <w:rPr>
          <w:iCs/>
          <w:szCs w:val="24"/>
        </w:rPr>
        <w:t xml:space="preserve"> responses to </w:t>
      </w:r>
      <w:r w:rsidRPr="009F71D4" w:rsidR="00842A7B">
        <w:rPr>
          <w:iCs/>
          <w:szCs w:val="24"/>
        </w:rPr>
        <w:t>115</w:t>
      </w:r>
      <w:r w:rsidRPr="009F71D4" w:rsidR="00AB677F">
        <w:rPr>
          <w:iCs/>
          <w:szCs w:val="24"/>
        </w:rPr>
        <w:t xml:space="preserve"> (</w:t>
      </w:r>
      <w:r w:rsidRPr="009F71D4" w:rsidR="00053D76">
        <w:rPr>
          <w:iCs/>
          <w:szCs w:val="24"/>
        </w:rPr>
        <w:t>-</w:t>
      </w:r>
      <w:r w:rsidRPr="009F71D4" w:rsidR="00592B7D">
        <w:rPr>
          <w:iCs/>
          <w:szCs w:val="24"/>
        </w:rPr>
        <w:t>847</w:t>
      </w:r>
      <w:r w:rsidRPr="009F71D4" w:rsidR="00AB677F">
        <w:rPr>
          <w:iCs/>
          <w:szCs w:val="24"/>
        </w:rPr>
        <w:t xml:space="preserve">), and the total annual burden hours </w:t>
      </w:r>
      <w:r w:rsidR="00C42895">
        <w:rPr>
          <w:iCs/>
          <w:szCs w:val="24"/>
        </w:rPr>
        <w:t>decreased</w:t>
      </w:r>
      <w:r w:rsidR="00C23E88">
        <w:rPr>
          <w:iCs/>
          <w:szCs w:val="24"/>
        </w:rPr>
        <w:t xml:space="preserve"> </w:t>
      </w:r>
      <w:r w:rsidRPr="009F71D4" w:rsidR="00AB677F">
        <w:rPr>
          <w:iCs/>
          <w:szCs w:val="24"/>
        </w:rPr>
        <w:t xml:space="preserve">from </w:t>
      </w:r>
      <w:r w:rsidRPr="009F71D4" w:rsidR="00592B7D">
        <w:rPr>
          <w:iCs/>
          <w:szCs w:val="24"/>
        </w:rPr>
        <w:t>10,804</w:t>
      </w:r>
      <w:r w:rsidRPr="009F71D4" w:rsidR="00AB677F">
        <w:rPr>
          <w:iCs/>
          <w:szCs w:val="24"/>
        </w:rPr>
        <w:t xml:space="preserve"> to </w:t>
      </w:r>
      <w:r w:rsidR="00EE4CC3">
        <w:rPr>
          <w:iCs/>
          <w:szCs w:val="24"/>
        </w:rPr>
        <w:t>4,075</w:t>
      </w:r>
      <w:r w:rsidRPr="009F71D4" w:rsidR="00AB677F">
        <w:rPr>
          <w:iCs/>
          <w:szCs w:val="24"/>
        </w:rPr>
        <w:t xml:space="preserve"> </w:t>
      </w:r>
      <w:r w:rsidRPr="009F71D4" w:rsidR="00C4642D">
        <w:rPr>
          <w:iCs/>
          <w:szCs w:val="24"/>
        </w:rPr>
        <w:t>(</w:t>
      </w:r>
      <w:r w:rsidR="001B47F5">
        <w:rPr>
          <w:iCs/>
          <w:szCs w:val="24"/>
        </w:rPr>
        <w:t>-</w:t>
      </w:r>
      <w:r w:rsidR="0092797A">
        <w:rPr>
          <w:iCs/>
          <w:szCs w:val="24"/>
        </w:rPr>
        <w:t>6,729</w:t>
      </w:r>
      <w:r w:rsidRPr="009F71D4" w:rsidR="00AB677F">
        <w:rPr>
          <w:iCs/>
          <w:szCs w:val="24"/>
        </w:rPr>
        <w:t>).</w:t>
      </w:r>
    </w:p>
    <w:p w:rsidR="00017685" w:rsidRPr="00017685" w:rsidP="005815D2" w14:paraId="34BFA62E" w14:textId="77777777">
      <w:pPr>
        <w:pStyle w:val="ListParagraph"/>
        <w:rPr>
          <w:szCs w:val="24"/>
        </w:rPr>
      </w:pPr>
    </w:p>
    <w:p w:rsidR="00017685" w:rsidRPr="00017685" w:rsidP="005815D2" w14:paraId="1765BAE5" w14:textId="33DD8650">
      <w:pPr>
        <w:ind w:left="829"/>
        <w:rPr>
          <w:szCs w:val="24"/>
        </w:rPr>
      </w:pPr>
      <w:r>
        <w:rPr>
          <w:szCs w:val="24"/>
        </w:rPr>
        <w:t>There are no adjustments to this collection.</w:t>
      </w:r>
    </w:p>
    <w:p w:rsidR="005664A8" w:rsidRPr="009F71D4" w:rsidP="009F71D4" w14:paraId="5A1046C9" w14:textId="77777777">
      <w:pPr>
        <w:rPr>
          <w:szCs w:val="24"/>
        </w:rPr>
      </w:pPr>
    </w:p>
    <w:p w:rsidR="007D45AC" w:rsidRPr="009F71D4" w:rsidP="009F71D4" w14:paraId="58B508C4" w14:textId="638CA21D">
      <w:pPr>
        <w:pStyle w:val="ListParagraph"/>
        <w:numPr>
          <w:ilvl w:val="0"/>
          <w:numId w:val="1"/>
        </w:numPr>
        <w:rPr>
          <w:szCs w:val="24"/>
        </w:rPr>
      </w:pPr>
      <w:r w:rsidRPr="009F71D4">
        <w:rPr>
          <w:i/>
          <w:szCs w:val="24"/>
        </w:rPr>
        <w:t>Collections of information whose results will be published.</w:t>
      </w:r>
      <w:r w:rsidRPr="009F71D4">
        <w:rPr>
          <w:szCs w:val="24"/>
        </w:rPr>
        <w:t xml:space="preserve">  </w:t>
      </w:r>
      <w:r w:rsidRPr="009F71D4" w:rsidR="00230090">
        <w:rPr>
          <w:szCs w:val="24"/>
        </w:rPr>
        <w:t xml:space="preserve">The Commission will make any non-proprietary information publicly available on the Internet </w:t>
      </w:r>
      <w:r w:rsidRPr="009F71D4" w:rsidR="003F4DC1">
        <w:rPr>
          <w:szCs w:val="24"/>
        </w:rPr>
        <w:t xml:space="preserve">or in a public release </w:t>
      </w:r>
      <w:r w:rsidRPr="009F71D4" w:rsidR="00230090">
        <w:rPr>
          <w:szCs w:val="24"/>
        </w:rPr>
        <w:t>as the Commission deems appropriate.</w:t>
      </w:r>
    </w:p>
    <w:p w:rsidR="007D45AC" w:rsidRPr="009F71D4" w:rsidP="009F71D4" w14:paraId="341E2E3B" w14:textId="77777777">
      <w:pPr>
        <w:pStyle w:val="ListParagraph"/>
        <w:rPr>
          <w:szCs w:val="24"/>
        </w:rPr>
      </w:pPr>
    </w:p>
    <w:p w:rsidR="00C558CD" w:rsidRPr="009F71D4" w:rsidP="00912795" w14:paraId="6E6D3602" w14:textId="5BFA5672">
      <w:pPr>
        <w:pStyle w:val="ListParagraph"/>
        <w:numPr>
          <w:ilvl w:val="0"/>
          <w:numId w:val="1"/>
        </w:numPr>
        <w:rPr>
          <w:szCs w:val="24"/>
        </w:rPr>
      </w:pPr>
      <w:r w:rsidRPr="00C558CD">
        <w:rPr>
          <w:i/>
          <w:szCs w:val="24"/>
        </w:rPr>
        <w:t>Display of expiration date for OMB approval of information collection.</w:t>
      </w:r>
      <w:r w:rsidRPr="00C558CD">
        <w:rPr>
          <w:szCs w:val="24"/>
        </w:rPr>
        <w:t xml:space="preserve">  There is no paper form associated with this information collection; it is collected electronically through </w:t>
      </w:r>
      <w:r w:rsidRPr="00C558CD" w:rsidR="00235D5C">
        <w:rPr>
          <w:szCs w:val="24"/>
        </w:rPr>
        <w:t>the Commission’s E</w:t>
      </w:r>
      <w:r w:rsidRPr="00C558CD" w:rsidR="00305C18">
        <w:rPr>
          <w:szCs w:val="24"/>
        </w:rPr>
        <w:t>lectronic Comment Filing System</w:t>
      </w:r>
      <w:r w:rsidRPr="00C558CD" w:rsidR="00BC5087">
        <w:rPr>
          <w:szCs w:val="24"/>
        </w:rPr>
        <w:t xml:space="preserve"> and a data collection system.</w:t>
      </w:r>
      <w:r w:rsidRPr="00C558CD">
        <w:rPr>
          <w:szCs w:val="24"/>
        </w:rPr>
        <w:t xml:space="preserve">  The Commission seeks approval to not display the expiration date for OMB approval of this information collection.  The Commission will use an edition date in lieu of the OMB expiration date</w:t>
      </w:r>
      <w:r w:rsidRPr="00C558CD" w:rsidR="00BC5087">
        <w:rPr>
          <w:szCs w:val="24"/>
        </w:rPr>
        <w:t xml:space="preserve"> for the data collection system</w:t>
      </w:r>
      <w:r w:rsidRPr="00C558CD">
        <w:rPr>
          <w:szCs w:val="24"/>
        </w:rPr>
        <w:t xml:space="preserve">.  This </w:t>
      </w:r>
      <w:r w:rsidRPr="00C558CD" w:rsidR="00D70A92">
        <w:rPr>
          <w:szCs w:val="24"/>
        </w:rPr>
        <w:t xml:space="preserve">use </w:t>
      </w:r>
      <w:r w:rsidRPr="00C558CD">
        <w:rPr>
          <w:szCs w:val="24"/>
        </w:rPr>
        <w:t xml:space="preserve">will prevent the Commission from having to repeatedly update the expiration date on the portal each time this collection is submitted to OMB for review and approval.  OMB </w:t>
      </w:r>
      <w:r w:rsidRPr="00C558CD">
        <w:rPr>
          <w:szCs w:val="24"/>
        </w:rPr>
        <w:t xml:space="preserve">approval of the </w:t>
      </w:r>
      <w:r w:rsidRPr="00C558CD">
        <w:rPr>
          <w:szCs w:val="24"/>
        </w:rPr>
        <w:t xml:space="preserve">expiration date for the Commission’s information collection </w:t>
      </w:r>
      <w:r w:rsidRPr="00C558CD">
        <w:rPr>
          <w:szCs w:val="24"/>
        </w:rPr>
        <w:t xml:space="preserve">will be displayed on OMB’s website. </w:t>
      </w:r>
    </w:p>
    <w:p w:rsidR="00C558CD" w:rsidRPr="00951DBC" w:rsidP="00951DBC" w14:paraId="216A10F0" w14:textId="77777777">
      <w:pPr>
        <w:pStyle w:val="ListParagraph"/>
        <w:ind w:left="829"/>
        <w:rPr>
          <w:szCs w:val="24"/>
        </w:rPr>
      </w:pPr>
    </w:p>
    <w:p w:rsidR="00D44297" w:rsidRPr="009F71D4" w:rsidP="009F71D4" w14:paraId="691C9C80" w14:textId="63DC9C6E">
      <w:pPr>
        <w:pStyle w:val="ListParagraph"/>
        <w:numPr>
          <w:ilvl w:val="0"/>
          <w:numId w:val="1"/>
        </w:numPr>
        <w:rPr>
          <w:szCs w:val="24"/>
        </w:rPr>
      </w:pPr>
      <w:r w:rsidRPr="009F71D4">
        <w:rPr>
          <w:i/>
          <w:szCs w:val="24"/>
        </w:rPr>
        <w:t>Exceptions to certification for Paperwork Reduction Act Submissions</w:t>
      </w:r>
      <w:r w:rsidRPr="009F71D4">
        <w:rPr>
          <w:szCs w:val="24"/>
        </w:rPr>
        <w:t>.  There are no exceptions to the certification statement.</w:t>
      </w:r>
    </w:p>
    <w:p w:rsidR="00D44297" w:rsidRPr="009F71D4" w:rsidP="009F71D4" w14:paraId="09ACC6A0" w14:textId="77777777">
      <w:pPr>
        <w:pStyle w:val="ListParagraph"/>
        <w:rPr>
          <w:szCs w:val="24"/>
        </w:rPr>
      </w:pPr>
    </w:p>
    <w:p w:rsidR="00D44297" w:rsidRPr="009F71D4" w:rsidP="009F71D4" w14:paraId="444C9FB9" w14:textId="02021F1F">
      <w:pPr>
        <w:rPr>
          <w:szCs w:val="24"/>
        </w:rPr>
      </w:pPr>
      <w:r w:rsidRPr="009F71D4">
        <w:rPr>
          <w:b/>
          <w:szCs w:val="24"/>
        </w:rPr>
        <w:t xml:space="preserve">B. </w:t>
      </w:r>
      <w:r w:rsidRPr="009F71D4">
        <w:rPr>
          <w:b/>
          <w:szCs w:val="24"/>
          <w:u w:val="single"/>
        </w:rPr>
        <w:t>Collections of Information Employing Statistical Methods:</w:t>
      </w:r>
    </w:p>
    <w:p w:rsidR="00B26E02" w:rsidRPr="009F71D4" w:rsidP="009F71D4" w14:paraId="4A984D81" w14:textId="77777777">
      <w:pPr>
        <w:pStyle w:val="ListParagraph"/>
        <w:ind w:left="1350"/>
        <w:rPr>
          <w:szCs w:val="24"/>
        </w:rPr>
      </w:pPr>
    </w:p>
    <w:p w:rsidR="00066D50" w:rsidRPr="009F71D4" w:rsidP="009F71D4" w14:paraId="2BDFCC52" w14:textId="4391525C">
      <w:pPr>
        <w:ind w:left="360"/>
        <w:rPr>
          <w:szCs w:val="24"/>
        </w:rPr>
      </w:pPr>
      <w:r w:rsidRPr="009F71D4">
        <w:rPr>
          <w:szCs w:val="24"/>
        </w:rPr>
        <w:t>The collection of information d</w:t>
      </w:r>
      <w:r w:rsidRPr="009F71D4" w:rsidR="00EC31AB">
        <w:rPr>
          <w:szCs w:val="24"/>
        </w:rPr>
        <w:t>oes</w:t>
      </w:r>
      <w:r w:rsidRPr="009F71D4">
        <w:rPr>
          <w:szCs w:val="24"/>
        </w:rPr>
        <w:t xml:space="preserve"> not employ statistical methods.</w:t>
      </w:r>
    </w:p>
    <w:p w:rsidR="00EA1048" w:rsidRPr="009F71D4" w:rsidP="009F71D4" w14:paraId="6540AD04" w14:textId="77777777">
      <w:pPr>
        <w:rPr>
          <w:szCs w:val="24"/>
        </w:rPr>
      </w:pPr>
    </w:p>
    <w:sectPr w:rsidSect="00301B53">
      <w:foot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E3A" w:rsidP="00326CC5" w14:paraId="4EE984D9" w14:textId="4451179E">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E3A" w14:paraId="28411BD3" w14:textId="4DBDD797">
    <w:pPr>
      <w:pStyle w:val="Header"/>
      <w:rPr>
        <w:b/>
        <w:szCs w:val="24"/>
      </w:rPr>
    </w:pPr>
    <w:bookmarkStart w:id="5" w:name="_Hlk208312571"/>
    <w:r w:rsidRPr="0029343A">
      <w:rPr>
        <w:b/>
        <w:szCs w:val="24"/>
      </w:rPr>
      <w:t xml:space="preserve">Connect America Fund- Alternative Connect America Cost Model </w:t>
    </w:r>
    <w:r>
      <w:rPr>
        <w:b/>
        <w:szCs w:val="24"/>
      </w:rPr>
      <w:t xml:space="preserve">(A-CAM) </w:t>
    </w:r>
    <w:r w:rsidRPr="0029343A">
      <w:rPr>
        <w:b/>
        <w:szCs w:val="24"/>
      </w:rPr>
      <w:t xml:space="preserve">Voluntary Location Adjustment Process and Rural Digital Opportunity Fund </w:t>
    </w:r>
    <w:r>
      <w:rPr>
        <w:b/>
        <w:szCs w:val="24"/>
      </w:rPr>
      <w:t>(RDOF)</w:t>
    </w:r>
    <w:r w:rsidR="00BC59A2">
      <w:rPr>
        <w:b/>
        <w:szCs w:val="24"/>
      </w:rPr>
      <w:t xml:space="preserve"> </w:t>
    </w:r>
    <w:r w:rsidRPr="0029343A">
      <w:rPr>
        <w:b/>
        <w:szCs w:val="24"/>
      </w:rPr>
      <w:t>Unreasonable Locations Process</w:t>
    </w:r>
    <w:bookmarkEnd w:id="5"/>
    <w:r w:rsidRPr="00307014" w:rsidR="00774B3C">
      <w:rPr>
        <w:b/>
        <w:szCs w:val="24"/>
      </w:rPr>
      <w:t xml:space="preserve">     </w:t>
    </w:r>
    <w:r w:rsidRPr="00307014" w:rsidR="00774B3C">
      <w:rPr>
        <w:b/>
        <w:szCs w:val="24"/>
      </w:rPr>
      <w:tab/>
    </w:r>
    <w:r w:rsidRPr="00307014" w:rsidR="00774B3C">
      <w:rPr>
        <w:b/>
        <w:szCs w:val="24"/>
      </w:rPr>
      <w:tab/>
    </w:r>
    <w:r w:rsidR="00774B3C">
      <w:rPr>
        <w:b/>
        <w:szCs w:val="24"/>
      </w:rPr>
      <w:tab/>
    </w:r>
    <w:r>
      <w:rPr>
        <w:b/>
        <w:szCs w:val="24"/>
      </w:rPr>
      <w:tab/>
    </w:r>
    <w:r w:rsidRPr="00307014" w:rsidR="00774B3C">
      <w:rPr>
        <w:b/>
        <w:szCs w:val="24"/>
      </w:rPr>
      <w:t>3060-</w:t>
    </w:r>
    <w:r w:rsidR="0032159F">
      <w:rPr>
        <w:b/>
        <w:szCs w:val="24"/>
      </w:rPr>
      <w:t>1279</w:t>
    </w:r>
  </w:p>
  <w:p w:rsidR="00000E3A" w14:paraId="0C12B2BB" w14:textId="06314359">
    <w:pPr>
      <w:pStyle w:val="Header"/>
      <w:rPr>
        <w:b/>
        <w:szCs w:val="24"/>
      </w:rPr>
    </w:pPr>
    <w:r>
      <w:rPr>
        <w:b/>
        <w:szCs w:val="24"/>
      </w:rPr>
      <w:tab/>
    </w:r>
    <w:r>
      <w:rPr>
        <w:b/>
        <w:szCs w:val="24"/>
      </w:rPr>
      <w:tab/>
    </w:r>
    <w:r w:rsidR="003E18A9">
      <w:rPr>
        <w:b/>
        <w:szCs w:val="24"/>
      </w:rPr>
      <w:t>March</w:t>
    </w:r>
    <w:r w:rsidR="001E2473">
      <w:rPr>
        <w:b/>
        <w:szCs w:val="24"/>
      </w:rPr>
      <w:t xml:space="preserve"> 202</w:t>
    </w:r>
    <w:r w:rsidR="003E18A9">
      <w:rPr>
        <w:b/>
        <w:szCs w:val="24"/>
      </w:rPr>
      <w:t>6</w:t>
    </w:r>
  </w:p>
  <w:p w:rsidR="00000E3A" w14:paraId="544207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901C58"/>
    <w:multiLevelType w:val="hybridMultilevel"/>
    <w:tmpl w:val="F6BE90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E42DA6"/>
    <w:multiLevelType w:val="hybridMultilevel"/>
    <w:tmpl w:val="045208C2"/>
    <w:lvl w:ilvl="0">
      <w:start w:val="11"/>
      <w:numFmt w:val="decimal"/>
      <w:lvlText w:val="%1."/>
      <w:lvlJc w:val="left"/>
      <w:pPr>
        <w:tabs>
          <w:tab w:val="num" w:pos="1080"/>
        </w:tabs>
        <w:ind w:left="1080" w:hanging="720"/>
      </w:pPr>
      <w:rPr>
        <w:rFonts w:hint="default"/>
        <w:b w:val="0"/>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FD57182"/>
    <w:multiLevelType w:val="hybridMultilevel"/>
    <w:tmpl w:val="0AA817B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0F1052E"/>
    <w:multiLevelType w:val="hybridMultilevel"/>
    <w:tmpl w:val="DB587C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4AD5700"/>
    <w:multiLevelType w:val="hybridMultilevel"/>
    <w:tmpl w:val="C4C8E2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61B3CEE"/>
    <w:multiLevelType w:val="hybridMultilevel"/>
    <w:tmpl w:val="BB7057A4"/>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CD85052"/>
    <w:multiLevelType w:val="hybridMultilevel"/>
    <w:tmpl w:val="B38A6CA0"/>
    <w:lvl w:ilvl="0">
      <w:start w:val="1"/>
      <w:numFmt w:val="decimal"/>
      <w:lvlText w:val="%1."/>
      <w:lvlJc w:val="left"/>
      <w:pPr>
        <w:ind w:left="829" w:hanging="360"/>
      </w:pPr>
      <w:rPr>
        <w:rFonts w:hint="default"/>
        <w:b w:val="0"/>
        <w:bCs/>
      </w:rPr>
    </w:lvl>
    <w:lvl w:ilvl="1">
      <w:start w:val="3"/>
      <w:numFmt w:val="decimal"/>
      <w:lvlText w:val="%2."/>
      <w:lvlJc w:val="left"/>
      <w:pPr>
        <w:ind w:left="1549" w:hanging="360"/>
      </w:pPr>
      <w:rPr>
        <w:rFonts w:hint="default"/>
      </w:r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start w:val="1"/>
      <w:numFmt w:val="lowerLetter"/>
      <w:lvlText w:val="(%5)"/>
      <w:lvlJc w:val="left"/>
      <w:pPr>
        <w:ind w:left="3709" w:hanging="360"/>
      </w:pPr>
      <w:rPr>
        <w:rFonts w:hint="default"/>
      </w:rPr>
    </w:lvl>
    <w:lvl w:ilvl="5">
      <w:start w:val="2"/>
      <w:numFmt w:val="upperLetter"/>
      <w:lvlText w:val="%6."/>
      <w:lvlJc w:val="left"/>
      <w:pPr>
        <w:ind w:left="4609" w:hanging="360"/>
      </w:pPr>
      <w:rPr>
        <w:rFonts w:hint="default"/>
        <w:b/>
        <w:u w:val="single"/>
      </w:r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7">
    <w:nsid w:val="4F8D0FDE"/>
    <w:multiLevelType w:val="hybridMultilevel"/>
    <w:tmpl w:val="A9FA83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FA708D5"/>
    <w:multiLevelType w:val="hybridMultilevel"/>
    <w:tmpl w:val="0B86634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0035A65"/>
    <w:multiLevelType w:val="hybridMultilevel"/>
    <w:tmpl w:val="1E94638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09B1FC9"/>
    <w:multiLevelType w:val="hybridMultilevel"/>
    <w:tmpl w:val="56624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971EE8"/>
    <w:multiLevelType w:val="hybridMultilevel"/>
    <w:tmpl w:val="819A8D4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A0E0AD7"/>
    <w:multiLevelType w:val="hybridMultilevel"/>
    <w:tmpl w:val="368CE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AD561EE"/>
    <w:multiLevelType w:val="hybridMultilevel"/>
    <w:tmpl w:val="2940D1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1182925"/>
    <w:multiLevelType w:val="multilevel"/>
    <w:tmpl w:val="B06ED8EC"/>
    <w:lvl w:ilvl="0">
      <w:start w:val="1"/>
      <w:numFmt w:val="decimal"/>
      <w:lvlText w:val="%1."/>
      <w:lvlJc w:val="left"/>
      <w:pPr>
        <w:tabs>
          <w:tab w:val="num" w:pos="1080"/>
        </w:tabs>
        <w:ind w:left="0" w:firstLine="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727A7C36"/>
    <w:multiLevelType w:val="hybridMultilevel"/>
    <w:tmpl w:val="6088DC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171134"/>
    <w:multiLevelType w:val="hybridMultilevel"/>
    <w:tmpl w:val="5D7A8854"/>
    <w:lvl w:ilvl="0">
      <w:start w:val="1"/>
      <w:numFmt w:val="lowerLetter"/>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7">
    <w:nsid w:val="741D4C5B"/>
    <w:multiLevelType w:val="hybridMultilevel"/>
    <w:tmpl w:val="0A2200B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5712E6F"/>
    <w:multiLevelType w:val="hybridMultilevel"/>
    <w:tmpl w:val="418C1FE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6ED318E"/>
    <w:multiLevelType w:val="hybridMultilevel"/>
    <w:tmpl w:val="B62EA8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78EA7F7C"/>
    <w:multiLevelType w:val="hybridMultilevel"/>
    <w:tmpl w:val="00F617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C6D3082"/>
    <w:multiLevelType w:val="hybridMultilevel"/>
    <w:tmpl w:val="352E75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C812D4E"/>
    <w:multiLevelType w:val="hybridMultilevel"/>
    <w:tmpl w:val="6F1E69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AF7C3A"/>
    <w:multiLevelType w:val="hybridMultilevel"/>
    <w:tmpl w:val="A9FA83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977613076">
    <w:abstractNumId w:val="6"/>
  </w:num>
  <w:num w:numId="2" w16cid:durableId="481629103">
    <w:abstractNumId w:val="22"/>
  </w:num>
  <w:num w:numId="3" w16cid:durableId="571277342">
    <w:abstractNumId w:val="10"/>
  </w:num>
  <w:num w:numId="4" w16cid:durableId="1127745685">
    <w:abstractNumId w:val="4"/>
  </w:num>
  <w:num w:numId="5" w16cid:durableId="1475878555">
    <w:abstractNumId w:val="16"/>
  </w:num>
  <w:num w:numId="6" w16cid:durableId="997613151">
    <w:abstractNumId w:val="21"/>
  </w:num>
  <w:num w:numId="7" w16cid:durableId="904219278">
    <w:abstractNumId w:val="3"/>
  </w:num>
  <w:num w:numId="8" w16cid:durableId="1901790980">
    <w:abstractNumId w:val="15"/>
  </w:num>
  <w:num w:numId="9" w16cid:durableId="234359112">
    <w:abstractNumId w:val="5"/>
  </w:num>
  <w:num w:numId="10" w16cid:durableId="2002804751">
    <w:abstractNumId w:val="20"/>
  </w:num>
  <w:num w:numId="11" w16cid:durableId="137764998">
    <w:abstractNumId w:val="23"/>
  </w:num>
  <w:num w:numId="12" w16cid:durableId="637995827">
    <w:abstractNumId w:val="7"/>
  </w:num>
  <w:num w:numId="13" w16cid:durableId="2146311846">
    <w:abstractNumId w:val="0"/>
  </w:num>
  <w:num w:numId="14" w16cid:durableId="104421956">
    <w:abstractNumId w:val="13"/>
  </w:num>
  <w:num w:numId="15" w16cid:durableId="604046965">
    <w:abstractNumId w:val="19"/>
  </w:num>
  <w:num w:numId="16" w16cid:durableId="732654646">
    <w:abstractNumId w:val="12"/>
  </w:num>
  <w:num w:numId="17" w16cid:durableId="1481574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220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3062852">
    <w:abstractNumId w:val="9"/>
  </w:num>
  <w:num w:numId="20" w16cid:durableId="171840788">
    <w:abstractNumId w:val="2"/>
  </w:num>
  <w:num w:numId="21" w16cid:durableId="316156889">
    <w:abstractNumId w:val="14"/>
  </w:num>
  <w:num w:numId="22" w16cid:durableId="963392437">
    <w:abstractNumId w:val="1"/>
  </w:num>
  <w:num w:numId="23" w16cid:durableId="1830638370">
    <w:abstractNumId w:val="18"/>
  </w:num>
  <w:num w:numId="24" w16cid:durableId="1776048683">
    <w:abstractNumId w:val="17"/>
  </w:num>
  <w:num w:numId="25" w16cid:durableId="1207454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97"/>
    <w:rsid w:val="00000C95"/>
    <w:rsid w:val="00000E3A"/>
    <w:rsid w:val="00002462"/>
    <w:rsid w:val="00002F22"/>
    <w:rsid w:val="0000442D"/>
    <w:rsid w:val="00006290"/>
    <w:rsid w:val="00007449"/>
    <w:rsid w:val="00007ACD"/>
    <w:rsid w:val="0001188A"/>
    <w:rsid w:val="000123C5"/>
    <w:rsid w:val="00013BCC"/>
    <w:rsid w:val="00015679"/>
    <w:rsid w:val="0001637C"/>
    <w:rsid w:val="00017685"/>
    <w:rsid w:val="00024778"/>
    <w:rsid w:val="00024B3E"/>
    <w:rsid w:val="00026A7B"/>
    <w:rsid w:val="00026B9D"/>
    <w:rsid w:val="00027167"/>
    <w:rsid w:val="00027C5D"/>
    <w:rsid w:val="000336B4"/>
    <w:rsid w:val="00034E85"/>
    <w:rsid w:val="00036E88"/>
    <w:rsid w:val="00037467"/>
    <w:rsid w:val="00037D97"/>
    <w:rsid w:val="0004171B"/>
    <w:rsid w:val="00041A72"/>
    <w:rsid w:val="00042EB1"/>
    <w:rsid w:val="00045738"/>
    <w:rsid w:val="0004680A"/>
    <w:rsid w:val="00046B2C"/>
    <w:rsid w:val="00046C86"/>
    <w:rsid w:val="00050857"/>
    <w:rsid w:val="00053D76"/>
    <w:rsid w:val="00054B9D"/>
    <w:rsid w:val="00055CF2"/>
    <w:rsid w:val="00066D50"/>
    <w:rsid w:val="0006713B"/>
    <w:rsid w:val="00070D1F"/>
    <w:rsid w:val="00070EAC"/>
    <w:rsid w:val="0007284D"/>
    <w:rsid w:val="00074200"/>
    <w:rsid w:val="00074275"/>
    <w:rsid w:val="00076071"/>
    <w:rsid w:val="00076D29"/>
    <w:rsid w:val="000770C4"/>
    <w:rsid w:val="000770DC"/>
    <w:rsid w:val="00080DF2"/>
    <w:rsid w:val="00081125"/>
    <w:rsid w:val="00081FAC"/>
    <w:rsid w:val="000821E3"/>
    <w:rsid w:val="00083283"/>
    <w:rsid w:val="00083B41"/>
    <w:rsid w:val="00086DB8"/>
    <w:rsid w:val="00087F6C"/>
    <w:rsid w:val="00097BC7"/>
    <w:rsid w:val="000A001F"/>
    <w:rsid w:val="000A105D"/>
    <w:rsid w:val="000A1948"/>
    <w:rsid w:val="000A4FB1"/>
    <w:rsid w:val="000A5A7A"/>
    <w:rsid w:val="000A5C93"/>
    <w:rsid w:val="000A70BB"/>
    <w:rsid w:val="000A73BA"/>
    <w:rsid w:val="000A7EEF"/>
    <w:rsid w:val="000B0473"/>
    <w:rsid w:val="000B1F8B"/>
    <w:rsid w:val="000B3DB1"/>
    <w:rsid w:val="000B7A3F"/>
    <w:rsid w:val="000C2720"/>
    <w:rsid w:val="000C3ADC"/>
    <w:rsid w:val="000D1E5F"/>
    <w:rsid w:val="000D4B84"/>
    <w:rsid w:val="000D7C99"/>
    <w:rsid w:val="000D7CB2"/>
    <w:rsid w:val="000E01F8"/>
    <w:rsid w:val="000E0D01"/>
    <w:rsid w:val="000E2480"/>
    <w:rsid w:val="000E2ECA"/>
    <w:rsid w:val="000E305C"/>
    <w:rsid w:val="000F359A"/>
    <w:rsid w:val="000F423A"/>
    <w:rsid w:val="000F47E5"/>
    <w:rsid w:val="000F5B11"/>
    <w:rsid w:val="0010159B"/>
    <w:rsid w:val="0010271F"/>
    <w:rsid w:val="00104B8F"/>
    <w:rsid w:val="00104BBD"/>
    <w:rsid w:val="00105A43"/>
    <w:rsid w:val="00105DCE"/>
    <w:rsid w:val="00106C8E"/>
    <w:rsid w:val="00106F5D"/>
    <w:rsid w:val="001100CA"/>
    <w:rsid w:val="00112E94"/>
    <w:rsid w:val="0011348D"/>
    <w:rsid w:val="00114C47"/>
    <w:rsid w:val="0011508C"/>
    <w:rsid w:val="00116866"/>
    <w:rsid w:val="0012006B"/>
    <w:rsid w:val="0012087D"/>
    <w:rsid w:val="00120B1D"/>
    <w:rsid w:val="0012262C"/>
    <w:rsid w:val="00123B44"/>
    <w:rsid w:val="00133552"/>
    <w:rsid w:val="00133A94"/>
    <w:rsid w:val="00137445"/>
    <w:rsid w:val="0013792E"/>
    <w:rsid w:val="00137962"/>
    <w:rsid w:val="00140F8F"/>
    <w:rsid w:val="0014146A"/>
    <w:rsid w:val="0014179C"/>
    <w:rsid w:val="00142233"/>
    <w:rsid w:val="00142F59"/>
    <w:rsid w:val="0014327F"/>
    <w:rsid w:val="00143B10"/>
    <w:rsid w:val="001442E0"/>
    <w:rsid w:val="001452A8"/>
    <w:rsid w:val="00147940"/>
    <w:rsid w:val="00147BC1"/>
    <w:rsid w:val="00150A41"/>
    <w:rsid w:val="0015233E"/>
    <w:rsid w:val="0015311F"/>
    <w:rsid w:val="00153CAA"/>
    <w:rsid w:val="00161359"/>
    <w:rsid w:val="00161EC4"/>
    <w:rsid w:val="00164429"/>
    <w:rsid w:val="00164BBD"/>
    <w:rsid w:val="00166516"/>
    <w:rsid w:val="00167F52"/>
    <w:rsid w:val="001703A4"/>
    <w:rsid w:val="001721CD"/>
    <w:rsid w:val="0017789F"/>
    <w:rsid w:val="00182173"/>
    <w:rsid w:val="0018243C"/>
    <w:rsid w:val="00182E56"/>
    <w:rsid w:val="00184C16"/>
    <w:rsid w:val="00184DC9"/>
    <w:rsid w:val="00185121"/>
    <w:rsid w:val="00186A28"/>
    <w:rsid w:val="00190D02"/>
    <w:rsid w:val="00193167"/>
    <w:rsid w:val="001951C3"/>
    <w:rsid w:val="001955E5"/>
    <w:rsid w:val="001A0EAF"/>
    <w:rsid w:val="001A27F1"/>
    <w:rsid w:val="001A317C"/>
    <w:rsid w:val="001A5FED"/>
    <w:rsid w:val="001A7548"/>
    <w:rsid w:val="001A772A"/>
    <w:rsid w:val="001B0131"/>
    <w:rsid w:val="001B2C21"/>
    <w:rsid w:val="001B2F26"/>
    <w:rsid w:val="001B2F59"/>
    <w:rsid w:val="001B35A0"/>
    <w:rsid w:val="001B47F5"/>
    <w:rsid w:val="001B7A22"/>
    <w:rsid w:val="001B7A4D"/>
    <w:rsid w:val="001B7DD5"/>
    <w:rsid w:val="001C32DF"/>
    <w:rsid w:val="001C3A27"/>
    <w:rsid w:val="001C413C"/>
    <w:rsid w:val="001C5A97"/>
    <w:rsid w:val="001C610A"/>
    <w:rsid w:val="001D0376"/>
    <w:rsid w:val="001D3650"/>
    <w:rsid w:val="001D4277"/>
    <w:rsid w:val="001D4FE6"/>
    <w:rsid w:val="001D55D5"/>
    <w:rsid w:val="001D6533"/>
    <w:rsid w:val="001E1C0B"/>
    <w:rsid w:val="001E205F"/>
    <w:rsid w:val="001E2473"/>
    <w:rsid w:val="001E3018"/>
    <w:rsid w:val="001E34DC"/>
    <w:rsid w:val="001E3782"/>
    <w:rsid w:val="001E3A0E"/>
    <w:rsid w:val="001E4EAD"/>
    <w:rsid w:val="001E5B75"/>
    <w:rsid w:val="001E7CFA"/>
    <w:rsid w:val="001E7EF3"/>
    <w:rsid w:val="001F08DD"/>
    <w:rsid w:val="001F2031"/>
    <w:rsid w:val="001F2098"/>
    <w:rsid w:val="001F30C5"/>
    <w:rsid w:val="001F4CFB"/>
    <w:rsid w:val="001F524D"/>
    <w:rsid w:val="001F5362"/>
    <w:rsid w:val="001F7C7F"/>
    <w:rsid w:val="00200BB4"/>
    <w:rsid w:val="00202691"/>
    <w:rsid w:val="0020506D"/>
    <w:rsid w:val="0020529A"/>
    <w:rsid w:val="00207366"/>
    <w:rsid w:val="0021089D"/>
    <w:rsid w:val="00213B3A"/>
    <w:rsid w:val="00213E06"/>
    <w:rsid w:val="00216195"/>
    <w:rsid w:val="0021698E"/>
    <w:rsid w:val="00224B90"/>
    <w:rsid w:val="00225EB5"/>
    <w:rsid w:val="00230090"/>
    <w:rsid w:val="00231568"/>
    <w:rsid w:val="00231D8C"/>
    <w:rsid w:val="00233541"/>
    <w:rsid w:val="00234366"/>
    <w:rsid w:val="00235686"/>
    <w:rsid w:val="00235D5C"/>
    <w:rsid w:val="00236725"/>
    <w:rsid w:val="00237BBC"/>
    <w:rsid w:val="00242DA6"/>
    <w:rsid w:val="002444C7"/>
    <w:rsid w:val="0025006A"/>
    <w:rsid w:val="00252D23"/>
    <w:rsid w:val="00253446"/>
    <w:rsid w:val="0026453E"/>
    <w:rsid w:val="0026490F"/>
    <w:rsid w:val="00274F34"/>
    <w:rsid w:val="00275048"/>
    <w:rsid w:val="00276240"/>
    <w:rsid w:val="00277FA4"/>
    <w:rsid w:val="002804F5"/>
    <w:rsid w:val="00282AEC"/>
    <w:rsid w:val="0028319E"/>
    <w:rsid w:val="002836CD"/>
    <w:rsid w:val="00285F1D"/>
    <w:rsid w:val="002865FD"/>
    <w:rsid w:val="002868E0"/>
    <w:rsid w:val="0029343A"/>
    <w:rsid w:val="0029394D"/>
    <w:rsid w:val="002953DE"/>
    <w:rsid w:val="0029608D"/>
    <w:rsid w:val="002A1BD8"/>
    <w:rsid w:val="002A3997"/>
    <w:rsid w:val="002A3D5E"/>
    <w:rsid w:val="002A4CCF"/>
    <w:rsid w:val="002A5216"/>
    <w:rsid w:val="002A54F7"/>
    <w:rsid w:val="002A67B3"/>
    <w:rsid w:val="002A7442"/>
    <w:rsid w:val="002A798C"/>
    <w:rsid w:val="002A7DDC"/>
    <w:rsid w:val="002B06A7"/>
    <w:rsid w:val="002B0D78"/>
    <w:rsid w:val="002B1315"/>
    <w:rsid w:val="002B175C"/>
    <w:rsid w:val="002B3495"/>
    <w:rsid w:val="002B366A"/>
    <w:rsid w:val="002B3B74"/>
    <w:rsid w:val="002B4219"/>
    <w:rsid w:val="002B53AB"/>
    <w:rsid w:val="002B5AB9"/>
    <w:rsid w:val="002C067E"/>
    <w:rsid w:val="002C23D2"/>
    <w:rsid w:val="002C380F"/>
    <w:rsid w:val="002C4788"/>
    <w:rsid w:val="002C63F5"/>
    <w:rsid w:val="002C74EF"/>
    <w:rsid w:val="002D07F3"/>
    <w:rsid w:val="002D1E36"/>
    <w:rsid w:val="002D4734"/>
    <w:rsid w:val="002E58CA"/>
    <w:rsid w:val="002E699D"/>
    <w:rsid w:val="002E6BA3"/>
    <w:rsid w:val="002F0E73"/>
    <w:rsid w:val="002F19CA"/>
    <w:rsid w:val="002F1F65"/>
    <w:rsid w:val="002F50C8"/>
    <w:rsid w:val="0030031E"/>
    <w:rsid w:val="0030039C"/>
    <w:rsid w:val="00300BA9"/>
    <w:rsid w:val="00301568"/>
    <w:rsid w:val="00301B53"/>
    <w:rsid w:val="00303343"/>
    <w:rsid w:val="00303BA7"/>
    <w:rsid w:val="00305C18"/>
    <w:rsid w:val="00307014"/>
    <w:rsid w:val="00311ED3"/>
    <w:rsid w:val="00320DF4"/>
    <w:rsid w:val="00321541"/>
    <w:rsid w:val="0032159F"/>
    <w:rsid w:val="0032289C"/>
    <w:rsid w:val="00325894"/>
    <w:rsid w:val="00326545"/>
    <w:rsid w:val="00326CC5"/>
    <w:rsid w:val="003328F2"/>
    <w:rsid w:val="003338A1"/>
    <w:rsid w:val="00334785"/>
    <w:rsid w:val="00334972"/>
    <w:rsid w:val="0033520F"/>
    <w:rsid w:val="003374E5"/>
    <w:rsid w:val="0033766D"/>
    <w:rsid w:val="003407C4"/>
    <w:rsid w:val="00340EED"/>
    <w:rsid w:val="0034324C"/>
    <w:rsid w:val="003446C2"/>
    <w:rsid w:val="00344AE4"/>
    <w:rsid w:val="00353DB2"/>
    <w:rsid w:val="003606E2"/>
    <w:rsid w:val="00360DF6"/>
    <w:rsid w:val="003620F1"/>
    <w:rsid w:val="00362406"/>
    <w:rsid w:val="00362778"/>
    <w:rsid w:val="003632D3"/>
    <w:rsid w:val="00363978"/>
    <w:rsid w:val="00364DE3"/>
    <w:rsid w:val="0036539E"/>
    <w:rsid w:val="00366085"/>
    <w:rsid w:val="00366E02"/>
    <w:rsid w:val="00367853"/>
    <w:rsid w:val="00373139"/>
    <w:rsid w:val="0037559D"/>
    <w:rsid w:val="00377594"/>
    <w:rsid w:val="00382626"/>
    <w:rsid w:val="00382657"/>
    <w:rsid w:val="00383B3A"/>
    <w:rsid w:val="00384AC4"/>
    <w:rsid w:val="00385802"/>
    <w:rsid w:val="00390FF2"/>
    <w:rsid w:val="003933FE"/>
    <w:rsid w:val="00397B5E"/>
    <w:rsid w:val="003A0A96"/>
    <w:rsid w:val="003A1CFD"/>
    <w:rsid w:val="003A2F8D"/>
    <w:rsid w:val="003A6BC6"/>
    <w:rsid w:val="003A7892"/>
    <w:rsid w:val="003B106A"/>
    <w:rsid w:val="003B2C42"/>
    <w:rsid w:val="003B314E"/>
    <w:rsid w:val="003B3ADC"/>
    <w:rsid w:val="003B5E59"/>
    <w:rsid w:val="003B601B"/>
    <w:rsid w:val="003B653E"/>
    <w:rsid w:val="003B726B"/>
    <w:rsid w:val="003C054E"/>
    <w:rsid w:val="003C3510"/>
    <w:rsid w:val="003C3A6A"/>
    <w:rsid w:val="003C7149"/>
    <w:rsid w:val="003C7B94"/>
    <w:rsid w:val="003D0873"/>
    <w:rsid w:val="003D0979"/>
    <w:rsid w:val="003D1AE7"/>
    <w:rsid w:val="003D50D3"/>
    <w:rsid w:val="003D59B8"/>
    <w:rsid w:val="003D6FA1"/>
    <w:rsid w:val="003D798C"/>
    <w:rsid w:val="003E18A9"/>
    <w:rsid w:val="003E2E22"/>
    <w:rsid w:val="003E49DB"/>
    <w:rsid w:val="003E704B"/>
    <w:rsid w:val="003E7338"/>
    <w:rsid w:val="003E7D71"/>
    <w:rsid w:val="003E7D78"/>
    <w:rsid w:val="003F0B86"/>
    <w:rsid w:val="003F10D7"/>
    <w:rsid w:val="003F134C"/>
    <w:rsid w:val="003F2FC6"/>
    <w:rsid w:val="003F35DA"/>
    <w:rsid w:val="003F4DC1"/>
    <w:rsid w:val="003F60C9"/>
    <w:rsid w:val="003F7487"/>
    <w:rsid w:val="00400654"/>
    <w:rsid w:val="004056BC"/>
    <w:rsid w:val="00405987"/>
    <w:rsid w:val="00405ADB"/>
    <w:rsid w:val="00405E2A"/>
    <w:rsid w:val="00407926"/>
    <w:rsid w:val="00416D93"/>
    <w:rsid w:val="00423511"/>
    <w:rsid w:val="0042450D"/>
    <w:rsid w:val="004245C4"/>
    <w:rsid w:val="00424F3D"/>
    <w:rsid w:val="00426ADE"/>
    <w:rsid w:val="00430F6C"/>
    <w:rsid w:val="00432878"/>
    <w:rsid w:val="0043317A"/>
    <w:rsid w:val="00434267"/>
    <w:rsid w:val="00434514"/>
    <w:rsid w:val="00435808"/>
    <w:rsid w:val="00435D06"/>
    <w:rsid w:val="00436AC3"/>
    <w:rsid w:val="004418D5"/>
    <w:rsid w:val="00441C25"/>
    <w:rsid w:val="004421EF"/>
    <w:rsid w:val="00443210"/>
    <w:rsid w:val="004432D9"/>
    <w:rsid w:val="004439BB"/>
    <w:rsid w:val="004444DF"/>
    <w:rsid w:val="00447A68"/>
    <w:rsid w:val="00450819"/>
    <w:rsid w:val="00450EFA"/>
    <w:rsid w:val="0045150E"/>
    <w:rsid w:val="00452B7E"/>
    <w:rsid w:val="00453754"/>
    <w:rsid w:val="00454E94"/>
    <w:rsid w:val="00460450"/>
    <w:rsid w:val="004619F2"/>
    <w:rsid w:val="0046451E"/>
    <w:rsid w:val="00464FB0"/>
    <w:rsid w:val="00465DF2"/>
    <w:rsid w:val="0046716C"/>
    <w:rsid w:val="0047224E"/>
    <w:rsid w:val="00474DDA"/>
    <w:rsid w:val="00476759"/>
    <w:rsid w:val="00477D96"/>
    <w:rsid w:val="00484E7D"/>
    <w:rsid w:val="00486C43"/>
    <w:rsid w:val="00493234"/>
    <w:rsid w:val="00493614"/>
    <w:rsid w:val="004940E9"/>
    <w:rsid w:val="004A1433"/>
    <w:rsid w:val="004A19A3"/>
    <w:rsid w:val="004A2D4C"/>
    <w:rsid w:val="004A64FD"/>
    <w:rsid w:val="004A73C8"/>
    <w:rsid w:val="004B0389"/>
    <w:rsid w:val="004B4F86"/>
    <w:rsid w:val="004B5353"/>
    <w:rsid w:val="004B715E"/>
    <w:rsid w:val="004C0242"/>
    <w:rsid w:val="004C0CE9"/>
    <w:rsid w:val="004C0DFF"/>
    <w:rsid w:val="004C1638"/>
    <w:rsid w:val="004C2436"/>
    <w:rsid w:val="004C3679"/>
    <w:rsid w:val="004C36FE"/>
    <w:rsid w:val="004C492F"/>
    <w:rsid w:val="004C750C"/>
    <w:rsid w:val="004C79A8"/>
    <w:rsid w:val="004E281E"/>
    <w:rsid w:val="004E3B29"/>
    <w:rsid w:val="004F252B"/>
    <w:rsid w:val="004F337B"/>
    <w:rsid w:val="004F43D2"/>
    <w:rsid w:val="004F593D"/>
    <w:rsid w:val="004F67A0"/>
    <w:rsid w:val="004F6AE7"/>
    <w:rsid w:val="004F6E46"/>
    <w:rsid w:val="00500218"/>
    <w:rsid w:val="005006C1"/>
    <w:rsid w:val="00502073"/>
    <w:rsid w:val="00505F17"/>
    <w:rsid w:val="00512166"/>
    <w:rsid w:val="00513EBE"/>
    <w:rsid w:val="00514D28"/>
    <w:rsid w:val="00515D3A"/>
    <w:rsid w:val="00516422"/>
    <w:rsid w:val="005212EB"/>
    <w:rsid w:val="00521BDE"/>
    <w:rsid w:val="00526351"/>
    <w:rsid w:val="0053002D"/>
    <w:rsid w:val="00530663"/>
    <w:rsid w:val="005328DD"/>
    <w:rsid w:val="0053496D"/>
    <w:rsid w:val="00536359"/>
    <w:rsid w:val="005405E6"/>
    <w:rsid w:val="00540A2B"/>
    <w:rsid w:val="00545397"/>
    <w:rsid w:val="00546766"/>
    <w:rsid w:val="00547081"/>
    <w:rsid w:val="00550539"/>
    <w:rsid w:val="00551335"/>
    <w:rsid w:val="00552B43"/>
    <w:rsid w:val="00552B64"/>
    <w:rsid w:val="0055391E"/>
    <w:rsid w:val="00554A50"/>
    <w:rsid w:val="005552C7"/>
    <w:rsid w:val="005552E2"/>
    <w:rsid w:val="00557A11"/>
    <w:rsid w:val="005602A3"/>
    <w:rsid w:val="00560447"/>
    <w:rsid w:val="0056135C"/>
    <w:rsid w:val="00561AE1"/>
    <w:rsid w:val="005625BC"/>
    <w:rsid w:val="005651A1"/>
    <w:rsid w:val="00565318"/>
    <w:rsid w:val="0056633C"/>
    <w:rsid w:val="005664A8"/>
    <w:rsid w:val="00567A92"/>
    <w:rsid w:val="00580D3A"/>
    <w:rsid w:val="005815D2"/>
    <w:rsid w:val="00581FEB"/>
    <w:rsid w:val="00582DCF"/>
    <w:rsid w:val="005832C9"/>
    <w:rsid w:val="00584729"/>
    <w:rsid w:val="00584CEE"/>
    <w:rsid w:val="00585090"/>
    <w:rsid w:val="00586642"/>
    <w:rsid w:val="005876BC"/>
    <w:rsid w:val="00591A6E"/>
    <w:rsid w:val="00592B24"/>
    <w:rsid w:val="00592B7D"/>
    <w:rsid w:val="0059343E"/>
    <w:rsid w:val="005937DC"/>
    <w:rsid w:val="00593FAE"/>
    <w:rsid w:val="00594041"/>
    <w:rsid w:val="005952B4"/>
    <w:rsid w:val="0059639F"/>
    <w:rsid w:val="00597476"/>
    <w:rsid w:val="005A32EE"/>
    <w:rsid w:val="005A5B78"/>
    <w:rsid w:val="005B0B73"/>
    <w:rsid w:val="005B1B97"/>
    <w:rsid w:val="005B2E82"/>
    <w:rsid w:val="005B4644"/>
    <w:rsid w:val="005B63DE"/>
    <w:rsid w:val="005B7497"/>
    <w:rsid w:val="005C05AE"/>
    <w:rsid w:val="005C1C01"/>
    <w:rsid w:val="005C2656"/>
    <w:rsid w:val="005C3C50"/>
    <w:rsid w:val="005C4144"/>
    <w:rsid w:val="005C71C6"/>
    <w:rsid w:val="005D64D9"/>
    <w:rsid w:val="005D6EFD"/>
    <w:rsid w:val="005D728E"/>
    <w:rsid w:val="005D7A4C"/>
    <w:rsid w:val="005E011F"/>
    <w:rsid w:val="005E0E4E"/>
    <w:rsid w:val="005E1DA2"/>
    <w:rsid w:val="005E25E2"/>
    <w:rsid w:val="005F0BEB"/>
    <w:rsid w:val="005F2209"/>
    <w:rsid w:val="005F418F"/>
    <w:rsid w:val="005F42B9"/>
    <w:rsid w:val="005F4C7C"/>
    <w:rsid w:val="005F53E9"/>
    <w:rsid w:val="005F6B0A"/>
    <w:rsid w:val="005F746F"/>
    <w:rsid w:val="00600747"/>
    <w:rsid w:val="00600838"/>
    <w:rsid w:val="0060292A"/>
    <w:rsid w:val="00602DEB"/>
    <w:rsid w:val="006036B2"/>
    <w:rsid w:val="0060546E"/>
    <w:rsid w:val="006056AD"/>
    <w:rsid w:val="00605E48"/>
    <w:rsid w:val="00611E72"/>
    <w:rsid w:val="00613E5A"/>
    <w:rsid w:val="006149CA"/>
    <w:rsid w:val="00614E72"/>
    <w:rsid w:val="00621865"/>
    <w:rsid w:val="006219A0"/>
    <w:rsid w:val="00625462"/>
    <w:rsid w:val="00626F25"/>
    <w:rsid w:val="0063176F"/>
    <w:rsid w:val="00631896"/>
    <w:rsid w:val="00632311"/>
    <w:rsid w:val="00635752"/>
    <w:rsid w:val="006425B8"/>
    <w:rsid w:val="006430BB"/>
    <w:rsid w:val="00643AAF"/>
    <w:rsid w:val="00643FC3"/>
    <w:rsid w:val="00644155"/>
    <w:rsid w:val="0064606C"/>
    <w:rsid w:val="00647E82"/>
    <w:rsid w:val="006507C1"/>
    <w:rsid w:val="00651347"/>
    <w:rsid w:val="006555C8"/>
    <w:rsid w:val="00656973"/>
    <w:rsid w:val="00662A80"/>
    <w:rsid w:val="00663102"/>
    <w:rsid w:val="00666379"/>
    <w:rsid w:val="00667ABD"/>
    <w:rsid w:val="00671D7D"/>
    <w:rsid w:val="00673B80"/>
    <w:rsid w:val="00675A39"/>
    <w:rsid w:val="00675FFA"/>
    <w:rsid w:val="00676395"/>
    <w:rsid w:val="00680072"/>
    <w:rsid w:val="0068098C"/>
    <w:rsid w:val="00682725"/>
    <w:rsid w:val="00684815"/>
    <w:rsid w:val="006876B5"/>
    <w:rsid w:val="006905E0"/>
    <w:rsid w:val="00690D38"/>
    <w:rsid w:val="00691363"/>
    <w:rsid w:val="00693694"/>
    <w:rsid w:val="00693CE4"/>
    <w:rsid w:val="00694BBF"/>
    <w:rsid w:val="00694ECE"/>
    <w:rsid w:val="00696245"/>
    <w:rsid w:val="006966EB"/>
    <w:rsid w:val="00697E57"/>
    <w:rsid w:val="006A013D"/>
    <w:rsid w:val="006A0770"/>
    <w:rsid w:val="006A08ED"/>
    <w:rsid w:val="006A0F34"/>
    <w:rsid w:val="006A72A3"/>
    <w:rsid w:val="006A7AA3"/>
    <w:rsid w:val="006B1BA4"/>
    <w:rsid w:val="006B2A89"/>
    <w:rsid w:val="006B5FEA"/>
    <w:rsid w:val="006B6CA2"/>
    <w:rsid w:val="006B72FA"/>
    <w:rsid w:val="006C0096"/>
    <w:rsid w:val="006C0110"/>
    <w:rsid w:val="006C0A45"/>
    <w:rsid w:val="006C0DCE"/>
    <w:rsid w:val="006C2D1B"/>
    <w:rsid w:val="006C4629"/>
    <w:rsid w:val="006C50B1"/>
    <w:rsid w:val="006D1464"/>
    <w:rsid w:val="006D2673"/>
    <w:rsid w:val="006D396C"/>
    <w:rsid w:val="006D4271"/>
    <w:rsid w:val="006D507E"/>
    <w:rsid w:val="006D7500"/>
    <w:rsid w:val="006E2A9D"/>
    <w:rsid w:val="006E2E08"/>
    <w:rsid w:val="006E3D4C"/>
    <w:rsid w:val="006E4CC9"/>
    <w:rsid w:val="006E6D2A"/>
    <w:rsid w:val="006E73C2"/>
    <w:rsid w:val="006F0148"/>
    <w:rsid w:val="006F0EA8"/>
    <w:rsid w:val="006F2422"/>
    <w:rsid w:val="006F38B4"/>
    <w:rsid w:val="006F3E27"/>
    <w:rsid w:val="006F4553"/>
    <w:rsid w:val="006F6F5A"/>
    <w:rsid w:val="00700108"/>
    <w:rsid w:val="007049DC"/>
    <w:rsid w:val="00705240"/>
    <w:rsid w:val="00710C26"/>
    <w:rsid w:val="00712505"/>
    <w:rsid w:val="00713717"/>
    <w:rsid w:val="00713903"/>
    <w:rsid w:val="00715074"/>
    <w:rsid w:val="00715A10"/>
    <w:rsid w:val="00716DE6"/>
    <w:rsid w:val="0071777B"/>
    <w:rsid w:val="0072107C"/>
    <w:rsid w:val="0072156F"/>
    <w:rsid w:val="00721D1C"/>
    <w:rsid w:val="00724391"/>
    <w:rsid w:val="00731C49"/>
    <w:rsid w:val="007337B7"/>
    <w:rsid w:val="00736996"/>
    <w:rsid w:val="007458CC"/>
    <w:rsid w:val="007501B6"/>
    <w:rsid w:val="00750654"/>
    <w:rsid w:val="00751A63"/>
    <w:rsid w:val="007573C3"/>
    <w:rsid w:val="00757B28"/>
    <w:rsid w:val="0076052A"/>
    <w:rsid w:val="007626F6"/>
    <w:rsid w:val="00762EF2"/>
    <w:rsid w:val="007634E4"/>
    <w:rsid w:val="00763809"/>
    <w:rsid w:val="00765B40"/>
    <w:rsid w:val="00767D69"/>
    <w:rsid w:val="00767EC0"/>
    <w:rsid w:val="007705C9"/>
    <w:rsid w:val="00772ABD"/>
    <w:rsid w:val="007732E9"/>
    <w:rsid w:val="007734E0"/>
    <w:rsid w:val="00774B3C"/>
    <w:rsid w:val="00775AD7"/>
    <w:rsid w:val="00780146"/>
    <w:rsid w:val="00781061"/>
    <w:rsid w:val="00781E7E"/>
    <w:rsid w:val="0078272D"/>
    <w:rsid w:val="00786574"/>
    <w:rsid w:val="00787992"/>
    <w:rsid w:val="0079293A"/>
    <w:rsid w:val="00793A36"/>
    <w:rsid w:val="007A163B"/>
    <w:rsid w:val="007A1873"/>
    <w:rsid w:val="007A51D2"/>
    <w:rsid w:val="007B0DDC"/>
    <w:rsid w:val="007B3D6C"/>
    <w:rsid w:val="007B564F"/>
    <w:rsid w:val="007B6534"/>
    <w:rsid w:val="007B786B"/>
    <w:rsid w:val="007C0158"/>
    <w:rsid w:val="007C1236"/>
    <w:rsid w:val="007C3311"/>
    <w:rsid w:val="007D07AE"/>
    <w:rsid w:val="007D1291"/>
    <w:rsid w:val="007D13D0"/>
    <w:rsid w:val="007D18E9"/>
    <w:rsid w:val="007D2357"/>
    <w:rsid w:val="007D26F0"/>
    <w:rsid w:val="007D45AC"/>
    <w:rsid w:val="007D4844"/>
    <w:rsid w:val="007D60EE"/>
    <w:rsid w:val="007D6292"/>
    <w:rsid w:val="007D66C7"/>
    <w:rsid w:val="007E2FFC"/>
    <w:rsid w:val="007E3A06"/>
    <w:rsid w:val="007E42A6"/>
    <w:rsid w:val="007E42BB"/>
    <w:rsid w:val="007E482B"/>
    <w:rsid w:val="007E4C79"/>
    <w:rsid w:val="007E50EF"/>
    <w:rsid w:val="007E6AEC"/>
    <w:rsid w:val="007F0DA6"/>
    <w:rsid w:val="007F1577"/>
    <w:rsid w:val="007F37C8"/>
    <w:rsid w:val="007F3C66"/>
    <w:rsid w:val="007F5527"/>
    <w:rsid w:val="007F751B"/>
    <w:rsid w:val="007F7F63"/>
    <w:rsid w:val="00800C90"/>
    <w:rsid w:val="00803670"/>
    <w:rsid w:val="0080482F"/>
    <w:rsid w:val="008050FF"/>
    <w:rsid w:val="008065E6"/>
    <w:rsid w:val="0081025A"/>
    <w:rsid w:val="00810861"/>
    <w:rsid w:val="00811BC7"/>
    <w:rsid w:val="008137D9"/>
    <w:rsid w:val="00817BF8"/>
    <w:rsid w:val="00820E8F"/>
    <w:rsid w:val="00821AF0"/>
    <w:rsid w:val="0082386C"/>
    <w:rsid w:val="00823AA3"/>
    <w:rsid w:val="00823CBC"/>
    <w:rsid w:val="00825EB6"/>
    <w:rsid w:val="00826270"/>
    <w:rsid w:val="00827A85"/>
    <w:rsid w:val="0083383B"/>
    <w:rsid w:val="00834DF6"/>
    <w:rsid w:val="00836015"/>
    <w:rsid w:val="00837B15"/>
    <w:rsid w:val="008412F3"/>
    <w:rsid w:val="00841BD1"/>
    <w:rsid w:val="00841C80"/>
    <w:rsid w:val="00842A7B"/>
    <w:rsid w:val="008431DC"/>
    <w:rsid w:val="00844DFF"/>
    <w:rsid w:val="00845273"/>
    <w:rsid w:val="00850403"/>
    <w:rsid w:val="00850B7C"/>
    <w:rsid w:val="008512D1"/>
    <w:rsid w:val="00852453"/>
    <w:rsid w:val="00854F73"/>
    <w:rsid w:val="00855618"/>
    <w:rsid w:val="00855BC4"/>
    <w:rsid w:val="00856312"/>
    <w:rsid w:val="008602C1"/>
    <w:rsid w:val="008609AF"/>
    <w:rsid w:val="0086198D"/>
    <w:rsid w:val="00861A2C"/>
    <w:rsid w:val="00861BC1"/>
    <w:rsid w:val="008632C5"/>
    <w:rsid w:val="00863D35"/>
    <w:rsid w:val="008643EC"/>
    <w:rsid w:val="00870BEE"/>
    <w:rsid w:val="0087207F"/>
    <w:rsid w:val="0087447D"/>
    <w:rsid w:val="0087483F"/>
    <w:rsid w:val="008749F1"/>
    <w:rsid w:val="00875D7E"/>
    <w:rsid w:val="0088101D"/>
    <w:rsid w:val="0088114C"/>
    <w:rsid w:val="00883A80"/>
    <w:rsid w:val="00883C03"/>
    <w:rsid w:val="00883EED"/>
    <w:rsid w:val="00883F94"/>
    <w:rsid w:val="00886B9B"/>
    <w:rsid w:val="00890952"/>
    <w:rsid w:val="00891549"/>
    <w:rsid w:val="00891B52"/>
    <w:rsid w:val="00891D76"/>
    <w:rsid w:val="00892993"/>
    <w:rsid w:val="0089320D"/>
    <w:rsid w:val="0089374F"/>
    <w:rsid w:val="00893A17"/>
    <w:rsid w:val="0089565B"/>
    <w:rsid w:val="0089691B"/>
    <w:rsid w:val="008A0474"/>
    <w:rsid w:val="008A12F2"/>
    <w:rsid w:val="008A18CB"/>
    <w:rsid w:val="008A551E"/>
    <w:rsid w:val="008B0CA5"/>
    <w:rsid w:val="008B3703"/>
    <w:rsid w:val="008B4AEE"/>
    <w:rsid w:val="008B6C53"/>
    <w:rsid w:val="008C1A70"/>
    <w:rsid w:val="008C1DA6"/>
    <w:rsid w:val="008C1F80"/>
    <w:rsid w:val="008C4600"/>
    <w:rsid w:val="008C6B9C"/>
    <w:rsid w:val="008C6FA6"/>
    <w:rsid w:val="008D02B1"/>
    <w:rsid w:val="008D1FE6"/>
    <w:rsid w:val="008D31E2"/>
    <w:rsid w:val="008D5435"/>
    <w:rsid w:val="008D558D"/>
    <w:rsid w:val="008D7014"/>
    <w:rsid w:val="008E0A32"/>
    <w:rsid w:val="008E2DB8"/>
    <w:rsid w:val="008E3A48"/>
    <w:rsid w:val="008E57AB"/>
    <w:rsid w:val="008F0D0D"/>
    <w:rsid w:val="008F0E7E"/>
    <w:rsid w:val="008F22A5"/>
    <w:rsid w:val="008F4D1D"/>
    <w:rsid w:val="008F5889"/>
    <w:rsid w:val="008F6BAA"/>
    <w:rsid w:val="008F788D"/>
    <w:rsid w:val="00902F4E"/>
    <w:rsid w:val="0090302F"/>
    <w:rsid w:val="009051B7"/>
    <w:rsid w:val="0090624B"/>
    <w:rsid w:val="00906B9C"/>
    <w:rsid w:val="00906D83"/>
    <w:rsid w:val="0091161A"/>
    <w:rsid w:val="00912795"/>
    <w:rsid w:val="00912DAF"/>
    <w:rsid w:val="00912F6D"/>
    <w:rsid w:val="00914EB4"/>
    <w:rsid w:val="00914F96"/>
    <w:rsid w:val="00915517"/>
    <w:rsid w:val="009160CA"/>
    <w:rsid w:val="009173E6"/>
    <w:rsid w:val="00922BDF"/>
    <w:rsid w:val="00924ACA"/>
    <w:rsid w:val="0092671B"/>
    <w:rsid w:val="00926EB0"/>
    <w:rsid w:val="0092797A"/>
    <w:rsid w:val="009338F6"/>
    <w:rsid w:val="00937974"/>
    <w:rsid w:val="00941CE6"/>
    <w:rsid w:val="00942539"/>
    <w:rsid w:val="00946545"/>
    <w:rsid w:val="00946850"/>
    <w:rsid w:val="00946B98"/>
    <w:rsid w:val="009474C9"/>
    <w:rsid w:val="00951DBC"/>
    <w:rsid w:val="00953AB6"/>
    <w:rsid w:val="00955CF7"/>
    <w:rsid w:val="0096315D"/>
    <w:rsid w:val="009651E4"/>
    <w:rsid w:val="0097541C"/>
    <w:rsid w:val="00982968"/>
    <w:rsid w:val="00982E22"/>
    <w:rsid w:val="00984E2C"/>
    <w:rsid w:val="00987B42"/>
    <w:rsid w:val="009902D4"/>
    <w:rsid w:val="00991F28"/>
    <w:rsid w:val="009926D7"/>
    <w:rsid w:val="00994C8A"/>
    <w:rsid w:val="009A14A3"/>
    <w:rsid w:val="009A3F35"/>
    <w:rsid w:val="009A4D5E"/>
    <w:rsid w:val="009A6B94"/>
    <w:rsid w:val="009A7A74"/>
    <w:rsid w:val="009B49FC"/>
    <w:rsid w:val="009B6E5A"/>
    <w:rsid w:val="009C032F"/>
    <w:rsid w:val="009C0750"/>
    <w:rsid w:val="009C0B21"/>
    <w:rsid w:val="009C1881"/>
    <w:rsid w:val="009C3E84"/>
    <w:rsid w:val="009C5026"/>
    <w:rsid w:val="009C51B6"/>
    <w:rsid w:val="009C580B"/>
    <w:rsid w:val="009D1615"/>
    <w:rsid w:val="009D5187"/>
    <w:rsid w:val="009D6665"/>
    <w:rsid w:val="009E04D0"/>
    <w:rsid w:val="009E0B8D"/>
    <w:rsid w:val="009E56F9"/>
    <w:rsid w:val="009E5ECB"/>
    <w:rsid w:val="009F09BC"/>
    <w:rsid w:val="009F39A2"/>
    <w:rsid w:val="009F42DD"/>
    <w:rsid w:val="009F554F"/>
    <w:rsid w:val="009F6789"/>
    <w:rsid w:val="009F71D4"/>
    <w:rsid w:val="009F7994"/>
    <w:rsid w:val="00A0160B"/>
    <w:rsid w:val="00A039BE"/>
    <w:rsid w:val="00A06A09"/>
    <w:rsid w:val="00A07A1C"/>
    <w:rsid w:val="00A12E01"/>
    <w:rsid w:val="00A1300C"/>
    <w:rsid w:val="00A211CD"/>
    <w:rsid w:val="00A232E6"/>
    <w:rsid w:val="00A30292"/>
    <w:rsid w:val="00A30794"/>
    <w:rsid w:val="00A3095C"/>
    <w:rsid w:val="00A3342F"/>
    <w:rsid w:val="00A33649"/>
    <w:rsid w:val="00A33C96"/>
    <w:rsid w:val="00A362B7"/>
    <w:rsid w:val="00A3639E"/>
    <w:rsid w:val="00A36F07"/>
    <w:rsid w:val="00A37436"/>
    <w:rsid w:val="00A425EB"/>
    <w:rsid w:val="00A42E57"/>
    <w:rsid w:val="00A46D58"/>
    <w:rsid w:val="00A511F5"/>
    <w:rsid w:val="00A57BFA"/>
    <w:rsid w:val="00A62CF8"/>
    <w:rsid w:val="00A63F02"/>
    <w:rsid w:val="00A65901"/>
    <w:rsid w:val="00A677C9"/>
    <w:rsid w:val="00A73928"/>
    <w:rsid w:val="00A74361"/>
    <w:rsid w:val="00A7657A"/>
    <w:rsid w:val="00A7770C"/>
    <w:rsid w:val="00A77990"/>
    <w:rsid w:val="00A82D68"/>
    <w:rsid w:val="00A84069"/>
    <w:rsid w:val="00A84B6F"/>
    <w:rsid w:val="00A84C60"/>
    <w:rsid w:val="00A85535"/>
    <w:rsid w:val="00A9070E"/>
    <w:rsid w:val="00A90836"/>
    <w:rsid w:val="00A9186C"/>
    <w:rsid w:val="00A92AFB"/>
    <w:rsid w:val="00A93402"/>
    <w:rsid w:val="00A94515"/>
    <w:rsid w:val="00A94885"/>
    <w:rsid w:val="00A94E53"/>
    <w:rsid w:val="00A94EDC"/>
    <w:rsid w:val="00A96887"/>
    <w:rsid w:val="00A97A35"/>
    <w:rsid w:val="00AA06C3"/>
    <w:rsid w:val="00AA0C8B"/>
    <w:rsid w:val="00AA11FD"/>
    <w:rsid w:val="00AA273E"/>
    <w:rsid w:val="00AA4025"/>
    <w:rsid w:val="00AA487A"/>
    <w:rsid w:val="00AA7184"/>
    <w:rsid w:val="00AA7F1F"/>
    <w:rsid w:val="00AA7FD8"/>
    <w:rsid w:val="00AB0A53"/>
    <w:rsid w:val="00AB31DA"/>
    <w:rsid w:val="00AB551A"/>
    <w:rsid w:val="00AB6119"/>
    <w:rsid w:val="00AB677F"/>
    <w:rsid w:val="00AB70A5"/>
    <w:rsid w:val="00AB710C"/>
    <w:rsid w:val="00AC21E9"/>
    <w:rsid w:val="00AC44AC"/>
    <w:rsid w:val="00AC4F84"/>
    <w:rsid w:val="00AC67CA"/>
    <w:rsid w:val="00AC6CF0"/>
    <w:rsid w:val="00AC7250"/>
    <w:rsid w:val="00AC7789"/>
    <w:rsid w:val="00AD0A6D"/>
    <w:rsid w:val="00AD1940"/>
    <w:rsid w:val="00AD32A0"/>
    <w:rsid w:val="00AD40EE"/>
    <w:rsid w:val="00AD679D"/>
    <w:rsid w:val="00AD7392"/>
    <w:rsid w:val="00AD781E"/>
    <w:rsid w:val="00AE05D5"/>
    <w:rsid w:val="00AE14E3"/>
    <w:rsid w:val="00AE17A6"/>
    <w:rsid w:val="00AE2A1C"/>
    <w:rsid w:val="00AE41AF"/>
    <w:rsid w:val="00AE47B6"/>
    <w:rsid w:val="00AE52B4"/>
    <w:rsid w:val="00AF016E"/>
    <w:rsid w:val="00AF0D0E"/>
    <w:rsid w:val="00AF49E4"/>
    <w:rsid w:val="00AF539B"/>
    <w:rsid w:val="00AF5668"/>
    <w:rsid w:val="00B00C04"/>
    <w:rsid w:val="00B0167F"/>
    <w:rsid w:val="00B03D10"/>
    <w:rsid w:val="00B042C8"/>
    <w:rsid w:val="00B07D59"/>
    <w:rsid w:val="00B102FD"/>
    <w:rsid w:val="00B17087"/>
    <w:rsid w:val="00B202C7"/>
    <w:rsid w:val="00B20EEF"/>
    <w:rsid w:val="00B2571D"/>
    <w:rsid w:val="00B26E02"/>
    <w:rsid w:val="00B271EB"/>
    <w:rsid w:val="00B30644"/>
    <w:rsid w:val="00B30EFC"/>
    <w:rsid w:val="00B31E7B"/>
    <w:rsid w:val="00B32DA0"/>
    <w:rsid w:val="00B32E72"/>
    <w:rsid w:val="00B33FA5"/>
    <w:rsid w:val="00B40B2D"/>
    <w:rsid w:val="00B45DD7"/>
    <w:rsid w:val="00B46192"/>
    <w:rsid w:val="00B468C8"/>
    <w:rsid w:val="00B518F4"/>
    <w:rsid w:val="00B52132"/>
    <w:rsid w:val="00B528E5"/>
    <w:rsid w:val="00B54061"/>
    <w:rsid w:val="00B550D9"/>
    <w:rsid w:val="00B55D61"/>
    <w:rsid w:val="00B55DDB"/>
    <w:rsid w:val="00B5723C"/>
    <w:rsid w:val="00B57532"/>
    <w:rsid w:val="00B61521"/>
    <w:rsid w:val="00B63750"/>
    <w:rsid w:val="00B67F39"/>
    <w:rsid w:val="00B7028F"/>
    <w:rsid w:val="00B70A5E"/>
    <w:rsid w:val="00B72DC0"/>
    <w:rsid w:val="00B7355E"/>
    <w:rsid w:val="00B74E10"/>
    <w:rsid w:val="00B7626E"/>
    <w:rsid w:val="00B83000"/>
    <w:rsid w:val="00B85059"/>
    <w:rsid w:val="00B86406"/>
    <w:rsid w:val="00B86436"/>
    <w:rsid w:val="00B903EB"/>
    <w:rsid w:val="00B90628"/>
    <w:rsid w:val="00B90E33"/>
    <w:rsid w:val="00B93946"/>
    <w:rsid w:val="00B9402E"/>
    <w:rsid w:val="00B947CB"/>
    <w:rsid w:val="00B94D09"/>
    <w:rsid w:val="00B95169"/>
    <w:rsid w:val="00B96A67"/>
    <w:rsid w:val="00B96D44"/>
    <w:rsid w:val="00B97A96"/>
    <w:rsid w:val="00BA03CD"/>
    <w:rsid w:val="00BA3004"/>
    <w:rsid w:val="00BA33E6"/>
    <w:rsid w:val="00BB023C"/>
    <w:rsid w:val="00BB134B"/>
    <w:rsid w:val="00BB5593"/>
    <w:rsid w:val="00BB7B44"/>
    <w:rsid w:val="00BC20CC"/>
    <w:rsid w:val="00BC40E5"/>
    <w:rsid w:val="00BC466E"/>
    <w:rsid w:val="00BC4A46"/>
    <w:rsid w:val="00BC4B64"/>
    <w:rsid w:val="00BC5087"/>
    <w:rsid w:val="00BC59A2"/>
    <w:rsid w:val="00BC5B9B"/>
    <w:rsid w:val="00BC6592"/>
    <w:rsid w:val="00BC6A4C"/>
    <w:rsid w:val="00BD0495"/>
    <w:rsid w:val="00BD1498"/>
    <w:rsid w:val="00BD4506"/>
    <w:rsid w:val="00BD46E4"/>
    <w:rsid w:val="00BD67F6"/>
    <w:rsid w:val="00BE1C96"/>
    <w:rsid w:val="00BE2FFB"/>
    <w:rsid w:val="00BE3B3F"/>
    <w:rsid w:val="00BE4C49"/>
    <w:rsid w:val="00BE4F04"/>
    <w:rsid w:val="00BE636A"/>
    <w:rsid w:val="00BE7813"/>
    <w:rsid w:val="00BF0174"/>
    <w:rsid w:val="00BF1C8B"/>
    <w:rsid w:val="00BF21FF"/>
    <w:rsid w:val="00BF2B88"/>
    <w:rsid w:val="00BF32D7"/>
    <w:rsid w:val="00BF3B7C"/>
    <w:rsid w:val="00BF7617"/>
    <w:rsid w:val="00C022F9"/>
    <w:rsid w:val="00C0456D"/>
    <w:rsid w:val="00C050F2"/>
    <w:rsid w:val="00C05457"/>
    <w:rsid w:val="00C12CAF"/>
    <w:rsid w:val="00C137E1"/>
    <w:rsid w:val="00C14B2C"/>
    <w:rsid w:val="00C14C08"/>
    <w:rsid w:val="00C16BF2"/>
    <w:rsid w:val="00C17407"/>
    <w:rsid w:val="00C212DA"/>
    <w:rsid w:val="00C21550"/>
    <w:rsid w:val="00C22473"/>
    <w:rsid w:val="00C23E88"/>
    <w:rsid w:val="00C25029"/>
    <w:rsid w:val="00C253DA"/>
    <w:rsid w:val="00C33837"/>
    <w:rsid w:val="00C3473B"/>
    <w:rsid w:val="00C3551D"/>
    <w:rsid w:val="00C403A4"/>
    <w:rsid w:val="00C4117B"/>
    <w:rsid w:val="00C41AED"/>
    <w:rsid w:val="00C42895"/>
    <w:rsid w:val="00C43128"/>
    <w:rsid w:val="00C4389D"/>
    <w:rsid w:val="00C4642D"/>
    <w:rsid w:val="00C46A70"/>
    <w:rsid w:val="00C46B35"/>
    <w:rsid w:val="00C46B5D"/>
    <w:rsid w:val="00C46C50"/>
    <w:rsid w:val="00C472E0"/>
    <w:rsid w:val="00C477C3"/>
    <w:rsid w:val="00C504DC"/>
    <w:rsid w:val="00C51A4C"/>
    <w:rsid w:val="00C53134"/>
    <w:rsid w:val="00C543F7"/>
    <w:rsid w:val="00C54AF3"/>
    <w:rsid w:val="00C558CD"/>
    <w:rsid w:val="00C57A81"/>
    <w:rsid w:val="00C57E9B"/>
    <w:rsid w:val="00C64263"/>
    <w:rsid w:val="00C642BF"/>
    <w:rsid w:val="00C64EC5"/>
    <w:rsid w:val="00C66FA9"/>
    <w:rsid w:val="00C67257"/>
    <w:rsid w:val="00C70F8F"/>
    <w:rsid w:val="00C7171F"/>
    <w:rsid w:val="00C72FF8"/>
    <w:rsid w:val="00C807E3"/>
    <w:rsid w:val="00C81458"/>
    <w:rsid w:val="00C81E83"/>
    <w:rsid w:val="00C81EEB"/>
    <w:rsid w:val="00C8506F"/>
    <w:rsid w:val="00C85F11"/>
    <w:rsid w:val="00C87062"/>
    <w:rsid w:val="00C873F0"/>
    <w:rsid w:val="00C90E14"/>
    <w:rsid w:val="00C916A9"/>
    <w:rsid w:val="00C94DCB"/>
    <w:rsid w:val="00C96611"/>
    <w:rsid w:val="00C96B53"/>
    <w:rsid w:val="00C979D2"/>
    <w:rsid w:val="00CA0969"/>
    <w:rsid w:val="00CA1FB2"/>
    <w:rsid w:val="00CA2AC4"/>
    <w:rsid w:val="00CA31DF"/>
    <w:rsid w:val="00CA424B"/>
    <w:rsid w:val="00CA4B8E"/>
    <w:rsid w:val="00CA730E"/>
    <w:rsid w:val="00CA7A25"/>
    <w:rsid w:val="00CB0F45"/>
    <w:rsid w:val="00CB2F42"/>
    <w:rsid w:val="00CB49EC"/>
    <w:rsid w:val="00CB5446"/>
    <w:rsid w:val="00CB5558"/>
    <w:rsid w:val="00CB5BD9"/>
    <w:rsid w:val="00CB62FE"/>
    <w:rsid w:val="00CB67C0"/>
    <w:rsid w:val="00CC19EB"/>
    <w:rsid w:val="00CC4690"/>
    <w:rsid w:val="00CD300C"/>
    <w:rsid w:val="00CD58CA"/>
    <w:rsid w:val="00CD5C60"/>
    <w:rsid w:val="00CE5281"/>
    <w:rsid w:val="00CE5339"/>
    <w:rsid w:val="00CE55C1"/>
    <w:rsid w:val="00CE66C8"/>
    <w:rsid w:val="00CF11E7"/>
    <w:rsid w:val="00CF19CB"/>
    <w:rsid w:val="00CF3A69"/>
    <w:rsid w:val="00CF495A"/>
    <w:rsid w:val="00CF7555"/>
    <w:rsid w:val="00CF757D"/>
    <w:rsid w:val="00D02EC7"/>
    <w:rsid w:val="00D03917"/>
    <w:rsid w:val="00D06F52"/>
    <w:rsid w:val="00D11223"/>
    <w:rsid w:val="00D11F9F"/>
    <w:rsid w:val="00D1238B"/>
    <w:rsid w:val="00D13B09"/>
    <w:rsid w:val="00D1405B"/>
    <w:rsid w:val="00D16F67"/>
    <w:rsid w:val="00D177A4"/>
    <w:rsid w:val="00D204D5"/>
    <w:rsid w:val="00D20BB1"/>
    <w:rsid w:val="00D20FBA"/>
    <w:rsid w:val="00D2214C"/>
    <w:rsid w:val="00D2222C"/>
    <w:rsid w:val="00D22753"/>
    <w:rsid w:val="00D23C31"/>
    <w:rsid w:val="00D25E0B"/>
    <w:rsid w:val="00D260ED"/>
    <w:rsid w:val="00D277E3"/>
    <w:rsid w:val="00D302B6"/>
    <w:rsid w:val="00D31B08"/>
    <w:rsid w:val="00D32D90"/>
    <w:rsid w:val="00D337D2"/>
    <w:rsid w:val="00D42544"/>
    <w:rsid w:val="00D43721"/>
    <w:rsid w:val="00D43AE1"/>
    <w:rsid w:val="00D44297"/>
    <w:rsid w:val="00D444BF"/>
    <w:rsid w:val="00D45600"/>
    <w:rsid w:val="00D45EC3"/>
    <w:rsid w:val="00D46ACE"/>
    <w:rsid w:val="00D47FF9"/>
    <w:rsid w:val="00D5072C"/>
    <w:rsid w:val="00D509A0"/>
    <w:rsid w:val="00D52938"/>
    <w:rsid w:val="00D53161"/>
    <w:rsid w:val="00D56F3D"/>
    <w:rsid w:val="00D640A7"/>
    <w:rsid w:val="00D64CFF"/>
    <w:rsid w:val="00D664EF"/>
    <w:rsid w:val="00D70884"/>
    <w:rsid w:val="00D70A92"/>
    <w:rsid w:val="00D71C5A"/>
    <w:rsid w:val="00D72488"/>
    <w:rsid w:val="00D72C9F"/>
    <w:rsid w:val="00D751C9"/>
    <w:rsid w:val="00D75438"/>
    <w:rsid w:val="00D76717"/>
    <w:rsid w:val="00D77EA2"/>
    <w:rsid w:val="00D87FC9"/>
    <w:rsid w:val="00D91A7F"/>
    <w:rsid w:val="00D92482"/>
    <w:rsid w:val="00D9412D"/>
    <w:rsid w:val="00D95535"/>
    <w:rsid w:val="00DA04CF"/>
    <w:rsid w:val="00DA3064"/>
    <w:rsid w:val="00DA5961"/>
    <w:rsid w:val="00DA5D04"/>
    <w:rsid w:val="00DB21DC"/>
    <w:rsid w:val="00DB2CF8"/>
    <w:rsid w:val="00DB3413"/>
    <w:rsid w:val="00DB46F9"/>
    <w:rsid w:val="00DB62C0"/>
    <w:rsid w:val="00DC0ABF"/>
    <w:rsid w:val="00DC0AE9"/>
    <w:rsid w:val="00DC1A65"/>
    <w:rsid w:val="00DC3FB8"/>
    <w:rsid w:val="00DC4980"/>
    <w:rsid w:val="00DC499F"/>
    <w:rsid w:val="00DC5073"/>
    <w:rsid w:val="00DD0203"/>
    <w:rsid w:val="00DD3A28"/>
    <w:rsid w:val="00DD42FE"/>
    <w:rsid w:val="00DD632C"/>
    <w:rsid w:val="00DD75EB"/>
    <w:rsid w:val="00DE116B"/>
    <w:rsid w:val="00DE2910"/>
    <w:rsid w:val="00DE3C4F"/>
    <w:rsid w:val="00DE3C97"/>
    <w:rsid w:val="00DE5419"/>
    <w:rsid w:val="00DE5FA1"/>
    <w:rsid w:val="00DF452A"/>
    <w:rsid w:val="00DF7242"/>
    <w:rsid w:val="00DF73C0"/>
    <w:rsid w:val="00E002D7"/>
    <w:rsid w:val="00E012B1"/>
    <w:rsid w:val="00E01B70"/>
    <w:rsid w:val="00E02BFA"/>
    <w:rsid w:val="00E04A9C"/>
    <w:rsid w:val="00E06A96"/>
    <w:rsid w:val="00E06B4D"/>
    <w:rsid w:val="00E1072E"/>
    <w:rsid w:val="00E11CF5"/>
    <w:rsid w:val="00E15A24"/>
    <w:rsid w:val="00E172A6"/>
    <w:rsid w:val="00E17C08"/>
    <w:rsid w:val="00E21257"/>
    <w:rsid w:val="00E22EFE"/>
    <w:rsid w:val="00E2301F"/>
    <w:rsid w:val="00E23DDD"/>
    <w:rsid w:val="00E24A85"/>
    <w:rsid w:val="00E302F3"/>
    <w:rsid w:val="00E308C2"/>
    <w:rsid w:val="00E3105F"/>
    <w:rsid w:val="00E31AD5"/>
    <w:rsid w:val="00E31F8D"/>
    <w:rsid w:val="00E352F3"/>
    <w:rsid w:val="00E373F6"/>
    <w:rsid w:val="00E37B05"/>
    <w:rsid w:val="00E40DFE"/>
    <w:rsid w:val="00E4319F"/>
    <w:rsid w:val="00E437F4"/>
    <w:rsid w:val="00E44F5E"/>
    <w:rsid w:val="00E45E0A"/>
    <w:rsid w:val="00E47462"/>
    <w:rsid w:val="00E4756F"/>
    <w:rsid w:val="00E47D38"/>
    <w:rsid w:val="00E51865"/>
    <w:rsid w:val="00E52688"/>
    <w:rsid w:val="00E53352"/>
    <w:rsid w:val="00E55897"/>
    <w:rsid w:val="00E5702D"/>
    <w:rsid w:val="00E62696"/>
    <w:rsid w:val="00E632D4"/>
    <w:rsid w:val="00E657D9"/>
    <w:rsid w:val="00E668E1"/>
    <w:rsid w:val="00E704AE"/>
    <w:rsid w:val="00E766E0"/>
    <w:rsid w:val="00E77417"/>
    <w:rsid w:val="00E8034F"/>
    <w:rsid w:val="00E85634"/>
    <w:rsid w:val="00E86060"/>
    <w:rsid w:val="00E9748B"/>
    <w:rsid w:val="00E97E2D"/>
    <w:rsid w:val="00EA1048"/>
    <w:rsid w:val="00EA1237"/>
    <w:rsid w:val="00EA22F2"/>
    <w:rsid w:val="00EA27AE"/>
    <w:rsid w:val="00EA4604"/>
    <w:rsid w:val="00EA49A0"/>
    <w:rsid w:val="00EA545C"/>
    <w:rsid w:val="00EA7B13"/>
    <w:rsid w:val="00EB3589"/>
    <w:rsid w:val="00EC29CE"/>
    <w:rsid w:val="00EC29E9"/>
    <w:rsid w:val="00EC3129"/>
    <w:rsid w:val="00EC31AB"/>
    <w:rsid w:val="00EC324E"/>
    <w:rsid w:val="00EC5E60"/>
    <w:rsid w:val="00EC5F0F"/>
    <w:rsid w:val="00EC60B6"/>
    <w:rsid w:val="00EC6F61"/>
    <w:rsid w:val="00ED06BF"/>
    <w:rsid w:val="00ED0702"/>
    <w:rsid w:val="00ED0D42"/>
    <w:rsid w:val="00ED14A3"/>
    <w:rsid w:val="00ED1714"/>
    <w:rsid w:val="00ED5C64"/>
    <w:rsid w:val="00ED7539"/>
    <w:rsid w:val="00ED77EF"/>
    <w:rsid w:val="00EE0906"/>
    <w:rsid w:val="00EE3228"/>
    <w:rsid w:val="00EE3C4A"/>
    <w:rsid w:val="00EE43BC"/>
    <w:rsid w:val="00EE4CC3"/>
    <w:rsid w:val="00EF0641"/>
    <w:rsid w:val="00EF1736"/>
    <w:rsid w:val="00EF5965"/>
    <w:rsid w:val="00EF7DC1"/>
    <w:rsid w:val="00F01133"/>
    <w:rsid w:val="00F011DD"/>
    <w:rsid w:val="00F033C6"/>
    <w:rsid w:val="00F0648A"/>
    <w:rsid w:val="00F10911"/>
    <w:rsid w:val="00F13CA1"/>
    <w:rsid w:val="00F238EE"/>
    <w:rsid w:val="00F24E85"/>
    <w:rsid w:val="00F25779"/>
    <w:rsid w:val="00F2600F"/>
    <w:rsid w:val="00F263F6"/>
    <w:rsid w:val="00F26FF8"/>
    <w:rsid w:val="00F27A9F"/>
    <w:rsid w:val="00F303EE"/>
    <w:rsid w:val="00F32027"/>
    <w:rsid w:val="00F33918"/>
    <w:rsid w:val="00F34844"/>
    <w:rsid w:val="00F3750F"/>
    <w:rsid w:val="00F4070F"/>
    <w:rsid w:val="00F43719"/>
    <w:rsid w:val="00F44767"/>
    <w:rsid w:val="00F465B0"/>
    <w:rsid w:val="00F478C3"/>
    <w:rsid w:val="00F5133B"/>
    <w:rsid w:val="00F52419"/>
    <w:rsid w:val="00F5288E"/>
    <w:rsid w:val="00F53927"/>
    <w:rsid w:val="00F543BE"/>
    <w:rsid w:val="00F5563F"/>
    <w:rsid w:val="00F5585A"/>
    <w:rsid w:val="00F560A7"/>
    <w:rsid w:val="00F56603"/>
    <w:rsid w:val="00F56883"/>
    <w:rsid w:val="00F64C52"/>
    <w:rsid w:val="00F6591E"/>
    <w:rsid w:val="00F70C4F"/>
    <w:rsid w:val="00F740FA"/>
    <w:rsid w:val="00F741DA"/>
    <w:rsid w:val="00F7454E"/>
    <w:rsid w:val="00F766AD"/>
    <w:rsid w:val="00F76863"/>
    <w:rsid w:val="00F77685"/>
    <w:rsid w:val="00F8058B"/>
    <w:rsid w:val="00F82895"/>
    <w:rsid w:val="00F90042"/>
    <w:rsid w:val="00F905FE"/>
    <w:rsid w:val="00F90638"/>
    <w:rsid w:val="00F90B59"/>
    <w:rsid w:val="00F95FE5"/>
    <w:rsid w:val="00FA0107"/>
    <w:rsid w:val="00FA18C9"/>
    <w:rsid w:val="00FA4070"/>
    <w:rsid w:val="00FA6BB7"/>
    <w:rsid w:val="00FA7642"/>
    <w:rsid w:val="00FB0A07"/>
    <w:rsid w:val="00FB11CD"/>
    <w:rsid w:val="00FB2336"/>
    <w:rsid w:val="00FB2D0F"/>
    <w:rsid w:val="00FB5B7C"/>
    <w:rsid w:val="00FB60FF"/>
    <w:rsid w:val="00FB6295"/>
    <w:rsid w:val="00FC00B3"/>
    <w:rsid w:val="00FC129C"/>
    <w:rsid w:val="00FC1562"/>
    <w:rsid w:val="00FC32C6"/>
    <w:rsid w:val="00FC4EF1"/>
    <w:rsid w:val="00FC57DB"/>
    <w:rsid w:val="00FC68DC"/>
    <w:rsid w:val="00FD02D4"/>
    <w:rsid w:val="00FD1616"/>
    <w:rsid w:val="00FD1780"/>
    <w:rsid w:val="00FD2A58"/>
    <w:rsid w:val="00FD3ABB"/>
    <w:rsid w:val="00FD5113"/>
    <w:rsid w:val="00FE2719"/>
    <w:rsid w:val="00FE4A27"/>
    <w:rsid w:val="00FF1231"/>
    <w:rsid w:val="00FF4ADC"/>
    <w:rsid w:val="00FF5880"/>
    <w:rsid w:val="00FF5BB8"/>
    <w:rsid w:val="00FF5F41"/>
    <w:rsid w:val="00FF7F54"/>
    <w:rsid w:val="15D4113D"/>
    <w:rsid w:val="3D6D1D0C"/>
    <w:rsid w:val="4448A513"/>
    <w:rsid w:val="5E8B6C90"/>
    <w:rsid w:val="6E77A88F"/>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2ABF72E"/>
  <w15:docId w15:val="{6532B3D5-AE60-415B-A06D-5B9DEF18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24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unhideWhenUsed/>
    <w:rsid w:val="00A82D68"/>
    <w:rPr>
      <w:sz w:val="20"/>
    </w:rPr>
  </w:style>
  <w:style w:type="character" w:customStyle="1" w:styleId="CommentTextChar">
    <w:name w:val="Comment Text Char"/>
    <w:basedOn w:val="DefaultParagraphFont"/>
    <w:link w:val="CommentText"/>
    <w:uiPriority w:val="99"/>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fn Char,fn Char1"/>
    <w:link w:val="FootnoteTextChar"/>
    <w:qFormat/>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ALTS FOOTNOTE Char1,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2F1F65"/>
    <w:rPr>
      <w:rFonts w:ascii="Times New Roman" w:hAnsi="Times New Roman"/>
      <w:dstrike w:val="0"/>
      <w:color w:val="auto"/>
      <w:sz w:val="20"/>
      <w:vertAlign w:val="superscript"/>
    </w:rPr>
  </w:style>
  <w:style w:type="paragraph" w:customStyle="1" w:styleId="ParaNum">
    <w:name w:val="ParaNum"/>
    <w:basedOn w:val="Normal"/>
    <w:link w:val="ParaNumCharChar1"/>
    <w:rsid w:val="00FF7F54"/>
    <w:pPr>
      <w:widowControl w:val="0"/>
      <w:spacing w:after="120"/>
    </w:pPr>
    <w:rPr>
      <w:snapToGrid w:val="0"/>
      <w:kern w:val="28"/>
      <w:sz w:val="22"/>
    </w:rPr>
  </w:style>
  <w:style w:type="character" w:customStyle="1" w:styleId="ParaNumCharChar1">
    <w:name w:val="ParaNum Char Char1"/>
    <w:link w:val="ParaNum"/>
    <w:locked/>
    <w:rsid w:val="00FF7F54"/>
    <w:rPr>
      <w:rFonts w:ascii="Times New Roman" w:eastAsia="Times New Roman" w:hAnsi="Times New Roman" w:cs="Times New Roman"/>
      <w:snapToGrid w:val="0"/>
      <w:kern w:val="28"/>
      <w:szCs w:val="20"/>
    </w:rPr>
  </w:style>
  <w:style w:type="character" w:customStyle="1" w:styleId="ParaNumChar">
    <w:name w:val="ParaNum Char"/>
    <w:locked/>
    <w:rsid w:val="00552B64"/>
    <w:rPr>
      <w:kern w:val="28"/>
    </w:rPr>
  </w:style>
  <w:style w:type="character" w:styleId="Emphasis">
    <w:name w:val="Emphasis"/>
    <w:basedOn w:val="DefaultParagraphFont"/>
    <w:uiPriority w:val="20"/>
    <w:qFormat/>
    <w:rsid w:val="003328F2"/>
    <w:rPr>
      <w:i/>
      <w:iCs/>
    </w:rPr>
  </w:style>
  <w:style w:type="character" w:customStyle="1" w:styleId="documentbody1">
    <w:name w:val="documentbody1"/>
    <w:rsid w:val="004245C4"/>
    <w:rPr>
      <w:rFonts w:ascii="Verdana" w:hAnsi="Verdana" w:hint="default"/>
      <w:sz w:val="19"/>
      <w:szCs w:val="19"/>
    </w:rPr>
  </w:style>
  <w:style w:type="character" w:customStyle="1" w:styleId="cosearchterm">
    <w:name w:val="co_searchterm"/>
    <w:basedOn w:val="DefaultParagraphFont"/>
    <w:rsid w:val="00A96887"/>
  </w:style>
  <w:style w:type="character" w:styleId="Hyperlink">
    <w:name w:val="Hyperlink"/>
    <w:basedOn w:val="DefaultParagraphFont"/>
    <w:uiPriority w:val="99"/>
    <w:unhideWhenUsed/>
    <w:rsid w:val="00EC31AB"/>
    <w:rPr>
      <w:color w:val="0563C1" w:themeColor="hyperlink"/>
      <w:u w:val="single"/>
    </w:rPr>
  </w:style>
  <w:style w:type="character" w:styleId="UnresolvedMention">
    <w:name w:val="Unresolved Mention"/>
    <w:basedOn w:val="DefaultParagraphFont"/>
    <w:uiPriority w:val="99"/>
    <w:semiHidden/>
    <w:unhideWhenUsed/>
    <w:rsid w:val="00EC3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1" ma:contentTypeDescription="Create a new document." ma:contentTypeScope="" ma:versionID="c670fc4ac9367d2998ca47db6de2f5dc">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eb59a65199ae0ac3196c5e1d8ee6bd51" ns3:_="" ns4:_="">
    <xsd:import namespace="794fa9d4-8068-4c99-b108-795ab3339e93"/>
    <xsd:import namespace="40be8c06-eb4c-4be5-b4ce-f259999f4503"/>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Props1.xml><?xml version="1.0" encoding="utf-8"?>
<ds:datastoreItem xmlns:ds="http://schemas.openxmlformats.org/officeDocument/2006/customXml" ds:itemID="{B23067A9-F5BD-46ED-B124-73DED6EC0AD4}">
  <ds:schemaRefs>
    <ds:schemaRef ds:uri="http://schemas.microsoft.com/sharepoint/v3/contenttype/forms"/>
  </ds:schemaRefs>
</ds:datastoreItem>
</file>

<file path=customXml/itemProps2.xml><?xml version="1.0" encoding="utf-8"?>
<ds:datastoreItem xmlns:ds="http://schemas.openxmlformats.org/officeDocument/2006/customXml" ds:itemID="{0FA20B1B-294D-4B7E-8E2A-8B0F11B60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BE860-3563-43A3-B761-0906EB530F14}">
  <ds:schemaRefs>
    <ds:schemaRef ds:uri="http://schemas.openxmlformats.org/officeDocument/2006/bibliography"/>
  </ds:schemaRefs>
</ds:datastoreItem>
</file>

<file path=customXml/itemProps4.xml><?xml version="1.0" encoding="utf-8"?>
<ds:datastoreItem xmlns:ds="http://schemas.openxmlformats.org/officeDocument/2006/customXml" ds:itemID="{5740EFBB-6AB4-4969-9426-1A7913341214}">
  <ds:schemaRefs>
    <ds:schemaRef ds:uri="http://schemas.microsoft.com/office/2006/metadata/properties"/>
    <ds:schemaRef ds:uri="http://schemas.microsoft.com/office/infopath/2007/PartnerControls"/>
    <ds:schemaRef ds:uri="40be8c06-eb4c-4be5-b4ce-f259999f45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6306</Words>
  <Characters>35945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Jachman</dc:creator>
  <cp:lastModifiedBy>Nicole Ongele</cp:lastModifiedBy>
  <cp:revision>3</cp:revision>
  <cp:lastPrinted>2019-04-17T19:50:00Z</cp:lastPrinted>
  <dcterms:created xsi:type="dcterms:W3CDTF">2026-03-10T12:08:00Z</dcterms:created>
  <dcterms:modified xsi:type="dcterms:W3CDTF">2026-03-16T13:21:00Z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