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21D2" w:rsidRPr="00941FBA" w:rsidP="007921D2" w14:paraId="1117605E" w14:textId="77777777">
      <w:pPr>
        <w:tabs>
          <w:tab w:val="center" w:pos="4680"/>
        </w:tabs>
        <w:jc w:val="center"/>
        <w:rPr>
          <w:rFonts w:ascii="Times New Roman" w:hAnsi="Times New Roman"/>
          <w:szCs w:val="24"/>
        </w:rPr>
      </w:pPr>
      <w:r w:rsidRPr="00941FBA">
        <w:rPr>
          <w:rFonts w:ascii="Times New Roman" w:hAnsi="Times New Roman"/>
          <w:szCs w:val="24"/>
        </w:rPr>
        <w:t>SUPPORTING STATEMENT</w:t>
      </w:r>
    </w:p>
    <w:p w:rsidR="00BA4401" w:rsidRPr="00941FBA" w:rsidP="00941FBA" w14:paraId="41828B6F" w14:textId="55A68A9D">
      <w:pPr>
        <w:pStyle w:val="NoSpacing"/>
        <w:jc w:val="center"/>
        <w:rPr>
          <w:rFonts w:ascii="Times New Roman" w:hAnsi="Times New Roman"/>
          <w:snapToGrid/>
        </w:rPr>
      </w:pPr>
      <w:r w:rsidRPr="00941FBA">
        <w:rPr>
          <w:rFonts w:ascii="Times New Roman" w:hAnsi="Times New Roman"/>
          <w:snapToGrid/>
        </w:rPr>
        <w:t>Approval Requirements</w:t>
      </w:r>
      <w:r w:rsidRPr="00941FBA">
        <w:rPr>
          <w:rFonts w:ascii="Times New Roman" w:hAnsi="Times New Roman"/>
          <w:snapToGrid/>
        </w:rPr>
        <w:t xml:space="preserve"> for Issuance of Payment Stablecoins by Subsidiaries of FDIC</w:t>
      </w:r>
      <w:r w:rsidRPr="00941FBA" w:rsidR="00941FBA">
        <w:rPr>
          <w:rFonts w:ascii="Times New Roman" w:hAnsi="Times New Roman"/>
          <w:snapToGrid/>
        </w:rPr>
        <w:t>-</w:t>
      </w:r>
      <w:r w:rsidRPr="00941FBA">
        <w:rPr>
          <w:rFonts w:ascii="Times New Roman" w:hAnsi="Times New Roman"/>
          <w:snapToGrid/>
        </w:rPr>
        <w:t>Supervised Insured Depository Institutions</w:t>
      </w:r>
    </w:p>
    <w:p w:rsidR="007921D2" w:rsidRPr="00941FBA" w:rsidP="007921D2" w14:paraId="3C37E20E" w14:textId="77777777">
      <w:pPr>
        <w:tabs>
          <w:tab w:val="center" w:pos="4680"/>
        </w:tabs>
        <w:jc w:val="center"/>
        <w:rPr>
          <w:rFonts w:ascii="Times New Roman" w:hAnsi="Times New Roman"/>
          <w:szCs w:val="24"/>
        </w:rPr>
      </w:pPr>
      <w:r w:rsidRPr="00941FBA">
        <w:rPr>
          <w:rFonts w:ascii="Times New Roman" w:hAnsi="Times New Roman"/>
          <w:szCs w:val="24"/>
        </w:rPr>
        <w:t>(OMB Control No. 3064-NEW)</w:t>
      </w:r>
    </w:p>
    <w:p w:rsidR="007921D2" w:rsidRPr="00215465" w:rsidP="007921D2" w14:paraId="46E80309" w14:textId="77777777">
      <w:pPr>
        <w:tabs>
          <w:tab w:val="left" w:pos="240"/>
          <w:tab w:val="left" w:pos="840"/>
          <w:tab w:val="left" w:pos="1440"/>
          <w:tab w:val="left" w:pos="2040"/>
          <w:tab w:val="left" w:pos="2640"/>
          <w:tab w:val="left" w:pos="3240"/>
          <w:tab w:val="left" w:pos="3840"/>
          <w:tab w:val="left" w:pos="4440"/>
        </w:tabs>
        <w:rPr>
          <w:rFonts w:ascii="Times New Roman" w:hAnsi="Times New Roman"/>
          <w:color w:val="FF0000"/>
          <w:szCs w:val="24"/>
        </w:rPr>
      </w:pPr>
    </w:p>
    <w:p w:rsidR="007921D2" w:rsidRPr="00941FBA" w:rsidP="007921D2" w14:paraId="4DC942D7"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r w:rsidRPr="00941FBA">
        <w:rPr>
          <w:rFonts w:ascii="Times New Roman" w:hAnsi="Times New Roman"/>
          <w:szCs w:val="24"/>
          <w:u w:val="single"/>
        </w:rPr>
        <w:t>INTRODUCTION</w:t>
      </w:r>
    </w:p>
    <w:p w:rsidR="007921D2" w:rsidRPr="00941FBA" w:rsidP="007921D2" w14:paraId="3D161264"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215465" w:rsidP="007921D2" w14:paraId="12CC4978" w14:textId="5A8DAD88">
      <w:pPr>
        <w:ind w:firstLine="720"/>
        <w:rPr>
          <w:rFonts w:ascii="Times New Roman" w:hAnsi="Times New Roman"/>
          <w:color w:val="FF0000"/>
          <w:szCs w:val="24"/>
        </w:rPr>
      </w:pPr>
      <w:r w:rsidRPr="00941FBA">
        <w:rPr>
          <w:rFonts w:ascii="Times New Roman" w:hAnsi="Times New Roman"/>
          <w:szCs w:val="24"/>
        </w:rPr>
        <w:t>The Federal Deposit Insurance Corporation (FDIC) is requesting approval from the Office of Management an</w:t>
      </w:r>
      <w:r w:rsidRPr="008130DE">
        <w:rPr>
          <w:rFonts w:ascii="Times New Roman" w:hAnsi="Times New Roman"/>
          <w:szCs w:val="24"/>
        </w:rPr>
        <w:t>d Budget (OMB) to establish a new information collection comprised of reporting requirements contained in a notice of proposed rulemaking on “</w:t>
      </w:r>
      <w:r w:rsidRPr="008130DE" w:rsidR="008130DE">
        <w:rPr>
          <w:rFonts w:ascii="Times New Roman" w:hAnsi="Times New Roman"/>
          <w:szCs w:val="24"/>
        </w:rPr>
        <w:t>Approval Requirements for Issuance of Payment Stablecoins by Subsidiaries of FDIC-Supervised Insured Depository Institutions</w:t>
      </w:r>
      <w:r w:rsidRPr="008130DE">
        <w:rPr>
          <w:rFonts w:ascii="Times New Roman" w:hAnsi="Times New Roman"/>
          <w:szCs w:val="24"/>
        </w:rPr>
        <w:t>.” The proposal seeks to impose reporting requirements under the Paperwork Reduction Act (PRA),</w:t>
      </w:r>
      <w:r>
        <w:rPr>
          <w:rFonts w:ascii="Times New Roman" w:hAnsi="Times New Roman"/>
          <w:szCs w:val="24"/>
          <w:vertAlign w:val="superscript"/>
        </w:rPr>
        <w:footnoteReference w:id="2"/>
      </w:r>
      <w:r w:rsidRPr="008130DE">
        <w:rPr>
          <w:rFonts w:ascii="Times New Roman" w:hAnsi="Times New Roman"/>
          <w:szCs w:val="24"/>
        </w:rPr>
        <w:t xml:space="preserve"> </w:t>
      </w:r>
      <w:r w:rsidRPr="00A41D32">
        <w:rPr>
          <w:rFonts w:ascii="Times New Roman" w:hAnsi="Times New Roman"/>
          <w:szCs w:val="24"/>
        </w:rPr>
        <w:t xml:space="preserve">for </w:t>
      </w:r>
      <w:r w:rsidRPr="00A41D32" w:rsidR="00A41D32">
        <w:rPr>
          <w:rFonts w:ascii="Times New Roman" w:hAnsi="Times New Roman"/>
          <w:szCs w:val="24"/>
        </w:rPr>
        <w:t xml:space="preserve">insured State </w:t>
      </w:r>
      <w:r w:rsidRPr="00A41D32" w:rsidR="00A41D32">
        <w:rPr>
          <w:rFonts w:ascii="Times New Roman" w:hAnsi="Times New Roman"/>
          <w:szCs w:val="24"/>
        </w:rPr>
        <w:t>nonmember</w:t>
      </w:r>
      <w:r w:rsidRPr="00A41D32" w:rsidR="00A41D32">
        <w:rPr>
          <w:rFonts w:ascii="Times New Roman" w:hAnsi="Times New Roman"/>
          <w:szCs w:val="24"/>
        </w:rPr>
        <w:t xml:space="preserve"> banks and insured State savings associations that seek to issue payment stablecoins through a subsidiary</w:t>
      </w:r>
      <w:r w:rsidRPr="00A41D32">
        <w:rPr>
          <w:rFonts w:ascii="Times New Roman" w:hAnsi="Times New Roman"/>
          <w:szCs w:val="24"/>
        </w:rPr>
        <w:t>. As a result, the FDIC is requesting approval from the OMB and asks that the OMB assign an OMB control number.</w:t>
      </w:r>
    </w:p>
    <w:p w:rsidR="007921D2" w:rsidRPr="00A41D32" w:rsidP="007921D2" w14:paraId="422B2A7B"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A41D32" w:rsidP="007921D2" w14:paraId="0D0978C5" w14:textId="77777777">
      <w:pPr>
        <w:pStyle w:val="ListParagraph"/>
        <w:numPr>
          <w:ilvl w:val="0"/>
          <w:numId w:val="1"/>
        </w:numPr>
        <w:rPr>
          <w:rFonts w:ascii="Times New Roman" w:hAnsi="Times New Roman"/>
          <w:szCs w:val="24"/>
        </w:rPr>
      </w:pPr>
      <w:r w:rsidRPr="00A41D32">
        <w:rPr>
          <w:rFonts w:ascii="Times New Roman" w:hAnsi="Times New Roman"/>
          <w:szCs w:val="24"/>
          <w:u w:val="single"/>
        </w:rPr>
        <w:t>JUSTIFICATION</w:t>
      </w:r>
    </w:p>
    <w:p w:rsidR="007921D2" w:rsidRPr="00215465" w:rsidP="007921D2" w14:paraId="3F6AC701" w14:textId="77777777">
      <w:pPr>
        <w:rPr>
          <w:rFonts w:ascii="Times New Roman" w:hAnsi="Times New Roman"/>
          <w:i/>
          <w:color w:val="FF0000"/>
          <w:szCs w:val="24"/>
        </w:rPr>
      </w:pPr>
    </w:p>
    <w:p w:rsidR="007921D2" w:rsidRPr="001C7A96" w:rsidP="007921D2" w14:paraId="7E6135FE"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1C7A96">
        <w:rPr>
          <w:rFonts w:ascii="Times New Roman" w:hAnsi="Times New Roman"/>
          <w:szCs w:val="24"/>
          <w:u w:val="single"/>
        </w:rPr>
        <w:t>Circumstances that make the collection necessary:</w:t>
      </w:r>
    </w:p>
    <w:p w:rsidR="007921D2" w:rsidRPr="00ED6864" w:rsidP="007921D2" w14:paraId="72616029" w14:textId="77777777">
      <w:pPr>
        <w:rPr>
          <w:rFonts w:ascii="Times New Roman" w:hAnsi="Times New Roman"/>
          <w:i/>
          <w:szCs w:val="24"/>
        </w:rPr>
      </w:pPr>
    </w:p>
    <w:p w:rsidR="004F34E9" w:rsidRPr="00ED6864" w:rsidP="004F34E9" w14:paraId="5D716F2F" w14:textId="77777777">
      <w:pPr>
        <w:pStyle w:val="BodyText"/>
        <w:ind w:left="1080" w:right="374"/>
        <w:rPr>
          <w:rFonts w:ascii="Times New Roman" w:hAnsi="Times New Roman"/>
          <w:szCs w:val="24"/>
        </w:rPr>
      </w:pPr>
      <w:r w:rsidRPr="0039344B">
        <w:rPr>
          <w:rFonts w:ascii="Times New Roman" w:hAnsi="Times New Roman"/>
          <w:szCs w:val="24"/>
        </w:rPr>
        <w:t>The FDIC is issuing this notice of proposed rulemaking (proposed rule) to implement certain application provisions under the GENIUS Act (or the Act).</w:t>
      </w:r>
      <w:r>
        <w:rPr>
          <w:rFonts w:ascii="Times New Roman" w:hAnsi="Times New Roman"/>
          <w:szCs w:val="24"/>
          <w:vertAlign w:val="superscript"/>
        </w:rPr>
        <w:footnoteReference w:id="3"/>
      </w:r>
      <w:r w:rsidRPr="00ED6864" w:rsidR="00B84FF9">
        <w:rPr>
          <w:rFonts w:ascii="Times New Roman" w:hAnsi="Times New Roman"/>
          <w:szCs w:val="24"/>
        </w:rPr>
        <w:t xml:space="preserve"> </w:t>
      </w:r>
      <w:r w:rsidRPr="00ED6864">
        <w:rPr>
          <w:rFonts w:ascii="Times New Roman" w:hAnsi="Times New Roman"/>
          <w:szCs w:val="24"/>
        </w:rPr>
        <w:t>The proposed rule would establish a tailored application process for an FDIC-supervised institution to obtain approval from the FDIC to issue payment stablecoins</w:t>
      </w:r>
      <w:r>
        <w:rPr>
          <w:rFonts w:ascii="Times New Roman" w:hAnsi="Times New Roman"/>
          <w:szCs w:val="24"/>
          <w:vertAlign w:val="superscript"/>
        </w:rPr>
        <w:footnoteReference w:id="4"/>
      </w:r>
      <w:r w:rsidRPr="00ED6864">
        <w:rPr>
          <w:rFonts w:ascii="Times New Roman" w:hAnsi="Times New Roman"/>
          <w:szCs w:val="24"/>
        </w:rPr>
        <w:t xml:space="preserve"> through a subsidiary. The FDIC seeks to evaluate the safety and soundness of an applicant’s proposed activities based on consideration of statutory factors and support the responsible growth and use of digital assets and related technologies</w:t>
      </w:r>
      <w:r>
        <w:rPr>
          <w:rFonts w:ascii="Times New Roman" w:hAnsi="Times New Roman"/>
          <w:szCs w:val="24"/>
          <w:vertAlign w:val="superscript"/>
        </w:rPr>
        <w:footnoteReference w:id="5"/>
      </w:r>
      <w:r w:rsidRPr="00ED6864">
        <w:rPr>
          <w:rFonts w:ascii="Times New Roman" w:hAnsi="Times New Roman"/>
          <w:szCs w:val="24"/>
        </w:rPr>
        <w:t xml:space="preserve"> while minimizing the regulatory burden on applicants.   </w:t>
      </w:r>
    </w:p>
    <w:p w:rsidR="007921D2" w:rsidRPr="006310C2" w:rsidP="00ED6864" w14:paraId="17568A2E" w14:textId="77777777">
      <w:pPr>
        <w:pStyle w:val="BodyText"/>
        <w:spacing w:after="0"/>
        <w:rPr>
          <w:rFonts w:ascii="Times New Roman" w:hAnsi="Times New Roman"/>
          <w:szCs w:val="24"/>
        </w:rPr>
      </w:pPr>
    </w:p>
    <w:p w:rsidR="007921D2" w:rsidRPr="006310C2" w:rsidP="007921D2" w14:paraId="6DFFD47C"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310C2">
        <w:rPr>
          <w:rFonts w:ascii="Times New Roman" w:hAnsi="Times New Roman"/>
          <w:szCs w:val="24"/>
          <w:u w:val="single"/>
        </w:rPr>
        <w:t xml:space="preserve">Use of the information: </w:t>
      </w:r>
    </w:p>
    <w:p w:rsidR="007921D2" w:rsidRPr="006310C2" w:rsidP="007921D2" w14:paraId="0A8787B8" w14:textId="77777777">
      <w:pPr>
        <w:rPr>
          <w:rFonts w:ascii="Times New Roman" w:hAnsi="Times New Roman"/>
          <w:szCs w:val="24"/>
        </w:rPr>
      </w:pPr>
    </w:p>
    <w:p w:rsidR="004D7448" w:rsidRPr="006310C2" w:rsidP="007921D2" w14:paraId="543A8180" w14:textId="4134BE29">
      <w:pPr>
        <w:pStyle w:val="BodyText"/>
        <w:spacing w:after="0"/>
        <w:ind w:left="1080"/>
        <w:rPr>
          <w:rFonts w:ascii="Times New Roman" w:hAnsi="Times New Roman"/>
          <w:szCs w:val="24"/>
        </w:rPr>
      </w:pPr>
      <w:r w:rsidRPr="006310C2">
        <w:rPr>
          <w:rFonts w:ascii="Times New Roman" w:hAnsi="Times New Roman"/>
          <w:szCs w:val="24"/>
        </w:rPr>
        <w:t xml:space="preserve">The proposed rule would establish procedures to be followed by an insured State </w:t>
      </w:r>
      <w:r w:rsidRPr="006310C2">
        <w:rPr>
          <w:rFonts w:ascii="Times New Roman" w:hAnsi="Times New Roman"/>
          <w:szCs w:val="24"/>
        </w:rPr>
        <w:t>nonmember</w:t>
      </w:r>
      <w:r w:rsidRPr="006310C2">
        <w:rPr>
          <w:rFonts w:ascii="Times New Roman" w:hAnsi="Times New Roman"/>
          <w:szCs w:val="24"/>
        </w:rPr>
        <w:t xml:space="preserve"> bank or State savings association that seeks to obtain FDIC approval to issue payment stablecoins through a subsidiary </w:t>
      </w:r>
      <w:r w:rsidRPr="006310C2">
        <w:rPr>
          <w:rFonts w:ascii="Times New Roman" w:hAnsi="Times New Roman"/>
          <w:szCs w:val="24"/>
        </w:rPr>
        <w:t>pursuant</w:t>
      </w:r>
      <w:r w:rsidRPr="006310C2">
        <w:rPr>
          <w:rFonts w:ascii="Times New Roman" w:hAnsi="Times New Roman"/>
          <w:szCs w:val="24"/>
        </w:rPr>
        <w:t xml:space="preserve"> to the GENIUS Act.  </w:t>
      </w:r>
    </w:p>
    <w:p w:rsidR="00780C4B" w:rsidRPr="00215465" w:rsidP="007921D2" w14:paraId="5C5A213A" w14:textId="77777777">
      <w:pPr>
        <w:pStyle w:val="BodyText"/>
        <w:spacing w:after="0"/>
        <w:ind w:left="1080"/>
        <w:rPr>
          <w:rFonts w:ascii="Times New Roman" w:hAnsi="Times New Roman"/>
          <w:color w:val="FF0000"/>
          <w:szCs w:val="24"/>
        </w:rPr>
      </w:pPr>
    </w:p>
    <w:p w:rsidR="007921D2" w:rsidRPr="00630F11" w:rsidP="007921D2" w14:paraId="00D63595" w14:textId="77777777">
      <w:pPr>
        <w:widowControl/>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30F11">
        <w:rPr>
          <w:rFonts w:ascii="Times New Roman" w:hAnsi="Times New Roman"/>
          <w:szCs w:val="24"/>
          <w:u w:val="single"/>
        </w:rPr>
        <w:t>Consideration of the use of improved information technology:</w:t>
      </w:r>
    </w:p>
    <w:p w:rsidR="007921D2" w:rsidRPr="00630F11" w:rsidP="007921D2" w14:paraId="34D2544B" w14:textId="77777777">
      <w:pPr>
        <w:rPr>
          <w:rFonts w:ascii="Times New Roman" w:hAnsi="Times New Roman"/>
          <w:szCs w:val="24"/>
        </w:rPr>
      </w:pPr>
    </w:p>
    <w:p w:rsidR="007921D2" w:rsidRPr="00630F11" w:rsidP="007921D2" w14:paraId="03F89FD0" w14:textId="6B59F9CB">
      <w:pPr>
        <w:ind w:left="1080"/>
        <w:rPr>
          <w:rFonts w:ascii="Times New Roman" w:hAnsi="Times New Roman"/>
          <w:szCs w:val="24"/>
        </w:rPr>
      </w:pPr>
      <w:r w:rsidRPr="00630F11">
        <w:rPr>
          <w:rFonts w:ascii="Times New Roman" w:hAnsi="Times New Roman"/>
          <w:szCs w:val="24"/>
        </w:rPr>
        <w:t xml:space="preserve">Insured State </w:t>
      </w:r>
      <w:r w:rsidRPr="00630F11">
        <w:rPr>
          <w:rFonts w:ascii="Times New Roman" w:hAnsi="Times New Roman"/>
          <w:szCs w:val="24"/>
        </w:rPr>
        <w:t>nonmember</w:t>
      </w:r>
      <w:r w:rsidRPr="00630F11">
        <w:rPr>
          <w:rFonts w:ascii="Times New Roman" w:hAnsi="Times New Roman"/>
          <w:szCs w:val="24"/>
        </w:rPr>
        <w:t xml:space="preserve"> banks and insured State savings associations that seek to issue payment stablecoins through a subsidiary</w:t>
      </w:r>
      <w:r w:rsidRPr="00630F11">
        <w:rPr>
          <w:rFonts w:ascii="Times New Roman" w:hAnsi="Times New Roman"/>
          <w:szCs w:val="24"/>
        </w:rPr>
        <w:t xml:space="preserve"> may use technology to the extent feasible and/or desirable or appropriate to make the required reports.</w:t>
      </w:r>
    </w:p>
    <w:p w:rsidR="007921D2" w:rsidRPr="00215465" w:rsidP="007921D2" w14:paraId="74179004" w14:textId="77777777">
      <w:pPr>
        <w:ind w:firstLine="720"/>
        <w:rPr>
          <w:rFonts w:ascii="Times New Roman" w:hAnsi="Times New Roman"/>
          <w:color w:val="FF0000"/>
          <w:szCs w:val="24"/>
        </w:rPr>
      </w:pPr>
    </w:p>
    <w:p w:rsidR="007921D2" w:rsidRPr="003C6341" w:rsidP="007921D2" w14:paraId="46FCDA68" w14:textId="77777777">
      <w:pPr>
        <w:pStyle w:val="BodyTextIndent"/>
        <w:numPr>
          <w:ilvl w:val="1"/>
          <w:numId w:val="2"/>
        </w:numPr>
        <w:rPr>
          <w:szCs w:val="24"/>
        </w:rPr>
      </w:pPr>
      <w:r w:rsidRPr="003C6341">
        <w:rPr>
          <w:szCs w:val="24"/>
          <w:u w:val="single"/>
        </w:rPr>
        <w:t>Effort to identify duplication:</w:t>
      </w:r>
    </w:p>
    <w:p w:rsidR="007921D2" w:rsidRPr="003C6341" w:rsidP="007921D2" w14:paraId="6D53AE0E" w14:textId="77777777">
      <w:pPr>
        <w:pStyle w:val="BodyTextIndent"/>
        <w:rPr>
          <w:szCs w:val="24"/>
        </w:rPr>
      </w:pPr>
    </w:p>
    <w:p w:rsidR="007921D2" w:rsidRPr="003C6341" w:rsidP="007921D2" w14:paraId="3E494CF7" w14:textId="77777777">
      <w:pPr>
        <w:pStyle w:val="BodyTextIndent"/>
        <w:ind w:left="1080"/>
        <w:rPr>
          <w:szCs w:val="24"/>
        </w:rPr>
      </w:pPr>
      <w:r w:rsidRPr="003C6341">
        <w:rPr>
          <w:szCs w:val="24"/>
        </w:rPr>
        <w:t>No other federal law mandates these reporting requirements and therefore the reporting requirements are not otherwise duplicated.</w:t>
      </w:r>
    </w:p>
    <w:p w:rsidR="007921D2" w:rsidRPr="00215465" w:rsidP="007921D2" w14:paraId="1D1A7F91" w14:textId="77777777">
      <w:pPr>
        <w:widowControl/>
        <w:ind w:firstLine="720"/>
        <w:rPr>
          <w:rFonts w:ascii="Times New Roman" w:hAnsi="Times New Roman"/>
          <w:color w:val="FF0000"/>
          <w:szCs w:val="24"/>
        </w:rPr>
      </w:pPr>
    </w:p>
    <w:p w:rsidR="007921D2" w:rsidRPr="00996940" w:rsidP="007921D2" w14:paraId="1C9C9D5E" w14:textId="77777777">
      <w:pPr>
        <w:pStyle w:val="BodyTextIndent"/>
        <w:numPr>
          <w:ilvl w:val="1"/>
          <w:numId w:val="2"/>
        </w:numPr>
        <w:rPr>
          <w:szCs w:val="24"/>
        </w:rPr>
      </w:pPr>
      <w:r w:rsidRPr="00996940">
        <w:rPr>
          <w:szCs w:val="24"/>
          <w:u w:val="single"/>
        </w:rPr>
        <w:t>Methods used to minimize burden if the collection has a significant impact on a substantial number of small entities:</w:t>
      </w:r>
    </w:p>
    <w:p w:rsidR="007921D2" w:rsidRPr="00996940" w:rsidP="007921D2" w14:paraId="3F4DE1C3" w14:textId="77777777">
      <w:pPr>
        <w:pStyle w:val="BodyTextIndent"/>
        <w:ind w:left="1080"/>
        <w:rPr>
          <w:szCs w:val="24"/>
        </w:rPr>
      </w:pPr>
    </w:p>
    <w:p w:rsidR="00B66F79" w:rsidRPr="00B66F79" w:rsidP="001039AB" w14:paraId="1902C7A0" w14:textId="70EA2549">
      <w:pPr>
        <w:widowControl/>
        <w:ind w:left="1080"/>
        <w:rPr>
          <w:rFonts w:ascii="Times New Roman" w:hAnsi="Times New Roman"/>
          <w:szCs w:val="24"/>
        </w:rPr>
      </w:pPr>
      <w:r w:rsidRPr="00996940">
        <w:rPr>
          <w:rFonts w:ascii="Times New Roman" w:eastAsia="Calibri" w:hAnsi="Times New Roman"/>
          <w:snapToGrid/>
          <w:szCs w:val="24"/>
        </w:rPr>
        <w:t>This proposal will not have a significant impact on a substantial number of small entities. </w:t>
      </w:r>
      <w:r w:rsidRPr="009B39ED">
        <w:rPr>
          <w:rFonts w:ascii="Times New Roman" w:hAnsi="Times New Roman"/>
          <w:szCs w:val="24"/>
        </w:rPr>
        <w:t xml:space="preserve">As of </w:t>
      </w:r>
      <w:r w:rsidRPr="009B39ED" w:rsidR="00AE4778">
        <w:rPr>
          <w:rFonts w:ascii="Times New Roman" w:hAnsi="Times New Roman"/>
          <w:szCs w:val="24"/>
        </w:rPr>
        <w:t>June 30, 2025</w:t>
      </w:r>
      <w:r w:rsidRPr="009B39ED">
        <w:rPr>
          <w:rFonts w:ascii="Times New Roman" w:hAnsi="Times New Roman"/>
          <w:szCs w:val="24"/>
        </w:rPr>
        <w:t xml:space="preserve">, </w:t>
      </w:r>
      <w:r w:rsidRPr="009B39ED" w:rsidR="009B39ED">
        <w:rPr>
          <w:rFonts w:ascii="Times New Roman" w:hAnsi="Times New Roman"/>
          <w:szCs w:val="24"/>
        </w:rPr>
        <w:t xml:space="preserve">there were 2,802 insured State nonmember banks and State savings associations. Of those institutions, 2,085 are considered “small” for the purposes of </w:t>
      </w:r>
      <w:r w:rsidR="001E7190">
        <w:rPr>
          <w:rFonts w:ascii="Times New Roman" w:hAnsi="Times New Roman"/>
          <w:szCs w:val="24"/>
        </w:rPr>
        <w:t xml:space="preserve">the </w:t>
      </w:r>
      <w:r w:rsidRPr="001E7190" w:rsidR="001E7190">
        <w:rPr>
          <w:rFonts w:ascii="Times New Roman" w:hAnsi="Times New Roman"/>
          <w:szCs w:val="24"/>
        </w:rPr>
        <w:t>Regulatory Flexibility Act</w:t>
      </w:r>
      <w:r w:rsidRPr="009B39ED">
        <w:rPr>
          <w:rFonts w:ascii="Times New Roman" w:hAnsi="Times New Roman"/>
          <w:szCs w:val="24"/>
        </w:rPr>
        <w:t xml:space="preserve">. </w:t>
      </w:r>
      <w:r w:rsidRPr="00E464AD" w:rsidR="00E464AD">
        <w:rPr>
          <w:rFonts w:ascii="Times New Roman" w:hAnsi="Times New Roman"/>
          <w:szCs w:val="24"/>
        </w:rPr>
        <w:t>The FDIC recognizes the considerable uncertainty regarding estimates of the number of FDIC-supervised institutions that would seek to issue payment stablecoins or engage in other permitted payment stablecoin activities through a subsidiary in future periods and, thereby, be directly affected by the proposed rule. As this is a developing market, there is uncertainty as to the number of FDIC-supervised institutions that might apply to issue payment stablecoins, either independently or through consortia and other partnerships. Without predicting the actual participation rate, for the purposes of this analysis the FDIC assumed that all 10 estimated annual applicants seeking to issue payment stablecoins through a subsidiary would be small, FDIC-supervised institutions.</w:t>
      </w:r>
      <w:r>
        <w:rPr>
          <w:rFonts w:ascii="Times New Roman" w:hAnsi="Times New Roman"/>
          <w:szCs w:val="24"/>
        </w:rPr>
        <w:t xml:space="preserve"> T</w:t>
      </w:r>
      <w:r w:rsidRPr="00B66F79">
        <w:rPr>
          <w:rFonts w:ascii="Times New Roman" w:hAnsi="Times New Roman"/>
          <w:szCs w:val="24"/>
        </w:rPr>
        <w:t>he FDIC estimates that FDIC-supervised institutions seeking approval to issue payment stablecoins through a subsidiary would expend 80 labor hours to comply with the proposed application requirements. At an estimated total compensation rate of $152.40 per hour</w:t>
      </w:r>
      <w:r>
        <w:rPr>
          <w:rFonts w:ascii="Times New Roman" w:hAnsi="Times New Roman"/>
          <w:szCs w:val="24"/>
          <w:vertAlign w:val="superscript"/>
        </w:rPr>
        <w:footnoteReference w:id="6"/>
      </w:r>
      <w:r w:rsidRPr="00B66F79">
        <w:rPr>
          <w:rFonts w:ascii="Times New Roman" w:hAnsi="Times New Roman"/>
          <w:szCs w:val="24"/>
        </w:rPr>
        <w:t>, the proposed rule would result in application compliance costs of $12,192 per small, FDIC-supervised institution or $121,920 in aggregate, on average.</w:t>
      </w:r>
      <w:r>
        <w:rPr>
          <w:rFonts w:ascii="Times New Roman" w:hAnsi="Times New Roman"/>
          <w:szCs w:val="24"/>
          <w:vertAlign w:val="superscript"/>
        </w:rPr>
        <w:footnoteReference w:id="7"/>
      </w:r>
      <w:r w:rsidRPr="00B66F79">
        <w:rPr>
          <w:rFonts w:ascii="Times New Roman" w:hAnsi="Times New Roman"/>
          <w:szCs w:val="24"/>
        </w:rPr>
        <w:t xml:space="preserve"> Estimated application costs of $12,192 per small, FDIC-supervised institution exceeds 5 percent of total annual salaries and benefits or 2.5 percent of total noninterest expenses for no more than three small, FDIC-supervised institutions.</w:t>
      </w:r>
      <w:r>
        <w:rPr>
          <w:rFonts w:ascii="Times New Roman" w:hAnsi="Times New Roman"/>
          <w:szCs w:val="24"/>
          <w:vertAlign w:val="superscript"/>
        </w:rPr>
        <w:footnoteReference w:id="8"/>
      </w:r>
      <w:r w:rsidR="001039AB">
        <w:rPr>
          <w:rFonts w:ascii="Times New Roman" w:hAnsi="Times New Roman"/>
          <w:szCs w:val="24"/>
        </w:rPr>
        <w:t xml:space="preserve"> </w:t>
      </w:r>
      <w:r w:rsidRPr="00B66F79">
        <w:rPr>
          <w:rFonts w:ascii="Times New Roman" w:hAnsi="Times New Roman"/>
          <w:szCs w:val="24"/>
        </w:rPr>
        <w:t xml:space="preserve">In light of the foregoing, the FDIC certifies that the proposed rule would not have a significant economic impact on a substantial number of small entities </w:t>
      </w:r>
    </w:p>
    <w:p w:rsidR="007921D2" w:rsidRPr="00950ECD" w:rsidP="00EA1710" w14:paraId="475E9A6A" w14:textId="77777777">
      <w:pPr>
        <w:pStyle w:val="BodyTextIndent"/>
        <w:ind w:left="0"/>
        <w:rPr>
          <w:szCs w:val="24"/>
        </w:rPr>
      </w:pPr>
    </w:p>
    <w:p w:rsidR="007921D2" w:rsidRPr="00950ECD" w:rsidP="007921D2" w14:paraId="1356A1B0"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950ECD">
        <w:rPr>
          <w:rFonts w:ascii="Times New Roman" w:hAnsi="Times New Roman"/>
          <w:szCs w:val="24"/>
          <w:u w:val="single"/>
        </w:rPr>
        <w:t>Consequences to the Federal program if the collection were conducted less frequently:</w:t>
      </w:r>
    </w:p>
    <w:p w:rsidR="007921D2" w:rsidRPr="00950ECD" w:rsidP="007921D2" w14:paraId="7D8593DB" w14:textId="77777777">
      <w:pPr>
        <w:rPr>
          <w:rFonts w:ascii="Times New Roman" w:hAnsi="Times New Roman"/>
          <w:szCs w:val="24"/>
        </w:rPr>
      </w:pPr>
    </w:p>
    <w:p w:rsidR="00F702D2" w:rsidRPr="00950ECD" w:rsidP="00F702D2" w14:paraId="730D2817" w14:textId="62FE3FE1">
      <w:pPr>
        <w:pStyle w:val="BodyTextIndent"/>
        <w:ind w:left="1080"/>
      </w:pPr>
      <w:r w:rsidRPr="00E65628">
        <w:t xml:space="preserve">This proposed rule, once finalized, will implement the Federal statutory framework </w:t>
      </w:r>
      <w:r w:rsidRPr="00E65628">
        <w:t>for applications for issuance of payment stablecoins and related payment stablecoin activities by subsidiaries of FDIC-supervised institutions for which the FDIC is the primary Federal payment stablecoin regulator, as defined under section 2 of the Act.</w:t>
      </w:r>
      <w:r>
        <w:rPr>
          <w:vertAlign w:val="superscript"/>
        </w:rPr>
        <w:footnoteReference w:id="9"/>
      </w:r>
      <w:r w:rsidRPr="00950ECD">
        <w:rPr>
          <w:snapToGrid/>
        </w:rPr>
        <w:t xml:space="preserve"> </w:t>
      </w:r>
      <w:r w:rsidRPr="00950ECD">
        <w:t>The FDIC is the appropriate Federal banking agency of each IDI that is a State-chartered insured bank that is not a member of the Federal Reserve System (State non-member bank)</w:t>
      </w:r>
      <w:r>
        <w:rPr>
          <w:vertAlign w:val="superscript"/>
        </w:rPr>
        <w:footnoteReference w:id="10"/>
      </w:r>
      <w:r w:rsidRPr="00950ECD">
        <w:t xml:space="preserve"> and each State-chartered savings association (State savings association).</w:t>
      </w:r>
      <w:r>
        <w:rPr>
          <w:vertAlign w:val="superscript"/>
        </w:rPr>
        <w:footnoteReference w:id="11"/>
      </w:r>
      <w:r w:rsidRPr="00950ECD">
        <w:t xml:space="preserve"> Accordingly, an FDIC-supervised institution must obtain approval for its subsidiary </w:t>
      </w:r>
      <w:r w:rsidRPr="00950ECD" w:rsidR="00950ECD">
        <w:rPr>
          <w:rStyle w:val="FootnoteReference"/>
          <w:rFonts w:eastAsiaTheme="majorEastAsia"/>
        </w:rPr>
        <w:t>permitted payment stablecoin issuer</w:t>
      </w:r>
      <w:r w:rsidRPr="00950ECD">
        <w:t xml:space="preserve"> from the FDIC pursuant to the Act and, once the application is approved, the FDIC will supervise that </w:t>
      </w:r>
      <w:r w:rsidRPr="00950ECD" w:rsidR="00950ECD">
        <w:t>permitted payment stablecoin issuer</w:t>
      </w:r>
      <w:r w:rsidRPr="00950ECD">
        <w:t xml:space="preserve"> as its primary Federal payment stablecoin regulator. </w:t>
      </w:r>
    </w:p>
    <w:p w:rsidR="007921D2" w:rsidRPr="00215465" w:rsidP="00950ECD" w14:paraId="210E3913" w14:textId="77777777">
      <w:pPr>
        <w:pStyle w:val="BodyTextIndent"/>
        <w:ind w:left="0"/>
        <w:rPr>
          <w:color w:val="FF0000"/>
          <w:szCs w:val="24"/>
        </w:rPr>
      </w:pPr>
    </w:p>
    <w:p w:rsidR="007921D2" w:rsidRPr="00CD38CC" w:rsidP="007921D2" w14:paraId="39B04700"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CD38CC">
        <w:rPr>
          <w:rFonts w:ascii="Times New Roman" w:hAnsi="Times New Roman"/>
          <w:szCs w:val="24"/>
          <w:u w:val="single"/>
        </w:rPr>
        <w:t>Special circumstances necessitating collection inconsistent with 5 CFR 1320.5(d)(2):</w:t>
      </w:r>
    </w:p>
    <w:p w:rsidR="007921D2" w:rsidRPr="00CD38CC" w:rsidP="007921D2" w14:paraId="3AA08E36" w14:textId="77777777">
      <w:pPr>
        <w:rPr>
          <w:rFonts w:ascii="Times New Roman" w:hAnsi="Times New Roman"/>
          <w:szCs w:val="24"/>
        </w:rPr>
      </w:pPr>
    </w:p>
    <w:p w:rsidR="007921D2" w:rsidRPr="00CD38CC" w:rsidP="007921D2" w14:paraId="3C7C84D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CD38CC">
        <w:rPr>
          <w:rFonts w:ascii="Times New Roman" w:hAnsi="Times New Roman"/>
          <w:szCs w:val="24"/>
        </w:rPr>
        <w:t>None. This information collection is conducted in accordance with the guidelines in 5 CFR 1320.5(d)(2).</w:t>
      </w:r>
    </w:p>
    <w:p w:rsidR="007921D2" w:rsidRPr="00215465" w:rsidP="007921D2" w14:paraId="1000C9B5" w14:textId="77777777">
      <w:pPr>
        <w:rPr>
          <w:rFonts w:ascii="Times New Roman" w:hAnsi="Times New Roman"/>
          <w:color w:val="FF0000"/>
          <w:szCs w:val="24"/>
        </w:rPr>
      </w:pPr>
    </w:p>
    <w:p w:rsidR="007921D2" w:rsidRPr="00276111" w:rsidP="007921D2" w14:paraId="0946CE91"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76111">
        <w:rPr>
          <w:rFonts w:ascii="Times New Roman" w:hAnsi="Times New Roman"/>
          <w:szCs w:val="24"/>
          <w:u w:val="single"/>
        </w:rPr>
        <w:t xml:space="preserve">Efforts to consult with </w:t>
      </w:r>
      <w:r w:rsidRPr="00276111">
        <w:rPr>
          <w:rFonts w:ascii="Times New Roman" w:hAnsi="Times New Roman"/>
          <w:szCs w:val="24"/>
          <w:u w:val="single"/>
        </w:rPr>
        <w:t>persons</w:t>
      </w:r>
      <w:r w:rsidRPr="00276111">
        <w:rPr>
          <w:rFonts w:ascii="Times New Roman" w:hAnsi="Times New Roman"/>
          <w:szCs w:val="24"/>
          <w:u w:val="single"/>
        </w:rPr>
        <w:t xml:space="preserve"> outside the agency:</w:t>
      </w:r>
    </w:p>
    <w:p w:rsidR="007921D2" w:rsidRPr="00276111" w:rsidP="007921D2" w14:paraId="7C6F51C9" w14:textId="77777777">
      <w:pPr>
        <w:rPr>
          <w:rFonts w:ascii="Times New Roman" w:hAnsi="Times New Roman"/>
          <w:szCs w:val="24"/>
        </w:rPr>
      </w:pPr>
    </w:p>
    <w:p w:rsidR="007921D2" w:rsidRPr="00276111" w:rsidP="007921D2" w14:paraId="55A1864D" w14:textId="6CEAA8D2">
      <w:pPr>
        <w:pStyle w:val="BodyTextIndent"/>
        <w:ind w:left="1080"/>
        <w:rPr>
          <w:szCs w:val="24"/>
        </w:rPr>
      </w:pPr>
      <w:r w:rsidRPr="00276111">
        <w:rPr>
          <w:szCs w:val="24"/>
        </w:rPr>
        <w:t xml:space="preserve">On </w:t>
      </w:r>
      <w:r w:rsidRPr="00390C82" w:rsidR="00276111">
        <w:rPr>
          <w:szCs w:val="24"/>
        </w:rPr>
        <w:t>December</w:t>
      </w:r>
      <w:r w:rsidRPr="00390C82">
        <w:rPr>
          <w:szCs w:val="24"/>
        </w:rPr>
        <w:t xml:space="preserve"> </w:t>
      </w:r>
      <w:r w:rsidRPr="00390C82" w:rsidR="00390C82">
        <w:rPr>
          <w:szCs w:val="24"/>
        </w:rPr>
        <w:t>19</w:t>
      </w:r>
      <w:r w:rsidRPr="00390C82">
        <w:rPr>
          <w:szCs w:val="24"/>
        </w:rPr>
        <w:t>, 202</w:t>
      </w:r>
      <w:r w:rsidRPr="00390C82" w:rsidR="00276111">
        <w:rPr>
          <w:szCs w:val="24"/>
        </w:rPr>
        <w:t>5</w:t>
      </w:r>
      <w:r w:rsidRPr="00390C82">
        <w:rPr>
          <w:szCs w:val="24"/>
        </w:rPr>
        <w:t>,</w:t>
      </w:r>
      <w:r w:rsidRPr="00276111">
        <w:rPr>
          <w:szCs w:val="24"/>
        </w:rPr>
        <w:t xml:space="preserve"> the FDIC issued a Notice of Proposed Rulemaking in the Federal </w:t>
      </w:r>
      <w:r w:rsidRPr="006526DB">
        <w:rPr>
          <w:szCs w:val="24"/>
        </w:rPr>
        <w:t>Register (</w:t>
      </w:r>
      <w:r w:rsidRPr="006526DB" w:rsidR="00390C82">
        <w:rPr>
          <w:szCs w:val="24"/>
        </w:rPr>
        <w:t>90</w:t>
      </w:r>
      <w:r w:rsidRPr="006526DB">
        <w:rPr>
          <w:szCs w:val="24"/>
        </w:rPr>
        <w:t xml:space="preserve"> FR </w:t>
      </w:r>
      <w:r w:rsidRPr="006526DB" w:rsidR="006526DB">
        <w:rPr>
          <w:szCs w:val="24"/>
        </w:rPr>
        <w:t>59409</w:t>
      </w:r>
      <w:r w:rsidRPr="006526DB">
        <w:rPr>
          <w:szCs w:val="24"/>
        </w:rPr>
        <w:t>)</w:t>
      </w:r>
      <w:r w:rsidRPr="00276111">
        <w:rPr>
          <w:szCs w:val="24"/>
        </w:rPr>
        <w:t xml:space="preserve"> seeking comment on the reporting requirements under the PRA. The FDIC will consider any received during the comment when finalizing the Rule.</w:t>
      </w:r>
    </w:p>
    <w:p w:rsidR="007921D2" w:rsidRPr="00215465" w:rsidP="007921D2" w14:paraId="30AA2299" w14:textId="77777777">
      <w:pPr>
        <w:ind w:left="1440"/>
        <w:rPr>
          <w:rFonts w:ascii="Times New Roman" w:hAnsi="Times New Roman"/>
          <w:color w:val="FF0000"/>
          <w:szCs w:val="24"/>
        </w:rPr>
      </w:pPr>
    </w:p>
    <w:p w:rsidR="007921D2" w:rsidRPr="0067465D" w:rsidP="007921D2" w14:paraId="09FE0D45"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7465D">
        <w:rPr>
          <w:rFonts w:ascii="Times New Roman" w:hAnsi="Times New Roman"/>
          <w:szCs w:val="24"/>
          <w:u w:val="single"/>
        </w:rPr>
        <w:t>Payment or gift to respondents:</w:t>
      </w:r>
    </w:p>
    <w:p w:rsidR="007921D2" w:rsidRPr="0067465D" w:rsidP="007921D2" w14:paraId="724FC0B1" w14:textId="77777777">
      <w:pPr>
        <w:rPr>
          <w:rFonts w:ascii="Times New Roman" w:hAnsi="Times New Roman"/>
          <w:szCs w:val="24"/>
        </w:rPr>
      </w:pPr>
    </w:p>
    <w:p w:rsidR="007921D2" w:rsidRPr="0067465D" w:rsidP="007921D2" w14:paraId="78A04214" w14:textId="77777777">
      <w:pPr>
        <w:ind w:left="360" w:firstLine="720"/>
        <w:rPr>
          <w:rFonts w:ascii="Times New Roman" w:hAnsi="Times New Roman"/>
          <w:szCs w:val="24"/>
        </w:rPr>
      </w:pPr>
      <w:r w:rsidRPr="0067465D">
        <w:rPr>
          <w:rFonts w:ascii="Times New Roman" w:hAnsi="Times New Roman"/>
          <w:szCs w:val="24"/>
        </w:rPr>
        <w:t>None.</w:t>
      </w:r>
    </w:p>
    <w:p w:rsidR="007921D2" w:rsidRPr="0067465D" w:rsidP="007921D2" w14:paraId="3713FC2B" w14:textId="77777777">
      <w:pPr>
        <w:rPr>
          <w:rFonts w:ascii="Times New Roman" w:hAnsi="Times New Roman"/>
          <w:szCs w:val="24"/>
        </w:rPr>
      </w:pPr>
    </w:p>
    <w:p w:rsidR="007921D2" w:rsidRPr="0067465D" w:rsidP="007921D2" w14:paraId="14BDBDB0" w14:textId="77777777">
      <w:pPr>
        <w:pStyle w:val="ListParagraph"/>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7465D">
        <w:rPr>
          <w:rFonts w:ascii="Times New Roman" w:hAnsi="Times New Roman"/>
          <w:szCs w:val="24"/>
          <w:u w:val="single"/>
        </w:rPr>
        <w:t>Any assurance of confidentiality:</w:t>
      </w:r>
      <w:r w:rsidRPr="0067465D">
        <w:rPr>
          <w:rFonts w:ascii="Times New Roman" w:hAnsi="Times New Roman"/>
          <w:szCs w:val="24"/>
        </w:rPr>
        <w:tab/>
      </w:r>
    </w:p>
    <w:p w:rsidR="007921D2" w:rsidRPr="0067465D" w:rsidP="007921D2" w14:paraId="4E22C80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67465D" w:rsidP="007921D2" w14:paraId="27608C23" w14:textId="1BFF1345">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67465D">
        <w:rPr>
          <w:rFonts w:ascii="Times New Roman" w:hAnsi="Times New Roman"/>
          <w:szCs w:val="24"/>
        </w:rPr>
        <w:t>Information collected is kept private to the extent allowed by law. All required records are subject to the confidentiality requirements of the Privacy Act.</w:t>
      </w:r>
      <w:r w:rsidR="00606FCF">
        <w:rPr>
          <w:rFonts w:ascii="Times New Roman" w:hAnsi="Times New Roman"/>
          <w:szCs w:val="24"/>
        </w:rPr>
        <w:t xml:space="preserve"> </w:t>
      </w:r>
      <w:r w:rsidRPr="0067465D">
        <w:rPr>
          <w:rFonts w:ascii="Times New Roman" w:hAnsi="Times New Roman"/>
          <w:szCs w:val="24"/>
        </w:rPr>
        <w:t>In addition, any information deemed to be of a confidential nature is exempt from public disclosure in accordance with the provisions of the Freedom of Information Act (5 U.S.C. 552).</w:t>
      </w:r>
    </w:p>
    <w:p w:rsidR="007921D2" w:rsidRPr="0067465D" w:rsidP="007921D2" w14:paraId="3DECDB27" w14:textId="77777777">
      <w:pPr>
        <w:ind w:left="840" w:hanging="120"/>
        <w:rPr>
          <w:rFonts w:ascii="Times New Roman" w:hAnsi="Times New Roman"/>
          <w:szCs w:val="24"/>
        </w:rPr>
      </w:pPr>
    </w:p>
    <w:p w:rsidR="007921D2" w:rsidRPr="0067465D" w:rsidP="007921D2" w14:paraId="42A04919" w14:textId="77777777">
      <w:pPr>
        <w:widowControl/>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7465D">
        <w:rPr>
          <w:rFonts w:ascii="Times New Roman" w:hAnsi="Times New Roman"/>
          <w:szCs w:val="24"/>
          <w:u w:val="single"/>
        </w:rPr>
        <w:t>Justification for questions of a sensitive nature:</w:t>
      </w:r>
    </w:p>
    <w:p w:rsidR="007921D2" w:rsidRPr="0067465D" w:rsidP="007921D2" w14:paraId="1A212D6F" w14:textId="77777777">
      <w:pPr>
        <w:rPr>
          <w:rFonts w:ascii="Times New Roman" w:hAnsi="Times New Roman"/>
          <w:szCs w:val="24"/>
        </w:rPr>
      </w:pPr>
    </w:p>
    <w:p w:rsidR="007921D2" w:rsidRPr="0067465D" w:rsidP="007921D2" w14:paraId="05D8BDA4"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r w:rsidRPr="0067465D">
        <w:rPr>
          <w:rFonts w:ascii="Times New Roman" w:hAnsi="Times New Roman"/>
          <w:szCs w:val="24"/>
        </w:rPr>
        <w:t>No questions of a sensitive nature are included in the collection.</w:t>
      </w:r>
    </w:p>
    <w:p w:rsidR="007921D2" w:rsidRPr="00DA1A39" w:rsidP="00DA1A39" w14:paraId="66EFE689" w14:textId="00319DF1">
      <w:pPr>
        <w:pStyle w:val="ListParagraph"/>
        <w:widowControl/>
        <w:numPr>
          <w:ilvl w:val="1"/>
          <w:numId w:val="2"/>
        </w:numPr>
        <w:rPr>
          <w:rFonts w:ascii="Times New Roman" w:hAnsi="Times New Roman"/>
          <w:szCs w:val="24"/>
        </w:rPr>
      </w:pPr>
      <w:r w:rsidRPr="00DA1A39">
        <w:rPr>
          <w:rFonts w:ascii="Times New Roman" w:hAnsi="Times New Roman"/>
          <w:color w:val="FF0000"/>
          <w:szCs w:val="24"/>
        </w:rPr>
        <w:br w:type="page"/>
      </w:r>
      <w:r w:rsidRPr="00DA1A39">
        <w:rPr>
          <w:rFonts w:ascii="Times New Roman" w:hAnsi="Times New Roman"/>
          <w:szCs w:val="24"/>
          <w:u w:val="single"/>
        </w:rPr>
        <w:t>Estimate of Hour Burden:</w:t>
      </w:r>
      <w:r w:rsidRPr="00DA1A39">
        <w:rPr>
          <w:rFonts w:ascii="Times New Roman" w:hAnsi="Times New Roman"/>
          <w:szCs w:val="24"/>
        </w:rPr>
        <w:tab/>
      </w:r>
    </w:p>
    <w:p w:rsidR="007921D2" w:rsidRPr="000C278B" w:rsidP="007921D2" w14:paraId="1C6C0B2F" w14:textId="77777777">
      <w:pPr>
        <w:rPr>
          <w:rFonts w:ascii="Times New Roman" w:hAnsi="Times New Roman"/>
          <w:szCs w:val="24"/>
        </w:rPr>
      </w:pPr>
      <w:r w:rsidRPr="000C278B">
        <w:rPr>
          <w:rFonts w:ascii="Times New Roman" w:hAnsi="Times New Roman"/>
          <w:szCs w:val="24"/>
        </w:rPr>
        <w:tab/>
      </w:r>
    </w:p>
    <w:p w:rsidR="007921D2" w:rsidRPr="000C278B" w:rsidP="007921D2" w14:paraId="77F5D5C0" w14:textId="1DE412CA">
      <w:pPr>
        <w:ind w:left="1080"/>
        <w:rPr>
          <w:rFonts w:ascii="Times New Roman" w:hAnsi="Times New Roman"/>
          <w:szCs w:val="24"/>
        </w:rPr>
      </w:pPr>
      <w:r w:rsidRPr="000C278B">
        <w:rPr>
          <w:rFonts w:ascii="Times New Roman" w:hAnsi="Times New Roman"/>
          <w:szCs w:val="24"/>
        </w:rPr>
        <w:t xml:space="preserve">The FDIC’s estimated burden for the respondents for complying with the collection of   information is </w:t>
      </w:r>
      <w:r w:rsidRPr="000C278B" w:rsidR="000C278B">
        <w:rPr>
          <w:rFonts w:ascii="Times New Roman" w:hAnsi="Times New Roman"/>
          <w:szCs w:val="24"/>
        </w:rPr>
        <w:t>800</w:t>
      </w:r>
      <w:r w:rsidRPr="000C278B">
        <w:rPr>
          <w:rFonts w:ascii="Times New Roman" w:hAnsi="Times New Roman"/>
          <w:szCs w:val="24"/>
        </w:rPr>
        <w:t xml:space="preserve"> hours. </w:t>
      </w:r>
    </w:p>
    <w:p w:rsidR="005E388B" w:rsidRPr="00215465" w:rsidP="007921D2" w14:paraId="46D7ABAA" w14:textId="77777777">
      <w:pPr>
        <w:ind w:left="1080"/>
        <w:rPr>
          <w:rFonts w:ascii="Times New Roman" w:hAnsi="Times New Roman"/>
          <w:color w:val="FF0000"/>
          <w:szCs w:val="24"/>
        </w:rPr>
      </w:pPr>
    </w:p>
    <w:tbl>
      <w:tblPr>
        <w:tblW w:w="9320" w:type="dxa"/>
        <w:tblLook w:val="04A0"/>
      </w:tblPr>
      <w:tblGrid>
        <w:gridCol w:w="2171"/>
        <w:gridCol w:w="1690"/>
        <w:gridCol w:w="1443"/>
        <w:gridCol w:w="1720"/>
        <w:gridCol w:w="1136"/>
        <w:gridCol w:w="1144"/>
        <w:gridCol w:w="16"/>
      </w:tblGrid>
      <w:tr w14:paraId="5146B8E6" w14:textId="77777777">
        <w:tblPrEx>
          <w:tblW w:w="9320" w:type="dxa"/>
          <w:tblLook w:val="04A0"/>
        </w:tblPrEx>
        <w:trPr>
          <w:trHeight w:val="360"/>
        </w:trPr>
        <w:tc>
          <w:tcPr>
            <w:tcW w:w="9320" w:type="dxa"/>
            <w:gridSpan w:val="7"/>
            <w:tcBorders>
              <w:top w:val="single" w:sz="8" w:space="0" w:color="auto"/>
              <w:left w:val="single" w:sz="8" w:space="0" w:color="auto"/>
              <w:bottom w:val="single" w:sz="8" w:space="0" w:color="auto"/>
              <w:right w:val="single" w:sz="8" w:space="0" w:color="000000"/>
            </w:tcBorders>
            <w:vAlign w:val="center"/>
            <w:hideMark/>
          </w:tcPr>
          <w:p w:rsidR="005E388B" w:rsidRPr="005E388B" w:rsidP="005E388B" w14:paraId="05D82D19" w14:textId="77777777">
            <w:pPr>
              <w:rPr>
                <w:rFonts w:ascii="Times New Roman" w:hAnsi="Times New Roman"/>
                <w:szCs w:val="24"/>
              </w:rPr>
            </w:pPr>
            <w:r w:rsidRPr="005E388B">
              <w:rPr>
                <w:rFonts w:ascii="Times New Roman" w:hAnsi="Times New Roman"/>
                <w:szCs w:val="24"/>
              </w:rPr>
              <w:t>FDIC Summary of Estimated Annual Burden (OMB No. 3064-NEW)</w:t>
            </w:r>
          </w:p>
        </w:tc>
      </w:tr>
      <w:tr w14:paraId="0B8A0B66" w14:textId="77777777">
        <w:tblPrEx>
          <w:tblW w:w="9320" w:type="dxa"/>
          <w:tblLook w:val="04A0"/>
        </w:tblPrEx>
        <w:trPr>
          <w:trHeight w:val="840"/>
        </w:trPr>
        <w:tc>
          <w:tcPr>
            <w:tcW w:w="2260" w:type="dxa"/>
            <w:tcBorders>
              <w:top w:val="nil"/>
              <w:left w:val="single" w:sz="8" w:space="0" w:color="auto"/>
              <w:bottom w:val="single" w:sz="8" w:space="0" w:color="auto"/>
              <w:right w:val="single" w:sz="8" w:space="0" w:color="auto"/>
            </w:tcBorders>
            <w:vAlign w:val="center"/>
            <w:hideMark/>
          </w:tcPr>
          <w:p w:rsidR="005E388B" w:rsidRPr="005E388B" w:rsidP="005E388B" w14:paraId="21303ED3" w14:textId="77777777">
            <w:pPr>
              <w:rPr>
                <w:rFonts w:ascii="Times New Roman" w:hAnsi="Times New Roman"/>
                <w:szCs w:val="24"/>
              </w:rPr>
            </w:pPr>
            <w:r w:rsidRPr="005E388B">
              <w:rPr>
                <w:rFonts w:ascii="Times New Roman" w:hAnsi="Times New Roman"/>
                <w:szCs w:val="24"/>
              </w:rPr>
              <w:t>Information Collection (IC) (Obligation to Respond)</w:t>
            </w:r>
          </w:p>
        </w:tc>
        <w:tc>
          <w:tcPr>
            <w:tcW w:w="1880" w:type="dxa"/>
            <w:tcBorders>
              <w:top w:val="nil"/>
              <w:left w:val="nil"/>
              <w:bottom w:val="single" w:sz="8" w:space="0" w:color="auto"/>
              <w:right w:val="single" w:sz="8" w:space="0" w:color="auto"/>
            </w:tcBorders>
            <w:vAlign w:val="center"/>
            <w:hideMark/>
          </w:tcPr>
          <w:p w:rsidR="005E388B" w:rsidRPr="005E388B" w:rsidP="005E388B" w14:paraId="52E6F460" w14:textId="77777777">
            <w:pPr>
              <w:rPr>
                <w:rFonts w:ascii="Times New Roman" w:hAnsi="Times New Roman"/>
                <w:szCs w:val="24"/>
              </w:rPr>
            </w:pPr>
            <w:r w:rsidRPr="005E388B">
              <w:rPr>
                <w:rFonts w:ascii="Times New Roman" w:hAnsi="Times New Roman"/>
                <w:szCs w:val="24"/>
              </w:rPr>
              <w:t>Type of Burden</w:t>
            </w:r>
            <w:r w:rsidRPr="005E388B">
              <w:rPr>
                <w:rFonts w:ascii="Times New Roman" w:hAnsi="Times New Roman"/>
                <w:szCs w:val="24"/>
              </w:rPr>
              <w:br/>
              <w:t>(Frequency of Response)</w:t>
            </w:r>
          </w:p>
        </w:tc>
        <w:tc>
          <w:tcPr>
            <w:tcW w:w="1240" w:type="dxa"/>
            <w:tcBorders>
              <w:top w:val="nil"/>
              <w:left w:val="nil"/>
              <w:bottom w:val="single" w:sz="8" w:space="0" w:color="auto"/>
              <w:right w:val="single" w:sz="8" w:space="0" w:color="auto"/>
            </w:tcBorders>
            <w:vAlign w:val="center"/>
            <w:hideMark/>
          </w:tcPr>
          <w:p w:rsidR="005E388B" w:rsidRPr="005E388B" w:rsidP="005E388B" w14:paraId="0139EAE9" w14:textId="77777777">
            <w:pPr>
              <w:rPr>
                <w:rFonts w:ascii="Times New Roman" w:hAnsi="Times New Roman"/>
                <w:szCs w:val="24"/>
              </w:rPr>
            </w:pPr>
            <w:r w:rsidRPr="005E388B">
              <w:rPr>
                <w:rFonts w:ascii="Times New Roman" w:hAnsi="Times New Roman"/>
                <w:szCs w:val="24"/>
              </w:rPr>
              <w:t xml:space="preserve"> Number of Respondents</w:t>
            </w:r>
          </w:p>
        </w:tc>
        <w:tc>
          <w:tcPr>
            <w:tcW w:w="1720" w:type="dxa"/>
            <w:tcBorders>
              <w:top w:val="nil"/>
              <w:left w:val="nil"/>
              <w:bottom w:val="single" w:sz="8" w:space="0" w:color="auto"/>
              <w:right w:val="single" w:sz="8" w:space="0" w:color="auto"/>
            </w:tcBorders>
            <w:vAlign w:val="center"/>
            <w:hideMark/>
          </w:tcPr>
          <w:p w:rsidR="005E388B" w:rsidRPr="005E388B" w:rsidP="005E388B" w14:paraId="25F58C91" w14:textId="77777777">
            <w:pPr>
              <w:rPr>
                <w:rFonts w:ascii="Times New Roman" w:hAnsi="Times New Roman"/>
                <w:szCs w:val="24"/>
              </w:rPr>
            </w:pPr>
            <w:r w:rsidRPr="005E388B">
              <w:rPr>
                <w:rFonts w:ascii="Times New Roman" w:hAnsi="Times New Roman"/>
                <w:szCs w:val="24"/>
              </w:rPr>
              <w:t xml:space="preserve"> Number of Responses per Respondent</w:t>
            </w:r>
          </w:p>
        </w:tc>
        <w:tc>
          <w:tcPr>
            <w:tcW w:w="1060" w:type="dxa"/>
            <w:tcBorders>
              <w:top w:val="nil"/>
              <w:left w:val="nil"/>
              <w:bottom w:val="single" w:sz="8" w:space="0" w:color="auto"/>
              <w:right w:val="single" w:sz="8" w:space="0" w:color="auto"/>
            </w:tcBorders>
            <w:vAlign w:val="center"/>
            <w:hideMark/>
          </w:tcPr>
          <w:p w:rsidR="005E388B" w:rsidRPr="005E388B" w:rsidP="005E388B" w14:paraId="581E58B0" w14:textId="77777777">
            <w:pPr>
              <w:rPr>
                <w:rFonts w:ascii="Times New Roman" w:hAnsi="Times New Roman"/>
                <w:szCs w:val="24"/>
              </w:rPr>
            </w:pPr>
            <w:r w:rsidRPr="005E388B">
              <w:rPr>
                <w:rFonts w:ascii="Times New Roman" w:hAnsi="Times New Roman"/>
                <w:szCs w:val="24"/>
              </w:rPr>
              <w:t>Average Time per Response (Hours)</w:t>
            </w:r>
          </w:p>
        </w:tc>
        <w:tc>
          <w:tcPr>
            <w:tcW w:w="1160" w:type="dxa"/>
            <w:gridSpan w:val="2"/>
            <w:tcBorders>
              <w:top w:val="nil"/>
              <w:left w:val="nil"/>
              <w:bottom w:val="single" w:sz="8" w:space="0" w:color="auto"/>
              <w:right w:val="single" w:sz="8" w:space="0" w:color="auto"/>
            </w:tcBorders>
            <w:vAlign w:val="center"/>
            <w:hideMark/>
          </w:tcPr>
          <w:p w:rsidR="005E388B" w:rsidRPr="005E388B" w:rsidP="005E388B" w14:paraId="1F3D3E41" w14:textId="77777777">
            <w:pPr>
              <w:rPr>
                <w:rFonts w:ascii="Times New Roman" w:hAnsi="Times New Roman"/>
                <w:szCs w:val="24"/>
              </w:rPr>
            </w:pPr>
            <w:r w:rsidRPr="005E388B">
              <w:rPr>
                <w:rFonts w:ascii="Times New Roman" w:hAnsi="Times New Roman"/>
                <w:szCs w:val="24"/>
              </w:rPr>
              <w:t>Annual Burden (Hours)</w:t>
            </w:r>
          </w:p>
        </w:tc>
      </w:tr>
      <w:tr w14:paraId="33C7B0F0" w14:textId="77777777">
        <w:tblPrEx>
          <w:tblW w:w="9320" w:type="dxa"/>
          <w:tblLook w:val="04A0"/>
        </w:tblPrEx>
        <w:trPr>
          <w:trHeight w:val="840"/>
        </w:trPr>
        <w:tc>
          <w:tcPr>
            <w:tcW w:w="2260" w:type="dxa"/>
            <w:tcBorders>
              <w:top w:val="nil"/>
              <w:left w:val="single" w:sz="8" w:space="0" w:color="auto"/>
              <w:bottom w:val="single" w:sz="8" w:space="0" w:color="auto"/>
              <w:right w:val="single" w:sz="8" w:space="0" w:color="auto"/>
            </w:tcBorders>
            <w:vAlign w:val="center"/>
            <w:hideMark/>
          </w:tcPr>
          <w:p w:rsidR="005E388B" w:rsidRPr="005E388B" w:rsidP="005E388B" w14:paraId="49E3FBFB" w14:textId="77777777">
            <w:pPr>
              <w:rPr>
                <w:rFonts w:ascii="Times New Roman" w:hAnsi="Times New Roman"/>
                <w:szCs w:val="24"/>
              </w:rPr>
            </w:pPr>
            <w:r w:rsidRPr="005E388B">
              <w:rPr>
                <w:rFonts w:ascii="Times New Roman" w:hAnsi="Times New Roman"/>
                <w:szCs w:val="24"/>
              </w:rPr>
              <w:t xml:space="preserve">1. Application to issue payment stablecoins </w:t>
            </w:r>
          </w:p>
          <w:p w:rsidR="005E388B" w:rsidRPr="005E388B" w:rsidP="005E388B" w14:paraId="4A46A14D" w14:textId="77777777">
            <w:pPr>
              <w:rPr>
                <w:rFonts w:ascii="Times New Roman" w:hAnsi="Times New Roman"/>
                <w:szCs w:val="24"/>
              </w:rPr>
            </w:pPr>
            <w:r w:rsidRPr="005E388B">
              <w:rPr>
                <w:rFonts w:ascii="Times New Roman" w:hAnsi="Times New Roman"/>
                <w:szCs w:val="24"/>
              </w:rPr>
              <w:t>12 CFR 303.252</w:t>
            </w:r>
          </w:p>
          <w:p w:rsidR="005E388B" w:rsidRPr="005E388B" w:rsidP="005E388B" w14:paraId="12A6EE01" w14:textId="77777777">
            <w:pPr>
              <w:rPr>
                <w:rFonts w:ascii="Times New Roman" w:hAnsi="Times New Roman"/>
                <w:szCs w:val="24"/>
              </w:rPr>
            </w:pPr>
            <w:r w:rsidRPr="005E388B">
              <w:rPr>
                <w:rFonts w:ascii="Times New Roman" w:hAnsi="Times New Roman"/>
                <w:szCs w:val="24"/>
              </w:rPr>
              <w:t>(Mandatory)</w:t>
            </w:r>
          </w:p>
        </w:tc>
        <w:tc>
          <w:tcPr>
            <w:tcW w:w="1880" w:type="dxa"/>
            <w:tcBorders>
              <w:top w:val="nil"/>
              <w:left w:val="nil"/>
              <w:bottom w:val="single" w:sz="8" w:space="0" w:color="auto"/>
              <w:right w:val="single" w:sz="8" w:space="0" w:color="auto"/>
            </w:tcBorders>
            <w:vAlign w:val="center"/>
            <w:hideMark/>
          </w:tcPr>
          <w:p w:rsidR="005E388B" w:rsidRPr="005E388B" w:rsidP="005E388B" w14:paraId="2905467A" w14:textId="77777777">
            <w:pPr>
              <w:rPr>
                <w:rFonts w:ascii="Times New Roman" w:hAnsi="Times New Roman"/>
                <w:szCs w:val="24"/>
              </w:rPr>
            </w:pPr>
            <w:r w:rsidRPr="005E388B">
              <w:rPr>
                <w:rFonts w:ascii="Times New Roman" w:hAnsi="Times New Roman"/>
                <w:szCs w:val="24"/>
              </w:rPr>
              <w:t xml:space="preserve">Reporting </w:t>
            </w:r>
          </w:p>
          <w:p w:rsidR="005E388B" w:rsidRPr="005E388B" w:rsidP="005E388B" w14:paraId="4A6D6CF1" w14:textId="77777777">
            <w:pPr>
              <w:rPr>
                <w:rFonts w:ascii="Times New Roman" w:hAnsi="Times New Roman"/>
                <w:szCs w:val="24"/>
              </w:rPr>
            </w:pPr>
            <w:r w:rsidRPr="005E388B">
              <w:rPr>
                <w:rFonts w:ascii="Times New Roman" w:hAnsi="Times New Roman"/>
                <w:szCs w:val="24"/>
              </w:rPr>
              <w:t>(One Time)</w:t>
            </w:r>
          </w:p>
        </w:tc>
        <w:tc>
          <w:tcPr>
            <w:tcW w:w="1240" w:type="dxa"/>
            <w:tcBorders>
              <w:top w:val="nil"/>
              <w:left w:val="nil"/>
              <w:bottom w:val="single" w:sz="8" w:space="0" w:color="auto"/>
              <w:right w:val="single" w:sz="8" w:space="0" w:color="auto"/>
            </w:tcBorders>
            <w:noWrap/>
            <w:vAlign w:val="center"/>
            <w:hideMark/>
          </w:tcPr>
          <w:p w:rsidR="005E388B" w:rsidRPr="005E388B" w:rsidP="005E388B" w14:paraId="62F94359" w14:textId="77777777">
            <w:pPr>
              <w:rPr>
                <w:rFonts w:ascii="Times New Roman" w:hAnsi="Times New Roman"/>
                <w:szCs w:val="24"/>
              </w:rPr>
            </w:pPr>
            <w:r w:rsidRPr="005E388B">
              <w:rPr>
                <w:rFonts w:ascii="Times New Roman" w:hAnsi="Times New Roman"/>
                <w:szCs w:val="24"/>
              </w:rPr>
              <w:t>10</w:t>
            </w:r>
          </w:p>
        </w:tc>
        <w:tc>
          <w:tcPr>
            <w:tcW w:w="1720" w:type="dxa"/>
            <w:tcBorders>
              <w:top w:val="nil"/>
              <w:left w:val="nil"/>
              <w:bottom w:val="single" w:sz="8" w:space="0" w:color="auto"/>
              <w:right w:val="single" w:sz="8" w:space="0" w:color="auto"/>
            </w:tcBorders>
            <w:noWrap/>
            <w:vAlign w:val="center"/>
            <w:hideMark/>
          </w:tcPr>
          <w:p w:rsidR="005E388B" w:rsidRPr="005E388B" w:rsidP="005E388B" w14:paraId="0F999975" w14:textId="77777777">
            <w:pPr>
              <w:rPr>
                <w:rFonts w:ascii="Times New Roman" w:hAnsi="Times New Roman"/>
                <w:szCs w:val="24"/>
              </w:rPr>
            </w:pPr>
            <w:r w:rsidRPr="005E388B">
              <w:rPr>
                <w:rFonts w:ascii="Times New Roman" w:hAnsi="Times New Roman"/>
                <w:szCs w:val="24"/>
              </w:rPr>
              <w:t>1</w:t>
            </w:r>
          </w:p>
        </w:tc>
        <w:tc>
          <w:tcPr>
            <w:tcW w:w="1060" w:type="dxa"/>
            <w:tcBorders>
              <w:top w:val="nil"/>
              <w:left w:val="nil"/>
              <w:bottom w:val="single" w:sz="8" w:space="0" w:color="auto"/>
              <w:right w:val="nil"/>
            </w:tcBorders>
            <w:vAlign w:val="center"/>
            <w:hideMark/>
          </w:tcPr>
          <w:p w:rsidR="005E388B" w:rsidRPr="005E388B" w:rsidP="005E388B" w14:paraId="12A0D51B" w14:textId="77777777">
            <w:pPr>
              <w:rPr>
                <w:rFonts w:ascii="Times New Roman" w:hAnsi="Times New Roman"/>
                <w:szCs w:val="24"/>
              </w:rPr>
            </w:pPr>
            <w:r w:rsidRPr="005E388B">
              <w:rPr>
                <w:rFonts w:ascii="Times New Roman" w:hAnsi="Times New Roman"/>
                <w:szCs w:val="24"/>
              </w:rPr>
              <w:t>80</w:t>
            </w:r>
          </w:p>
        </w:tc>
        <w:tc>
          <w:tcPr>
            <w:tcW w:w="1160" w:type="dxa"/>
            <w:gridSpan w:val="2"/>
            <w:tcBorders>
              <w:top w:val="nil"/>
              <w:left w:val="single" w:sz="8" w:space="0" w:color="auto"/>
              <w:bottom w:val="single" w:sz="8" w:space="0" w:color="auto"/>
              <w:right w:val="single" w:sz="8" w:space="0" w:color="auto"/>
            </w:tcBorders>
            <w:noWrap/>
            <w:vAlign w:val="center"/>
            <w:hideMark/>
          </w:tcPr>
          <w:p w:rsidR="005E388B" w:rsidRPr="005E388B" w:rsidP="005E388B" w14:paraId="3F1C17BE" w14:textId="77777777">
            <w:pPr>
              <w:rPr>
                <w:rFonts w:ascii="Times New Roman" w:hAnsi="Times New Roman"/>
                <w:szCs w:val="24"/>
              </w:rPr>
            </w:pPr>
            <w:r w:rsidRPr="005E388B">
              <w:rPr>
                <w:rFonts w:ascii="Times New Roman" w:hAnsi="Times New Roman"/>
                <w:szCs w:val="24"/>
              </w:rPr>
              <w:t>800</w:t>
            </w:r>
          </w:p>
        </w:tc>
      </w:tr>
      <w:tr w14:paraId="0948213C" w14:textId="77777777">
        <w:tblPrEx>
          <w:tblW w:w="9320" w:type="dxa"/>
          <w:tblLook w:val="04A0"/>
        </w:tblPrEx>
        <w:trPr>
          <w:trHeight w:val="300"/>
        </w:trPr>
        <w:tc>
          <w:tcPr>
            <w:tcW w:w="8160" w:type="dxa"/>
            <w:gridSpan w:val="5"/>
            <w:tcBorders>
              <w:top w:val="single" w:sz="8" w:space="0" w:color="auto"/>
              <w:left w:val="single" w:sz="8" w:space="0" w:color="auto"/>
              <w:bottom w:val="single" w:sz="8" w:space="0" w:color="auto"/>
              <w:right w:val="nil"/>
            </w:tcBorders>
            <w:shd w:val="clear" w:color="auto" w:fill="FFFFFF"/>
            <w:noWrap/>
            <w:vAlign w:val="center"/>
            <w:hideMark/>
          </w:tcPr>
          <w:p w:rsidR="005E388B" w:rsidRPr="005E388B" w:rsidP="005E388B" w14:paraId="0EDBA3A8" w14:textId="77777777">
            <w:pPr>
              <w:rPr>
                <w:rFonts w:ascii="Times New Roman" w:hAnsi="Times New Roman"/>
                <w:b/>
                <w:bCs/>
                <w:i/>
                <w:iCs/>
                <w:szCs w:val="24"/>
              </w:rPr>
            </w:pPr>
            <w:r w:rsidRPr="005E388B">
              <w:rPr>
                <w:rFonts w:ascii="Times New Roman" w:hAnsi="Times New Roman"/>
                <w:b/>
                <w:bCs/>
                <w:i/>
                <w:iCs/>
                <w:szCs w:val="24"/>
              </w:rPr>
              <w:t>Total Annual Burden (Hours):</w:t>
            </w:r>
          </w:p>
        </w:tc>
        <w:tc>
          <w:tcPr>
            <w:tcW w:w="1160" w:type="dxa"/>
            <w:gridSpan w:val="2"/>
            <w:tcBorders>
              <w:top w:val="nil"/>
              <w:left w:val="nil"/>
              <w:bottom w:val="single" w:sz="8" w:space="0" w:color="auto"/>
              <w:right w:val="single" w:sz="8" w:space="0" w:color="auto"/>
            </w:tcBorders>
            <w:noWrap/>
            <w:vAlign w:val="bottom"/>
            <w:hideMark/>
          </w:tcPr>
          <w:p w:rsidR="005E388B" w:rsidRPr="005E388B" w:rsidP="005E388B" w14:paraId="1B222DEA" w14:textId="77777777">
            <w:pPr>
              <w:rPr>
                <w:rFonts w:ascii="Times New Roman" w:hAnsi="Times New Roman"/>
                <w:b/>
                <w:bCs/>
                <w:i/>
                <w:iCs/>
                <w:szCs w:val="24"/>
              </w:rPr>
            </w:pPr>
            <w:r w:rsidRPr="005E388B">
              <w:rPr>
                <w:rFonts w:ascii="Times New Roman" w:hAnsi="Times New Roman"/>
                <w:b/>
                <w:bCs/>
                <w:i/>
                <w:iCs/>
                <w:szCs w:val="24"/>
              </w:rPr>
              <w:t>800</w:t>
            </w:r>
          </w:p>
        </w:tc>
      </w:tr>
      <w:tr w14:paraId="527CEDC4" w14:textId="77777777">
        <w:tblPrEx>
          <w:tblW w:w="9320" w:type="dxa"/>
          <w:tblLook w:val="04A0"/>
        </w:tblPrEx>
        <w:trPr>
          <w:trHeight w:val="252"/>
        </w:trPr>
        <w:tc>
          <w:tcPr>
            <w:tcW w:w="9320" w:type="dxa"/>
            <w:gridSpan w:val="7"/>
            <w:tcBorders>
              <w:top w:val="single" w:sz="8" w:space="0" w:color="auto"/>
              <w:left w:val="single" w:sz="8" w:space="0" w:color="auto"/>
              <w:bottom w:val="nil"/>
              <w:right w:val="single" w:sz="8" w:space="0" w:color="000000"/>
            </w:tcBorders>
            <w:noWrap/>
            <w:hideMark/>
          </w:tcPr>
          <w:p w:rsidR="005E388B" w:rsidRPr="005E388B" w:rsidP="005E388B" w14:paraId="2F2FA941" w14:textId="77777777">
            <w:pPr>
              <w:rPr>
                <w:rFonts w:ascii="Times New Roman" w:hAnsi="Times New Roman"/>
                <w:szCs w:val="24"/>
              </w:rPr>
            </w:pPr>
            <w:r w:rsidRPr="005E388B">
              <w:rPr>
                <w:rFonts w:ascii="Times New Roman" w:hAnsi="Times New Roman"/>
                <w:szCs w:val="24"/>
              </w:rPr>
              <w:t>Source: FDIC.</w:t>
            </w:r>
          </w:p>
        </w:tc>
      </w:tr>
      <w:tr w14:paraId="10FB5563" w14:textId="77777777">
        <w:tblPrEx>
          <w:tblW w:w="9320" w:type="dxa"/>
          <w:tblLook w:val="04A0"/>
        </w:tblPrEx>
        <w:trPr>
          <w:gridAfter w:val="1"/>
          <w:wAfter w:w="16" w:type="dxa"/>
          <w:trHeight w:val="499"/>
        </w:trPr>
        <w:tc>
          <w:tcPr>
            <w:tcW w:w="9304" w:type="dxa"/>
            <w:gridSpan w:val="6"/>
            <w:vMerge w:val="restart"/>
            <w:tcBorders>
              <w:top w:val="nil"/>
              <w:left w:val="single" w:sz="8" w:space="0" w:color="auto"/>
              <w:bottom w:val="single" w:sz="8" w:space="0" w:color="000000"/>
              <w:right w:val="single" w:sz="8" w:space="0" w:color="000000"/>
            </w:tcBorders>
            <w:vAlign w:val="center"/>
            <w:hideMark/>
          </w:tcPr>
          <w:p w:rsidR="005E388B" w:rsidRPr="005E388B" w:rsidP="005E388B" w14:paraId="1DBA592A" w14:textId="77777777">
            <w:pPr>
              <w:rPr>
                <w:rFonts w:ascii="Times New Roman" w:hAnsi="Times New Roman"/>
                <w:szCs w:val="24"/>
              </w:rPr>
            </w:pPr>
            <w:r w:rsidRPr="005E388B">
              <w:rPr>
                <w:rFonts w:ascii="Times New Roman" w:hAnsi="Times New Roman"/>
                <w:szCs w:val="24"/>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r w14:paraId="574C3114" w14:textId="77777777">
        <w:tblPrEx>
          <w:tblW w:w="9320" w:type="dxa"/>
          <w:tblLook w:val="04A0"/>
        </w:tblPrEx>
        <w:trPr>
          <w:gridAfter w:val="1"/>
          <w:wAfter w:w="16" w:type="dxa"/>
          <w:trHeight w:val="499"/>
        </w:trPr>
        <w:tc>
          <w:tcPr>
            <w:tcW w:w="0" w:type="auto"/>
            <w:gridSpan w:val="6"/>
            <w:vMerge/>
            <w:tcBorders>
              <w:top w:val="nil"/>
              <w:left w:val="single" w:sz="8" w:space="0" w:color="auto"/>
              <w:bottom w:val="single" w:sz="8" w:space="0" w:color="000000"/>
              <w:right w:val="single" w:sz="8" w:space="0" w:color="000000"/>
            </w:tcBorders>
            <w:vAlign w:val="center"/>
            <w:hideMark/>
          </w:tcPr>
          <w:p w:rsidR="005E388B" w:rsidRPr="005E388B" w:rsidP="005E388B" w14:paraId="15076220" w14:textId="77777777">
            <w:pPr>
              <w:rPr>
                <w:rFonts w:ascii="Times New Roman" w:hAnsi="Times New Roman"/>
                <w:color w:val="FF0000"/>
                <w:szCs w:val="24"/>
              </w:rPr>
            </w:pPr>
          </w:p>
        </w:tc>
      </w:tr>
      <w:tr w14:paraId="2386D14D" w14:textId="77777777">
        <w:tblPrEx>
          <w:tblW w:w="9320" w:type="dxa"/>
          <w:tblLook w:val="04A0"/>
        </w:tblPrEx>
        <w:trPr>
          <w:gridAfter w:val="1"/>
          <w:wAfter w:w="16" w:type="dxa"/>
          <w:trHeight w:val="499"/>
        </w:trPr>
        <w:tc>
          <w:tcPr>
            <w:tcW w:w="0" w:type="auto"/>
            <w:gridSpan w:val="6"/>
            <w:vMerge/>
            <w:tcBorders>
              <w:top w:val="nil"/>
              <w:left w:val="single" w:sz="8" w:space="0" w:color="auto"/>
              <w:bottom w:val="single" w:sz="8" w:space="0" w:color="000000"/>
              <w:right w:val="single" w:sz="8" w:space="0" w:color="000000"/>
            </w:tcBorders>
            <w:vAlign w:val="center"/>
            <w:hideMark/>
          </w:tcPr>
          <w:p w:rsidR="005E388B" w:rsidRPr="005E388B" w:rsidP="005E388B" w14:paraId="2103A2BC" w14:textId="77777777">
            <w:pPr>
              <w:rPr>
                <w:rFonts w:ascii="Times New Roman" w:hAnsi="Times New Roman"/>
                <w:color w:val="FF0000"/>
                <w:szCs w:val="24"/>
              </w:rPr>
            </w:pPr>
          </w:p>
        </w:tc>
      </w:tr>
    </w:tbl>
    <w:p w:rsidR="007921D2" w:rsidRPr="00215465" w:rsidP="007921D2" w14:paraId="28B44F58" w14:textId="77777777">
      <w:pPr>
        <w:rPr>
          <w:rFonts w:ascii="Times New Roman" w:hAnsi="Times New Roman"/>
          <w:color w:val="FF0000"/>
          <w:szCs w:val="24"/>
        </w:rPr>
      </w:pPr>
    </w:p>
    <w:p w:rsidR="007921D2" w:rsidRPr="0026081D" w:rsidP="007921D2" w14:paraId="2854BD42" w14:textId="2C40BD3C">
      <w:pPr>
        <w:jc w:val="center"/>
        <w:rPr>
          <w:rFonts w:ascii="Times New Roman" w:hAnsi="Times New Roman"/>
          <w:szCs w:val="24"/>
        </w:rPr>
      </w:pPr>
      <w:r w:rsidRPr="0026081D">
        <w:rPr>
          <w:rFonts w:ascii="Times New Roman" w:hAnsi="Times New Roman"/>
          <w:szCs w:val="24"/>
        </w:rPr>
        <w:t xml:space="preserve">Estimated cost is </w:t>
      </w:r>
      <w:r w:rsidRPr="0026081D" w:rsidR="00BF41E4">
        <w:rPr>
          <w:rFonts w:ascii="Times New Roman" w:hAnsi="Times New Roman"/>
          <w:szCs w:val="24"/>
        </w:rPr>
        <w:t>80</w:t>
      </w:r>
      <w:r w:rsidRPr="0026081D">
        <w:rPr>
          <w:rFonts w:ascii="Times New Roman" w:hAnsi="Times New Roman"/>
          <w:szCs w:val="24"/>
        </w:rPr>
        <w:t xml:space="preserve"> hours x $</w:t>
      </w:r>
      <w:r w:rsidRPr="0026081D" w:rsidR="00A96E30">
        <w:rPr>
          <w:rFonts w:ascii="Times New Roman" w:hAnsi="Times New Roman"/>
          <w:szCs w:val="24"/>
        </w:rPr>
        <w:t>152.40</w:t>
      </w:r>
      <w:r>
        <w:rPr>
          <w:rStyle w:val="FootnoteReference"/>
          <w:szCs w:val="24"/>
          <w:vertAlign w:val="superscript"/>
        </w:rPr>
        <w:footnoteReference w:id="12"/>
      </w:r>
      <w:r w:rsidRPr="0026081D" w:rsidR="00C05101">
        <w:rPr>
          <w:rFonts w:ascii="Times New Roman" w:hAnsi="Times New Roman"/>
          <w:szCs w:val="24"/>
        </w:rPr>
        <w:t xml:space="preserve"> </w:t>
      </w:r>
      <w:r w:rsidRPr="0026081D" w:rsidR="009753DE">
        <w:rPr>
          <w:rFonts w:ascii="Times New Roman" w:hAnsi="Times New Roman"/>
          <w:szCs w:val="24"/>
        </w:rPr>
        <w:t xml:space="preserve">x </w:t>
      </w:r>
      <w:r w:rsidRPr="0026081D" w:rsidR="00C05101">
        <w:rPr>
          <w:rFonts w:ascii="Times New Roman" w:hAnsi="Times New Roman"/>
          <w:szCs w:val="24"/>
        </w:rPr>
        <w:t>10</w:t>
      </w:r>
      <w:r w:rsidRPr="0026081D">
        <w:rPr>
          <w:rFonts w:ascii="Times New Roman" w:hAnsi="Times New Roman"/>
          <w:szCs w:val="24"/>
        </w:rPr>
        <w:t xml:space="preserve"> = </w:t>
      </w:r>
      <w:r w:rsidRPr="0026081D" w:rsidR="00D149B8">
        <w:rPr>
          <w:rFonts w:ascii="Times New Roman" w:hAnsi="Times New Roman"/>
          <w:szCs w:val="24"/>
        </w:rPr>
        <w:t>$121,920</w:t>
      </w:r>
      <w:r w:rsidRPr="0026081D">
        <w:rPr>
          <w:rFonts w:ascii="Times New Roman" w:hAnsi="Times New Roman"/>
          <w:szCs w:val="24"/>
        </w:rPr>
        <w:t>.</w:t>
      </w:r>
    </w:p>
    <w:p w:rsidR="007921D2" w:rsidRPr="00215465" w:rsidP="007921D2" w14:paraId="55ED6218" w14:textId="77777777">
      <w:pPr>
        <w:rPr>
          <w:rFonts w:ascii="Times New Roman" w:hAnsi="Times New Roman"/>
          <w:color w:val="FF0000"/>
          <w:szCs w:val="24"/>
        </w:rPr>
      </w:pPr>
    </w:p>
    <w:p w:rsidR="007921D2" w:rsidRPr="002E7DB1" w:rsidP="007921D2" w14:paraId="0ED919C0" w14:textId="77777777">
      <w:pPr>
        <w:numPr>
          <w:ilvl w:val="1"/>
          <w:numId w:val="2"/>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E7DB1">
        <w:rPr>
          <w:rFonts w:ascii="Times New Roman" w:hAnsi="Times New Roman"/>
          <w:szCs w:val="24"/>
          <w:u w:val="single"/>
        </w:rPr>
        <w:t>Estimate of Start-up Costs to Respondents:</w:t>
      </w:r>
    </w:p>
    <w:p w:rsidR="007921D2" w:rsidRPr="002E7DB1" w:rsidP="007921D2" w14:paraId="39BD8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2E7DB1" w:rsidP="007921D2" w14:paraId="369EC8E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2E7DB1">
        <w:rPr>
          <w:rFonts w:ascii="Times New Roman" w:hAnsi="Times New Roman"/>
          <w:szCs w:val="24"/>
        </w:rPr>
        <w:t>None.</w:t>
      </w:r>
    </w:p>
    <w:p w:rsidR="007921D2" w:rsidRPr="002E7DB1" w:rsidP="007921D2" w14:paraId="048E56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2E7DB1" w:rsidP="007921D2" w14:paraId="63892963" w14:textId="77777777">
      <w:pPr>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E7DB1">
        <w:rPr>
          <w:rFonts w:ascii="Times New Roman" w:hAnsi="Times New Roman"/>
          <w:snapToGrid/>
          <w:szCs w:val="24"/>
          <w:u w:val="single"/>
        </w:rPr>
        <w:t>Estimate of annualized costs to the government:</w:t>
      </w:r>
    </w:p>
    <w:p w:rsidR="007921D2" w:rsidRPr="002E7DB1" w:rsidP="007921D2" w14:paraId="200598E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Cs w:val="24"/>
        </w:rPr>
      </w:pPr>
    </w:p>
    <w:p w:rsidR="007921D2" w:rsidRPr="002E7DB1" w:rsidP="007921D2" w14:paraId="11C88D66"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2E7DB1">
        <w:rPr>
          <w:rFonts w:ascii="Times New Roman" w:hAnsi="Times New Roman"/>
          <w:szCs w:val="24"/>
        </w:rPr>
        <w:t>None.</w:t>
      </w:r>
    </w:p>
    <w:p w:rsidR="007921D2" w:rsidRPr="002E7DB1" w:rsidP="007921D2" w14:paraId="55E5389A" w14:textId="77777777">
      <w:pPr>
        <w:outlineLvl w:val="0"/>
        <w:rPr>
          <w:rFonts w:ascii="Times New Roman" w:hAnsi="Times New Roman"/>
          <w:szCs w:val="24"/>
        </w:rPr>
      </w:pPr>
      <w:r w:rsidRPr="002E7DB1">
        <w:rPr>
          <w:rFonts w:ascii="Times New Roman" w:hAnsi="Times New Roman"/>
          <w:szCs w:val="24"/>
        </w:rPr>
        <w:tab/>
      </w:r>
    </w:p>
    <w:p w:rsidR="007921D2" w:rsidRPr="002E7DB1" w:rsidP="007921D2" w14:paraId="55B94EC6"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E7DB1">
        <w:rPr>
          <w:rFonts w:ascii="Times New Roman" w:hAnsi="Times New Roman"/>
          <w:snapToGrid/>
          <w:szCs w:val="24"/>
          <w:u w:val="single"/>
        </w:rPr>
        <w:t>Analysis of change in burden:</w:t>
      </w:r>
      <w:r w:rsidRPr="002E7DB1">
        <w:rPr>
          <w:rFonts w:ascii="Times New Roman" w:hAnsi="Times New Roman"/>
          <w:szCs w:val="24"/>
        </w:rPr>
        <w:tab/>
      </w:r>
    </w:p>
    <w:p w:rsidR="007921D2" w:rsidRPr="002E7DB1" w:rsidP="007921D2" w14:paraId="410FF22C" w14:textId="77777777">
      <w:pPr>
        <w:ind w:left="360" w:firstLine="720"/>
        <w:rPr>
          <w:rFonts w:ascii="Times New Roman" w:hAnsi="Times New Roman"/>
          <w:szCs w:val="24"/>
        </w:rPr>
      </w:pPr>
    </w:p>
    <w:p w:rsidR="007921D2" w:rsidRPr="002E7DB1" w:rsidP="007921D2" w14:paraId="1BCA5F93" w14:textId="23930759">
      <w:pPr>
        <w:ind w:left="1080"/>
        <w:rPr>
          <w:rFonts w:ascii="Times New Roman" w:hAnsi="Times New Roman"/>
          <w:szCs w:val="24"/>
        </w:rPr>
      </w:pPr>
      <w:r w:rsidRPr="002E7DB1">
        <w:rPr>
          <w:rFonts w:ascii="Times New Roman" w:hAnsi="Times New Roman"/>
          <w:szCs w:val="24"/>
        </w:rPr>
        <w:t xml:space="preserve">Since this is the first time the FDIC will be submitting an information collection in connection with the proposed rule, there is no change in burden. However, the burden associated with this new information collection is </w:t>
      </w:r>
      <w:r w:rsidRPr="002E7DB1" w:rsidR="002E7DB1">
        <w:rPr>
          <w:rFonts w:ascii="Times New Roman" w:hAnsi="Times New Roman"/>
          <w:szCs w:val="24"/>
        </w:rPr>
        <w:t>800</w:t>
      </w:r>
      <w:r w:rsidRPr="002E7DB1">
        <w:rPr>
          <w:rFonts w:ascii="Times New Roman" w:hAnsi="Times New Roman"/>
          <w:szCs w:val="24"/>
        </w:rPr>
        <w:t xml:space="preserve"> hours.</w:t>
      </w:r>
    </w:p>
    <w:p w:rsidR="007921D2" w:rsidRPr="0067465D" w:rsidP="007921D2" w14:paraId="3DC138DC" w14:textId="77777777">
      <w:pPr>
        <w:ind w:left="1440"/>
        <w:rPr>
          <w:rFonts w:ascii="Times New Roman" w:hAnsi="Times New Roman"/>
          <w:szCs w:val="24"/>
        </w:rPr>
      </w:pPr>
    </w:p>
    <w:p w:rsidR="007921D2" w:rsidRPr="0067465D" w:rsidP="007921D2" w14:paraId="38AF1B13" w14:textId="77777777">
      <w:pPr>
        <w:numPr>
          <w:ilvl w:val="1"/>
          <w:numId w:val="2"/>
        </w:numPr>
        <w:tabs>
          <w:tab w:val="left" w:pos="1170"/>
        </w:tabs>
        <w:autoSpaceDE w:val="0"/>
        <w:autoSpaceDN w:val="0"/>
        <w:adjustRightInd w:val="0"/>
        <w:rPr>
          <w:rFonts w:ascii="Times New Roman" w:hAnsi="Times New Roman"/>
          <w:snapToGrid/>
          <w:szCs w:val="24"/>
        </w:rPr>
      </w:pPr>
      <w:r w:rsidRPr="0067465D">
        <w:rPr>
          <w:rFonts w:ascii="Times New Roman" w:hAnsi="Times New Roman"/>
          <w:szCs w:val="24"/>
          <w:u w:val="single"/>
        </w:rPr>
        <w:t>Information regarding collections whose results are planned to be published for statistical use:</w:t>
      </w:r>
    </w:p>
    <w:p w:rsidR="007921D2" w:rsidRPr="0067465D" w:rsidP="007921D2" w14:paraId="30AE88DC"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67465D" w:rsidP="007921D2" w14:paraId="32C53B6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67465D">
        <w:rPr>
          <w:rFonts w:ascii="Times New Roman" w:hAnsi="Times New Roman"/>
          <w:szCs w:val="24"/>
        </w:rPr>
        <w:t>The results of this collection will not be published for statistical use.</w:t>
      </w:r>
    </w:p>
    <w:p w:rsidR="007921D2" w:rsidRPr="0067465D" w:rsidP="007921D2" w14:paraId="5384FCAA"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67465D" w:rsidP="007921D2" w14:paraId="2FDDF793"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7465D">
        <w:rPr>
          <w:rFonts w:ascii="Times New Roman" w:hAnsi="Times New Roman"/>
          <w:szCs w:val="24"/>
          <w:u w:val="single"/>
        </w:rPr>
        <w:t>Display of Expiration Date</w:t>
      </w:r>
    </w:p>
    <w:p w:rsidR="007921D2" w:rsidRPr="0067465D" w:rsidP="007921D2" w14:paraId="716F98DE"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67465D" w:rsidP="007921D2" w14:paraId="61486E03"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306"/>
        <w:jc w:val="both"/>
        <w:rPr>
          <w:rFonts w:ascii="Times New Roman" w:hAnsi="Times New Roman"/>
          <w:szCs w:val="24"/>
        </w:rPr>
      </w:pPr>
      <w:r w:rsidRPr="0067465D">
        <w:rPr>
          <w:rFonts w:ascii="Times New Roman" w:hAnsi="Times New Roman"/>
          <w:szCs w:val="24"/>
        </w:rPr>
        <w:t>This information collection is contained in a regulation.</w:t>
      </w:r>
    </w:p>
    <w:p w:rsidR="007921D2" w:rsidRPr="0067465D" w:rsidP="007921D2" w14:paraId="32B1628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67465D" w:rsidP="007921D2" w14:paraId="5A1E7F8E"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7465D">
        <w:rPr>
          <w:rFonts w:ascii="Times New Roman" w:hAnsi="Times New Roman"/>
          <w:szCs w:val="24"/>
          <w:u w:val="single"/>
        </w:rPr>
        <w:t>Exceptions to Certification Statement</w:t>
      </w:r>
    </w:p>
    <w:p w:rsidR="007921D2" w:rsidRPr="0067465D" w:rsidP="007921D2" w14:paraId="5F105D9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67465D" w:rsidP="007921D2" w14:paraId="11E3AFD2"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67465D">
        <w:rPr>
          <w:rFonts w:ascii="Times New Roman" w:hAnsi="Times New Roman"/>
          <w:szCs w:val="24"/>
        </w:rPr>
        <w:t>None.</w:t>
      </w:r>
    </w:p>
    <w:p w:rsidR="007921D2" w:rsidRPr="0067465D" w:rsidP="007921D2" w14:paraId="66DCBAB7"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67465D" w:rsidP="007921D2" w14:paraId="3CF3FDDC" w14:textId="7777777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7465D">
        <w:rPr>
          <w:rFonts w:ascii="Times New Roman" w:hAnsi="Times New Roman"/>
          <w:szCs w:val="24"/>
          <w:u w:val="single"/>
        </w:rPr>
        <w:t>STATISTICAL METHODS</w:t>
      </w:r>
    </w:p>
    <w:p w:rsidR="007921D2" w:rsidRPr="0067465D" w:rsidP="007921D2" w14:paraId="775EB2AA"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szCs w:val="24"/>
        </w:rPr>
      </w:pPr>
    </w:p>
    <w:p w:rsidR="007921D2" w:rsidRPr="0067465D" w:rsidP="007921D2" w14:paraId="06F92A7C"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720"/>
        <w:jc w:val="both"/>
        <w:rPr>
          <w:rFonts w:ascii="Times New Roman" w:hAnsi="Times New Roman"/>
          <w:szCs w:val="24"/>
        </w:rPr>
      </w:pPr>
      <w:r w:rsidRPr="0067465D">
        <w:rPr>
          <w:rFonts w:ascii="Times New Roman" w:hAnsi="Times New Roman"/>
          <w:szCs w:val="24"/>
        </w:rPr>
        <w:t>Statistical methods are not employed in these collections.</w:t>
      </w:r>
    </w:p>
    <w:p w:rsidR="007921D2" w:rsidRPr="00215465" w:rsidP="007921D2" w14:paraId="1FDF7AF1" w14:textId="77777777">
      <w:pPr>
        <w:rPr>
          <w:rFonts w:ascii="Times New Roman" w:hAnsi="Times New Roman"/>
          <w:color w:val="FF0000"/>
          <w:szCs w:val="24"/>
        </w:rPr>
      </w:pPr>
    </w:p>
    <w:p w:rsidR="004008FE" w:rsidRPr="00215465" w14:paraId="2E0B142B" w14:textId="77777777">
      <w:pPr>
        <w:rPr>
          <w:color w:val="FF000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6926" w:rsidP="007921D2" w14:paraId="343F3C43" w14:textId="77777777">
      <w:r>
        <w:separator/>
      </w:r>
    </w:p>
  </w:footnote>
  <w:footnote w:type="continuationSeparator" w:id="1">
    <w:p w:rsidR="001C6926" w:rsidP="007921D2" w14:paraId="4E9F43DE" w14:textId="77777777">
      <w:r>
        <w:continuationSeparator/>
      </w:r>
    </w:p>
  </w:footnote>
  <w:footnote w:id="2">
    <w:p w:rsidR="007921D2" w:rsidRPr="0084051A" w:rsidP="007921D2" w14:paraId="5B7C2340" w14:textId="77777777">
      <w:pPr>
        <w:pStyle w:val="FootnoteText"/>
        <w:tabs>
          <w:tab w:val="left" w:pos="8640"/>
        </w:tabs>
        <w:rPr>
          <w:rFonts w:ascii="Times New Roman" w:hAnsi="Times New Roman"/>
        </w:rPr>
      </w:pPr>
      <w:r w:rsidRPr="0084051A">
        <w:rPr>
          <w:rStyle w:val="FootnoteReference"/>
          <w:vertAlign w:val="superscript"/>
        </w:rPr>
        <w:footnoteRef/>
      </w:r>
      <w:r w:rsidRPr="0084051A">
        <w:rPr>
          <w:rFonts w:ascii="Times New Roman" w:hAnsi="Times New Roman"/>
        </w:rPr>
        <w:t xml:space="preserve"> 44 U.S.C. 3501 </w:t>
      </w:r>
      <w:r w:rsidRPr="0084051A">
        <w:rPr>
          <w:rFonts w:ascii="Times New Roman" w:hAnsi="Times New Roman"/>
          <w:i/>
        </w:rPr>
        <w:t>et seq.</w:t>
      </w:r>
    </w:p>
  </w:footnote>
  <w:footnote w:id="3">
    <w:p w:rsidR="0039344B" w:rsidRPr="00ED6864" w:rsidP="0039344B" w14:paraId="0867C5BB" w14:textId="77777777">
      <w:pPr>
        <w:rPr>
          <w:rFonts w:ascii="Times New Roman" w:hAnsi="Times New Roman"/>
          <w:sz w:val="20"/>
        </w:rPr>
      </w:pPr>
      <w:r w:rsidRPr="00ED6864">
        <w:rPr>
          <w:rFonts w:ascii="Times New Roman" w:hAnsi="Times New Roman"/>
          <w:sz w:val="20"/>
          <w:vertAlign w:val="superscript"/>
        </w:rPr>
        <w:footnoteRef/>
      </w:r>
      <w:r w:rsidRPr="00ED6864">
        <w:rPr>
          <w:rFonts w:ascii="Times New Roman" w:hAnsi="Times New Roman"/>
          <w:sz w:val="20"/>
          <w:vertAlign w:val="superscript"/>
        </w:rPr>
        <w:t xml:space="preserve"> </w:t>
      </w:r>
      <w:r w:rsidRPr="00ED6864">
        <w:rPr>
          <w:rFonts w:ascii="Times New Roman" w:hAnsi="Times New Roman"/>
          <w:sz w:val="20"/>
        </w:rPr>
        <w:t>Pub. L. No. 119-27, 139 Stat. 419 (codified at 12 U.S.C. 5901-5916).</w:t>
      </w:r>
    </w:p>
  </w:footnote>
  <w:footnote w:id="4">
    <w:p w:rsidR="004F34E9" w:rsidRPr="00ED6864" w:rsidP="004F34E9" w14:paraId="57E80844" w14:textId="77777777">
      <w:pPr>
        <w:pStyle w:val="FootnoteText"/>
        <w:rPr>
          <w:rFonts w:ascii="Times New Roman" w:hAnsi="Times New Roman"/>
        </w:rPr>
      </w:pPr>
      <w:r w:rsidRPr="00ED6864">
        <w:rPr>
          <w:rStyle w:val="FootnoteReference"/>
          <w:rFonts w:eastAsiaTheme="majorEastAsia"/>
        </w:rPr>
        <w:footnoteRef/>
      </w:r>
      <w:r w:rsidRPr="00ED6864">
        <w:rPr>
          <w:rFonts w:ascii="Times New Roman" w:hAnsi="Times New Roman"/>
        </w:rPr>
        <w:t xml:space="preserve"> </w:t>
      </w:r>
      <w:r w:rsidRPr="00ED6864">
        <w:rPr>
          <w:rFonts w:ascii="Times New Roman" w:hAnsi="Times New Roman"/>
          <w:i/>
          <w:iCs/>
        </w:rPr>
        <w:t>See</w:t>
      </w:r>
      <w:r w:rsidRPr="00ED6864">
        <w:rPr>
          <w:rFonts w:ascii="Times New Roman" w:hAnsi="Times New Roman"/>
        </w:rPr>
        <w:t xml:space="preserve"> 12 U.S.C. 5902. The GENIUS Act defines a payment stablecoin as a digital asset 1) that is, or is designed to be, used as a means of payment or settlement and 2) the issuer of which is obligated to convert, redeem, or repurchase for a fixed amount of monetary value and represents or creates the reasonable expectation that it will maintain a stable value relative to a fixed amount of monetary value. 12 U.S.C. 5901(22)(A). The GENIUS Act further provides that a payment stablecoin is not a national currency, deposit, or security. 12 U.S.C. 5901(22)(B). Stablecoins that are used or designed for other purposes, such as non-payment stablecoins, are outside the scope of this proposed rule. </w:t>
      </w:r>
    </w:p>
  </w:footnote>
  <w:footnote w:id="5">
    <w:p w:rsidR="004F34E9" w:rsidP="004F34E9" w14:paraId="7B920A71" w14:textId="77777777">
      <w:pPr>
        <w:pStyle w:val="FootnoteText"/>
      </w:pPr>
      <w:r w:rsidRPr="00ED6864">
        <w:rPr>
          <w:rStyle w:val="FootnoteReference"/>
          <w:rFonts w:eastAsiaTheme="majorEastAsia"/>
        </w:rPr>
        <w:footnoteRef/>
      </w:r>
      <w:r w:rsidRPr="00ED6864">
        <w:rPr>
          <w:rFonts w:ascii="Times New Roman" w:hAnsi="Times New Roman"/>
        </w:rPr>
        <w:t xml:space="preserve"> </w:t>
      </w:r>
      <w:r w:rsidRPr="00ED6864">
        <w:rPr>
          <w:rFonts w:ascii="Times New Roman" w:hAnsi="Times New Roman"/>
          <w:i/>
          <w:iCs/>
        </w:rPr>
        <w:t>See</w:t>
      </w:r>
      <w:r w:rsidRPr="00ED6864">
        <w:rPr>
          <w:rFonts w:ascii="Times New Roman" w:hAnsi="Times New Roman"/>
        </w:rPr>
        <w:t xml:space="preserve"> Exec. Order No. 14178, Strengthening American Leadership in Digital Financial Technology, 90 FR 8647 (Jan. 31, 2025).</w:t>
      </w:r>
      <w:r>
        <w:t xml:space="preserve"> </w:t>
      </w:r>
    </w:p>
  </w:footnote>
  <w:footnote w:id="6">
    <w:p w:rsidR="00B66F79" w:rsidRPr="001039AB" w:rsidP="00B66F79" w14:paraId="16C7495F" w14:textId="77777777">
      <w:pPr>
        <w:pStyle w:val="FootnoteText"/>
        <w:rPr>
          <w:rFonts w:ascii="Times New Roman" w:hAnsi="Times New Roman"/>
        </w:rPr>
      </w:pPr>
      <w:r w:rsidRPr="001039AB">
        <w:rPr>
          <w:rStyle w:val="FootnoteReference"/>
          <w:rFonts w:eastAsiaTheme="majorEastAsia"/>
        </w:rPr>
        <w:footnoteRef/>
      </w:r>
      <w:r w:rsidRPr="001039AB">
        <w:rPr>
          <w:rFonts w:ascii="Times New Roman" w:hAnsi="Times New Roman"/>
        </w:rPr>
        <w:t xml:space="preserve"> Bureau of Labor Statistics: National Industry-Specific Occupational Employment and Wage Estimates: Industry: Credit Intermediation and Related Activities (5221 and 5223 only) (May 2024), Employer Cost of Employee Compensation (March 2024), and Employment Cost Index (March 2024 and June 2025). The FDIC estimates the following labor allocation for entities complying with these requirements: Executives and Managers (11-0000): 60 percent; Lawyers (23-0000): 30 percent; and Clerical workers (43-0000): 10 percent.</w:t>
      </w:r>
    </w:p>
  </w:footnote>
  <w:footnote w:id="7">
    <w:p w:rsidR="00B66F79" w:rsidRPr="001039AB" w:rsidP="00B66F79" w14:paraId="76568B9D" w14:textId="77777777">
      <w:pPr>
        <w:pStyle w:val="FootnoteText"/>
        <w:rPr>
          <w:rFonts w:ascii="Times New Roman" w:hAnsi="Times New Roman"/>
        </w:rPr>
      </w:pPr>
      <w:r w:rsidRPr="001039AB">
        <w:rPr>
          <w:rStyle w:val="FootnoteReference"/>
          <w:rFonts w:eastAsiaTheme="majorEastAsia"/>
        </w:rPr>
        <w:footnoteRef/>
      </w:r>
      <w:r w:rsidRPr="001039AB">
        <w:rPr>
          <w:rFonts w:ascii="Times New Roman" w:hAnsi="Times New Roman"/>
        </w:rPr>
        <w:t xml:space="preserve"> $152.40 per hour * 80 hours = $12,192; $152.40 per hour * 80 hours * 10 = $121,920 </w:t>
      </w:r>
    </w:p>
  </w:footnote>
  <w:footnote w:id="8">
    <w:p w:rsidR="00B66F79" w:rsidP="00B66F79" w14:paraId="7136F886" w14:textId="77777777">
      <w:pPr>
        <w:pStyle w:val="FootnoteText"/>
      </w:pPr>
      <w:r w:rsidRPr="001039AB">
        <w:rPr>
          <w:rStyle w:val="FootnoteReference"/>
          <w:rFonts w:eastAsiaTheme="majorEastAsia"/>
        </w:rPr>
        <w:footnoteRef/>
      </w:r>
      <w:r w:rsidRPr="001039AB">
        <w:rPr>
          <w:rFonts w:ascii="Times New Roman" w:hAnsi="Times New Roman"/>
        </w:rPr>
        <w:t xml:space="preserve"> FDIC Call Report Data, June 30, 2025.</w:t>
      </w:r>
    </w:p>
  </w:footnote>
  <w:footnote w:id="9">
    <w:p w:rsidR="00E65628" w:rsidRPr="00950ECD" w:rsidP="00E65628" w14:paraId="21A21EA0" w14:textId="77777777">
      <w:pPr>
        <w:pStyle w:val="FootnoteText"/>
        <w:rPr>
          <w:rFonts w:ascii="Times New Roman" w:hAnsi="Times New Roman"/>
        </w:rPr>
      </w:pPr>
      <w:r w:rsidRPr="00950ECD">
        <w:rPr>
          <w:rStyle w:val="FootnoteReference"/>
          <w:rFonts w:eastAsiaTheme="majorEastAsia"/>
        </w:rPr>
        <w:footnoteRef/>
      </w:r>
      <w:r w:rsidRPr="00950ECD">
        <w:rPr>
          <w:rFonts w:ascii="Times New Roman" w:hAnsi="Times New Roman"/>
        </w:rPr>
        <w:t xml:space="preserve"> 12 U.S.C. 5901(25).</w:t>
      </w:r>
    </w:p>
  </w:footnote>
  <w:footnote w:id="10">
    <w:p w:rsidR="00F702D2" w:rsidRPr="00950ECD" w:rsidP="00F702D2" w14:paraId="44293A2D" w14:textId="77777777">
      <w:pPr>
        <w:pStyle w:val="FootnoteText"/>
        <w:rPr>
          <w:rFonts w:ascii="Times New Roman" w:hAnsi="Times New Roman"/>
        </w:rPr>
      </w:pPr>
      <w:r w:rsidRPr="00950ECD">
        <w:rPr>
          <w:rStyle w:val="FootnoteReference"/>
          <w:rFonts w:eastAsiaTheme="majorEastAsia"/>
        </w:rPr>
        <w:footnoteRef/>
      </w:r>
      <w:r w:rsidRPr="00950ECD">
        <w:rPr>
          <w:rFonts w:ascii="Times New Roman" w:hAnsi="Times New Roman"/>
        </w:rPr>
        <w:t xml:space="preserve"> The term "State nonmember bank" includes any insured State bank that is an industrial bank, industrial loan company, or other similar institution that is excluded from the definition of "bank" in section 2(c)(2)(H) of the Bank Holding Company Act (12 U.S.C. 1841(c)(2)(H)). </w:t>
      </w:r>
      <w:r w:rsidRPr="00950ECD">
        <w:rPr>
          <w:rFonts w:ascii="Times New Roman" w:hAnsi="Times New Roman"/>
          <w:i/>
          <w:iCs/>
        </w:rPr>
        <w:t xml:space="preserve">See </w:t>
      </w:r>
      <w:r w:rsidRPr="00950ECD">
        <w:rPr>
          <w:rFonts w:ascii="Times New Roman" w:hAnsi="Times New Roman"/>
        </w:rPr>
        <w:t>FDI Act section 3(a)(2) (12 U.S.C. 1813(a)(2)); 12 CFR part 347.</w:t>
      </w:r>
    </w:p>
  </w:footnote>
  <w:footnote w:id="11">
    <w:p w:rsidR="00F702D2" w:rsidP="00F702D2" w14:paraId="7CA9B6FF" w14:textId="77777777">
      <w:pPr>
        <w:pStyle w:val="FootnoteText"/>
      </w:pPr>
      <w:r w:rsidRPr="00950ECD">
        <w:rPr>
          <w:rStyle w:val="FootnoteReference"/>
          <w:rFonts w:eastAsiaTheme="majorEastAsia"/>
        </w:rPr>
        <w:footnoteRef/>
      </w:r>
      <w:r w:rsidRPr="00950ECD">
        <w:rPr>
          <w:rFonts w:ascii="Times New Roman" w:hAnsi="Times New Roman"/>
        </w:rPr>
        <w:t xml:space="preserve"> </w:t>
      </w:r>
      <w:r w:rsidRPr="00950ECD">
        <w:rPr>
          <w:rFonts w:ascii="Times New Roman" w:hAnsi="Times New Roman"/>
          <w:i/>
          <w:iCs/>
        </w:rPr>
        <w:t>See</w:t>
      </w:r>
      <w:r w:rsidRPr="00950ECD">
        <w:rPr>
          <w:rFonts w:ascii="Times New Roman" w:hAnsi="Times New Roman"/>
        </w:rPr>
        <w:t xml:space="preserve"> 12 U.S.C. 1813(q). As of September 30, 2025, the FDIC supervises approximately 2,772 insured State nonmember banks and insured State savings associations. FDIC Call Report Data, September 30, 2025. The FDIC is also the appropriate Federal banking agency of any foreign bank having an insured State branch.</w:t>
      </w:r>
      <w:r>
        <w:t xml:space="preserve"> </w:t>
      </w:r>
    </w:p>
  </w:footnote>
  <w:footnote w:id="12">
    <w:p w:rsidR="00A646E6" w:rsidRPr="00A646E6" w14:paraId="3A9653A5" w14:textId="44092CB2">
      <w:pPr>
        <w:pStyle w:val="FootnoteText"/>
        <w:rPr>
          <w:rFonts w:ascii="Times New Roman" w:hAnsi="Times New Roman"/>
        </w:rPr>
      </w:pPr>
      <w:r w:rsidRPr="00A646E6">
        <w:rPr>
          <w:rStyle w:val="FootnoteReference"/>
          <w:vertAlign w:val="superscript"/>
        </w:rPr>
        <w:footnoteRef/>
      </w:r>
      <w:r w:rsidRPr="00A646E6">
        <w:rPr>
          <w:rFonts w:ascii="Times New Roman" w:hAnsi="Times New Roman"/>
          <w:vertAlign w:val="superscript"/>
        </w:rPr>
        <w:t xml:space="preserve"> </w:t>
      </w:r>
      <w:r w:rsidRPr="00A646E6">
        <w:rPr>
          <w:rFonts w:ascii="Times New Roman" w:hAnsi="Times New Roman"/>
        </w:rPr>
        <w:t>Bureau of Labor Statistics: National Industry-Specific Occupational Employment and Wage Estimates: Industry: Credit Intermediation and Related Activities (5221 and 5223 only) (May 2024), Employer Cost of Employee Compensation (March 2024), and Employment Cost Index (March 2024 and June 2025). The FDIC estimates the following labor allocation for entities complying with these requirements: Executives and Managers (11-0000): 60 percent; Lawyers (23-0000): 30 percent; and Clerical workers (43-0000): 10 percent.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074D21"/>
    <w:multiLevelType w:val="hybridMultilevel"/>
    <w:tmpl w:val="3670C79C"/>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6936611"/>
    <w:multiLevelType w:val="hybridMultilevel"/>
    <w:tmpl w:val="ED9E4966"/>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4781029">
    <w:abstractNumId w:val="0"/>
  </w:num>
  <w:num w:numId="2" w16cid:durableId="1397704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D2"/>
    <w:rsid w:val="00060824"/>
    <w:rsid w:val="000C278B"/>
    <w:rsid w:val="001039AB"/>
    <w:rsid w:val="00156642"/>
    <w:rsid w:val="001C6926"/>
    <w:rsid w:val="001C7A96"/>
    <w:rsid w:val="001E7190"/>
    <w:rsid w:val="00215465"/>
    <w:rsid w:val="0026081D"/>
    <w:rsid w:val="00276111"/>
    <w:rsid w:val="002B7315"/>
    <w:rsid w:val="002D3482"/>
    <w:rsid w:val="002E7DB1"/>
    <w:rsid w:val="003217E4"/>
    <w:rsid w:val="0038051F"/>
    <w:rsid w:val="00390C82"/>
    <w:rsid w:val="0039344B"/>
    <w:rsid w:val="003C6341"/>
    <w:rsid w:val="004008FE"/>
    <w:rsid w:val="00403578"/>
    <w:rsid w:val="004D7448"/>
    <w:rsid w:val="004F34E9"/>
    <w:rsid w:val="00523E44"/>
    <w:rsid w:val="005E388B"/>
    <w:rsid w:val="00606FCF"/>
    <w:rsid w:val="00630F11"/>
    <w:rsid w:val="006310C2"/>
    <w:rsid w:val="006526DB"/>
    <w:rsid w:val="0067465D"/>
    <w:rsid w:val="006C08DA"/>
    <w:rsid w:val="00780C4B"/>
    <w:rsid w:val="007921D2"/>
    <w:rsid w:val="007D3AE3"/>
    <w:rsid w:val="007D7539"/>
    <w:rsid w:val="008130DE"/>
    <w:rsid w:val="0084051A"/>
    <w:rsid w:val="00941FBA"/>
    <w:rsid w:val="00950ECD"/>
    <w:rsid w:val="009539EB"/>
    <w:rsid w:val="009753DE"/>
    <w:rsid w:val="00996940"/>
    <w:rsid w:val="009B39ED"/>
    <w:rsid w:val="00A41D32"/>
    <w:rsid w:val="00A646E6"/>
    <w:rsid w:val="00A96E30"/>
    <w:rsid w:val="00AE4778"/>
    <w:rsid w:val="00B56572"/>
    <w:rsid w:val="00B66F79"/>
    <w:rsid w:val="00B84FF9"/>
    <w:rsid w:val="00BA4401"/>
    <w:rsid w:val="00BC26C8"/>
    <w:rsid w:val="00BF41E4"/>
    <w:rsid w:val="00C05101"/>
    <w:rsid w:val="00CD38CC"/>
    <w:rsid w:val="00D149B8"/>
    <w:rsid w:val="00DA1A39"/>
    <w:rsid w:val="00E24521"/>
    <w:rsid w:val="00E464AD"/>
    <w:rsid w:val="00E65628"/>
    <w:rsid w:val="00EA1710"/>
    <w:rsid w:val="00ED2068"/>
    <w:rsid w:val="00ED6864"/>
    <w:rsid w:val="00F702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4125EA"/>
  <w15:chartTrackingRefBased/>
  <w15:docId w15:val="{6E272448-2213-4A33-9D57-23FFDEF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1D2"/>
    <w:pPr>
      <w:widowControl w:val="0"/>
      <w:spacing w:after="0" w:line="240" w:lineRule="auto"/>
    </w:pPr>
    <w:rPr>
      <w:rFonts w:ascii="Courier" w:eastAsia="Times New Roman" w:hAnsi="Courier" w:cs="Times New Roman"/>
      <w:snapToGrid w:val="0"/>
      <w:kern w:val="0"/>
      <w:szCs w:val="20"/>
      <w14:ligatures w14:val="none"/>
    </w:rPr>
  </w:style>
  <w:style w:type="paragraph" w:styleId="Heading1">
    <w:name w:val="heading 1"/>
    <w:basedOn w:val="Normal"/>
    <w:next w:val="Normal"/>
    <w:link w:val="Heading1Char"/>
    <w:uiPriority w:val="9"/>
    <w:qFormat/>
    <w:rsid w:val="00792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1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1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1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1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1D2"/>
    <w:rPr>
      <w:rFonts w:eastAsiaTheme="majorEastAsia" w:cstheme="majorBidi"/>
      <w:color w:val="272727" w:themeColor="text1" w:themeTint="D8"/>
    </w:rPr>
  </w:style>
  <w:style w:type="paragraph" w:styleId="Title">
    <w:name w:val="Title"/>
    <w:basedOn w:val="Normal"/>
    <w:next w:val="Normal"/>
    <w:link w:val="TitleChar"/>
    <w:uiPriority w:val="10"/>
    <w:qFormat/>
    <w:rsid w:val="007921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1D2"/>
    <w:pPr>
      <w:spacing w:before="160"/>
      <w:jc w:val="center"/>
    </w:pPr>
    <w:rPr>
      <w:i/>
      <w:iCs/>
      <w:color w:val="404040" w:themeColor="text1" w:themeTint="BF"/>
    </w:rPr>
  </w:style>
  <w:style w:type="character" w:customStyle="1" w:styleId="QuoteChar">
    <w:name w:val="Quote Char"/>
    <w:basedOn w:val="DefaultParagraphFont"/>
    <w:link w:val="Quote"/>
    <w:uiPriority w:val="29"/>
    <w:rsid w:val="007921D2"/>
    <w:rPr>
      <w:i/>
      <w:iCs/>
      <w:color w:val="404040" w:themeColor="text1" w:themeTint="BF"/>
    </w:rPr>
  </w:style>
  <w:style w:type="paragraph" w:styleId="ListParagraph">
    <w:name w:val="List Paragraph"/>
    <w:basedOn w:val="Normal"/>
    <w:uiPriority w:val="34"/>
    <w:qFormat/>
    <w:rsid w:val="007921D2"/>
    <w:pPr>
      <w:ind w:left="720"/>
      <w:contextualSpacing/>
    </w:pPr>
  </w:style>
  <w:style w:type="character" w:styleId="IntenseEmphasis">
    <w:name w:val="Intense Emphasis"/>
    <w:basedOn w:val="DefaultParagraphFont"/>
    <w:uiPriority w:val="21"/>
    <w:qFormat/>
    <w:rsid w:val="007921D2"/>
    <w:rPr>
      <w:i/>
      <w:iCs/>
      <w:color w:val="0F4761" w:themeColor="accent1" w:themeShade="BF"/>
    </w:rPr>
  </w:style>
  <w:style w:type="paragraph" w:styleId="IntenseQuote">
    <w:name w:val="Intense Quote"/>
    <w:basedOn w:val="Normal"/>
    <w:next w:val="Normal"/>
    <w:link w:val="IntenseQuoteChar"/>
    <w:uiPriority w:val="30"/>
    <w:qFormat/>
    <w:rsid w:val="00792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1D2"/>
    <w:rPr>
      <w:i/>
      <w:iCs/>
      <w:color w:val="0F4761" w:themeColor="accent1" w:themeShade="BF"/>
    </w:rPr>
  </w:style>
  <w:style w:type="character" w:styleId="IntenseReference">
    <w:name w:val="Intense Reference"/>
    <w:basedOn w:val="DefaultParagraphFont"/>
    <w:uiPriority w:val="32"/>
    <w:qFormat/>
    <w:rsid w:val="007921D2"/>
    <w:rPr>
      <w:b/>
      <w:bCs/>
      <w:smallCaps/>
      <w:color w:val="0F4761" w:themeColor="accent1" w:themeShade="BF"/>
      <w:spacing w:val="5"/>
    </w:rPr>
  </w:style>
  <w:style w:type="paragraph" w:styleId="BodyTextIndent">
    <w:name w:val="Body Text Indent"/>
    <w:basedOn w:val="Normal"/>
    <w:link w:val="BodyTextIndentChar"/>
    <w:rsid w:val="007921D2"/>
    <w:pPr>
      <w:ind w:left="720"/>
    </w:pPr>
    <w:rPr>
      <w:rFonts w:ascii="Times New Roman" w:hAnsi="Times New Roman"/>
    </w:rPr>
  </w:style>
  <w:style w:type="character" w:customStyle="1" w:styleId="BodyTextIndentChar">
    <w:name w:val="Body Text Indent Char"/>
    <w:basedOn w:val="DefaultParagraphFont"/>
    <w:link w:val="BodyTextIndent"/>
    <w:rsid w:val="007921D2"/>
    <w:rPr>
      <w:rFonts w:ascii="Times New Roman" w:eastAsia="Times New Roman" w:hAnsi="Times New Roman" w:cs="Times New Roman"/>
      <w:snapToGrid w:val="0"/>
      <w:kern w:val="0"/>
      <w:szCs w:val="20"/>
      <w14:ligatures w14:val="none"/>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sid w:val="007921D2"/>
    <w:rPr>
      <w:rFonts w:ascii="Times New Roman" w:hAnsi="Times New Roman"/>
    </w:rPr>
  </w:style>
  <w:style w:type="paragraph" w:styleId="FootnoteText">
    <w:name w:val="footnote text"/>
    <w:aliases w:val=" Char,ALTS FOOTNOTE,Car,Ch,Char,Footnote Text Char Char,Footnote Text Char Char Char,Footnote Text Char Char Char Char Char Char Char Char Char Char Char Char Char Char Char Char Char,Fußnote,Style 15,Style 40 Char,Style 40 Char Char,fn,ft"/>
    <w:basedOn w:val="Normal"/>
    <w:link w:val="FootnoteTextChar"/>
    <w:uiPriority w:val="99"/>
    <w:qFormat/>
    <w:rsid w:val="007921D2"/>
    <w:rPr>
      <w:sz w:val="20"/>
    </w:rPr>
  </w:style>
  <w:style w:type="character" w:customStyle="1" w:styleId="FootnoteTextChar">
    <w:name w:val="Footnote Text Char"/>
    <w:aliases w:val=" Char Char,ALTS FOOTNOTE Char,Car Char,Ch Char,Char Char,Footnote Text Char Char Char Char,Footnote Text Char Char Char1,Fußnote Char,Style 15 Char,Style 40 Char Char Char,Style 40 Char Char1,fn Char,ft Char"/>
    <w:basedOn w:val="DefaultParagraphFont"/>
    <w:link w:val="FootnoteText"/>
    <w:uiPriority w:val="99"/>
    <w:rsid w:val="007921D2"/>
    <w:rPr>
      <w:rFonts w:ascii="Courier" w:eastAsia="Times New Roman" w:hAnsi="Courier" w:cs="Times New Roman"/>
      <w:snapToGrid w:val="0"/>
      <w:kern w:val="0"/>
      <w:sz w:val="20"/>
      <w:szCs w:val="20"/>
      <w14:ligatures w14:val="none"/>
    </w:rPr>
  </w:style>
  <w:style w:type="paragraph" w:styleId="BodyText">
    <w:name w:val="Body Text"/>
    <w:basedOn w:val="Normal"/>
    <w:link w:val="BodyTextChar"/>
    <w:uiPriority w:val="99"/>
    <w:unhideWhenUsed/>
    <w:rsid w:val="007921D2"/>
    <w:pPr>
      <w:spacing w:after="120"/>
    </w:pPr>
  </w:style>
  <w:style w:type="character" w:customStyle="1" w:styleId="BodyTextChar">
    <w:name w:val="Body Text Char"/>
    <w:basedOn w:val="DefaultParagraphFont"/>
    <w:link w:val="BodyText"/>
    <w:uiPriority w:val="99"/>
    <w:rsid w:val="007921D2"/>
    <w:rPr>
      <w:rFonts w:ascii="Courier" w:eastAsia="Times New Roman" w:hAnsi="Courier" w:cs="Times New Roman"/>
      <w:snapToGrid w:val="0"/>
      <w:kern w:val="0"/>
      <w:szCs w:val="20"/>
      <w14:ligatures w14:val="none"/>
    </w:rPr>
  </w:style>
  <w:style w:type="paragraph" w:styleId="NoSpacing">
    <w:name w:val="No Spacing"/>
    <w:uiPriority w:val="1"/>
    <w:qFormat/>
    <w:rsid w:val="00941FBA"/>
    <w:pPr>
      <w:widowControl w:val="0"/>
      <w:spacing w:after="0" w:line="240" w:lineRule="auto"/>
    </w:pPr>
    <w:rPr>
      <w:rFonts w:ascii="Courier" w:eastAsia="Times New Roman" w:hAnsi="Courier"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D20F-E8CE-4822-8E1B-A6258BB30B03}">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1176</TotalTime>
  <Pages>5</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 Michelle</dc:creator>
  <cp:lastModifiedBy>Mire, Michelle</cp:lastModifiedBy>
  <cp:revision>56</cp:revision>
  <dcterms:created xsi:type="dcterms:W3CDTF">2025-12-12T15:19:00Z</dcterms:created>
  <dcterms:modified xsi:type="dcterms:W3CDTF">2025-12-19T13:45:00Z</dcterms:modified>
</cp:coreProperties>
</file>