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71A8C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32FA3A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6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30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32A8F3F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0C3194">
        <w:rPr>
          <w:rFonts w:ascii="Times New Roman" w:hAnsi="Times New Roman" w:cs="Times New Roman"/>
          <w:sz w:val="24"/>
          <w:szCs w:val="24"/>
        </w:rPr>
        <w:t>1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0C3194">
        <w:rPr>
          <w:rFonts w:ascii="Times New Roman" w:hAnsi="Times New Roman" w:cs="Times New Roman"/>
          <w:sz w:val="24"/>
          <w:szCs w:val="24"/>
        </w:rPr>
        <w:t>Laura Bush 21</w:t>
      </w:r>
      <w:r w:rsidRPr="000C3194" w:rsidR="000C31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C3194">
        <w:rPr>
          <w:rFonts w:ascii="Times New Roman" w:hAnsi="Times New Roman" w:cs="Times New Roman"/>
          <w:sz w:val="24"/>
          <w:szCs w:val="24"/>
        </w:rPr>
        <w:t xml:space="preserve"> Century Librarian Program and National Leadership Grants for Libraries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>both discretionary grant programs that support the Nation’s libraries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2AC6"/>
    <w:rsid w:val="000E3923"/>
    <w:rsid w:val="000E4B67"/>
    <w:rsid w:val="00146AF8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2023-06-09T20:40:00Z</dcterms:created>
  <dcterms:modified xsi:type="dcterms:W3CDTF">2023-06-09T20:40:00Z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