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P="005F1FFC" w14:paraId="7E088B25" w14:textId="77777777"/>
    <w:p w:rsidR="003225D2" w:rsidP="001650D5" w14:paraId="00B8C0D6" w14:textId="52DE246B">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001650D5" w:rsidRPr="00BF6D43" w:rsidP="001650D5" w14:paraId="2F27FDD4" w14:textId="2DE529A3">
      <w:pPr>
        <w:jc w:val="center"/>
        <w:rPr>
          <w:b/>
          <w:caps/>
          <w:sz w:val="24"/>
          <w:szCs w:val="24"/>
        </w:rPr>
      </w:pPr>
      <w:r>
        <w:rPr>
          <w:b/>
          <w:caps/>
          <w:sz w:val="24"/>
          <w:szCs w:val="24"/>
        </w:rPr>
        <w:t>Consumer complaint Intake System Company portal boarding form</w:t>
      </w:r>
    </w:p>
    <w:p w:rsidR="003225D2" w:rsidRPr="00BF6D43" w:rsidP="003225D2" w14:paraId="4ACA79D4" w14:textId="14534B13">
      <w:pPr>
        <w:jc w:val="center"/>
        <w:rPr>
          <w:b/>
          <w:bCs/>
          <w:sz w:val="24"/>
          <w:szCs w:val="24"/>
        </w:rPr>
      </w:pPr>
      <w:r w:rsidRPr="00BF6D43">
        <w:rPr>
          <w:b/>
          <w:bCs/>
          <w:sz w:val="24"/>
          <w:szCs w:val="24"/>
        </w:rPr>
        <w:t>OMB CONTROL NO.</w:t>
      </w:r>
      <w:r w:rsidR="00401424">
        <w:rPr>
          <w:b/>
          <w:bCs/>
          <w:sz w:val="24"/>
          <w:szCs w:val="24"/>
        </w:rPr>
        <w:t xml:space="preserve">: </w:t>
      </w:r>
      <w:r w:rsidRPr="00BF6D43" w:rsidR="00E81562">
        <w:rPr>
          <w:b/>
          <w:bCs/>
          <w:sz w:val="24"/>
          <w:szCs w:val="24"/>
        </w:rPr>
        <w:t>3170-0</w:t>
      </w:r>
      <w:r w:rsidR="001650D5">
        <w:rPr>
          <w:b/>
          <w:bCs/>
          <w:sz w:val="24"/>
          <w:szCs w:val="24"/>
        </w:rPr>
        <w:t>0</w:t>
      </w:r>
      <w:r w:rsidR="00D056D0">
        <w:rPr>
          <w:b/>
          <w:bCs/>
          <w:sz w:val="24"/>
          <w:szCs w:val="24"/>
        </w:rPr>
        <w:t>54</w:t>
      </w:r>
    </w:p>
    <w:p w:rsidR="00A4452C" w:rsidRPr="00BF6D43" w:rsidP="000F0DD6" w14:paraId="7DC5C315" w14:textId="0B2A5A15">
      <w:pPr>
        <w:tabs>
          <w:tab w:val="left" w:pos="880"/>
        </w:tabs>
        <w:rPr>
          <w:b/>
          <w:caps/>
          <w:sz w:val="24"/>
        </w:rPr>
      </w:pPr>
      <w:r w:rsidRPr="00BF6D43">
        <w:rPr>
          <w:b/>
          <w:caps/>
          <w:sz w:val="24"/>
        </w:rPr>
        <w:tab/>
      </w:r>
    </w:p>
    <w:p w:rsidR="005F1FFC" w:rsidRPr="00BF6D43" w:rsidP="005F1FFC" w14:paraId="14A29F18" w14:textId="77777777">
      <w:pPr>
        <w:jc w:val="center"/>
        <w:rPr>
          <w:b/>
          <w:sz w:val="24"/>
        </w:rPr>
      </w:pPr>
    </w:p>
    <w:p w:rsidR="005F1FFC" w:rsidRPr="00BF6D43" w:rsidP="005F1FFC" w14:paraId="3DBE2AB2" w14:textId="77777777">
      <w:pPr>
        <w:rPr>
          <w:b/>
          <w:sz w:val="24"/>
        </w:rPr>
      </w:pPr>
      <w:r w:rsidRPr="00BF6D43">
        <w:rPr>
          <w:b/>
          <w:sz w:val="24"/>
        </w:rPr>
        <w:t xml:space="preserve">A.  </w:t>
      </w:r>
      <w:r w:rsidRPr="00BF6D43">
        <w:rPr>
          <w:b/>
          <w:caps/>
          <w:sz w:val="24"/>
        </w:rPr>
        <w:t>Justification</w:t>
      </w:r>
    </w:p>
    <w:p w:rsidR="005F1FFC" w:rsidRPr="00BF6D43" w:rsidP="005F1FFC" w14:paraId="4378B360" w14:textId="77777777">
      <w:pPr>
        <w:rPr>
          <w:b/>
          <w:sz w:val="24"/>
        </w:rPr>
      </w:pPr>
    </w:p>
    <w:p w:rsidR="00092D91" w:rsidRPr="00BF6D43" w:rsidP="00092D91" w14:paraId="08863302" w14:textId="77777777">
      <w:pPr>
        <w:rPr>
          <w:sz w:val="24"/>
        </w:rPr>
      </w:pPr>
      <w:r w:rsidRPr="00BF6D43">
        <w:rPr>
          <w:b/>
          <w:bCs/>
          <w:sz w:val="24"/>
        </w:rPr>
        <w:t xml:space="preserve">1.  Explain the circumstances that make the collection of information necessary.  Identify any legal or </w:t>
      </w:r>
      <w:r w:rsidRPr="00BF6D43">
        <w:rPr>
          <w:b/>
          <w:bCs/>
          <w:sz w:val="24"/>
        </w:rPr>
        <w:t>administrative requirements that necessitate the collection.  Attach a copy of the appropriate section of each statute and regulation mandating or authorizing the collection of information.</w:t>
      </w:r>
    </w:p>
    <w:p w:rsidR="005F1FFC" w:rsidP="005F1FFC" w14:paraId="1F5F91FF" w14:textId="58367C83">
      <w:pPr>
        <w:rPr>
          <w:sz w:val="24"/>
        </w:rPr>
      </w:pPr>
    </w:p>
    <w:p w:rsidR="00D056D0" w:rsidRPr="00D056D0" w:rsidP="00D056D0" w14:paraId="05F31932" w14:textId="7E50D404">
      <w:pPr>
        <w:rPr>
          <w:sz w:val="24"/>
        </w:rPr>
      </w:pPr>
      <w:r>
        <w:rPr>
          <w:sz w:val="24"/>
        </w:rPr>
        <w:t xml:space="preserve">The </w:t>
      </w:r>
      <w:r w:rsidR="00EE6A8F">
        <w:rPr>
          <w:sz w:val="24"/>
        </w:rPr>
        <w:t xml:space="preserve">Consumer Financial Protection </w:t>
      </w:r>
      <w:r w:rsidRPr="00D056D0">
        <w:rPr>
          <w:sz w:val="24"/>
        </w:rPr>
        <w:t>Bureau</w:t>
      </w:r>
      <w:r w:rsidR="00EE6A8F">
        <w:rPr>
          <w:sz w:val="24"/>
        </w:rPr>
        <w:t xml:space="preserve"> (CFPB or the Bureau)</w:t>
      </w:r>
      <w:r w:rsidRPr="00D056D0">
        <w:rPr>
          <w:sz w:val="24"/>
        </w:rPr>
        <w:t xml:space="preserve"> has used the Boarding Form to sign up more than </w:t>
      </w:r>
      <w:r w:rsidR="002A14C0">
        <w:rPr>
          <w:sz w:val="24"/>
        </w:rPr>
        <w:t>7,000</w:t>
      </w:r>
      <w:r w:rsidRPr="00D056D0">
        <w:rPr>
          <w:sz w:val="24"/>
        </w:rPr>
        <w:t xml:space="preserve"> companies.  Information collected via the Boarding Form helps the Bureau route complaints to the correct company.  This information includes company name, names of company representatives, and affiliate/subsidiary relationships.  Typically, a company completes the Boarding Form after the Bureau has received a complaint about a company.  Some companies opt to complete the form in advance of the Bureau receiving a complaint, for examp</w:t>
      </w:r>
      <w:r w:rsidRPr="00D056D0">
        <w:rPr>
          <w:sz w:val="24"/>
        </w:rPr>
        <w:t xml:space="preserve">le, when a depository institution attains an asset level that brings it under the Bureau’s supervisory authority.  There are operational efficiencies realized by companies and the Bureau by having a single OMB-approved form used to board companies to the secure portal. </w:t>
      </w:r>
      <w:r w:rsidR="00563EEE">
        <w:rPr>
          <w:sz w:val="24"/>
        </w:rPr>
        <w:t xml:space="preserve"> </w:t>
      </w:r>
      <w:r w:rsidRPr="00D056D0">
        <w:rPr>
          <w:sz w:val="24"/>
        </w:rPr>
        <w:t>Companies benefit from being able to join the portal before a complaint has been submitted about them, receiving their first complaint via the secure portal as soon as it is available.  This also enables users to become familiar with the por</w:t>
      </w:r>
      <w:r w:rsidRPr="00D056D0">
        <w:rPr>
          <w:sz w:val="24"/>
        </w:rPr>
        <w:t>tal.  Using a single OMB-approved form also provides the public with transparency into and clarity about the nature of the information collection itself.  Additionally, the Bureau realizes operational efficiencies by collecting consistent information across companies.</w:t>
      </w:r>
    </w:p>
    <w:p w:rsidR="00E939D3" w:rsidRPr="00BF6D43" w:rsidP="005F1FFC" w14:paraId="2A8A43BC" w14:textId="77777777">
      <w:pPr>
        <w:rPr>
          <w:sz w:val="24"/>
        </w:rPr>
      </w:pPr>
    </w:p>
    <w:p w:rsidR="00092D91" w:rsidRPr="00BF6D43" w:rsidP="00092D91" w14:paraId="15554E87" w14:textId="77777777">
      <w:pPr>
        <w:rPr>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005F1FFC" w:rsidP="005F1FFC" w14:paraId="04B2529C" w14:textId="369B9A03">
      <w:pPr>
        <w:rPr>
          <w:sz w:val="24"/>
        </w:rPr>
      </w:pPr>
    </w:p>
    <w:p w:rsidR="00D056D0" w:rsidRPr="00BF6D43" w:rsidP="005F1FFC" w14:paraId="0A7032F2" w14:textId="5A5CB71F">
      <w:pPr>
        <w:rPr>
          <w:sz w:val="24"/>
        </w:rPr>
      </w:pPr>
      <w:r w:rsidRPr="00D056D0">
        <w:rPr>
          <w:sz w:val="24"/>
        </w:rPr>
        <w:t xml:space="preserve">Information collected from companies completing the Boarding Form will support due diligence authentication of company identity, inform complaint processing, and give companies secure web-portal access to complaint information.  </w:t>
      </w:r>
    </w:p>
    <w:p w:rsidR="00E939D3" w:rsidRPr="00BF6D43" w:rsidP="005F1FFC" w14:paraId="19B9EB12" w14:textId="77777777"/>
    <w:p w:rsidR="00092D91" w:rsidRPr="00BF6D43" w:rsidP="00092D91" w14:paraId="0C7BE16B" w14:textId="77777777">
      <w:pPr>
        <w:rPr>
          <w:b/>
          <w:bCs/>
          <w:sz w:val="24"/>
          <w:szCs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F1FFC" w:rsidRPr="00BF6D43" w:rsidP="005F1FFC" w14:paraId="07836B1D" w14:textId="77777777"/>
    <w:p w:rsidR="00E939D3" w:rsidP="00E81562" w14:paraId="7CEBA56C" w14:textId="553EB144">
      <w:pPr>
        <w:rPr>
          <w:b/>
          <w:sz w:val="24"/>
        </w:rPr>
      </w:pPr>
      <w:r w:rsidRPr="00D056D0">
        <w:rPr>
          <w:rFonts w:eastAsia="Calibri"/>
          <w:sz w:val="24"/>
          <w:szCs w:val="22"/>
        </w:rPr>
        <w:t>The Boarding Form provides a comprehensive list of questions to be posed to companies’ representatives through collections that will be primarily web-based (i.e. the representative will submit the completed form by email).  The form of questions will include open-ended and closed-ended (i.e. multiple choice).</w:t>
      </w:r>
    </w:p>
    <w:p w:rsidR="00D056D0" w:rsidRPr="00BF6D43" w:rsidP="00E81562" w14:paraId="5C426B2F" w14:textId="77777777">
      <w:pPr>
        <w:rPr>
          <w:b/>
          <w:sz w:val="24"/>
        </w:rPr>
      </w:pPr>
    </w:p>
    <w:p w:rsidR="00092D91" w:rsidRPr="00BF6D43" w:rsidP="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 xml:space="preserve">Describe efforts to identify duplication.  Show specifically why any similar </w:t>
      </w:r>
      <w:r w:rsidRPr="00BF6D43">
        <w:rPr>
          <w:b/>
          <w:bCs/>
          <w:sz w:val="24"/>
          <w:szCs w:val="24"/>
        </w:rPr>
        <w:t>information already available cannot be used or modified for use for the purposes described in Item A.2 above.</w:t>
      </w:r>
    </w:p>
    <w:p w:rsidR="005F1FFC" w:rsidP="005F1FFC" w14:paraId="7339726A" w14:textId="28A9263D">
      <w:pPr>
        <w:rPr>
          <w:sz w:val="24"/>
        </w:rPr>
      </w:pPr>
    </w:p>
    <w:p w:rsidR="00D056D0" w:rsidRPr="00BF6D43" w:rsidP="005F1FFC" w14:paraId="7C2CB152" w14:textId="373CF66A">
      <w:pPr>
        <w:rPr>
          <w:sz w:val="24"/>
        </w:rPr>
      </w:pPr>
      <w:r w:rsidRPr="00D056D0">
        <w:rPr>
          <w:sz w:val="24"/>
        </w:rPr>
        <w:t>This information collection request does not seek to duplicate any other form being developed by other Federal or State agencies.  The</w:t>
      </w:r>
      <w:r w:rsidR="003A35EF">
        <w:rPr>
          <w:sz w:val="24"/>
        </w:rPr>
        <w:t>se</w:t>
      </w:r>
      <w:r w:rsidRPr="00D056D0">
        <w:rPr>
          <w:sz w:val="24"/>
        </w:rPr>
        <w:t xml:space="preserve"> information collections will improve the processing of individual consumer complaints and inquiries.  The Bureau strives to integrate technology to make the process efficient and user-friendly for companies.</w:t>
      </w:r>
    </w:p>
    <w:p w:rsidR="00BE61FE" w:rsidRPr="00BF6D43" w:rsidP="005F1FFC" w14:paraId="1111F676" w14:textId="77777777">
      <w:pPr>
        <w:rPr>
          <w:sz w:val="24"/>
        </w:rPr>
      </w:pPr>
    </w:p>
    <w:p w:rsidR="00092D91" w:rsidRPr="00BF6D43" w:rsidP="00092D91" w14:paraId="78977288" w14:textId="77777777">
      <w:pPr>
        <w:pStyle w:val="BodyText"/>
        <w:rPr>
          <w:b/>
        </w:rPr>
      </w:pPr>
      <w:r w:rsidRPr="00BF6D43">
        <w:rPr>
          <w:b/>
        </w:rPr>
        <w:t xml:space="preserve">5.  </w:t>
      </w:r>
      <w:r w:rsidRPr="00BF6D43">
        <w:rPr>
          <w:b/>
          <w:bCs/>
        </w:rPr>
        <w:t xml:space="preserve">If the collection of information impacts </w:t>
      </w:r>
      <w:r w:rsidRPr="00BF6D43">
        <w:rPr>
          <w:b/>
          <w:bCs/>
        </w:rPr>
        <w:t>small businesses or other small entities, describe any methods used to minimize burden.</w:t>
      </w:r>
    </w:p>
    <w:p w:rsidR="005F1FFC" w:rsidP="00092D91" w14:paraId="6511B9A0" w14:textId="3AF42A17">
      <w:pPr>
        <w:pStyle w:val="BodyText"/>
      </w:pPr>
    </w:p>
    <w:p w:rsidR="00D056D0" w:rsidRPr="00BF6D43" w:rsidP="00092D91" w14:paraId="43FF83C8" w14:textId="3F2831A3">
      <w:pPr>
        <w:pStyle w:val="BodyText"/>
      </w:pPr>
      <w:r w:rsidRPr="00D056D0">
        <w:t>Some small businesses and other small entities may be involved in the</w:t>
      </w:r>
      <w:r w:rsidR="006F288C">
        <w:t>se</w:t>
      </w:r>
      <w:r w:rsidRPr="00D056D0">
        <w:t xml:space="preserve"> information collections.  However, the</w:t>
      </w:r>
      <w:r w:rsidR="0010607C">
        <w:t>se</w:t>
      </w:r>
      <w:r w:rsidRPr="00D056D0">
        <w:t xml:space="preserve"> information collections are voluntary for small businesses and are not anticipated to </w:t>
      </w:r>
      <w:r w:rsidR="0010607C">
        <w:t xml:space="preserve">significantly </w:t>
      </w:r>
      <w:r w:rsidRPr="00D056D0">
        <w:t>burden small businesses.  The Bureau will minimize any burden by request</w:t>
      </w:r>
      <w:r w:rsidR="00FA5CCF">
        <w:t>ing</w:t>
      </w:r>
      <w:r w:rsidRPr="00D056D0">
        <w:t xml:space="preserve"> readily</w:t>
      </w:r>
      <w:r w:rsidR="004C1995">
        <w:t xml:space="preserve"> </w:t>
      </w:r>
      <w:r w:rsidRPr="00D056D0">
        <w:t xml:space="preserve">available information and using plain, short, </w:t>
      </w:r>
      <w:r w:rsidR="00FA5CCF">
        <w:t xml:space="preserve">and </w:t>
      </w:r>
      <w:r w:rsidRPr="00D056D0">
        <w:t>easy-to-complete information collection instruments.</w:t>
      </w:r>
    </w:p>
    <w:p w:rsidR="00E939D3" w:rsidRPr="00BF6D43" w:rsidP="005F1FFC" w14:paraId="2EE74F06" w14:textId="77777777">
      <w:pPr>
        <w:pStyle w:val="BodyText"/>
      </w:pPr>
    </w:p>
    <w:p w:rsidR="00F660E8" w:rsidRPr="00BF6D43" w:rsidP="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P="005F1FFC" w14:paraId="039568CD" w14:textId="6C1C163F">
      <w:pPr>
        <w:rPr>
          <w:sz w:val="24"/>
        </w:rPr>
      </w:pPr>
    </w:p>
    <w:p w:rsidR="00D056D0" w:rsidRPr="00BF6D43" w:rsidP="005F1FFC" w14:paraId="0C8E5F35" w14:textId="2124B819">
      <w:pPr>
        <w:rPr>
          <w:sz w:val="24"/>
        </w:rPr>
      </w:pPr>
      <w:r w:rsidRPr="00D056D0">
        <w:rPr>
          <w:sz w:val="24"/>
        </w:rPr>
        <w:t>Collecting, investigating, and responding to consumer complaints is one of the Bureau’s primary functions.</w:t>
      </w:r>
      <w:r>
        <w:rPr>
          <w:sz w:val="24"/>
          <w:vertAlign w:val="superscript"/>
        </w:rPr>
        <w:footnoteReference w:id="2"/>
      </w:r>
      <w:r w:rsidRPr="00D056D0">
        <w:rPr>
          <w:sz w:val="24"/>
          <w:vertAlign w:val="superscript"/>
        </w:rPr>
        <w:t xml:space="preserve">  </w:t>
      </w:r>
      <w:r w:rsidRPr="00D056D0">
        <w:rPr>
          <w:sz w:val="24"/>
        </w:rPr>
        <w:t>The submission of information by companies using the Boarding Form will be voluntary.  If the Boarding Form is not used, the Bureau will not be able to maximize the efficiency of complaint handling in partnership with companies.  There are operational efficiencies realized by companies and the Bureau by having a single OMB-approved form used to board companies to the secure portal.  Companies benefit from being able to join the portal before a complaint has been submitted about them, receiving their first</w:t>
      </w:r>
      <w:r w:rsidRPr="00D056D0">
        <w:rPr>
          <w:sz w:val="24"/>
        </w:rPr>
        <w:t xml:space="preserve"> complaint via the secure portal as soon as it is available. This also enables users to become familiar with the portal.  Using a single OMB-approved form also provides the public with transparency into and clarity about the nature of the information collection itself.  Additionally, the Bureau realizes operational efficiencies by collecting consistent information across companies.</w:t>
      </w:r>
    </w:p>
    <w:p w:rsidR="00E939D3" w:rsidRPr="00BF6D43" w:rsidP="00BE61FE" w14:paraId="224E9EAF" w14:textId="77777777">
      <w:pPr>
        <w:rPr>
          <w:sz w:val="24"/>
        </w:rPr>
      </w:pPr>
    </w:p>
    <w:p w:rsidR="00F660E8" w:rsidRPr="00BF6D43"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be conducted in a manner:</w:t>
      </w:r>
    </w:p>
    <w:p w:rsidR="00F660E8" w:rsidRPr="00BF6D43"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report information to the agency more often than </w:t>
      </w:r>
      <w:r w:rsidRPr="00BF6D43">
        <w:rPr>
          <w:b/>
          <w:bCs/>
          <w:sz w:val="24"/>
          <w:szCs w:val="24"/>
        </w:rPr>
        <w:t>quarterly;</w:t>
      </w:r>
    </w:p>
    <w:p w:rsidR="00F660E8" w:rsidRPr="00BF6D43"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prepare a written response to a collection of information in fewer than 30 days after receipt of </w:t>
      </w:r>
      <w:r w:rsidRPr="00BF6D43">
        <w:rPr>
          <w:b/>
          <w:bCs/>
          <w:sz w:val="24"/>
          <w:szCs w:val="24"/>
        </w:rPr>
        <w:t>it;</w:t>
      </w:r>
    </w:p>
    <w:p w:rsidR="00F660E8" w:rsidRPr="00BF6D43"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w:t>
      </w:r>
      <w:r w:rsidRPr="00BF6D43">
        <w:rPr>
          <w:b/>
          <w:bCs/>
          <w:sz w:val="24"/>
          <w:szCs w:val="24"/>
        </w:rPr>
        <w:t xml:space="preserve">respondents to submit more than an original and two copies of any </w:t>
      </w:r>
      <w:r w:rsidRPr="00BF6D43">
        <w:rPr>
          <w:b/>
          <w:bCs/>
          <w:sz w:val="24"/>
          <w:szCs w:val="24"/>
        </w:rPr>
        <w:t>document;</w:t>
      </w:r>
    </w:p>
    <w:p w:rsidR="00F660E8" w:rsidRPr="00BF6D43"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retain records, other than health, medical, government contract, grant-in-aid, or tax records for more than three </w:t>
      </w:r>
      <w:r w:rsidRPr="00BF6D43">
        <w:rPr>
          <w:b/>
          <w:bCs/>
          <w:sz w:val="24"/>
          <w:szCs w:val="24"/>
        </w:rPr>
        <w:t>years;</w:t>
      </w:r>
    </w:p>
    <w:p w:rsidR="00F660E8" w:rsidRPr="00BF6D43"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connection with a statistical survey, that is not designed to produce valid and reliable results that can be generalized to the universe of </w:t>
      </w:r>
      <w:r w:rsidRPr="00BF6D43">
        <w:rPr>
          <w:b/>
          <w:bCs/>
        </w:rPr>
        <w:t>study;</w:t>
      </w:r>
    </w:p>
    <w:p w:rsidR="00F660E8" w:rsidRPr="00BF6D43"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requiring the use of statistical data classification that has not been reviewed and approved by </w:t>
      </w:r>
      <w:r w:rsidRPr="00BF6D43">
        <w:rPr>
          <w:b/>
          <w:bCs/>
        </w:rPr>
        <w:t>OMB;</w:t>
      </w:r>
    </w:p>
    <w:p w:rsidR="00F660E8" w:rsidRPr="00BF6D43"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BF6D43"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00D056D0" w:rsidP="00D056D0" w14:paraId="6F594071" w14:textId="4E0A2AC2">
      <w:pPr>
        <w:rPr>
          <w:sz w:val="24"/>
        </w:rPr>
      </w:pPr>
    </w:p>
    <w:p w:rsidR="00D056D0" w:rsidRPr="00BF6D43" w:rsidP="00D056D0" w14:paraId="77172A1E" w14:textId="1C2B8C12">
      <w:pPr>
        <w:rPr>
          <w:sz w:val="24"/>
        </w:rPr>
      </w:pPr>
      <w:r w:rsidRPr="00D056D0">
        <w:rPr>
          <w:sz w:val="24"/>
        </w:rPr>
        <w:t>There are no special circumstances.  The collection of information is conducted in a manner consistent with the guidelines in 5 CFR § 1320(5)(d)(2).</w:t>
      </w:r>
    </w:p>
    <w:p w:rsidR="00E939D3" w:rsidRPr="00BF6D43" w:rsidP="005F1FFC" w14:paraId="630F2A4B" w14:textId="77777777">
      <w:pPr>
        <w:ind w:left="720"/>
        <w:rPr>
          <w:sz w:val="24"/>
        </w:rPr>
      </w:pPr>
    </w:p>
    <w:p w:rsidR="00F660E8" w:rsidRPr="00BF6D43"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 xml:space="preserve">If applicable, provide a copy and identify the date and page number of </w:t>
      </w:r>
      <w:r w:rsidRPr="00BF6D43">
        <w:rPr>
          <w:b/>
          <w:bCs/>
          <w:sz w:val="24"/>
          <w:szCs w:val="24"/>
        </w:rPr>
        <w:t>publication</w:t>
      </w:r>
      <w:r w:rsidRPr="00BF6D43">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RPr="00BF6D43"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660E8" w:rsidRPr="00BF6D43"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RPr="00BF6D43" w:rsidP="005F1FFC" w14:paraId="3454479C" w14:textId="77777777">
      <w:pPr>
        <w:rPr>
          <w:sz w:val="24"/>
        </w:rPr>
      </w:pPr>
    </w:p>
    <w:p w:rsidR="009F14CB" w:rsidP="00DB4142" w14:paraId="74BD908A" w14:textId="3713E5A2">
      <w:pPr>
        <w:rPr>
          <w:bCs/>
          <w:sz w:val="24"/>
        </w:rPr>
      </w:pPr>
      <w:r>
        <w:rPr>
          <w:bCs/>
          <w:sz w:val="24"/>
        </w:rPr>
        <w:t xml:space="preserve">Per </w:t>
      </w:r>
      <w:r>
        <w:rPr>
          <w:bCs/>
          <w:sz w:val="24"/>
        </w:rPr>
        <w:t>requirements in 44 USC 3506(c)(2)(a), the Bureau published a 60-day notice within the Federal Register</w:t>
      </w:r>
      <w:r>
        <w:rPr>
          <w:rStyle w:val="FootnoteReference"/>
          <w:bCs/>
          <w:sz w:val="24"/>
        </w:rPr>
        <w:footnoteReference w:id="3"/>
      </w:r>
      <w:r>
        <w:rPr>
          <w:bCs/>
          <w:sz w:val="24"/>
        </w:rPr>
        <w:t xml:space="preserve">.  </w:t>
      </w:r>
      <w:r w:rsidRPr="004527E8" w:rsidR="004527E8">
        <w:rPr>
          <w:bCs/>
          <w:sz w:val="24"/>
        </w:rPr>
        <w:t xml:space="preserve">The CFPB received 11 comments via Regulations.gov in response to its proposed renewal of the Consumer Complaint Intake System’s Company Portal Boarding Form. </w:t>
      </w:r>
      <w:r w:rsidR="00E92073">
        <w:rPr>
          <w:bCs/>
          <w:sz w:val="24"/>
        </w:rPr>
        <w:t xml:space="preserve"> </w:t>
      </w:r>
      <w:r w:rsidRPr="004527E8" w:rsidR="004527E8">
        <w:rPr>
          <w:bCs/>
          <w:sz w:val="24"/>
        </w:rPr>
        <w:t>A campaign also generated 8,709 nearly identical comments in support of the continued operation of the system</w:t>
      </w:r>
      <w:r w:rsidR="004527E8">
        <w:rPr>
          <w:bCs/>
          <w:sz w:val="24"/>
        </w:rPr>
        <w:t xml:space="preserve"> that were received via CFPB’s </w:t>
      </w:r>
      <w:r w:rsidR="00B04A7B">
        <w:rPr>
          <w:bCs/>
          <w:sz w:val="24"/>
        </w:rPr>
        <w:t>comment inbox</w:t>
      </w:r>
      <w:r w:rsidRPr="004527E8" w:rsidR="004527E8">
        <w:rPr>
          <w:bCs/>
          <w:sz w:val="24"/>
        </w:rPr>
        <w:t xml:space="preserve">. </w:t>
      </w:r>
      <w:r w:rsidR="003C3DB9">
        <w:rPr>
          <w:bCs/>
          <w:sz w:val="24"/>
        </w:rPr>
        <w:t xml:space="preserve"> </w:t>
      </w:r>
      <w:r w:rsidRPr="004527E8" w:rsidR="004527E8">
        <w:rPr>
          <w:bCs/>
          <w:sz w:val="24"/>
        </w:rPr>
        <w:t xml:space="preserve">The commenters submitted to Regulations.gov included major credit reporting agencies (CRAs), financial industry associations, consumer advocacy groups, legal service providers, and individual consumers. </w:t>
      </w:r>
      <w:r w:rsidR="003C3DB9">
        <w:rPr>
          <w:bCs/>
          <w:sz w:val="24"/>
        </w:rPr>
        <w:t xml:space="preserve"> </w:t>
      </w:r>
      <w:r w:rsidR="00213CCC">
        <w:rPr>
          <w:bCs/>
          <w:sz w:val="24"/>
        </w:rPr>
        <w:t>The majority of</w:t>
      </w:r>
      <w:r w:rsidR="00213CCC">
        <w:rPr>
          <w:bCs/>
          <w:sz w:val="24"/>
        </w:rPr>
        <w:t xml:space="preserve"> comments were </w:t>
      </w:r>
      <w:r w:rsidR="00C36AF8">
        <w:rPr>
          <w:bCs/>
          <w:sz w:val="24"/>
        </w:rPr>
        <w:t xml:space="preserve">not related to the </w:t>
      </w:r>
      <w:r w:rsidR="00F61240">
        <w:rPr>
          <w:bCs/>
          <w:sz w:val="24"/>
        </w:rPr>
        <w:t>Consumer Complaint Intake System Company Portal Boarding Form</w:t>
      </w:r>
      <w:r w:rsidR="0022620A">
        <w:rPr>
          <w:bCs/>
          <w:sz w:val="24"/>
        </w:rPr>
        <w:t>, which is the subject of this notice, and therefore considered out of scope</w:t>
      </w:r>
      <w:r w:rsidR="006B3D8C">
        <w:rPr>
          <w:bCs/>
          <w:sz w:val="24"/>
        </w:rPr>
        <w:t xml:space="preserve"> for this</w:t>
      </w:r>
      <w:r w:rsidR="00D44533">
        <w:rPr>
          <w:bCs/>
          <w:sz w:val="24"/>
        </w:rPr>
        <w:t xml:space="preserve"> opportunity for comment.</w:t>
      </w:r>
      <w:r w:rsidR="003C3DB9">
        <w:rPr>
          <w:bCs/>
          <w:sz w:val="24"/>
        </w:rPr>
        <w:t xml:space="preserve"> </w:t>
      </w:r>
      <w:r>
        <w:rPr>
          <w:bCs/>
          <w:sz w:val="24"/>
        </w:rPr>
        <w:t xml:space="preserve"> </w:t>
      </w:r>
      <w:r w:rsidR="00010F2C">
        <w:rPr>
          <w:bCs/>
          <w:sz w:val="24"/>
        </w:rPr>
        <w:t>Two</w:t>
      </w:r>
      <w:r>
        <w:rPr>
          <w:bCs/>
          <w:sz w:val="24"/>
        </w:rPr>
        <w:t xml:space="preserve"> comments directly addressed </w:t>
      </w:r>
      <w:r w:rsidR="00A75BE8">
        <w:rPr>
          <w:bCs/>
          <w:sz w:val="24"/>
        </w:rPr>
        <w:t xml:space="preserve">this form: </w:t>
      </w:r>
    </w:p>
    <w:p w:rsidR="00A75BE8" w:rsidRPr="002B40C5" w:rsidP="00DB4142" w14:paraId="3F080494" w14:textId="77777777">
      <w:pPr>
        <w:rPr>
          <w:bCs/>
          <w:sz w:val="24"/>
        </w:rPr>
      </w:pPr>
    </w:p>
    <w:p w:rsidR="00A75BE8" w:rsidP="00B4073D" w14:paraId="72636C42" w14:textId="7B3F7C30">
      <w:pPr>
        <w:pStyle w:val="ListParagraph"/>
        <w:numPr>
          <w:ilvl w:val="0"/>
          <w:numId w:val="25"/>
        </w:numPr>
        <w:rPr>
          <w:rFonts w:ascii="Times New Roman" w:hAnsi="Times New Roman"/>
          <w:bCs/>
          <w:sz w:val="24"/>
        </w:rPr>
      </w:pPr>
      <w:r w:rsidRPr="00EA1A1E">
        <w:rPr>
          <w:rFonts w:ascii="Times New Roman" w:hAnsi="Times New Roman"/>
          <w:bCs/>
          <w:sz w:val="24"/>
        </w:rPr>
        <w:t>A coalition of 38</w:t>
      </w:r>
      <w:r w:rsidRPr="00EA1A1E" w:rsidR="00DE1730">
        <w:rPr>
          <w:rFonts w:ascii="Times New Roman" w:hAnsi="Times New Roman"/>
          <w:bCs/>
          <w:sz w:val="24"/>
        </w:rPr>
        <w:t xml:space="preserve"> organizations representing</w:t>
      </w:r>
      <w:r w:rsidRPr="00EA1A1E">
        <w:rPr>
          <w:rFonts w:ascii="Times New Roman" w:hAnsi="Times New Roman"/>
          <w:bCs/>
          <w:sz w:val="24"/>
        </w:rPr>
        <w:t xml:space="preserve"> </w:t>
      </w:r>
      <w:r w:rsidRPr="00EA1A1E" w:rsidR="00DE1730">
        <w:rPr>
          <w:rFonts w:ascii="Times New Roman" w:hAnsi="Times New Roman"/>
          <w:bCs/>
          <w:sz w:val="24"/>
        </w:rPr>
        <w:t>consumers</w:t>
      </w:r>
      <w:r w:rsidRPr="00EA1A1E">
        <w:rPr>
          <w:rFonts w:ascii="Times New Roman" w:hAnsi="Times New Roman"/>
          <w:bCs/>
          <w:sz w:val="24"/>
        </w:rPr>
        <w:t>, civil</w:t>
      </w:r>
      <w:r w:rsidRPr="00EA1A1E" w:rsidR="00DE1730">
        <w:rPr>
          <w:rFonts w:ascii="Times New Roman" w:hAnsi="Times New Roman"/>
          <w:bCs/>
          <w:sz w:val="24"/>
        </w:rPr>
        <w:t xml:space="preserve"> rights</w:t>
      </w:r>
      <w:r w:rsidRPr="002D4FE0" w:rsidR="001F5EC9">
        <w:rPr>
          <w:rFonts w:ascii="Times New Roman" w:hAnsi="Times New Roman"/>
          <w:bCs/>
          <w:sz w:val="24"/>
        </w:rPr>
        <w:t xml:space="preserve"> advocates</w:t>
      </w:r>
      <w:r w:rsidRPr="00EA1A1E">
        <w:rPr>
          <w:rFonts w:ascii="Times New Roman" w:hAnsi="Times New Roman"/>
          <w:bCs/>
          <w:sz w:val="24"/>
        </w:rPr>
        <w:t>, community</w:t>
      </w:r>
      <w:r w:rsidRPr="00EA1A1E" w:rsidR="00DE1730">
        <w:rPr>
          <w:rFonts w:ascii="Times New Roman" w:hAnsi="Times New Roman"/>
          <w:bCs/>
          <w:sz w:val="24"/>
        </w:rPr>
        <w:t xml:space="preserve"> </w:t>
      </w:r>
      <w:r w:rsidRPr="002D4FE0" w:rsidR="001F5EC9">
        <w:rPr>
          <w:rFonts w:ascii="Times New Roman" w:hAnsi="Times New Roman"/>
          <w:bCs/>
          <w:sz w:val="24"/>
        </w:rPr>
        <w:t>advocates</w:t>
      </w:r>
      <w:r w:rsidRPr="00EA1A1E">
        <w:rPr>
          <w:rFonts w:ascii="Times New Roman" w:hAnsi="Times New Roman"/>
          <w:bCs/>
          <w:sz w:val="24"/>
        </w:rPr>
        <w:t>, housing</w:t>
      </w:r>
      <w:r w:rsidRPr="00EA1A1E" w:rsidR="00DE1730">
        <w:rPr>
          <w:rFonts w:ascii="Times New Roman" w:hAnsi="Times New Roman"/>
          <w:bCs/>
          <w:sz w:val="24"/>
        </w:rPr>
        <w:t xml:space="preserve"> advocates</w:t>
      </w:r>
      <w:r w:rsidRPr="00EA1A1E">
        <w:rPr>
          <w:rFonts w:ascii="Times New Roman" w:hAnsi="Times New Roman"/>
          <w:bCs/>
          <w:sz w:val="24"/>
        </w:rPr>
        <w:t>, privacy rights and other</w:t>
      </w:r>
      <w:r w:rsidRPr="00EA1A1E" w:rsidR="002B40C5">
        <w:rPr>
          <w:rFonts w:ascii="Times New Roman" w:hAnsi="Times New Roman"/>
          <w:bCs/>
          <w:sz w:val="24"/>
        </w:rPr>
        <w:t xml:space="preserve"> </w:t>
      </w:r>
      <w:r w:rsidRPr="00EA1A1E">
        <w:rPr>
          <w:rFonts w:ascii="Times New Roman" w:hAnsi="Times New Roman"/>
          <w:bCs/>
          <w:sz w:val="24"/>
        </w:rPr>
        <w:t>organizations</w:t>
      </w:r>
      <w:r w:rsidRPr="001F5EC9" w:rsidR="001F5EC9">
        <w:t xml:space="preserve"> </w:t>
      </w:r>
      <w:r w:rsidRPr="002D4FE0" w:rsidR="001F5EC9">
        <w:rPr>
          <w:rFonts w:ascii="Times New Roman" w:hAnsi="Times New Roman"/>
          <w:bCs/>
          <w:sz w:val="24"/>
        </w:rPr>
        <w:t>support the form’s renewal as a necessary step for onboarding companies and ensuring they can receive routed complaints efficiently</w:t>
      </w:r>
      <w:r w:rsidRPr="002D4FE0" w:rsidR="000E7502">
        <w:rPr>
          <w:rFonts w:ascii="Times New Roman" w:hAnsi="Times New Roman"/>
          <w:bCs/>
          <w:sz w:val="24"/>
        </w:rPr>
        <w:t xml:space="preserve">. </w:t>
      </w:r>
      <w:r w:rsidRPr="002D4FE0">
        <w:rPr>
          <w:rFonts w:ascii="Times New Roman" w:hAnsi="Times New Roman"/>
          <w:bCs/>
          <w:sz w:val="24"/>
        </w:rPr>
        <w:t>“The</w:t>
      </w:r>
      <w:r w:rsidRPr="002D4FE0">
        <w:rPr>
          <w:rFonts w:ascii="Times New Roman" w:hAnsi="Times New Roman"/>
          <w:bCs/>
          <w:sz w:val="24"/>
        </w:rPr>
        <w:t xml:space="preserve"> Consumer Complaint Intake System Company Portal Boarding Form is essential to the ability to handle and process complaints from a given company.”</w:t>
      </w:r>
    </w:p>
    <w:p w:rsidR="002D4FE0" w:rsidRPr="00EA1A1E" w:rsidP="002020E7" w14:paraId="474EC17B" w14:textId="4918F058">
      <w:pPr>
        <w:pStyle w:val="ListParagraph"/>
        <w:numPr>
          <w:ilvl w:val="0"/>
          <w:numId w:val="25"/>
        </w:numPr>
        <w:rPr>
          <w:rFonts w:ascii="Times New Roman" w:hAnsi="Times New Roman"/>
          <w:bCs/>
          <w:sz w:val="24"/>
        </w:rPr>
      </w:pPr>
      <w:r w:rsidRPr="00766C81">
        <w:rPr>
          <w:rFonts w:ascii="Times New Roman" w:hAnsi="Times New Roman"/>
          <w:bCs/>
          <w:sz w:val="24"/>
        </w:rPr>
        <w:t>The American Financial Services Association</w:t>
      </w:r>
      <w:r w:rsidRPr="00766C81" w:rsidR="00ED4422">
        <w:rPr>
          <w:rFonts w:ascii="Times New Roman" w:hAnsi="Times New Roman"/>
          <w:bCs/>
          <w:sz w:val="24"/>
        </w:rPr>
        <w:t xml:space="preserve"> recommends narrowing the form to essential fields to reduce burden during company onboarding</w:t>
      </w:r>
      <w:r w:rsidRPr="00766C81" w:rsidR="00756157">
        <w:rPr>
          <w:rFonts w:ascii="Times New Roman" w:hAnsi="Times New Roman"/>
          <w:bCs/>
          <w:sz w:val="24"/>
        </w:rPr>
        <w:t xml:space="preserve">, requesting the </w:t>
      </w:r>
      <w:r w:rsidRPr="00766C81" w:rsidR="002020E7">
        <w:rPr>
          <w:rFonts w:ascii="Times New Roman" w:hAnsi="Times New Roman"/>
          <w:bCs/>
          <w:sz w:val="24"/>
        </w:rPr>
        <w:t xml:space="preserve">reconsideration of the following fields: Tax ID and Financial Institution numbers, </w:t>
      </w:r>
      <w:r w:rsidRPr="00EA1A1E" w:rsidR="002020E7">
        <w:rPr>
          <w:rFonts w:ascii="Times New Roman" w:hAnsi="Times New Roman"/>
          <w:bCs/>
          <w:sz w:val="24"/>
        </w:rPr>
        <w:t xml:space="preserve">URL or website, </w:t>
      </w:r>
      <w:r w:rsidR="00BD2EBB">
        <w:rPr>
          <w:rFonts w:ascii="Times New Roman" w:hAnsi="Times New Roman"/>
          <w:bCs/>
          <w:sz w:val="24"/>
        </w:rPr>
        <w:t>s</w:t>
      </w:r>
      <w:r w:rsidRPr="00EA1A1E" w:rsidR="002020E7">
        <w:rPr>
          <w:rFonts w:ascii="Times New Roman" w:hAnsi="Times New Roman"/>
          <w:bCs/>
          <w:sz w:val="24"/>
        </w:rPr>
        <w:t xml:space="preserve">tate license information, </w:t>
      </w:r>
      <w:r w:rsidR="00BD2EBB">
        <w:rPr>
          <w:rFonts w:ascii="Times New Roman" w:hAnsi="Times New Roman"/>
          <w:bCs/>
          <w:sz w:val="24"/>
        </w:rPr>
        <w:t>w</w:t>
      </w:r>
      <w:r w:rsidRPr="00EA1A1E" w:rsidR="002020E7">
        <w:rPr>
          <w:rFonts w:ascii="Times New Roman" w:hAnsi="Times New Roman"/>
          <w:bCs/>
          <w:sz w:val="24"/>
        </w:rPr>
        <w:t xml:space="preserve">hether the company is web-based, and </w:t>
      </w:r>
      <w:r w:rsidR="00BD2EBB">
        <w:rPr>
          <w:rFonts w:ascii="Times New Roman" w:hAnsi="Times New Roman"/>
          <w:bCs/>
          <w:sz w:val="24"/>
        </w:rPr>
        <w:t>i</w:t>
      </w:r>
      <w:r w:rsidRPr="00EA1A1E" w:rsidR="002020E7">
        <w:rPr>
          <w:rFonts w:ascii="Times New Roman" w:hAnsi="Times New Roman"/>
          <w:bCs/>
          <w:sz w:val="24"/>
        </w:rPr>
        <w:t xml:space="preserve">dentity of subsidiaries. </w:t>
      </w:r>
      <w:r w:rsidR="00E451D8">
        <w:rPr>
          <w:rFonts w:ascii="Times New Roman" w:hAnsi="Times New Roman"/>
          <w:bCs/>
          <w:sz w:val="24"/>
        </w:rPr>
        <w:t xml:space="preserve">This information </w:t>
      </w:r>
      <w:r w:rsidR="008E08A3">
        <w:rPr>
          <w:rFonts w:ascii="Times New Roman" w:hAnsi="Times New Roman"/>
          <w:bCs/>
          <w:sz w:val="24"/>
        </w:rPr>
        <w:t xml:space="preserve">in necessary for CFPB to understand if it has regulatory jurisdiction over the </w:t>
      </w:r>
      <w:r w:rsidR="00FC5C59">
        <w:rPr>
          <w:rFonts w:ascii="Times New Roman" w:hAnsi="Times New Roman"/>
          <w:bCs/>
          <w:sz w:val="24"/>
        </w:rPr>
        <w:t>company</w:t>
      </w:r>
      <w:r w:rsidR="008E08A3">
        <w:rPr>
          <w:rFonts w:ascii="Times New Roman" w:hAnsi="Times New Roman"/>
          <w:bCs/>
          <w:sz w:val="24"/>
        </w:rPr>
        <w:t xml:space="preserve">, </w:t>
      </w:r>
      <w:r w:rsidR="00C528C9">
        <w:rPr>
          <w:rFonts w:ascii="Times New Roman" w:hAnsi="Times New Roman"/>
          <w:bCs/>
          <w:sz w:val="24"/>
        </w:rPr>
        <w:t xml:space="preserve">where it is incorporated, </w:t>
      </w:r>
      <w:r w:rsidR="00F45C29">
        <w:rPr>
          <w:rFonts w:ascii="Times New Roman" w:hAnsi="Times New Roman"/>
          <w:bCs/>
          <w:sz w:val="24"/>
        </w:rPr>
        <w:t>that complaints are delivered to the correct company</w:t>
      </w:r>
      <w:r w:rsidR="00994261">
        <w:rPr>
          <w:rFonts w:ascii="Times New Roman" w:hAnsi="Times New Roman"/>
          <w:bCs/>
          <w:sz w:val="24"/>
        </w:rPr>
        <w:t xml:space="preserve">, and if it is associated with other regulated institutions. </w:t>
      </w:r>
      <w:r w:rsidR="00E23109">
        <w:rPr>
          <w:rFonts w:ascii="Times New Roman" w:hAnsi="Times New Roman"/>
          <w:bCs/>
          <w:sz w:val="24"/>
        </w:rPr>
        <w:t xml:space="preserve">For example, 88 different locations in the U.S. </w:t>
      </w:r>
      <w:r w:rsidR="00DC3B79">
        <w:rPr>
          <w:rFonts w:ascii="Times New Roman" w:hAnsi="Times New Roman"/>
          <w:bCs/>
          <w:sz w:val="24"/>
        </w:rPr>
        <w:t xml:space="preserve">bear the name “Washington,” from states to cities and towns. When CFPB </w:t>
      </w:r>
      <w:r w:rsidR="002017D3">
        <w:rPr>
          <w:rFonts w:ascii="Times New Roman" w:hAnsi="Times New Roman"/>
          <w:bCs/>
          <w:sz w:val="24"/>
        </w:rPr>
        <w:t xml:space="preserve">receives a complaint for “The Bank of Washington,” the information from these fields </w:t>
      </w:r>
      <w:r w:rsidR="00045D2D">
        <w:rPr>
          <w:rFonts w:ascii="Times New Roman" w:hAnsi="Times New Roman"/>
          <w:bCs/>
          <w:sz w:val="24"/>
        </w:rPr>
        <w:t>supports</w:t>
      </w:r>
      <w:r w:rsidR="00452142">
        <w:rPr>
          <w:rFonts w:ascii="Times New Roman" w:hAnsi="Times New Roman"/>
          <w:bCs/>
          <w:sz w:val="24"/>
        </w:rPr>
        <w:t xml:space="preserve"> the a</w:t>
      </w:r>
      <w:r w:rsidR="00AF5405">
        <w:rPr>
          <w:rFonts w:ascii="Times New Roman" w:hAnsi="Times New Roman"/>
          <w:bCs/>
          <w:sz w:val="24"/>
        </w:rPr>
        <w:t xml:space="preserve">ccurate </w:t>
      </w:r>
      <w:r w:rsidR="00CA4EFA">
        <w:rPr>
          <w:rFonts w:ascii="Times New Roman" w:hAnsi="Times New Roman"/>
          <w:bCs/>
          <w:sz w:val="24"/>
        </w:rPr>
        <w:t>referral</w:t>
      </w:r>
      <w:r w:rsidR="00452142">
        <w:rPr>
          <w:rFonts w:ascii="Times New Roman" w:hAnsi="Times New Roman"/>
          <w:bCs/>
          <w:sz w:val="24"/>
        </w:rPr>
        <w:t xml:space="preserve"> of the submission for </w:t>
      </w:r>
      <w:r w:rsidR="00045D2D">
        <w:rPr>
          <w:rFonts w:ascii="Times New Roman" w:hAnsi="Times New Roman"/>
          <w:bCs/>
          <w:sz w:val="24"/>
        </w:rPr>
        <w:t>its</w:t>
      </w:r>
      <w:r w:rsidR="00452142">
        <w:rPr>
          <w:rFonts w:ascii="Times New Roman" w:hAnsi="Times New Roman"/>
          <w:bCs/>
          <w:sz w:val="24"/>
        </w:rPr>
        <w:t xml:space="preserve"> timely resolution.</w:t>
      </w:r>
    </w:p>
    <w:p w:rsidR="00E939D3" w:rsidP="005F1FFC" w14:paraId="6891C959" w14:textId="77777777">
      <w:pPr>
        <w:rPr>
          <w:sz w:val="24"/>
        </w:rPr>
      </w:pPr>
    </w:p>
    <w:p w:rsidR="00AF5AC2" w:rsidP="00F660E8" w14:paraId="4229189C" w14:textId="00D6FF7E">
      <w:pPr>
        <w:autoSpaceDE w:val="0"/>
        <w:autoSpaceDN w:val="0"/>
        <w:adjustRightInd w:val="0"/>
        <w:rPr>
          <w:bCs/>
          <w:sz w:val="24"/>
        </w:rPr>
      </w:pPr>
      <w:r>
        <w:rPr>
          <w:bCs/>
          <w:sz w:val="24"/>
        </w:rPr>
        <w:t>Per requirements in 44 USC 3507(b), the Bureau also published a 30-day notice within the Federal Register</w:t>
      </w:r>
      <w:r>
        <w:rPr>
          <w:rStyle w:val="FootnoteReference"/>
          <w:bCs/>
          <w:sz w:val="24"/>
        </w:rPr>
        <w:footnoteReference w:id="4"/>
      </w:r>
      <w:r>
        <w:rPr>
          <w:bCs/>
          <w:sz w:val="24"/>
        </w:rPr>
        <w:t>.  That notice directed respondents to submit comments directly to the OMB desk officer per normative procedure.</w:t>
      </w:r>
    </w:p>
    <w:p w:rsidR="00AF5AC2" w:rsidP="00F660E8" w14:paraId="0E20786D" w14:textId="77777777">
      <w:pPr>
        <w:autoSpaceDE w:val="0"/>
        <w:autoSpaceDN w:val="0"/>
        <w:adjustRightInd w:val="0"/>
        <w:rPr>
          <w:bCs/>
          <w:sz w:val="24"/>
        </w:rPr>
      </w:pPr>
    </w:p>
    <w:p w:rsidR="00F660E8" w:rsidRPr="00BF6D43" w:rsidP="00F660E8" w14:paraId="3BE65949" w14:textId="063DDBA8">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005F1FFC" w:rsidP="005F1FFC" w14:paraId="0EFC2C53" w14:textId="5C2CF1DD">
      <w:pPr>
        <w:rPr>
          <w:sz w:val="24"/>
        </w:rPr>
      </w:pPr>
    </w:p>
    <w:p w:rsidR="00D8511F" w:rsidRPr="00BF6D43" w:rsidP="005F1FFC" w14:paraId="43479143" w14:textId="771B6722">
      <w:pPr>
        <w:rPr>
          <w:sz w:val="24"/>
        </w:rPr>
      </w:pPr>
      <w:r w:rsidRPr="00D8511F">
        <w:rPr>
          <w:sz w:val="24"/>
        </w:rPr>
        <w:t>The information collections do not provide any payment or gift to respondents.</w:t>
      </w:r>
    </w:p>
    <w:p w:rsidR="00A93967" w:rsidRPr="00BF6D43" w:rsidP="009E1042" w14:paraId="7CFFEB9F" w14:textId="77777777">
      <w:pPr>
        <w:rPr>
          <w:sz w:val="24"/>
          <w:szCs w:val="24"/>
        </w:rPr>
      </w:pPr>
    </w:p>
    <w:p w:rsidR="00F660E8" w:rsidRPr="00BF6D43" w:rsidP="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005F1FFC" w:rsidRPr="00BF6D43" w:rsidP="005F1FFC" w14:paraId="59FF77B7" w14:textId="77777777">
      <w:pPr>
        <w:ind w:left="720"/>
        <w:rPr>
          <w:sz w:val="24"/>
        </w:rPr>
      </w:pPr>
    </w:p>
    <w:p w:rsidR="00D8511F" w:rsidRPr="00D8511F" w:rsidP="00D8511F" w14:paraId="6010ECEA" w14:textId="00AB8E11">
      <w:pPr>
        <w:rPr>
          <w:sz w:val="24"/>
        </w:rPr>
      </w:pPr>
      <w:r w:rsidRPr="00D8511F">
        <w:rPr>
          <w:sz w:val="24"/>
        </w:rPr>
        <w:t>All information collection activities will be conducted in full compliance with the requirements for the protection of nonpublic information and personally identifiable information and for data security and integrity set forth in the federal privacy laws, including the Bureau’s rules (12 CFR § 1070.50 et seq.) pursuant to the Privacy Act (5 U.S.C. § 552a).  At the point of information collection, the Bureau’s website explains that personally identifiable information will be kept private to the extent permit</w:t>
      </w:r>
      <w:r w:rsidRPr="00D8511F">
        <w:rPr>
          <w:sz w:val="24"/>
        </w:rPr>
        <w:t>ted by law and Bureau rules.  The Bureau website privacy policy further explains the Bureau’s privacy practices.</w:t>
      </w:r>
      <w:r>
        <w:rPr>
          <w:sz w:val="24"/>
          <w:vertAlign w:val="superscript"/>
        </w:rPr>
        <w:footnoteReference w:id="5"/>
      </w:r>
      <w:r w:rsidRPr="00D8511F">
        <w:rPr>
          <w:sz w:val="24"/>
        </w:rPr>
        <w:t xml:space="preserve">  The form includes a Privacy Act </w:t>
      </w:r>
      <w:r w:rsidR="0016702A">
        <w:rPr>
          <w:sz w:val="24"/>
        </w:rPr>
        <w:t>s</w:t>
      </w:r>
      <w:r w:rsidRPr="00D8511F">
        <w:rPr>
          <w:sz w:val="24"/>
        </w:rPr>
        <w:t>tatement</w:t>
      </w:r>
      <w:r w:rsidRPr="00D8511F">
        <w:rPr>
          <w:sz w:val="24"/>
        </w:rPr>
        <w:t xml:space="preserve"> and the website privacy policy will be located on the bottom of the web-form page.</w:t>
      </w:r>
    </w:p>
    <w:p w:rsidR="00D8511F" w:rsidRPr="00D8511F" w:rsidP="00D8511F" w14:paraId="045DA640" w14:textId="77777777">
      <w:pPr>
        <w:rPr>
          <w:sz w:val="24"/>
        </w:rPr>
      </w:pPr>
    </w:p>
    <w:p w:rsidR="00D8511F" w:rsidRPr="00D8511F" w:rsidP="00D8511F" w14:paraId="17BFA58B" w14:textId="77777777">
      <w:pPr>
        <w:rPr>
          <w:sz w:val="24"/>
        </w:rPr>
      </w:pPr>
      <w:r w:rsidRPr="00D8511F">
        <w:rPr>
          <w:sz w:val="24"/>
        </w:rPr>
        <w:t>The Bureau has in place the appropriate security measures to ensure data is safeguarded, including the use of locked file storage, confidentiality stamping, restricted system access, data encryption, restricted print options, and disposal by cross-cut shredding.  The information system is fully compliant with the Federal Information Security Management Act of 2002 security category of “Moderate, Moderate, Low.”</w:t>
      </w:r>
    </w:p>
    <w:p w:rsidR="00D8511F" w:rsidRPr="00D8511F" w:rsidP="00D8511F" w14:paraId="2E3E7321" w14:textId="77777777">
      <w:pPr>
        <w:rPr>
          <w:sz w:val="24"/>
        </w:rPr>
      </w:pPr>
    </w:p>
    <w:p w:rsidR="00D8511F" w:rsidRPr="00D8511F" w:rsidP="00D8511F" w14:paraId="2CD38438" w14:textId="374EA0D6">
      <w:pPr>
        <w:rPr>
          <w:sz w:val="24"/>
        </w:rPr>
      </w:pPr>
      <w:r w:rsidRPr="00D8511F">
        <w:rPr>
          <w:sz w:val="24"/>
        </w:rPr>
        <w:t>On March 20, 2013, the Bureau published a Privacy Impact Assessment (PIA) for the Consumer Response System</w:t>
      </w:r>
      <w:r w:rsidR="00EA1A1E">
        <w:rPr>
          <w:sz w:val="24"/>
        </w:rPr>
        <w:t xml:space="preserve"> and updated the PIA in August 2024</w:t>
      </w:r>
      <w:r w:rsidRPr="00D8511F">
        <w:rPr>
          <w:sz w:val="24"/>
        </w:rPr>
        <w:t xml:space="preserve">. </w:t>
      </w:r>
      <w:r w:rsidRPr="001727A9" w:rsidR="005F5CDD">
        <w:rPr>
          <w:color w:val="000000"/>
          <w:sz w:val="24"/>
          <w:szCs w:val="24"/>
        </w:rPr>
        <w:t>Pursuant to</w:t>
      </w:r>
      <w:r w:rsidR="005F5CDD">
        <w:rPr>
          <w:color w:val="000000"/>
          <w:sz w:val="24"/>
          <w:szCs w:val="24"/>
        </w:rPr>
        <w:t xml:space="preserve"> the E-Government Act of 2002,</w:t>
      </w:r>
      <w:r w:rsidRPr="00120C6F" w:rsidR="005F5CDD">
        <w:rPr>
          <w:sz w:val="24"/>
        </w:rPr>
        <w:t xml:space="preserve"> </w:t>
      </w:r>
      <w:r w:rsidR="005F5CDD">
        <w:rPr>
          <w:sz w:val="24"/>
        </w:rPr>
        <w:t>t</w:t>
      </w:r>
      <w:r w:rsidRPr="00D8511F">
        <w:rPr>
          <w:sz w:val="24"/>
        </w:rPr>
        <w:t xml:space="preserve">he Bureau uses PIAs to document how the personally identifiable information (PII) it collects is used, secured, and destroyed in a way that protects </w:t>
      </w:r>
      <w:r w:rsidRPr="00D8511F">
        <w:rPr>
          <w:sz w:val="24"/>
        </w:rPr>
        <w:t>each individual’s</w:t>
      </w:r>
      <w:r w:rsidRPr="00D8511F">
        <w:rPr>
          <w:sz w:val="24"/>
        </w:rPr>
        <w:t xml:space="preserve"> privacy.  </w:t>
      </w:r>
      <w:r w:rsidR="005F5CDD">
        <w:rPr>
          <w:color w:val="000000"/>
          <w:sz w:val="24"/>
          <w:szCs w:val="24"/>
        </w:rPr>
        <w:t>Additionally, the PIA identifies privacy risks associated with the system and information collection and mitigations the Bureau takes to address these risks</w:t>
      </w:r>
      <w:r w:rsidRPr="001727A9" w:rsidR="005F5CDD">
        <w:rPr>
          <w:color w:val="000000"/>
          <w:sz w:val="24"/>
          <w:szCs w:val="24"/>
        </w:rPr>
        <w:t>.</w:t>
      </w:r>
      <w:r w:rsidR="005F5CDD">
        <w:rPr>
          <w:color w:val="000000"/>
          <w:sz w:val="24"/>
          <w:szCs w:val="24"/>
        </w:rPr>
        <w:t xml:space="preserve"> </w:t>
      </w:r>
      <w:r w:rsidRPr="00D8511F">
        <w:rPr>
          <w:sz w:val="24"/>
        </w:rPr>
        <w:t>The PIA is p</w:t>
      </w:r>
      <w:r w:rsidR="005F5CDD">
        <w:rPr>
          <w:sz w:val="24"/>
        </w:rPr>
        <w:t>ublished</w:t>
      </w:r>
      <w:r w:rsidRPr="00D8511F">
        <w:rPr>
          <w:sz w:val="24"/>
        </w:rPr>
        <w:t xml:space="preserve"> on the Bureau’s website at </w:t>
      </w:r>
      <w:r w:rsidRPr="00996FA0" w:rsidR="00EA1A1E">
        <w:rPr>
          <w:rStyle w:val="Hyperlink"/>
          <w:sz w:val="24"/>
        </w:rPr>
        <w:t>https://files.consumerfinance.gov/f/documents/cfpb_consumer-response-system-pia-v2_2024-08.pdf</w:t>
      </w:r>
      <w:r w:rsidRPr="00D8511F" w:rsidR="00EA1A1E">
        <w:rPr>
          <w:sz w:val="24"/>
        </w:rPr>
        <w:t>.</w:t>
      </w:r>
      <w:r w:rsidR="00147B21">
        <w:rPr>
          <w:sz w:val="24"/>
        </w:rPr>
        <w:t xml:space="preserve"> </w:t>
      </w:r>
    </w:p>
    <w:p w:rsidR="00D8511F" w:rsidRPr="00D8511F" w:rsidP="00D8511F" w14:paraId="498419E8" w14:textId="77777777">
      <w:pPr>
        <w:rPr>
          <w:sz w:val="24"/>
        </w:rPr>
      </w:pPr>
    </w:p>
    <w:p w:rsidR="00D8511F" w:rsidRPr="00D8511F" w:rsidP="00D8511F" w14:paraId="6BE2B0A5" w14:textId="77E60029">
      <w:pPr>
        <w:rPr>
          <w:sz w:val="24"/>
        </w:rPr>
      </w:pPr>
      <w:r w:rsidRPr="00D8511F">
        <w:rPr>
          <w:sz w:val="24"/>
        </w:rPr>
        <w:t xml:space="preserve">Additionally, in accordance with the Privacy Act of 1974, as </w:t>
      </w:r>
      <w:r w:rsidRPr="00D8511F">
        <w:rPr>
          <w:sz w:val="24"/>
        </w:rPr>
        <w:t>amended, the Bureau published a Systems of Records Notice (SORN) in the Federal Register (</w:t>
      </w:r>
      <w:r w:rsidR="00304F94">
        <w:rPr>
          <w:sz w:val="24"/>
        </w:rPr>
        <w:t>83</w:t>
      </w:r>
      <w:r w:rsidRPr="00D8511F">
        <w:rPr>
          <w:sz w:val="24"/>
        </w:rPr>
        <w:t xml:space="preserve"> FR</w:t>
      </w:r>
      <w:r w:rsidR="00304F94">
        <w:rPr>
          <w:sz w:val="24"/>
        </w:rPr>
        <w:t xml:space="preserve"> </w:t>
      </w:r>
      <w:r w:rsidRPr="009B366A" w:rsidR="00304F94">
        <w:rPr>
          <w:sz w:val="24"/>
        </w:rPr>
        <w:t>32640</w:t>
      </w:r>
      <w:r w:rsidRPr="00D8511F">
        <w:rPr>
          <w:sz w:val="24"/>
        </w:rPr>
        <w:t xml:space="preserve">, </w:t>
      </w:r>
      <w:r w:rsidR="00304F94">
        <w:rPr>
          <w:sz w:val="24"/>
        </w:rPr>
        <w:t>July</w:t>
      </w:r>
      <w:r w:rsidRPr="00D8511F">
        <w:rPr>
          <w:sz w:val="24"/>
        </w:rPr>
        <w:t>1</w:t>
      </w:r>
      <w:r w:rsidR="00304F94">
        <w:rPr>
          <w:sz w:val="24"/>
        </w:rPr>
        <w:t>3</w:t>
      </w:r>
      <w:r w:rsidRPr="00D8511F">
        <w:rPr>
          <w:sz w:val="24"/>
        </w:rPr>
        <w:t>, 201</w:t>
      </w:r>
      <w:r w:rsidR="00304F94">
        <w:rPr>
          <w:sz w:val="24"/>
        </w:rPr>
        <w:t>8</w:t>
      </w:r>
      <w:r w:rsidRPr="00D8511F">
        <w:rPr>
          <w:sz w:val="24"/>
        </w:rPr>
        <w:t>).  The title for the SORN is CFPB.005—Consumer Response System. The SORN is available on the Internet at</w:t>
      </w:r>
      <w:r w:rsidR="00C36866">
        <w:rPr>
          <w:sz w:val="24"/>
        </w:rPr>
        <w:t xml:space="preserve"> </w:t>
      </w:r>
      <w:hyperlink r:id="rId10" w:history="1">
        <w:r w:rsidRPr="009A13AB" w:rsidR="00304F94">
          <w:rPr>
            <w:rStyle w:val="Hyperlink"/>
            <w:sz w:val="24"/>
            <w:szCs w:val="24"/>
          </w:rPr>
          <w:t>https://www.federalregister.gov/documents/2018/07/13/2018-14990/privacy-act-of-1974-system-of-records</w:t>
        </w:r>
      </w:hyperlink>
      <w:r w:rsidRPr="00D8511F">
        <w:rPr>
          <w:sz w:val="24"/>
        </w:rPr>
        <w:t>.</w:t>
      </w:r>
    </w:p>
    <w:p w:rsidR="00D8511F" w:rsidRPr="00BF6D43" w:rsidP="00D8511F" w14:paraId="4838C8B6" w14:textId="77777777">
      <w:pPr>
        <w:rPr>
          <w:sz w:val="24"/>
        </w:rPr>
      </w:pPr>
    </w:p>
    <w:p w:rsidR="00F660E8" w:rsidRPr="00BF6D43" w:rsidP="00F660E8" w14:paraId="466038D0" w14:textId="77777777">
      <w:pPr>
        <w:rPr>
          <w:sz w:val="24"/>
        </w:rPr>
      </w:pPr>
      <w:r w:rsidRPr="00BF6D43">
        <w:rPr>
          <w:b/>
          <w:sz w:val="24"/>
          <w:szCs w:val="24"/>
        </w:rPr>
        <w:t xml:space="preserve">11.  </w:t>
      </w:r>
      <w:r w:rsidRPr="00BF6D43">
        <w:rPr>
          <w:b/>
          <w:bCs/>
          <w:sz w:val="24"/>
          <w:szCs w:val="24"/>
        </w:rPr>
        <w:t xml:space="preserve">Provide additional </w:t>
      </w:r>
      <w:r w:rsidRPr="00BF6D43">
        <w:rPr>
          <w:b/>
          <w:bCs/>
          <w:sz w:val="24"/>
          <w:szCs w:val="24"/>
        </w:rPr>
        <w:t>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1FFC" w:rsidRPr="00BF6D43" w:rsidP="005F1FFC" w14:paraId="74706F28" w14:textId="77777777">
      <w:pPr>
        <w:ind w:left="720"/>
        <w:rPr>
          <w:sz w:val="24"/>
        </w:rPr>
      </w:pPr>
    </w:p>
    <w:p w:rsidR="00A93967" w:rsidP="005F1FFC" w14:paraId="42E5A68A" w14:textId="5081103D">
      <w:pPr>
        <w:pStyle w:val="BodyText"/>
      </w:pPr>
      <w:r w:rsidRPr="00D8511F">
        <w:t xml:space="preserve">While much of the information requested in the Boarding Form is commercial information generally available to the public, some fields do ask for sensitive, nonpublic information.  For instance, the form asks for the company’s point-of-contact and a </w:t>
      </w:r>
      <w:r w:rsidRPr="00D8511F">
        <w:t xml:space="preserve">designee </w:t>
      </w:r>
      <w:r w:rsidRPr="00D8511F" w:rsidR="00147B21">
        <w:t>and</w:t>
      </w:r>
      <w:r w:rsidRPr="00D8511F">
        <w:t xml:space="preserve"> asks for the company’s tax ID number.  Nonpublic information will not be disclosed to the public and will be held in an encrypted system for their protection.</w:t>
      </w:r>
    </w:p>
    <w:p w:rsidR="00D8511F" w:rsidRPr="00BF6D43" w:rsidP="005F1FFC" w14:paraId="0F89F3CA" w14:textId="77777777">
      <w:pPr>
        <w:pStyle w:val="BodyText"/>
      </w:pPr>
    </w:p>
    <w:p w:rsidR="00F660E8" w:rsidRPr="00BF6D43" w:rsidP="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00F660E8" w:rsidRPr="00BF6D43"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w:t>
      </w:r>
      <w:r w:rsidRPr="00BF6D43">
        <w:rPr>
          <w:b/>
          <w:bCs/>
          <w:sz w:val="24"/>
          <w:szCs w:val="24"/>
        </w:rPr>
        <w:t>xplain the reasons for the variance.  General, estimates should not include burden hours for customary and usual business practices.</w:t>
      </w:r>
    </w:p>
    <w:p w:rsidR="00F660E8" w:rsidRPr="00BF6D43"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00F660E8" w:rsidRPr="00BF6D43"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16BB" w:rsidP="005F1FFC" w14:paraId="18388E76" w14:textId="23CF03E1">
      <w:pPr>
        <w:rPr>
          <w:bCs/>
          <w:sz w:val="24"/>
        </w:rPr>
      </w:pPr>
    </w:p>
    <w:p w:rsidR="00D8511F" w:rsidRPr="00D8511F" w:rsidP="00D8511F" w14:paraId="67A9231E" w14:textId="7AC4A53A">
      <w:pPr>
        <w:rPr>
          <w:bCs/>
          <w:sz w:val="24"/>
        </w:rPr>
      </w:pPr>
      <w:r w:rsidRPr="00D8511F">
        <w:rPr>
          <w:bCs/>
          <w:sz w:val="24"/>
        </w:rPr>
        <w:t xml:space="preserve">Respondents include companies that are the subjects of consumer complaints and companies that are service providers of the companies that are the subjects of consumer complaints.  The Bureau estimates that approximately </w:t>
      </w:r>
      <w:r w:rsidR="00CC4163">
        <w:rPr>
          <w:bCs/>
          <w:sz w:val="24"/>
        </w:rPr>
        <w:t>400</w:t>
      </w:r>
      <w:r w:rsidRPr="00D8511F">
        <w:rPr>
          <w:bCs/>
          <w:sz w:val="24"/>
        </w:rPr>
        <w:t xml:space="preserve"> companies will submit the Boarding Form for the first time per year.  </w:t>
      </w:r>
      <w:r w:rsidR="002A14C0">
        <w:rPr>
          <w:bCs/>
          <w:sz w:val="24"/>
        </w:rPr>
        <w:t xml:space="preserve">This reflect the same estimate used the last time this form was renewed, </w:t>
      </w:r>
      <w:r w:rsidR="002A14C0">
        <w:rPr>
          <w:bCs/>
          <w:sz w:val="24"/>
        </w:rPr>
        <w:t>and also</w:t>
      </w:r>
      <w:r w:rsidR="002A14C0">
        <w:rPr>
          <w:bCs/>
          <w:sz w:val="24"/>
        </w:rPr>
        <w:t xml:space="preserve"> reflect current trends observed by the Office of Consumer Response. </w:t>
      </w:r>
    </w:p>
    <w:p w:rsidR="00D8511F" w:rsidRPr="00D8511F" w:rsidP="00D8511F" w14:paraId="68BB572F" w14:textId="5F755DD8">
      <w:pPr>
        <w:rPr>
          <w:b/>
          <w:bCs/>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2"/>
        <w:gridCol w:w="1454"/>
        <w:gridCol w:w="1278"/>
        <w:gridCol w:w="1309"/>
        <w:gridCol w:w="1123"/>
        <w:gridCol w:w="1136"/>
      </w:tblGrid>
      <w:tr w14:paraId="52E63DE1" w14:textId="77777777" w:rsidTr="00EA44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22" w:type="dxa"/>
            <w:tcBorders>
              <w:bottom w:val="single" w:sz="4" w:space="0" w:color="auto"/>
            </w:tcBorders>
            <w:shd w:val="clear" w:color="auto" w:fill="D9D9D9" w:themeFill="background1" w:themeFillShade="D9"/>
          </w:tcPr>
          <w:p w:rsidR="00D8511F" w:rsidRPr="001062EE" w:rsidP="00D8511F" w14:paraId="760C9B09" w14:textId="77777777">
            <w:pPr>
              <w:rPr>
                <w:b/>
                <w:bCs/>
              </w:rPr>
            </w:pPr>
            <w:r w:rsidRPr="001062EE">
              <w:rPr>
                <w:b/>
                <w:bCs/>
              </w:rPr>
              <w:t>Collection of Information</w:t>
            </w:r>
          </w:p>
        </w:tc>
        <w:tc>
          <w:tcPr>
            <w:tcW w:w="1454" w:type="dxa"/>
            <w:tcBorders>
              <w:bottom w:val="single" w:sz="4" w:space="0" w:color="auto"/>
            </w:tcBorders>
            <w:shd w:val="clear" w:color="auto" w:fill="D9D9D9" w:themeFill="background1" w:themeFillShade="D9"/>
          </w:tcPr>
          <w:p w:rsidR="00D8511F" w:rsidRPr="001062EE" w:rsidP="00D8511F" w14:paraId="5CA496DD" w14:textId="77777777">
            <w:pPr>
              <w:rPr>
                <w:b/>
                <w:bCs/>
              </w:rPr>
            </w:pPr>
            <w:r w:rsidRPr="001062EE">
              <w:rPr>
                <w:b/>
                <w:bCs/>
              </w:rPr>
              <w:t>Number of Respondents</w:t>
            </w:r>
          </w:p>
        </w:tc>
        <w:tc>
          <w:tcPr>
            <w:tcW w:w="1278" w:type="dxa"/>
            <w:tcBorders>
              <w:bottom w:val="single" w:sz="4" w:space="0" w:color="auto"/>
            </w:tcBorders>
            <w:shd w:val="clear" w:color="auto" w:fill="D9D9D9" w:themeFill="background1" w:themeFillShade="D9"/>
          </w:tcPr>
          <w:p w:rsidR="00D8511F" w:rsidRPr="001062EE" w:rsidP="00D8511F" w14:paraId="313C7A06" w14:textId="77777777">
            <w:pPr>
              <w:rPr>
                <w:b/>
                <w:bCs/>
              </w:rPr>
            </w:pPr>
            <w:r w:rsidRPr="001062EE">
              <w:rPr>
                <w:b/>
                <w:bCs/>
              </w:rPr>
              <w:t>Frequency</w:t>
            </w:r>
          </w:p>
        </w:tc>
        <w:tc>
          <w:tcPr>
            <w:tcW w:w="1309" w:type="dxa"/>
            <w:tcBorders>
              <w:bottom w:val="single" w:sz="4" w:space="0" w:color="auto"/>
            </w:tcBorders>
            <w:shd w:val="clear" w:color="auto" w:fill="D9D9D9" w:themeFill="background1" w:themeFillShade="D9"/>
          </w:tcPr>
          <w:p w:rsidR="00D8511F" w:rsidRPr="001062EE" w:rsidP="00D8511F" w14:paraId="7821F492" w14:textId="77777777">
            <w:pPr>
              <w:rPr>
                <w:b/>
                <w:bCs/>
              </w:rPr>
            </w:pPr>
            <w:r w:rsidRPr="001062EE">
              <w:rPr>
                <w:b/>
                <w:bCs/>
                <w:lang w:val="x-none"/>
              </w:rPr>
              <w:t>Number of Respon</w:t>
            </w:r>
            <w:r w:rsidRPr="001062EE">
              <w:rPr>
                <w:b/>
                <w:bCs/>
              </w:rPr>
              <w:t>ses</w:t>
            </w:r>
          </w:p>
        </w:tc>
        <w:tc>
          <w:tcPr>
            <w:tcW w:w="1123" w:type="dxa"/>
            <w:tcBorders>
              <w:bottom w:val="single" w:sz="4" w:space="0" w:color="auto"/>
            </w:tcBorders>
            <w:shd w:val="clear" w:color="auto" w:fill="D9D9D9" w:themeFill="background1" w:themeFillShade="D9"/>
          </w:tcPr>
          <w:p w:rsidR="00D8511F" w:rsidRPr="001062EE" w:rsidP="00D8511F" w14:paraId="49B06E50" w14:textId="77777777">
            <w:pPr>
              <w:rPr>
                <w:b/>
                <w:bCs/>
              </w:rPr>
            </w:pPr>
            <w:r w:rsidRPr="001062EE">
              <w:rPr>
                <w:b/>
                <w:bCs/>
              </w:rPr>
              <w:t>Response Time (Hours)</w:t>
            </w:r>
          </w:p>
        </w:tc>
        <w:tc>
          <w:tcPr>
            <w:tcW w:w="1136" w:type="dxa"/>
            <w:tcBorders>
              <w:bottom w:val="single" w:sz="4" w:space="0" w:color="auto"/>
            </w:tcBorders>
            <w:shd w:val="clear" w:color="auto" w:fill="D9D9D9" w:themeFill="background1" w:themeFillShade="D9"/>
          </w:tcPr>
          <w:p w:rsidR="00D8511F" w:rsidRPr="001062EE" w:rsidP="00D8511F" w14:paraId="1084D4D9" w14:textId="77777777">
            <w:pPr>
              <w:rPr>
                <w:b/>
                <w:bCs/>
              </w:rPr>
            </w:pPr>
            <w:r w:rsidRPr="001062EE">
              <w:rPr>
                <w:b/>
                <w:bCs/>
              </w:rPr>
              <w:t xml:space="preserve">Burden (Hours) </w:t>
            </w:r>
          </w:p>
        </w:tc>
      </w:tr>
      <w:tr w14:paraId="30F778C6" w14:textId="77777777" w:rsidTr="00EA4424">
        <w:tblPrEx>
          <w:tblW w:w="0" w:type="auto"/>
          <w:tblInd w:w="108" w:type="dxa"/>
          <w:tblLook w:val="04A0"/>
        </w:tblPrEx>
        <w:tc>
          <w:tcPr>
            <w:tcW w:w="2222" w:type="dxa"/>
          </w:tcPr>
          <w:p w:rsidR="00D8511F" w:rsidRPr="001062EE" w:rsidP="00D8511F" w14:paraId="65E0D1A7" w14:textId="4FBC6A28">
            <w:pPr>
              <w:rPr>
                <w:bCs/>
              </w:rPr>
            </w:pPr>
            <w:r w:rsidRPr="001062EE">
              <w:rPr>
                <w:bCs/>
              </w:rPr>
              <w:t>Company Portal Boarding Form</w:t>
            </w:r>
          </w:p>
        </w:tc>
        <w:tc>
          <w:tcPr>
            <w:tcW w:w="1454" w:type="dxa"/>
          </w:tcPr>
          <w:p w:rsidR="00D8511F" w:rsidRPr="001062EE" w:rsidP="001062EE" w14:paraId="7CD7E99A" w14:textId="07696BA1">
            <w:pPr>
              <w:jc w:val="right"/>
              <w:rPr>
                <w:bCs/>
              </w:rPr>
            </w:pPr>
            <w:r w:rsidRPr="001062EE">
              <w:rPr>
                <w:bCs/>
              </w:rPr>
              <w:t>400</w:t>
            </w:r>
            <w:r>
              <w:rPr>
                <w:rStyle w:val="FootnoteReference"/>
                <w:b/>
                <w:bCs/>
              </w:rPr>
              <w:footnoteReference w:id="6"/>
            </w:r>
          </w:p>
        </w:tc>
        <w:tc>
          <w:tcPr>
            <w:tcW w:w="1278" w:type="dxa"/>
          </w:tcPr>
          <w:p w:rsidR="00D8511F" w:rsidRPr="001062EE" w:rsidP="001062EE" w14:paraId="0229B568" w14:textId="258BD445">
            <w:pPr>
              <w:jc w:val="right"/>
              <w:rPr>
                <w:bCs/>
              </w:rPr>
            </w:pPr>
            <w:r w:rsidRPr="001062EE">
              <w:rPr>
                <w:bCs/>
              </w:rPr>
              <w:t>1</w:t>
            </w:r>
          </w:p>
        </w:tc>
        <w:tc>
          <w:tcPr>
            <w:tcW w:w="1309" w:type="dxa"/>
          </w:tcPr>
          <w:p w:rsidR="00D8511F" w:rsidRPr="001062EE" w:rsidP="001062EE" w14:paraId="1520FF05" w14:textId="3027FD99">
            <w:pPr>
              <w:jc w:val="right"/>
              <w:rPr>
                <w:bCs/>
              </w:rPr>
            </w:pPr>
            <w:r w:rsidRPr="001062EE">
              <w:rPr>
                <w:bCs/>
              </w:rPr>
              <w:t>400</w:t>
            </w:r>
          </w:p>
        </w:tc>
        <w:tc>
          <w:tcPr>
            <w:tcW w:w="1123" w:type="dxa"/>
          </w:tcPr>
          <w:p w:rsidR="00D8511F" w:rsidRPr="001062EE" w:rsidP="001062EE" w14:paraId="2DE42B0D" w14:textId="470FCCD5">
            <w:pPr>
              <w:jc w:val="right"/>
              <w:rPr>
                <w:bCs/>
              </w:rPr>
            </w:pPr>
            <w:r w:rsidRPr="001062EE">
              <w:rPr>
                <w:bCs/>
              </w:rPr>
              <w:t>0.</w:t>
            </w:r>
            <w:r w:rsidR="006E4A0C">
              <w:rPr>
                <w:bCs/>
              </w:rPr>
              <w:t>2125</w:t>
            </w:r>
            <w:r w:rsidRPr="001062EE">
              <w:rPr>
                <w:bCs/>
              </w:rPr>
              <w:t xml:space="preserve"> </w:t>
            </w:r>
          </w:p>
        </w:tc>
        <w:tc>
          <w:tcPr>
            <w:tcW w:w="1136" w:type="dxa"/>
          </w:tcPr>
          <w:p w:rsidR="00D8511F" w:rsidRPr="001062EE" w:rsidP="001062EE" w14:paraId="25546019" w14:textId="77777777">
            <w:pPr>
              <w:jc w:val="right"/>
              <w:rPr>
                <w:bCs/>
              </w:rPr>
            </w:pPr>
            <w:r w:rsidRPr="001062EE">
              <w:rPr>
                <w:bCs/>
              </w:rPr>
              <w:t>85</w:t>
            </w:r>
          </w:p>
        </w:tc>
      </w:tr>
    </w:tbl>
    <w:p w:rsidR="00D8511F" w:rsidRPr="00BF6D43" w:rsidP="005F1FFC" w14:paraId="0B55A14D" w14:textId="77777777">
      <w:pPr>
        <w:rPr>
          <w:b/>
          <w:sz w:val="24"/>
          <w:szCs w:val="24"/>
        </w:rPr>
      </w:pPr>
    </w:p>
    <w:p w:rsidR="00F660E8" w:rsidRPr="00BF6D43" w:rsidP="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 xml:space="preserve">keepers resulting from the collection of </w:t>
      </w:r>
      <w:r w:rsidRPr="00BF6D43">
        <w:rPr>
          <w:b/>
          <w:sz w:val="24"/>
          <w:szCs w:val="24"/>
        </w:rPr>
        <w:t>information.  (Do not include the cost of any hour burden shown in Items 12 and 14).</w:t>
      </w:r>
    </w:p>
    <w:p w:rsidR="005F1FFC" w:rsidP="005F1FFC" w14:paraId="3715E245" w14:textId="6F19B307">
      <w:pPr>
        <w:rPr>
          <w:b/>
          <w:sz w:val="24"/>
        </w:rPr>
      </w:pPr>
    </w:p>
    <w:p w:rsidR="00D8511F" w:rsidRPr="00BF6D43" w:rsidP="005F1FFC" w14:paraId="47F60C41" w14:textId="2752852F">
      <w:pPr>
        <w:rPr>
          <w:b/>
          <w:sz w:val="24"/>
        </w:rPr>
      </w:pPr>
      <w:r w:rsidRPr="00D8511F">
        <w:rPr>
          <w:rFonts w:eastAsia="Calibri"/>
          <w:sz w:val="24"/>
          <w:szCs w:val="22"/>
        </w:rPr>
        <w:t>There will be no annualized capital or start-up costs for the respondents to collect and submit this information.</w:t>
      </w:r>
    </w:p>
    <w:p w:rsidR="00A93967" w:rsidRPr="00BF6D43" w:rsidP="005F1FFC" w14:paraId="7426A13C" w14:textId="77777777">
      <w:pPr>
        <w:ind w:left="720"/>
        <w:rPr>
          <w:sz w:val="24"/>
        </w:rPr>
      </w:pPr>
    </w:p>
    <w:p w:rsidR="00F660E8" w:rsidRPr="00BF6D43"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 xml:space="preserve">Provide estimates of the annualized cost to the Federal Government.  Also, provide a description of the method used to estimate cost, which should include </w:t>
      </w:r>
      <w:r w:rsidRPr="00BF6D43">
        <w:rPr>
          <w:b/>
          <w:bCs/>
          <w:sz w:val="24"/>
          <w:szCs w:val="24"/>
        </w:rPr>
        <w:t>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00D8511F" w:rsidP="00D8511F" w14:paraId="4E56E666" w14:textId="76D1B935">
      <w:pPr>
        <w:rPr>
          <w:sz w:val="24"/>
        </w:rPr>
      </w:pPr>
    </w:p>
    <w:p w:rsidR="00D8511F" w:rsidP="00D8511F" w14:paraId="66BB2482" w14:textId="424607CA">
      <w:pPr>
        <w:rPr>
          <w:sz w:val="24"/>
        </w:rPr>
      </w:pPr>
      <w:r>
        <w:rPr>
          <w:sz w:val="24"/>
        </w:rPr>
        <w:t>C</w:t>
      </w:r>
      <w:r w:rsidRPr="00D8511F">
        <w:rPr>
          <w:sz w:val="24"/>
        </w:rPr>
        <w:t xml:space="preserve">ompanies </w:t>
      </w:r>
      <w:r>
        <w:rPr>
          <w:sz w:val="24"/>
        </w:rPr>
        <w:t>are required to</w:t>
      </w:r>
      <w:r w:rsidRPr="00D8511F">
        <w:rPr>
          <w:sz w:val="24"/>
        </w:rPr>
        <w:t xml:space="preserve"> submit the form electronically</w:t>
      </w:r>
      <w:r>
        <w:rPr>
          <w:sz w:val="24"/>
        </w:rPr>
        <w:t xml:space="preserve"> as an email address is required to access the company portal</w:t>
      </w:r>
      <w:r w:rsidRPr="00D8511F">
        <w:rPr>
          <w:sz w:val="24"/>
        </w:rPr>
        <w:t xml:space="preserve">. </w:t>
      </w:r>
      <w:r w:rsidR="001B07CD">
        <w:rPr>
          <w:sz w:val="24"/>
        </w:rPr>
        <w:t xml:space="preserve"> Therefore, there </w:t>
      </w:r>
      <w:r w:rsidRPr="00D8511F">
        <w:rPr>
          <w:sz w:val="24"/>
        </w:rPr>
        <w:t xml:space="preserve">will be no costs </w:t>
      </w:r>
      <w:r w:rsidR="00B80FA5">
        <w:rPr>
          <w:sz w:val="24"/>
        </w:rPr>
        <w:t>to</w:t>
      </w:r>
      <w:r w:rsidRPr="00D8511F">
        <w:rPr>
          <w:sz w:val="24"/>
        </w:rPr>
        <w:t xml:space="preserve"> the federal government.</w:t>
      </w:r>
    </w:p>
    <w:p w:rsidR="00D8511F" w:rsidRPr="00BF6D43" w:rsidP="00D8511F" w14:paraId="1477FB16" w14:textId="77777777">
      <w:pPr>
        <w:rPr>
          <w:sz w:val="24"/>
        </w:rPr>
      </w:pPr>
    </w:p>
    <w:p w:rsidR="00F660E8" w:rsidRPr="00BF6D43" w:rsidP="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005F1FFC" w:rsidRPr="00BF6D43" w:rsidP="005F1FFC" w14:paraId="7D933924" w14:textId="77777777">
      <w:pPr>
        <w:numPr>
          <w:ilvl w:val="12"/>
          <w:numId w:val="0"/>
        </w:numPr>
        <w:rPr>
          <w:sz w:val="24"/>
        </w:rPr>
      </w:pPr>
    </w:p>
    <w:p w:rsidR="00D8511F" w:rsidRPr="00D8511F" w:rsidP="00D8511F" w14:paraId="7B0006CE" w14:textId="62C5E275">
      <w:pPr>
        <w:rPr>
          <w:sz w:val="24"/>
        </w:rPr>
      </w:pPr>
      <w:bookmarkStart w:id="0" w:name="_Hlk90299441"/>
      <w:r w:rsidRPr="00D8511F">
        <w:rPr>
          <w:sz w:val="24"/>
        </w:rPr>
        <w:t>The</w:t>
      </w:r>
      <w:r w:rsidR="00161F3C">
        <w:rPr>
          <w:sz w:val="24"/>
        </w:rPr>
        <w:t xml:space="preserve">re are </w:t>
      </w:r>
      <w:r w:rsidR="00F65A62">
        <w:rPr>
          <w:sz w:val="24"/>
        </w:rPr>
        <w:t>no burden or program changes for this re</w:t>
      </w:r>
      <w:r w:rsidR="00D46391">
        <w:rPr>
          <w:sz w:val="24"/>
        </w:rPr>
        <w:t>instatement</w:t>
      </w:r>
      <w:r w:rsidR="00F65A62">
        <w:rPr>
          <w:sz w:val="24"/>
        </w:rPr>
        <w:t>.</w:t>
      </w:r>
      <w:bookmarkEnd w:id="0"/>
    </w:p>
    <w:p w:rsidR="00D8511F" w:rsidRPr="00D8511F" w:rsidP="00D8511F" w14:paraId="4B120A57" w14:textId="77777777">
      <w:pPr>
        <w:rPr>
          <w:sz w:val="24"/>
        </w:rPr>
      </w:pPr>
    </w:p>
    <w:p w:rsidR="00F660E8" w:rsidRPr="00BF6D43" w:rsidP="00F660E8" w14:paraId="1715AB5F" w14:textId="77777777">
      <w:pPr>
        <w:rPr>
          <w:b/>
          <w:sz w:val="24"/>
          <w:szCs w:val="24"/>
        </w:rPr>
      </w:pPr>
      <w:r w:rsidRPr="00BF6D43">
        <w:rPr>
          <w:b/>
          <w:sz w:val="24"/>
          <w:szCs w:val="24"/>
        </w:rPr>
        <w:t xml:space="preserve">16.  </w:t>
      </w:r>
      <w:r w:rsidRPr="00BF6D43">
        <w:rPr>
          <w:b/>
          <w:sz w:val="24"/>
          <w:szCs w:val="24"/>
        </w:rPr>
        <w:t>F</w:t>
      </w:r>
      <w:r w:rsidRPr="00BF6D43">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005F1FFC" w:rsidRPr="00BF6D43" w:rsidP="005F1FFC" w14:paraId="3C07C2B3" w14:textId="007CA232">
      <w:pPr>
        <w:rPr>
          <w:sz w:val="24"/>
        </w:rPr>
      </w:pPr>
      <w:r w:rsidRPr="00BF6D43">
        <w:rPr>
          <w:sz w:val="24"/>
        </w:rPr>
        <w:t xml:space="preserve">  </w:t>
      </w:r>
    </w:p>
    <w:p w:rsidR="005F1FFC" w:rsidRPr="00F22428" w:rsidP="005F1FFC" w14:paraId="77B89593" w14:textId="34A0A0E9">
      <w:pPr>
        <w:rPr>
          <w:bCs/>
          <w:sz w:val="24"/>
        </w:rPr>
      </w:pPr>
      <w:r w:rsidRPr="00F22428">
        <w:rPr>
          <w:bCs/>
          <w:sz w:val="24"/>
        </w:rPr>
        <w:t xml:space="preserve">Data collected through the Boarding Form will be analyzed and certain information may be provided in reports to be issued by the Bureau to Congress, as required by the Dodd-Frank Act.  </w:t>
      </w:r>
      <w:r w:rsidR="00B1485B">
        <w:rPr>
          <w:bCs/>
          <w:sz w:val="24"/>
        </w:rPr>
        <w:t>Specifically</w:t>
      </w:r>
      <w:r w:rsidRPr="00F22428">
        <w:rPr>
          <w:bCs/>
          <w:sz w:val="24"/>
        </w:rPr>
        <w:t>, Section 1013(b)(3)(C) of the Dodd-Frank Act requires the Bureau to provide annual reports to Congress containing information and analysis about complaint numbers, types, and where applicable, resolution.</w:t>
      </w:r>
      <w:r>
        <w:rPr>
          <w:bCs/>
          <w:sz w:val="24"/>
          <w:vertAlign w:val="superscript"/>
        </w:rPr>
        <w:footnoteReference w:id="7"/>
      </w:r>
      <w:r w:rsidRPr="00F22428">
        <w:rPr>
          <w:bCs/>
          <w:sz w:val="24"/>
        </w:rPr>
        <w:t xml:space="preserve">  The Bureau may publish trend reports based on aggregate data in summaries, reports, and briefings.  Presentations of analyses may include frequency, classification, and cross-tabulation across consumer financial products or services, demographic and economic characteristics, and financial management behavior.</w:t>
      </w:r>
    </w:p>
    <w:p w:rsidR="00F22428" w:rsidRPr="00BF6D43" w:rsidP="005F1FFC" w14:paraId="654DBEC3" w14:textId="77777777">
      <w:pPr>
        <w:rPr>
          <w:sz w:val="24"/>
        </w:rPr>
      </w:pPr>
    </w:p>
    <w:p w:rsidR="00F660E8" w:rsidRPr="00BF6D43" w:rsidP="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005F1FFC" w:rsidRPr="00BF6D43" w:rsidP="005F1FFC" w14:paraId="195A2521" w14:textId="77777777">
      <w:pPr>
        <w:rPr>
          <w:sz w:val="24"/>
        </w:rPr>
      </w:pPr>
    </w:p>
    <w:p w:rsidR="00791AC9" w:rsidRPr="00BF6D43" w:rsidP="005F1FFC" w14:paraId="2449748D" w14:textId="40474534">
      <w:pPr>
        <w:rPr>
          <w:sz w:val="24"/>
        </w:rPr>
      </w:pPr>
      <w:r w:rsidRPr="00F22428">
        <w:rPr>
          <w:sz w:val="24"/>
        </w:rPr>
        <w:t xml:space="preserve">The expiration date for OMB </w:t>
      </w:r>
      <w:r w:rsidRPr="00F22428">
        <w:rPr>
          <w:sz w:val="24"/>
        </w:rPr>
        <w:t>approval will be displayed on the form.  Further, the OMB control number and expiration date will be displayed on the Federal government’s electronic PRA docket at www.reginfo.gov.</w:t>
      </w:r>
    </w:p>
    <w:p w:rsidR="00A93967" w:rsidRPr="00BF6D43" w:rsidP="003E083F" w14:paraId="58CE7FA0" w14:textId="77777777">
      <w:pPr>
        <w:rPr>
          <w:sz w:val="24"/>
        </w:rPr>
      </w:pPr>
    </w:p>
    <w:p w:rsidR="00F660E8" w:rsidRPr="00BF6D43" w:rsidP="00F660E8" w14:paraId="0503086D" w14:textId="77777777">
      <w:pPr>
        <w:rPr>
          <w:b/>
          <w:sz w:val="24"/>
        </w:rPr>
      </w:pPr>
      <w:r w:rsidRPr="00BF6D43">
        <w:rPr>
          <w:b/>
          <w:sz w:val="24"/>
        </w:rPr>
        <w:t>18.  Explain each exception to the certification statement.</w:t>
      </w:r>
    </w:p>
    <w:p w:rsidR="005F1FFC" w:rsidP="005F1FFC" w14:paraId="6066F545" w14:textId="72DF6692">
      <w:pPr>
        <w:pStyle w:val="BodyText"/>
      </w:pPr>
    </w:p>
    <w:p w:rsidR="00F22428" w:rsidRPr="00F22428" w:rsidP="00F22428" w14:paraId="572F5CA2" w14:textId="77777777">
      <w:pPr>
        <w:pStyle w:val="BodyText"/>
      </w:pPr>
      <w:r w:rsidRPr="00F22428">
        <w:t>The Bureau certifies that this collection of information is consistent with the requirements of 5 CFR §1320.9 and the related provisions of 5 CFR §1320.8(b)(3) and is not seeking an exemption to these certification requirements.</w:t>
      </w:r>
    </w:p>
    <w:p w:rsidR="00F22428" w:rsidRPr="00F22428" w:rsidP="00F22428" w14:paraId="4F0196CE" w14:textId="77777777">
      <w:pPr>
        <w:pStyle w:val="BodyText"/>
      </w:pPr>
    </w:p>
    <w:p w:rsidR="00F22428" w:rsidRPr="00F22428" w:rsidP="00F22428" w14:paraId="0B034284" w14:textId="77777777">
      <w:pPr>
        <w:pStyle w:val="BodyText"/>
        <w:rPr>
          <w:b/>
        </w:rPr>
      </w:pPr>
      <w:r w:rsidRPr="00F22428">
        <w:rPr>
          <w:b/>
        </w:rPr>
        <w:t>B.  COLLECTIONS OF INFORMATION EMPLOYING STATISTICAL METHODS</w:t>
      </w:r>
    </w:p>
    <w:p w:rsidR="00F22428" w:rsidRPr="00F22428" w:rsidP="00F22428" w14:paraId="171B8817" w14:textId="77777777">
      <w:pPr>
        <w:pStyle w:val="BodyText"/>
        <w:rPr>
          <w:b/>
        </w:rPr>
      </w:pPr>
    </w:p>
    <w:p w:rsidR="00F22428" w:rsidRPr="00F22428" w:rsidP="00F22428" w14:paraId="16408E6F" w14:textId="77777777">
      <w:pPr>
        <w:pStyle w:val="BodyText"/>
      </w:pPr>
      <w:r w:rsidRPr="00F22428">
        <w:t xml:space="preserve">This information collection does not employ statistical methods.  </w:t>
      </w:r>
    </w:p>
    <w:p w:rsidR="00F22428" w:rsidRPr="00F22428" w:rsidP="00F22428" w14:paraId="45A4F504" w14:textId="77777777">
      <w:pPr>
        <w:pStyle w:val="BodyText"/>
      </w:pPr>
    </w:p>
    <w:p w:rsidR="00F22428" w:rsidRPr="00F22428" w:rsidP="00F22428" w14:paraId="6458793C" w14:textId="77777777">
      <w:pPr>
        <w:pStyle w:val="BodyText"/>
      </w:pPr>
    </w:p>
    <w:p w:rsidR="00F22428" w:rsidRPr="00BF6D43" w:rsidP="005F1FFC" w14:paraId="7F6EF0BD" w14:textId="77777777">
      <w:pPr>
        <w:pStyle w:val="BodyText"/>
      </w:pPr>
    </w:p>
    <w:sectPr w:rsidSect="0079547E">
      <w:headerReference w:type="default" r:id="rId11"/>
      <w:footerReference w:type="default" r:id="rId12"/>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118C" w:rsidP="0079547E" w14:paraId="4EFAF4E2" w14:textId="77777777">
      <w:r>
        <w:separator/>
      </w:r>
    </w:p>
  </w:footnote>
  <w:footnote w:type="continuationSeparator" w:id="1">
    <w:p w:rsidR="00CA118C" w:rsidP="0079547E" w14:paraId="3FA09CCD" w14:textId="77777777">
      <w:r>
        <w:continuationSeparator/>
      </w:r>
    </w:p>
  </w:footnote>
  <w:footnote w:id="2">
    <w:p w:rsidR="00D056D0" w:rsidP="00D056D0" w14:paraId="1A9FCEDC" w14:textId="77777777">
      <w:pPr>
        <w:pStyle w:val="FootnoteText"/>
        <w:rPr>
          <w:szCs w:val="24"/>
        </w:rPr>
      </w:pPr>
      <w:r w:rsidRPr="00DA78A7">
        <w:rPr>
          <w:rStyle w:val="FootnoteReference"/>
          <w:szCs w:val="24"/>
        </w:rPr>
        <w:footnoteRef/>
      </w:r>
      <w:r w:rsidRPr="00DA78A7">
        <w:rPr>
          <w:szCs w:val="24"/>
        </w:rPr>
        <w:t xml:space="preserve"> Dodd-Frank Act § 1021(c)(2), codified at 12 U.S.C. § 5511(c)(2).</w:t>
      </w:r>
      <w:r>
        <w:rPr>
          <w:szCs w:val="24"/>
        </w:rPr>
        <w:t xml:space="preserve"> </w:t>
      </w:r>
      <w:r w:rsidRPr="006337CF">
        <w:rPr>
          <w:i/>
        </w:rPr>
        <w:t>See also</w:t>
      </w:r>
      <w:r w:rsidRPr="001D58AE">
        <w:t xml:space="preserve"> </w:t>
      </w:r>
      <w:r w:rsidRPr="00957794">
        <w:t xml:space="preserve">Section 1034 </w:t>
      </w:r>
      <w:r>
        <w:rPr>
          <w:shd w:val="clear" w:color="auto" w:fill="FFFFFF"/>
        </w:rPr>
        <w:t xml:space="preserve">(discussing </w:t>
      </w:r>
      <w:r w:rsidRPr="00957794">
        <w:rPr>
          <w:shd w:val="clear" w:color="auto" w:fill="FFFFFF"/>
        </w:rPr>
        <w:t>responses to complaints)</w:t>
      </w:r>
      <w:r w:rsidRPr="00957794">
        <w:t xml:space="preserve">, codified at </w:t>
      </w:r>
      <w:r w:rsidRPr="00957794">
        <w:rPr>
          <w:shd w:val="clear" w:color="auto" w:fill="FFFFFF"/>
        </w:rPr>
        <w:t>12 U.S.C. § 5534</w:t>
      </w:r>
      <w:r>
        <w:rPr>
          <w:szCs w:val="24"/>
        </w:rPr>
        <w:t>.</w:t>
      </w:r>
      <w:r w:rsidRPr="00DA78A7">
        <w:rPr>
          <w:szCs w:val="24"/>
        </w:rPr>
        <w:t xml:space="preserve"> </w:t>
      </w:r>
    </w:p>
    <w:p w:rsidR="00D056D0" w:rsidRPr="00DA78A7" w:rsidP="00D056D0" w14:paraId="7FCF7DCC" w14:textId="77777777">
      <w:pPr>
        <w:pStyle w:val="FootnoteText"/>
        <w:rPr>
          <w:szCs w:val="24"/>
        </w:rPr>
      </w:pPr>
    </w:p>
  </w:footnote>
  <w:footnote w:id="3">
    <w:p w:rsidR="00DB4142" w:rsidP="00DB4142" w14:paraId="63D00070" w14:textId="11B54BF6">
      <w:pPr>
        <w:pStyle w:val="FootnoteText"/>
      </w:pPr>
      <w:r>
        <w:rPr>
          <w:rStyle w:val="FootnoteReference"/>
        </w:rPr>
        <w:footnoteRef/>
      </w:r>
      <w:r>
        <w:t xml:space="preserve"> </w:t>
      </w:r>
      <w:r w:rsidR="00EF5E51">
        <w:t>90</w:t>
      </w:r>
      <w:r>
        <w:t xml:space="preserve"> FR </w:t>
      </w:r>
      <w:r w:rsidR="00A865D3">
        <w:t>21905</w:t>
      </w:r>
      <w:r>
        <w:t xml:space="preserve"> (</w:t>
      </w:r>
      <w:r w:rsidR="00A865D3">
        <w:t>5</w:t>
      </w:r>
      <w:r w:rsidR="00C66EF9">
        <w:t>/</w:t>
      </w:r>
      <w:r w:rsidR="00A865D3">
        <w:t>22</w:t>
      </w:r>
      <w:r w:rsidR="00C66EF9">
        <w:t>/202</w:t>
      </w:r>
      <w:r w:rsidR="00A865D3">
        <w:t>5</w:t>
      </w:r>
      <w:r>
        <w:t>).</w:t>
      </w:r>
    </w:p>
  </w:footnote>
  <w:footnote w:id="4">
    <w:p w:rsidR="006C72E9" w14:paraId="53144164" w14:textId="30098235">
      <w:pPr>
        <w:pStyle w:val="FootnoteText"/>
      </w:pPr>
      <w:r>
        <w:rPr>
          <w:rStyle w:val="FootnoteReference"/>
        </w:rPr>
        <w:footnoteRef/>
      </w:r>
      <w:r>
        <w:t xml:space="preserve"> </w:t>
      </w:r>
      <w:r w:rsidR="00D64BA1">
        <w:t>90 FR 54643 (11/28/2025).</w:t>
      </w:r>
    </w:p>
  </w:footnote>
  <w:footnote w:id="5">
    <w:p w:rsidR="00D8511F" w:rsidP="00D8511F" w14:paraId="729FA233" w14:textId="77777777">
      <w:pPr>
        <w:pStyle w:val="FootnoteText"/>
        <w:rPr>
          <w:szCs w:val="24"/>
        </w:rPr>
      </w:pPr>
      <w:r w:rsidRPr="00113D63">
        <w:rPr>
          <w:rStyle w:val="FootnoteReference"/>
          <w:szCs w:val="24"/>
        </w:rPr>
        <w:footnoteRef/>
      </w:r>
      <w:r w:rsidRPr="00113D63">
        <w:rPr>
          <w:szCs w:val="24"/>
        </w:rPr>
        <w:t xml:space="preserve"> </w:t>
      </w:r>
      <w:r w:rsidRPr="00113D63">
        <w:rPr>
          <w:i/>
          <w:szCs w:val="24"/>
        </w:rPr>
        <w:t>See</w:t>
      </w:r>
      <w:r w:rsidRPr="00113D63">
        <w:rPr>
          <w:szCs w:val="24"/>
        </w:rPr>
        <w:t xml:space="preserve"> </w:t>
      </w:r>
      <w:hyperlink r:id="rId1" w:history="1">
        <w:r w:rsidRPr="00314362">
          <w:rPr>
            <w:rStyle w:val="Hyperlink"/>
            <w:szCs w:val="24"/>
          </w:rPr>
          <w:t>https://www.consumerfinance.gov/privacy/privacy-policy/</w:t>
        </w:r>
      </w:hyperlink>
      <w:r w:rsidRPr="00113D63">
        <w:rPr>
          <w:szCs w:val="24"/>
        </w:rPr>
        <w:t>.</w:t>
      </w:r>
    </w:p>
    <w:p w:rsidR="00D8511F" w:rsidRPr="00D808E9" w:rsidP="00D8511F" w14:paraId="711E6CE5" w14:textId="77777777">
      <w:pPr>
        <w:pStyle w:val="FootnoteText"/>
        <w:rPr>
          <w:sz w:val="22"/>
          <w:szCs w:val="22"/>
        </w:rPr>
      </w:pPr>
    </w:p>
  </w:footnote>
  <w:footnote w:id="6">
    <w:p w:rsidR="0014141B" w:rsidP="0014141B" w14:paraId="7252B283" w14:textId="2D453F8F">
      <w:pPr>
        <w:pStyle w:val="FootnoteText"/>
      </w:pPr>
      <w:r>
        <w:rPr>
          <w:rStyle w:val="FootnoteReference"/>
        </w:rPr>
        <w:footnoteRef/>
      </w:r>
      <w:r>
        <w:t xml:space="preserve"> </w:t>
      </w:r>
      <w:r w:rsidRPr="001062EE">
        <w:t>Companies that submit a revised form are a subset of those that previously submitted an initial Boarding Form</w:t>
      </w:r>
      <w:r w:rsidR="00644872">
        <w:t xml:space="preserve">.  Therefore, the </w:t>
      </w:r>
      <w:r w:rsidRPr="001062EE">
        <w:t xml:space="preserve">estimated total of annual </w:t>
      </w:r>
      <w:r w:rsidR="00644872">
        <w:t>r</w:t>
      </w:r>
      <w:r w:rsidRPr="001062EE">
        <w:t>espondents is about 400.</w:t>
      </w:r>
    </w:p>
  </w:footnote>
  <w:footnote w:id="7">
    <w:p w:rsidR="00F22428" w:rsidRPr="00DA78A7" w:rsidP="00F22428" w14:paraId="7F7A9EF2" w14:textId="77777777">
      <w:pPr>
        <w:rPr>
          <w:rFonts w:ascii="Arial" w:eastAsia="Calibri" w:hAnsi="Arial" w:cs="Arial"/>
        </w:rPr>
      </w:pPr>
      <w:r w:rsidRPr="00DA78A7">
        <w:rPr>
          <w:rStyle w:val="FootnoteReference"/>
        </w:rPr>
        <w:footnoteRef/>
      </w:r>
      <w:r>
        <w:t xml:space="preserve"> Codified at </w:t>
      </w:r>
      <w:r w:rsidRPr="00046EDD">
        <w:rPr>
          <w:shd w:val="clear" w:color="auto" w:fill="FFFFFF"/>
        </w:rPr>
        <w:t xml:space="preserve">12 U.S.C. § </w:t>
      </w:r>
      <w:r w:rsidRPr="00DA78A7">
        <w:t>5493(b)(3)(C).</w:t>
      </w:r>
      <w:r>
        <w:t xml:space="preserve"> </w:t>
      </w:r>
      <w:r w:rsidRPr="00DA78A7">
        <w:t xml:space="preserve"> </w:t>
      </w:r>
      <w:r w:rsidRPr="00DA78A7">
        <w:rPr>
          <w:i/>
        </w:rPr>
        <w:t xml:space="preserve">See also </w:t>
      </w:r>
      <w:r w:rsidRPr="00DA78A7">
        <w:t>Section 1016(c)(4)</w:t>
      </w:r>
      <w:r w:rsidRPr="005A18F9">
        <w:rPr>
          <w:shd w:val="clear" w:color="auto" w:fill="FFFFFF"/>
        </w:rPr>
        <w:t xml:space="preserve"> </w:t>
      </w:r>
      <w:r w:rsidRPr="00DA78A7">
        <w:rPr>
          <w:shd w:val="clear" w:color="auto" w:fill="FFFFFF"/>
        </w:rPr>
        <w:t>(requiring that the Bureau’s semi-annual reports to Congress include “</w:t>
      </w:r>
      <w:r w:rsidRPr="00DA78A7">
        <w:rPr>
          <w:rFonts w:eastAsia="Calibri"/>
        </w:rPr>
        <w:t>an analysis of complaints about consumer financial products or services that the Bureau has received and collected in its central database on complaints during the preceding year”)</w:t>
      </w:r>
      <w:r w:rsidRPr="00DA78A7">
        <w:t xml:space="preserve">, codified at </w:t>
      </w:r>
      <w:r w:rsidRPr="00046EDD">
        <w:rPr>
          <w:shd w:val="clear" w:color="auto" w:fill="FFFFFF"/>
        </w:rPr>
        <w:t xml:space="preserve">12 U.S.C. </w:t>
      </w:r>
      <w:r w:rsidRPr="00DA78A7">
        <w:rPr>
          <w:shd w:val="clear" w:color="auto" w:fill="FFFFFF"/>
        </w:rPr>
        <w:t>§ 5496(c)(4)</w:t>
      </w:r>
      <w:r>
        <w:rPr>
          <w:rFonts w:eastAsia="Calibri"/>
        </w:rPr>
        <w:t>.</w:t>
      </w:r>
      <w:r w:rsidRPr="00DA78A7">
        <w:rPr>
          <w:rFonts w:ascii="Arial" w:eastAsia="Calibri"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3131924E" w14:textId="6A64B2E7">
    <w:pPr>
      <w:pStyle w:val="Header"/>
    </w:pPr>
    <w:r>
      <w:t>Consumer Complaint Intake System Company Portal Boarding Form</w:t>
    </w:r>
  </w:p>
  <w:p w:rsidR="00B35205" w14:paraId="3E4932DB" w14:textId="17704468">
    <w:pPr>
      <w:pStyle w:val="Header"/>
    </w:pPr>
    <w:r>
      <w:t>OMB Control Number</w:t>
    </w:r>
    <w:r w:rsidR="00401424">
      <w:t>:</w:t>
    </w:r>
    <w:r>
      <w:t xml:space="preserve"> </w:t>
    </w:r>
    <w:r w:rsidR="00E81562">
      <w:t>3170-</w:t>
    </w:r>
    <w:r w:rsidR="00D056D0">
      <w:t>0054</w:t>
    </w:r>
  </w:p>
  <w:p w:rsidR="00B35205" w:rsidP="001D2D2C" w14:paraId="1930D639" w14:textId="7C542FB0">
    <w:pPr>
      <w:pStyle w:val="Header"/>
    </w:pPr>
    <w:r>
      <w:t xml:space="preserve">OMB Expiration Date: </w:t>
    </w:r>
    <w:r w:rsidR="00367BD7">
      <w:t>XX-XXXX</w:t>
    </w:r>
  </w:p>
  <w:p w:rsidR="001C504E" w:rsidP="001D2D2C" w14:paraId="489BA4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9EB5950"/>
    <w:multiLevelType w:val="multilevel"/>
    <w:tmpl w:val="26DE8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8">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9">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0">
    <w:nsid w:val="4EC93113"/>
    <w:multiLevelType w:val="hybridMultilevel"/>
    <w:tmpl w:val="AAAAC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1FC654F"/>
    <w:multiLevelType w:val="multilevel"/>
    <w:tmpl w:val="A9D6E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4">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6">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7">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35C6038"/>
    <w:multiLevelType w:val="multilevel"/>
    <w:tmpl w:val="29088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1">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01288148">
    <w:abstractNumId w:val="13"/>
  </w:num>
  <w:num w:numId="2" w16cid:durableId="1119683789">
    <w:abstractNumId w:val="9"/>
  </w:num>
  <w:num w:numId="3" w16cid:durableId="1066415858">
    <w:abstractNumId w:val="20"/>
  </w:num>
  <w:num w:numId="4" w16cid:durableId="500894356">
    <w:abstractNumId w:val="8"/>
  </w:num>
  <w:num w:numId="5" w16cid:durableId="1629042857">
    <w:abstractNumId w:val="16"/>
  </w:num>
  <w:num w:numId="6" w16cid:durableId="1807238568">
    <w:abstractNumId w:val="15"/>
  </w:num>
  <w:num w:numId="7" w16cid:durableId="147706272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6700704">
    <w:abstractNumId w:val="18"/>
  </w:num>
  <w:num w:numId="9" w16cid:durableId="2048291253">
    <w:abstractNumId w:val="17"/>
  </w:num>
  <w:num w:numId="10" w16cid:durableId="1348944070">
    <w:abstractNumId w:val="4"/>
  </w:num>
  <w:num w:numId="11" w16cid:durableId="632657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66476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2638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5649858">
    <w:abstractNumId w:val="5"/>
  </w:num>
  <w:num w:numId="15" w16cid:durableId="545483883">
    <w:abstractNumId w:val="1"/>
  </w:num>
  <w:num w:numId="16" w16cid:durableId="135879482">
    <w:abstractNumId w:val="21"/>
  </w:num>
  <w:num w:numId="17" w16cid:durableId="137647786">
    <w:abstractNumId w:val="2"/>
  </w:num>
  <w:num w:numId="18" w16cid:durableId="1330907458">
    <w:abstractNumId w:val="7"/>
  </w:num>
  <w:num w:numId="19" w16cid:durableId="1957058783">
    <w:abstractNumId w:val="3"/>
  </w:num>
  <w:num w:numId="20" w16cid:durableId="153030106">
    <w:abstractNumId w:val="11"/>
  </w:num>
  <w:num w:numId="21" w16cid:durableId="35400136">
    <w:abstractNumId w:val="0"/>
  </w:num>
  <w:num w:numId="22" w16cid:durableId="98913180">
    <w:abstractNumId w:val="19"/>
  </w:num>
  <w:num w:numId="23" w16cid:durableId="98575625">
    <w:abstractNumId w:val="6"/>
  </w:num>
  <w:num w:numId="24" w16cid:durableId="2076277502">
    <w:abstractNumId w:val="12"/>
  </w:num>
  <w:num w:numId="25" w16cid:durableId="1542981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09C1"/>
    <w:rsid w:val="00010F2C"/>
    <w:rsid w:val="0001380B"/>
    <w:rsid w:val="00014936"/>
    <w:rsid w:val="000175F8"/>
    <w:rsid w:val="000267DB"/>
    <w:rsid w:val="00032848"/>
    <w:rsid w:val="00032C14"/>
    <w:rsid w:val="00034C49"/>
    <w:rsid w:val="00035E5E"/>
    <w:rsid w:val="0004229D"/>
    <w:rsid w:val="00045D2D"/>
    <w:rsid w:val="00046EDD"/>
    <w:rsid w:val="0005070D"/>
    <w:rsid w:val="000533A4"/>
    <w:rsid w:val="0005687E"/>
    <w:rsid w:val="00057B87"/>
    <w:rsid w:val="0007006A"/>
    <w:rsid w:val="00071C66"/>
    <w:rsid w:val="000763B3"/>
    <w:rsid w:val="00080781"/>
    <w:rsid w:val="00081109"/>
    <w:rsid w:val="00091AE1"/>
    <w:rsid w:val="00092D91"/>
    <w:rsid w:val="0009401F"/>
    <w:rsid w:val="000A44E3"/>
    <w:rsid w:val="000B15CB"/>
    <w:rsid w:val="000C1729"/>
    <w:rsid w:val="000C39BD"/>
    <w:rsid w:val="000D0B4D"/>
    <w:rsid w:val="000D3E1A"/>
    <w:rsid w:val="000D74D0"/>
    <w:rsid w:val="000E7502"/>
    <w:rsid w:val="000F0DD6"/>
    <w:rsid w:val="000F5117"/>
    <w:rsid w:val="00100120"/>
    <w:rsid w:val="0010607C"/>
    <w:rsid w:val="001062EE"/>
    <w:rsid w:val="00110F8E"/>
    <w:rsid w:val="00113D63"/>
    <w:rsid w:val="00120C6F"/>
    <w:rsid w:val="001345AE"/>
    <w:rsid w:val="001346E6"/>
    <w:rsid w:val="001355AB"/>
    <w:rsid w:val="00135896"/>
    <w:rsid w:val="00135A84"/>
    <w:rsid w:val="0014141B"/>
    <w:rsid w:val="00141E34"/>
    <w:rsid w:val="00143C38"/>
    <w:rsid w:val="00143D87"/>
    <w:rsid w:val="00144BFF"/>
    <w:rsid w:val="00147B21"/>
    <w:rsid w:val="00150C1D"/>
    <w:rsid w:val="00161F3C"/>
    <w:rsid w:val="00162371"/>
    <w:rsid w:val="001639C2"/>
    <w:rsid w:val="001650D5"/>
    <w:rsid w:val="00166D3B"/>
    <w:rsid w:val="00166FBE"/>
    <w:rsid w:val="0016702A"/>
    <w:rsid w:val="001727A9"/>
    <w:rsid w:val="00174E6D"/>
    <w:rsid w:val="00177293"/>
    <w:rsid w:val="00177F7F"/>
    <w:rsid w:val="00187617"/>
    <w:rsid w:val="001912C5"/>
    <w:rsid w:val="00194264"/>
    <w:rsid w:val="001B07CD"/>
    <w:rsid w:val="001B12AF"/>
    <w:rsid w:val="001B50EB"/>
    <w:rsid w:val="001C1DAC"/>
    <w:rsid w:val="001C4457"/>
    <w:rsid w:val="001C504E"/>
    <w:rsid w:val="001C59A8"/>
    <w:rsid w:val="001C6E05"/>
    <w:rsid w:val="001D2D2C"/>
    <w:rsid w:val="001D4E14"/>
    <w:rsid w:val="001D5558"/>
    <w:rsid w:val="001D58AE"/>
    <w:rsid w:val="001E418A"/>
    <w:rsid w:val="001F0989"/>
    <w:rsid w:val="001F5EC9"/>
    <w:rsid w:val="002004A5"/>
    <w:rsid w:val="002017D3"/>
    <w:rsid w:val="002020E7"/>
    <w:rsid w:val="002029FA"/>
    <w:rsid w:val="002063CD"/>
    <w:rsid w:val="00211F72"/>
    <w:rsid w:val="00213CCC"/>
    <w:rsid w:val="002153B7"/>
    <w:rsid w:val="002215EA"/>
    <w:rsid w:val="0022620A"/>
    <w:rsid w:val="00226237"/>
    <w:rsid w:val="00232D54"/>
    <w:rsid w:val="002341FB"/>
    <w:rsid w:val="00235BD3"/>
    <w:rsid w:val="002376B2"/>
    <w:rsid w:val="00240CF4"/>
    <w:rsid w:val="00242C81"/>
    <w:rsid w:val="00253FF0"/>
    <w:rsid w:val="00255107"/>
    <w:rsid w:val="00256325"/>
    <w:rsid w:val="002678C2"/>
    <w:rsid w:val="00274CC0"/>
    <w:rsid w:val="00282103"/>
    <w:rsid w:val="00294DF4"/>
    <w:rsid w:val="0029506E"/>
    <w:rsid w:val="002978C3"/>
    <w:rsid w:val="002A14C0"/>
    <w:rsid w:val="002A7EA2"/>
    <w:rsid w:val="002B0AB2"/>
    <w:rsid w:val="002B341A"/>
    <w:rsid w:val="002B40C5"/>
    <w:rsid w:val="002B7700"/>
    <w:rsid w:val="002C126F"/>
    <w:rsid w:val="002C5221"/>
    <w:rsid w:val="002C5F25"/>
    <w:rsid w:val="002C6BC6"/>
    <w:rsid w:val="002D1431"/>
    <w:rsid w:val="002D19AD"/>
    <w:rsid w:val="002D2C81"/>
    <w:rsid w:val="002D4FE0"/>
    <w:rsid w:val="002D5173"/>
    <w:rsid w:val="002D789D"/>
    <w:rsid w:val="002E0DDE"/>
    <w:rsid w:val="002E0E6B"/>
    <w:rsid w:val="002E65EF"/>
    <w:rsid w:val="002E7B73"/>
    <w:rsid w:val="002F17DC"/>
    <w:rsid w:val="002F4F70"/>
    <w:rsid w:val="002F68DA"/>
    <w:rsid w:val="00302B1C"/>
    <w:rsid w:val="00304F94"/>
    <w:rsid w:val="003105AC"/>
    <w:rsid w:val="00312C7C"/>
    <w:rsid w:val="00314362"/>
    <w:rsid w:val="003161D3"/>
    <w:rsid w:val="00316F7F"/>
    <w:rsid w:val="00316FE0"/>
    <w:rsid w:val="00317695"/>
    <w:rsid w:val="003224A8"/>
    <w:rsid w:val="003225D2"/>
    <w:rsid w:val="003252C5"/>
    <w:rsid w:val="00327A0B"/>
    <w:rsid w:val="0033632B"/>
    <w:rsid w:val="003372E9"/>
    <w:rsid w:val="00340510"/>
    <w:rsid w:val="003427C8"/>
    <w:rsid w:val="00343822"/>
    <w:rsid w:val="00345720"/>
    <w:rsid w:val="003560DF"/>
    <w:rsid w:val="0036198E"/>
    <w:rsid w:val="00366EAF"/>
    <w:rsid w:val="00367BD7"/>
    <w:rsid w:val="003832F7"/>
    <w:rsid w:val="0038607F"/>
    <w:rsid w:val="0038749E"/>
    <w:rsid w:val="00395D29"/>
    <w:rsid w:val="003A1CBC"/>
    <w:rsid w:val="003A35EF"/>
    <w:rsid w:val="003A66A4"/>
    <w:rsid w:val="003B4917"/>
    <w:rsid w:val="003B602F"/>
    <w:rsid w:val="003C30A7"/>
    <w:rsid w:val="003C3DB9"/>
    <w:rsid w:val="003C4F2E"/>
    <w:rsid w:val="003D1A46"/>
    <w:rsid w:val="003D3ED3"/>
    <w:rsid w:val="003D6913"/>
    <w:rsid w:val="003D6C6B"/>
    <w:rsid w:val="003D6EA7"/>
    <w:rsid w:val="003E083F"/>
    <w:rsid w:val="003E34FA"/>
    <w:rsid w:val="00401424"/>
    <w:rsid w:val="00404AB0"/>
    <w:rsid w:val="00417C43"/>
    <w:rsid w:val="00426D4F"/>
    <w:rsid w:val="00427149"/>
    <w:rsid w:val="004318BF"/>
    <w:rsid w:val="00433D35"/>
    <w:rsid w:val="004342CA"/>
    <w:rsid w:val="00441BED"/>
    <w:rsid w:val="004460F3"/>
    <w:rsid w:val="00452142"/>
    <w:rsid w:val="004527E8"/>
    <w:rsid w:val="00473ADB"/>
    <w:rsid w:val="0047444F"/>
    <w:rsid w:val="00475305"/>
    <w:rsid w:val="00477376"/>
    <w:rsid w:val="00481A62"/>
    <w:rsid w:val="00486C34"/>
    <w:rsid w:val="00487A05"/>
    <w:rsid w:val="0049767C"/>
    <w:rsid w:val="004A0C5F"/>
    <w:rsid w:val="004A5D8F"/>
    <w:rsid w:val="004A7DC4"/>
    <w:rsid w:val="004B45A2"/>
    <w:rsid w:val="004B7532"/>
    <w:rsid w:val="004C0E57"/>
    <w:rsid w:val="004C1995"/>
    <w:rsid w:val="004C77CB"/>
    <w:rsid w:val="004D665B"/>
    <w:rsid w:val="004E1F5B"/>
    <w:rsid w:val="004E4E14"/>
    <w:rsid w:val="00511C92"/>
    <w:rsid w:val="00512499"/>
    <w:rsid w:val="0051363C"/>
    <w:rsid w:val="00513ACA"/>
    <w:rsid w:val="005148FE"/>
    <w:rsid w:val="0051614E"/>
    <w:rsid w:val="005168DD"/>
    <w:rsid w:val="00516CC6"/>
    <w:rsid w:val="005270DF"/>
    <w:rsid w:val="0053103C"/>
    <w:rsid w:val="00532872"/>
    <w:rsid w:val="00533076"/>
    <w:rsid w:val="005339D5"/>
    <w:rsid w:val="00536912"/>
    <w:rsid w:val="00537872"/>
    <w:rsid w:val="0054251A"/>
    <w:rsid w:val="00551320"/>
    <w:rsid w:val="00553771"/>
    <w:rsid w:val="00563EEE"/>
    <w:rsid w:val="00570454"/>
    <w:rsid w:val="0057278C"/>
    <w:rsid w:val="00573509"/>
    <w:rsid w:val="0057551F"/>
    <w:rsid w:val="00594C60"/>
    <w:rsid w:val="00594E95"/>
    <w:rsid w:val="00595988"/>
    <w:rsid w:val="005A18F9"/>
    <w:rsid w:val="005A1AE0"/>
    <w:rsid w:val="005A323A"/>
    <w:rsid w:val="005B3933"/>
    <w:rsid w:val="005B6341"/>
    <w:rsid w:val="005D2B19"/>
    <w:rsid w:val="005D36FD"/>
    <w:rsid w:val="005D6DBE"/>
    <w:rsid w:val="005E5175"/>
    <w:rsid w:val="005E6D47"/>
    <w:rsid w:val="005F1FFC"/>
    <w:rsid w:val="005F249F"/>
    <w:rsid w:val="005F5CDD"/>
    <w:rsid w:val="00600A9A"/>
    <w:rsid w:val="006213DD"/>
    <w:rsid w:val="00625395"/>
    <w:rsid w:val="00626F36"/>
    <w:rsid w:val="006337CF"/>
    <w:rsid w:val="00634112"/>
    <w:rsid w:val="00635183"/>
    <w:rsid w:val="00635204"/>
    <w:rsid w:val="00637913"/>
    <w:rsid w:val="00641707"/>
    <w:rsid w:val="00643848"/>
    <w:rsid w:val="00644872"/>
    <w:rsid w:val="00650767"/>
    <w:rsid w:val="0065680E"/>
    <w:rsid w:val="0066106B"/>
    <w:rsid w:val="00664D05"/>
    <w:rsid w:val="00665C34"/>
    <w:rsid w:val="00682CD6"/>
    <w:rsid w:val="0068349A"/>
    <w:rsid w:val="00685DC3"/>
    <w:rsid w:val="00690B79"/>
    <w:rsid w:val="00694ED0"/>
    <w:rsid w:val="006957A5"/>
    <w:rsid w:val="006A0A91"/>
    <w:rsid w:val="006A456B"/>
    <w:rsid w:val="006A5577"/>
    <w:rsid w:val="006B2244"/>
    <w:rsid w:val="006B3D8C"/>
    <w:rsid w:val="006B7AD2"/>
    <w:rsid w:val="006C511F"/>
    <w:rsid w:val="006C72E9"/>
    <w:rsid w:val="006C7C21"/>
    <w:rsid w:val="006D1E8C"/>
    <w:rsid w:val="006D37FD"/>
    <w:rsid w:val="006D4E10"/>
    <w:rsid w:val="006E2197"/>
    <w:rsid w:val="006E4A0C"/>
    <w:rsid w:val="006E6951"/>
    <w:rsid w:val="006F0A01"/>
    <w:rsid w:val="006F13DD"/>
    <w:rsid w:val="006F2252"/>
    <w:rsid w:val="006F288C"/>
    <w:rsid w:val="007011FA"/>
    <w:rsid w:val="00705574"/>
    <w:rsid w:val="007059EE"/>
    <w:rsid w:val="00706218"/>
    <w:rsid w:val="00707ECA"/>
    <w:rsid w:val="00710CC5"/>
    <w:rsid w:val="00715C7F"/>
    <w:rsid w:val="00722872"/>
    <w:rsid w:val="00726864"/>
    <w:rsid w:val="007319B7"/>
    <w:rsid w:val="00732F4F"/>
    <w:rsid w:val="00733752"/>
    <w:rsid w:val="00733C46"/>
    <w:rsid w:val="007355AA"/>
    <w:rsid w:val="00744ECB"/>
    <w:rsid w:val="0074629B"/>
    <w:rsid w:val="00751358"/>
    <w:rsid w:val="00751D7E"/>
    <w:rsid w:val="00756157"/>
    <w:rsid w:val="00760419"/>
    <w:rsid w:val="00763D5B"/>
    <w:rsid w:val="00765C7B"/>
    <w:rsid w:val="00766C81"/>
    <w:rsid w:val="00791AC9"/>
    <w:rsid w:val="0079339F"/>
    <w:rsid w:val="00793479"/>
    <w:rsid w:val="0079547E"/>
    <w:rsid w:val="007A30EB"/>
    <w:rsid w:val="007A6EE8"/>
    <w:rsid w:val="007C0923"/>
    <w:rsid w:val="007C3C35"/>
    <w:rsid w:val="007C7E60"/>
    <w:rsid w:val="007D3D93"/>
    <w:rsid w:val="007E513E"/>
    <w:rsid w:val="007E7E37"/>
    <w:rsid w:val="007F3057"/>
    <w:rsid w:val="007F35B6"/>
    <w:rsid w:val="007F4556"/>
    <w:rsid w:val="00810FF4"/>
    <w:rsid w:val="0081330B"/>
    <w:rsid w:val="00814193"/>
    <w:rsid w:val="00816792"/>
    <w:rsid w:val="00816AA8"/>
    <w:rsid w:val="0081724D"/>
    <w:rsid w:val="00823FDC"/>
    <w:rsid w:val="00826EE4"/>
    <w:rsid w:val="008362A2"/>
    <w:rsid w:val="00853361"/>
    <w:rsid w:val="00855E15"/>
    <w:rsid w:val="008573A2"/>
    <w:rsid w:val="008576C7"/>
    <w:rsid w:val="008636E3"/>
    <w:rsid w:val="008671F9"/>
    <w:rsid w:val="00875B65"/>
    <w:rsid w:val="0088222A"/>
    <w:rsid w:val="00882935"/>
    <w:rsid w:val="008964E9"/>
    <w:rsid w:val="008970DC"/>
    <w:rsid w:val="008A6525"/>
    <w:rsid w:val="008B001F"/>
    <w:rsid w:val="008B2CB9"/>
    <w:rsid w:val="008B3FAF"/>
    <w:rsid w:val="008B40CD"/>
    <w:rsid w:val="008B54DF"/>
    <w:rsid w:val="008C0D38"/>
    <w:rsid w:val="008C2865"/>
    <w:rsid w:val="008C44A7"/>
    <w:rsid w:val="008C7818"/>
    <w:rsid w:val="008D3161"/>
    <w:rsid w:val="008D38AE"/>
    <w:rsid w:val="008D3940"/>
    <w:rsid w:val="008D3E7C"/>
    <w:rsid w:val="008E08A3"/>
    <w:rsid w:val="008E164F"/>
    <w:rsid w:val="008E3E92"/>
    <w:rsid w:val="008E5D30"/>
    <w:rsid w:val="008E777F"/>
    <w:rsid w:val="0090025B"/>
    <w:rsid w:val="00904477"/>
    <w:rsid w:val="009104A1"/>
    <w:rsid w:val="0091493D"/>
    <w:rsid w:val="0092092B"/>
    <w:rsid w:val="00923029"/>
    <w:rsid w:val="009336CF"/>
    <w:rsid w:val="00941067"/>
    <w:rsid w:val="00954684"/>
    <w:rsid w:val="00955CDF"/>
    <w:rsid w:val="00957794"/>
    <w:rsid w:val="0096247A"/>
    <w:rsid w:val="0096415E"/>
    <w:rsid w:val="009664D0"/>
    <w:rsid w:val="00967432"/>
    <w:rsid w:val="0097154F"/>
    <w:rsid w:val="00973293"/>
    <w:rsid w:val="00977470"/>
    <w:rsid w:val="00990CFC"/>
    <w:rsid w:val="009936CA"/>
    <w:rsid w:val="00994261"/>
    <w:rsid w:val="00994943"/>
    <w:rsid w:val="00996A0D"/>
    <w:rsid w:val="00996FA0"/>
    <w:rsid w:val="009A13AB"/>
    <w:rsid w:val="009A13BD"/>
    <w:rsid w:val="009A641F"/>
    <w:rsid w:val="009B30FA"/>
    <w:rsid w:val="009B366A"/>
    <w:rsid w:val="009B3CA2"/>
    <w:rsid w:val="009C10E1"/>
    <w:rsid w:val="009C5ABF"/>
    <w:rsid w:val="009C7539"/>
    <w:rsid w:val="009D195A"/>
    <w:rsid w:val="009D33D2"/>
    <w:rsid w:val="009D412E"/>
    <w:rsid w:val="009D5BE9"/>
    <w:rsid w:val="009D7886"/>
    <w:rsid w:val="009E1042"/>
    <w:rsid w:val="009E47CC"/>
    <w:rsid w:val="009E76E0"/>
    <w:rsid w:val="009F0BC4"/>
    <w:rsid w:val="009F14CB"/>
    <w:rsid w:val="009F3A08"/>
    <w:rsid w:val="009F4469"/>
    <w:rsid w:val="009F49A3"/>
    <w:rsid w:val="009F6E69"/>
    <w:rsid w:val="009F7985"/>
    <w:rsid w:val="009F7E64"/>
    <w:rsid w:val="00A0364C"/>
    <w:rsid w:val="00A0474C"/>
    <w:rsid w:val="00A065CC"/>
    <w:rsid w:val="00A06C9A"/>
    <w:rsid w:val="00A13C84"/>
    <w:rsid w:val="00A30AA0"/>
    <w:rsid w:val="00A358CE"/>
    <w:rsid w:val="00A36144"/>
    <w:rsid w:val="00A37BFF"/>
    <w:rsid w:val="00A4452C"/>
    <w:rsid w:val="00A55878"/>
    <w:rsid w:val="00A622E9"/>
    <w:rsid w:val="00A637BE"/>
    <w:rsid w:val="00A67A6C"/>
    <w:rsid w:val="00A71151"/>
    <w:rsid w:val="00A75BE8"/>
    <w:rsid w:val="00A818AE"/>
    <w:rsid w:val="00A83ED2"/>
    <w:rsid w:val="00A84128"/>
    <w:rsid w:val="00A84143"/>
    <w:rsid w:val="00A865D3"/>
    <w:rsid w:val="00A90DA3"/>
    <w:rsid w:val="00A92A19"/>
    <w:rsid w:val="00A93967"/>
    <w:rsid w:val="00A94B4A"/>
    <w:rsid w:val="00AA633C"/>
    <w:rsid w:val="00AA66A0"/>
    <w:rsid w:val="00AA6EC1"/>
    <w:rsid w:val="00AC2DFF"/>
    <w:rsid w:val="00AC636B"/>
    <w:rsid w:val="00AD0BCB"/>
    <w:rsid w:val="00AD2890"/>
    <w:rsid w:val="00AD7C75"/>
    <w:rsid w:val="00AE218B"/>
    <w:rsid w:val="00AF1678"/>
    <w:rsid w:val="00AF51D0"/>
    <w:rsid w:val="00AF5405"/>
    <w:rsid w:val="00AF5AC2"/>
    <w:rsid w:val="00B0041E"/>
    <w:rsid w:val="00B02F1E"/>
    <w:rsid w:val="00B03988"/>
    <w:rsid w:val="00B04A7B"/>
    <w:rsid w:val="00B07D28"/>
    <w:rsid w:val="00B10271"/>
    <w:rsid w:val="00B1485B"/>
    <w:rsid w:val="00B16815"/>
    <w:rsid w:val="00B258FB"/>
    <w:rsid w:val="00B30BA4"/>
    <w:rsid w:val="00B33BEB"/>
    <w:rsid w:val="00B35205"/>
    <w:rsid w:val="00B4073D"/>
    <w:rsid w:val="00B43E7B"/>
    <w:rsid w:val="00B5626E"/>
    <w:rsid w:val="00B7039B"/>
    <w:rsid w:val="00B7194A"/>
    <w:rsid w:val="00B76BED"/>
    <w:rsid w:val="00B804F3"/>
    <w:rsid w:val="00B80FA5"/>
    <w:rsid w:val="00B83C57"/>
    <w:rsid w:val="00B84322"/>
    <w:rsid w:val="00B85F31"/>
    <w:rsid w:val="00B860C7"/>
    <w:rsid w:val="00B92BDE"/>
    <w:rsid w:val="00B96DD6"/>
    <w:rsid w:val="00B974E3"/>
    <w:rsid w:val="00BA1433"/>
    <w:rsid w:val="00BA4383"/>
    <w:rsid w:val="00BC10FD"/>
    <w:rsid w:val="00BC16BB"/>
    <w:rsid w:val="00BC31A4"/>
    <w:rsid w:val="00BC56A2"/>
    <w:rsid w:val="00BC5B56"/>
    <w:rsid w:val="00BD2EBB"/>
    <w:rsid w:val="00BD42E6"/>
    <w:rsid w:val="00BD440C"/>
    <w:rsid w:val="00BD596F"/>
    <w:rsid w:val="00BD634B"/>
    <w:rsid w:val="00BD789B"/>
    <w:rsid w:val="00BD7D0B"/>
    <w:rsid w:val="00BE4034"/>
    <w:rsid w:val="00BE414D"/>
    <w:rsid w:val="00BE61FE"/>
    <w:rsid w:val="00BF3B8E"/>
    <w:rsid w:val="00BF6D43"/>
    <w:rsid w:val="00C01BBE"/>
    <w:rsid w:val="00C05B3E"/>
    <w:rsid w:val="00C26D14"/>
    <w:rsid w:val="00C27BD4"/>
    <w:rsid w:val="00C3225C"/>
    <w:rsid w:val="00C34282"/>
    <w:rsid w:val="00C34CD3"/>
    <w:rsid w:val="00C35E68"/>
    <w:rsid w:val="00C36866"/>
    <w:rsid w:val="00C36AF8"/>
    <w:rsid w:val="00C37D4E"/>
    <w:rsid w:val="00C40CD8"/>
    <w:rsid w:val="00C41186"/>
    <w:rsid w:val="00C4132E"/>
    <w:rsid w:val="00C41820"/>
    <w:rsid w:val="00C44DA9"/>
    <w:rsid w:val="00C45868"/>
    <w:rsid w:val="00C467FA"/>
    <w:rsid w:val="00C51760"/>
    <w:rsid w:val="00C528C9"/>
    <w:rsid w:val="00C540B2"/>
    <w:rsid w:val="00C602F5"/>
    <w:rsid w:val="00C62364"/>
    <w:rsid w:val="00C63AB0"/>
    <w:rsid w:val="00C6633F"/>
    <w:rsid w:val="00C66EF9"/>
    <w:rsid w:val="00C701D2"/>
    <w:rsid w:val="00C70859"/>
    <w:rsid w:val="00C7631A"/>
    <w:rsid w:val="00C801D4"/>
    <w:rsid w:val="00C812E5"/>
    <w:rsid w:val="00C86DD8"/>
    <w:rsid w:val="00C8745F"/>
    <w:rsid w:val="00C92F5D"/>
    <w:rsid w:val="00CA118C"/>
    <w:rsid w:val="00CA1440"/>
    <w:rsid w:val="00CA4EFA"/>
    <w:rsid w:val="00CA6DAB"/>
    <w:rsid w:val="00CB1926"/>
    <w:rsid w:val="00CB33D0"/>
    <w:rsid w:val="00CB5026"/>
    <w:rsid w:val="00CB6681"/>
    <w:rsid w:val="00CB6B31"/>
    <w:rsid w:val="00CB6D80"/>
    <w:rsid w:val="00CC2D48"/>
    <w:rsid w:val="00CC384D"/>
    <w:rsid w:val="00CC4163"/>
    <w:rsid w:val="00CC45DE"/>
    <w:rsid w:val="00CC5231"/>
    <w:rsid w:val="00CC7299"/>
    <w:rsid w:val="00CC7831"/>
    <w:rsid w:val="00CD2ADA"/>
    <w:rsid w:val="00CD5F33"/>
    <w:rsid w:val="00CE13C5"/>
    <w:rsid w:val="00CE2CA6"/>
    <w:rsid w:val="00CE36FF"/>
    <w:rsid w:val="00CE65D6"/>
    <w:rsid w:val="00CE6EF6"/>
    <w:rsid w:val="00CE781E"/>
    <w:rsid w:val="00CF1807"/>
    <w:rsid w:val="00CF54AB"/>
    <w:rsid w:val="00CF6E73"/>
    <w:rsid w:val="00D035AE"/>
    <w:rsid w:val="00D056D0"/>
    <w:rsid w:val="00D06AC2"/>
    <w:rsid w:val="00D13CC0"/>
    <w:rsid w:val="00D152D6"/>
    <w:rsid w:val="00D1559F"/>
    <w:rsid w:val="00D1640B"/>
    <w:rsid w:val="00D1702D"/>
    <w:rsid w:val="00D21CAF"/>
    <w:rsid w:val="00D27EE7"/>
    <w:rsid w:val="00D35E81"/>
    <w:rsid w:val="00D41323"/>
    <w:rsid w:val="00D44533"/>
    <w:rsid w:val="00D46391"/>
    <w:rsid w:val="00D51A8E"/>
    <w:rsid w:val="00D5266A"/>
    <w:rsid w:val="00D54E06"/>
    <w:rsid w:val="00D561AD"/>
    <w:rsid w:val="00D64BA1"/>
    <w:rsid w:val="00D808E9"/>
    <w:rsid w:val="00D80B46"/>
    <w:rsid w:val="00D84541"/>
    <w:rsid w:val="00D8511F"/>
    <w:rsid w:val="00D86091"/>
    <w:rsid w:val="00DA0CF0"/>
    <w:rsid w:val="00DA2500"/>
    <w:rsid w:val="00DA25FB"/>
    <w:rsid w:val="00DA62F9"/>
    <w:rsid w:val="00DA78A7"/>
    <w:rsid w:val="00DB4142"/>
    <w:rsid w:val="00DC24D4"/>
    <w:rsid w:val="00DC3B79"/>
    <w:rsid w:val="00DD1FDE"/>
    <w:rsid w:val="00DD20FC"/>
    <w:rsid w:val="00DD3EB0"/>
    <w:rsid w:val="00DD40BE"/>
    <w:rsid w:val="00DD6837"/>
    <w:rsid w:val="00DD6F06"/>
    <w:rsid w:val="00DE1730"/>
    <w:rsid w:val="00DE2E05"/>
    <w:rsid w:val="00DE3025"/>
    <w:rsid w:val="00DE6849"/>
    <w:rsid w:val="00DE70D6"/>
    <w:rsid w:val="00DF2DAA"/>
    <w:rsid w:val="00E0047E"/>
    <w:rsid w:val="00E0306E"/>
    <w:rsid w:val="00E17498"/>
    <w:rsid w:val="00E22A8C"/>
    <w:rsid w:val="00E23109"/>
    <w:rsid w:val="00E2598F"/>
    <w:rsid w:val="00E27A3B"/>
    <w:rsid w:val="00E30F77"/>
    <w:rsid w:val="00E31770"/>
    <w:rsid w:val="00E32296"/>
    <w:rsid w:val="00E34C47"/>
    <w:rsid w:val="00E35C99"/>
    <w:rsid w:val="00E365FF"/>
    <w:rsid w:val="00E44531"/>
    <w:rsid w:val="00E451D8"/>
    <w:rsid w:val="00E509E8"/>
    <w:rsid w:val="00E577E0"/>
    <w:rsid w:val="00E6073A"/>
    <w:rsid w:val="00E608DA"/>
    <w:rsid w:val="00E621CC"/>
    <w:rsid w:val="00E63DE1"/>
    <w:rsid w:val="00E657F7"/>
    <w:rsid w:val="00E66CDA"/>
    <w:rsid w:val="00E81562"/>
    <w:rsid w:val="00E81DA1"/>
    <w:rsid w:val="00E85B4C"/>
    <w:rsid w:val="00E92073"/>
    <w:rsid w:val="00E939D3"/>
    <w:rsid w:val="00EA1984"/>
    <w:rsid w:val="00EA1A1E"/>
    <w:rsid w:val="00EA4424"/>
    <w:rsid w:val="00EA669E"/>
    <w:rsid w:val="00EB0A8A"/>
    <w:rsid w:val="00EB4209"/>
    <w:rsid w:val="00EB4DF0"/>
    <w:rsid w:val="00EB554A"/>
    <w:rsid w:val="00EC2804"/>
    <w:rsid w:val="00ED26B5"/>
    <w:rsid w:val="00ED4422"/>
    <w:rsid w:val="00EE31E1"/>
    <w:rsid w:val="00EE4369"/>
    <w:rsid w:val="00EE6A8F"/>
    <w:rsid w:val="00EE6C88"/>
    <w:rsid w:val="00EF1284"/>
    <w:rsid w:val="00EF233B"/>
    <w:rsid w:val="00EF5E51"/>
    <w:rsid w:val="00F04735"/>
    <w:rsid w:val="00F07733"/>
    <w:rsid w:val="00F07C26"/>
    <w:rsid w:val="00F10718"/>
    <w:rsid w:val="00F10F75"/>
    <w:rsid w:val="00F13A08"/>
    <w:rsid w:val="00F1588B"/>
    <w:rsid w:val="00F213B5"/>
    <w:rsid w:val="00F22428"/>
    <w:rsid w:val="00F2419A"/>
    <w:rsid w:val="00F26141"/>
    <w:rsid w:val="00F307E5"/>
    <w:rsid w:val="00F3206E"/>
    <w:rsid w:val="00F32331"/>
    <w:rsid w:val="00F32901"/>
    <w:rsid w:val="00F348C5"/>
    <w:rsid w:val="00F35366"/>
    <w:rsid w:val="00F43FAC"/>
    <w:rsid w:val="00F449B5"/>
    <w:rsid w:val="00F45C29"/>
    <w:rsid w:val="00F50D5F"/>
    <w:rsid w:val="00F52081"/>
    <w:rsid w:val="00F52D42"/>
    <w:rsid w:val="00F561CC"/>
    <w:rsid w:val="00F5744D"/>
    <w:rsid w:val="00F60B0E"/>
    <w:rsid w:val="00F61240"/>
    <w:rsid w:val="00F62EE2"/>
    <w:rsid w:val="00F65A62"/>
    <w:rsid w:val="00F660E8"/>
    <w:rsid w:val="00F70BBC"/>
    <w:rsid w:val="00F7353F"/>
    <w:rsid w:val="00F804DD"/>
    <w:rsid w:val="00F85F5D"/>
    <w:rsid w:val="00F9485D"/>
    <w:rsid w:val="00F97A0C"/>
    <w:rsid w:val="00FA2381"/>
    <w:rsid w:val="00FA5CCF"/>
    <w:rsid w:val="00FB4384"/>
    <w:rsid w:val="00FB4B0E"/>
    <w:rsid w:val="00FB531D"/>
    <w:rsid w:val="00FB76AA"/>
    <w:rsid w:val="00FC5C59"/>
    <w:rsid w:val="00FD39F0"/>
    <w:rsid w:val="00FD45EB"/>
    <w:rsid w:val="00FD666D"/>
    <w:rsid w:val="00FE2193"/>
    <w:rsid w:val="00FF6C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rsid w:val="00F26141"/>
  </w:style>
  <w:style w:type="character" w:customStyle="1" w:styleId="FootnoteTextChar">
    <w:name w:val="Footnote Text Char"/>
    <w:basedOn w:val="DefaultParagraphFont"/>
    <w:link w:val="FootnoteText"/>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styleId="BodyTextIndent">
    <w:name w:val="Body Text Indent"/>
    <w:basedOn w:val="Normal"/>
    <w:link w:val="BodyTextIndentChar"/>
    <w:semiHidden/>
    <w:unhideWhenUsed/>
    <w:rsid w:val="00D8511F"/>
    <w:pPr>
      <w:spacing w:after="120"/>
      <w:ind w:left="360"/>
    </w:pPr>
  </w:style>
  <w:style w:type="character" w:customStyle="1" w:styleId="BodyTextIndentChar">
    <w:name w:val="Body Text Indent Char"/>
    <w:basedOn w:val="DefaultParagraphFont"/>
    <w:link w:val="BodyTextIndent"/>
    <w:semiHidden/>
    <w:rsid w:val="00D85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18/07/13/2018-14990/privacy-act-of-1974-system-of-record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onsumerfinance.gov/privacy/privacy-poli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a803c46f29d7a6c984d8a5edfaed862">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51b5eb869d4744eeebde17bffa93e02e"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OPSOCDOPRA-2116056712-2137289</_dlc_DocId>
    <_dlc_DocIdUrl xmlns="8097749c-35e3-4292-9c41-d352b303d2cf">
      <Url>https://bcfp365.sharepoint.com/sites/ops-ocdo-pra/_layouts/15/DocIdRedir.aspx?ID=OPSOCDOPRA-2116056712-2137289</Url>
      <Description>OPSOCDOPRA-2116056712-2137289</Description>
    </_dlc_DocIdUrl>
    <md95245a80cd48af84779a6a8432aa88 xmlns="3c358492-2927-472d-85d8-14627d068203">
      <Terms xmlns="http://schemas.microsoft.com/office/infopath/2007/PartnerControls"/>
    </md95245a80cd48af84779a6a8432aa88>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BA226-C8EC-412D-A4A3-D8722681C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3.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http://schemas.microsoft.com/sharepoint/v3"/>
    <ds:schemaRef ds:uri="8097749c-35e3-4292-9c41-d352b303d2cf"/>
    <ds:schemaRef ds:uri="3c358492-2927-472d-85d8-14627d068203"/>
  </ds:schemaRefs>
</ds:datastoreItem>
</file>

<file path=customXml/itemProps4.xml><?xml version="1.0" encoding="utf-8"?>
<ds:datastoreItem xmlns:ds="http://schemas.openxmlformats.org/officeDocument/2006/customXml" ds:itemID="{3E47DB22-9454-4436-B5C0-9A740CA31E44}">
  <ds:schemaRefs>
    <ds:schemaRef ds:uri="http://schemas.microsoft.com/sharepoint/events"/>
  </ds:schemaRefs>
</ds:datastoreItem>
</file>

<file path=customXml/itemProps5.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2706</Words>
  <Characters>15911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May, Anthony (CFPB)</cp:lastModifiedBy>
  <cp:revision>2</cp:revision>
  <cp:lastPrinted>2017-07-25T10:39:00Z</cp:lastPrinted>
  <dcterms:created xsi:type="dcterms:W3CDTF">2025-12-05T19:32:00Z</dcterms:created>
  <dcterms:modified xsi:type="dcterms:W3CDTF">2025-12-05T19:32:00Z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TaxKeyword">
    <vt:lpwstr/>
  </property>
  <property fmtid="{D5CDD505-2E9C-101B-9397-08002B2CF9AE}" pid="4" name="_dlc_DocIdItemGuid">
    <vt:lpwstr>17a60391-0599-4db8-b9bf-c4791f1bd2f4</vt:lpwstr>
  </property>
  <property fmtid="{D5CDD505-2E9C-101B-9397-08002B2CF9AE}" pid="5" name="_NewReviewCycle">
    <vt:lpwstr/>
  </property>
</Properties>
</file>