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9642A" w:rsidP="00447C1E" w14:paraId="02DF5EA2" w14:textId="77777777">
      <w:pPr>
        <w:tabs>
          <w:tab w:val="center" w:pos="4680"/>
        </w:tabs>
        <w:suppressAutoHyphens/>
        <w:spacing w:line="480" w:lineRule="auto"/>
        <w:jc w:val="center"/>
        <w:rPr>
          <w:b/>
          <w:szCs w:val="24"/>
        </w:rPr>
      </w:pPr>
    </w:p>
    <w:p w:rsidR="00447C1E" w:rsidRPr="00BD1DD0" w:rsidP="00447C1E" w14:paraId="6B54BD9A" w14:textId="536C755D">
      <w:pPr>
        <w:tabs>
          <w:tab w:val="center" w:pos="4680"/>
        </w:tabs>
        <w:suppressAutoHyphens/>
        <w:spacing w:line="480" w:lineRule="auto"/>
        <w:jc w:val="center"/>
        <w:rPr>
          <w:b/>
          <w:szCs w:val="24"/>
        </w:rPr>
      </w:pPr>
      <w:r w:rsidRPr="00BD1DD0">
        <w:rPr>
          <w:b/>
          <w:szCs w:val="24"/>
        </w:rPr>
        <w:t>SUPPORTING STATEMENT</w:t>
      </w:r>
      <w:r w:rsidRPr="00BD1DD0" w:rsidR="0062567E">
        <w:rPr>
          <w:b/>
          <w:szCs w:val="24"/>
        </w:rPr>
        <w:t xml:space="preserve"> </w:t>
      </w:r>
      <w:r w:rsidR="00204E6E">
        <w:rPr>
          <w:b/>
          <w:szCs w:val="24"/>
        </w:rPr>
        <w:t xml:space="preserve">- PART A </w:t>
      </w:r>
      <w:r w:rsidRPr="00BD1DD0" w:rsidR="0062567E">
        <w:rPr>
          <w:b/>
          <w:szCs w:val="24"/>
        </w:rPr>
        <w:t>for</w:t>
      </w:r>
    </w:p>
    <w:p w:rsidR="00BD1DD0" w:rsidP="00447C1E" w14:paraId="2CFAA399" w14:textId="77777777">
      <w:pPr>
        <w:tabs>
          <w:tab w:val="right" w:pos="9360"/>
        </w:tabs>
        <w:spacing w:line="480" w:lineRule="auto"/>
        <w:jc w:val="center"/>
        <w:rPr>
          <w:b/>
          <w:szCs w:val="24"/>
          <w:lang w:val=""/>
        </w:rPr>
      </w:pPr>
      <w:r w:rsidRPr="00BD1DD0">
        <w:rPr>
          <w:b/>
          <w:szCs w:val="24"/>
          <w:lang w:val=""/>
        </w:rPr>
        <w:t xml:space="preserve">OMB </w:t>
      </w:r>
      <w:r w:rsidRPr="00BD1DD0" w:rsidR="009F7E1A">
        <w:rPr>
          <w:b/>
          <w:szCs w:val="24"/>
          <w:lang w:val=""/>
        </w:rPr>
        <w:t xml:space="preserve">Control </w:t>
      </w:r>
      <w:r w:rsidRPr="00BD1DD0" w:rsidR="009F7E1A">
        <w:rPr>
          <w:b/>
          <w:szCs w:val="24"/>
        </w:rPr>
        <w:t>Number</w:t>
      </w:r>
      <w:r w:rsidRPr="00BD1DD0">
        <w:rPr>
          <w:b/>
          <w:szCs w:val="24"/>
          <w:lang w:val=""/>
        </w:rPr>
        <w:t xml:space="preserve"> 0584-</w:t>
      </w:r>
      <w:r w:rsidR="00C44E9E">
        <w:rPr>
          <w:b/>
          <w:szCs w:val="24"/>
          <w:lang w:val=""/>
        </w:rPr>
        <w:t>0043</w:t>
      </w:r>
      <w:r w:rsidRPr="00BD1DD0" w:rsidR="00B335C9">
        <w:rPr>
          <w:b/>
          <w:szCs w:val="24"/>
          <w:lang w:val=""/>
        </w:rPr>
        <w:t xml:space="preserve">:  </w:t>
      </w:r>
    </w:p>
    <w:p w:rsidR="00447C1E" w:rsidRPr="00BD1DD0" w:rsidP="00447C1E" w14:paraId="2662F8BA" w14:textId="4BB2A368">
      <w:pPr>
        <w:tabs>
          <w:tab w:val="right" w:pos="9360"/>
        </w:tabs>
        <w:spacing w:line="480" w:lineRule="auto"/>
        <w:jc w:val="center"/>
        <w:rPr>
          <w:b/>
        </w:rPr>
      </w:pPr>
      <w:r w:rsidRPr="4F65EABD">
        <w:rPr>
          <w:b/>
        </w:rPr>
        <w:t xml:space="preserve">Special Supplemental Nutrition Program for Women, Infants, and Children (WIC) Program </w:t>
      </w:r>
      <w:r w:rsidRPr="4F65EABD" w:rsidR="004A2495">
        <w:rPr>
          <w:b/>
        </w:rPr>
        <w:t xml:space="preserve">Reporting and Recordkeeping Burden as Revised to Reflect Program Changes due to </w:t>
      </w:r>
      <w:r w:rsidRPr="4F65EABD" w:rsidR="00C01781">
        <w:rPr>
          <w:b/>
        </w:rPr>
        <w:t xml:space="preserve">Final </w:t>
      </w:r>
      <w:r w:rsidRPr="4F65EABD">
        <w:rPr>
          <w:b/>
        </w:rPr>
        <w:t>Regulation</w:t>
      </w:r>
      <w:r w:rsidRPr="4F65EABD" w:rsidR="00310521">
        <w:rPr>
          <w:b/>
        </w:rPr>
        <w:t xml:space="preserve">: Online Ordering and Transactions and </w:t>
      </w:r>
      <w:r w:rsidRPr="4F65EABD" w:rsidR="00B84782">
        <w:rPr>
          <w:b/>
        </w:rPr>
        <w:t>Food Delivery Revisions to Meet the Needs of a Modern, Data-Driven Program</w:t>
      </w:r>
      <w:r w:rsidR="00472776">
        <w:rPr>
          <w:b/>
        </w:rPr>
        <w:t xml:space="preserve"> (RIN 0584 – </w:t>
      </w:r>
      <w:r w:rsidR="0025592C">
        <w:rPr>
          <w:b/>
        </w:rPr>
        <w:t>AE85</w:t>
      </w:r>
      <w:r w:rsidR="00472776">
        <w:rPr>
          <w:b/>
        </w:rPr>
        <w:t>)</w:t>
      </w:r>
    </w:p>
    <w:p w:rsidR="00B335C9" w:rsidRPr="002568E6" w:rsidP="00447C1E" w14:paraId="41109BFB" w14:textId="77777777">
      <w:pPr>
        <w:tabs>
          <w:tab w:val="right" w:pos="9360"/>
        </w:tabs>
        <w:spacing w:line="480" w:lineRule="auto"/>
        <w:jc w:val="center"/>
        <w:rPr>
          <w:szCs w:val="24"/>
          <w:lang w:val=""/>
        </w:rPr>
      </w:pPr>
    </w:p>
    <w:p w:rsidR="6FB2F665" w:rsidP="36A235E9" w14:paraId="6C206965" w14:textId="23FFEEF6">
      <w:pPr>
        <w:spacing w:line="480" w:lineRule="auto"/>
        <w:jc w:val="center"/>
      </w:pPr>
      <w:r>
        <w:rPr>
          <w:lang w:val=""/>
        </w:rPr>
        <w:t>Sara Olson</w:t>
      </w:r>
    </w:p>
    <w:p w:rsidR="00447C1E" w:rsidP="00447C1E" w14:paraId="774388D3" w14:textId="329CACC4">
      <w:pPr>
        <w:spacing w:line="480" w:lineRule="auto"/>
        <w:jc w:val="center"/>
      </w:pPr>
      <w:r>
        <w:t>Director</w:t>
      </w:r>
      <w:r w:rsidR="00C44E9E">
        <w:t>/</w:t>
      </w:r>
      <w:r w:rsidR="00F13654">
        <w:t xml:space="preserve">Policy </w:t>
      </w:r>
      <w:r w:rsidR="00A3275A">
        <w:t>Division</w:t>
      </w:r>
    </w:p>
    <w:p w:rsidR="00447C1E" w:rsidRPr="002568E6" w:rsidP="00447C1E" w14:paraId="74E4F219" w14:textId="77777777">
      <w:pPr>
        <w:tabs>
          <w:tab w:val="left" w:pos="-720"/>
        </w:tabs>
        <w:suppressAutoHyphens/>
        <w:spacing w:line="480" w:lineRule="auto"/>
        <w:jc w:val="center"/>
        <w:rPr>
          <w:szCs w:val="24"/>
        </w:rPr>
      </w:pPr>
      <w:r>
        <w:rPr>
          <w:szCs w:val="24"/>
        </w:rPr>
        <w:t>Special Supplemental Nutrition Program for Women, Infants, and Children (WIC)</w:t>
      </w:r>
    </w:p>
    <w:p w:rsidR="00C44E9E" w:rsidP="00447C1E" w14:paraId="0E289535" w14:textId="77777777">
      <w:pPr>
        <w:spacing w:line="480" w:lineRule="auto"/>
        <w:jc w:val="center"/>
        <w:rPr>
          <w:szCs w:val="24"/>
        </w:rPr>
      </w:pPr>
    </w:p>
    <w:p w:rsidR="00D37753" w:rsidRPr="00D37753" w:rsidP="00D37753" w14:paraId="079D3E33" w14:textId="791788D2">
      <w:pPr>
        <w:spacing w:line="480" w:lineRule="auto"/>
        <w:jc w:val="center"/>
        <w:rPr>
          <w:szCs w:val="24"/>
        </w:rPr>
      </w:pPr>
      <w:r>
        <w:rPr>
          <w:szCs w:val="24"/>
        </w:rPr>
        <w:t>U</w:t>
      </w:r>
      <w:r w:rsidR="00F24AEC">
        <w:rPr>
          <w:szCs w:val="24"/>
        </w:rPr>
        <w:t>.</w:t>
      </w:r>
      <w:r>
        <w:rPr>
          <w:szCs w:val="24"/>
        </w:rPr>
        <w:t>S</w:t>
      </w:r>
      <w:r w:rsidR="00F24AEC">
        <w:rPr>
          <w:szCs w:val="24"/>
        </w:rPr>
        <w:t xml:space="preserve">. </w:t>
      </w:r>
      <w:r>
        <w:rPr>
          <w:szCs w:val="24"/>
        </w:rPr>
        <w:t>D</w:t>
      </w:r>
      <w:r w:rsidR="00F24AEC">
        <w:rPr>
          <w:szCs w:val="24"/>
        </w:rPr>
        <w:t xml:space="preserve">epartment of </w:t>
      </w:r>
      <w:r>
        <w:rPr>
          <w:szCs w:val="24"/>
        </w:rPr>
        <w:t>A</w:t>
      </w:r>
      <w:r w:rsidR="00F24AEC">
        <w:rPr>
          <w:szCs w:val="24"/>
        </w:rPr>
        <w:t>griculture (USDA)</w:t>
      </w:r>
      <w:r>
        <w:rPr>
          <w:szCs w:val="24"/>
        </w:rPr>
        <w:t xml:space="preserve">, </w:t>
      </w:r>
      <w:r w:rsidRPr="00D37753">
        <w:rPr>
          <w:szCs w:val="24"/>
        </w:rPr>
        <w:t xml:space="preserve">Food and Nutrition </w:t>
      </w:r>
      <w:r w:rsidR="00533583">
        <w:rPr>
          <w:szCs w:val="24"/>
        </w:rPr>
        <w:t>Administration</w:t>
      </w:r>
    </w:p>
    <w:p w:rsidR="00A46EB6" w:rsidRPr="00D37753" w:rsidP="00D37753" w14:paraId="2115B507" w14:textId="34422733">
      <w:pPr>
        <w:spacing w:line="480" w:lineRule="auto"/>
        <w:jc w:val="center"/>
        <w:rPr>
          <w:szCs w:val="24"/>
        </w:rPr>
      </w:pPr>
      <w:r w:rsidRPr="00A46EB6">
        <w:rPr>
          <w:szCs w:val="24"/>
        </w:rPr>
        <w:t>201 14th Street SW</w:t>
      </w:r>
    </w:p>
    <w:p w:rsidR="00D37753" w:rsidRPr="00D37753" w:rsidP="00D37753" w14:paraId="47B740D1" w14:textId="6E62AB77">
      <w:pPr>
        <w:spacing w:line="480" w:lineRule="auto"/>
        <w:jc w:val="center"/>
        <w:rPr>
          <w:szCs w:val="24"/>
        </w:rPr>
      </w:pPr>
      <w:r>
        <w:rPr>
          <w:szCs w:val="24"/>
        </w:rPr>
        <w:t>Washington, DC</w:t>
      </w:r>
      <w:r w:rsidRPr="00D37753" w:rsidR="0045478E">
        <w:rPr>
          <w:szCs w:val="24"/>
        </w:rPr>
        <w:t xml:space="preserve"> 2</w:t>
      </w:r>
      <w:r>
        <w:rPr>
          <w:szCs w:val="24"/>
        </w:rPr>
        <w:t>0227</w:t>
      </w:r>
    </w:p>
    <w:p w:rsidR="737D9664" w:rsidP="36A235E9" w14:paraId="3ED2C615" w14:textId="5DC82B0F">
      <w:pPr>
        <w:spacing w:line="480" w:lineRule="auto"/>
        <w:jc w:val="center"/>
      </w:pPr>
      <w:r>
        <w:t>sara.olson@usda.gov</w:t>
      </w:r>
    </w:p>
    <w:p w:rsidR="00447C1E" w:rsidRPr="002568E6" w:rsidP="00447C1E" w14:paraId="24F0F9E3" w14:textId="77777777">
      <w:pPr>
        <w:spacing w:line="480" w:lineRule="auto"/>
        <w:jc w:val="center"/>
        <w:rPr>
          <w:szCs w:val="24"/>
        </w:rPr>
      </w:pPr>
    </w:p>
    <w:p w:rsidR="00905A5F" w14:paraId="4BAF5028" w14:textId="77777777">
      <w:pPr>
        <w:widowControl/>
        <w:overflowPunct/>
        <w:autoSpaceDE/>
        <w:autoSpaceDN/>
        <w:adjustRightInd/>
        <w:textAlignment w:val="auto"/>
        <w:rPr>
          <w:szCs w:val="24"/>
        </w:rPr>
      </w:pPr>
      <w:r>
        <w:rPr>
          <w:szCs w:val="24"/>
        </w:rPr>
        <w:br w:type="page"/>
      </w:r>
    </w:p>
    <w:p w:rsidR="00905A5F" w:rsidRPr="003D375A" w:rsidP="009F7E1A" w14:paraId="1FA2EE71" w14:textId="77777777">
      <w:pPr>
        <w:tabs>
          <w:tab w:val="center" w:pos="4680"/>
        </w:tabs>
        <w:rPr>
          <w:b/>
          <w:szCs w:val="24"/>
        </w:rPr>
      </w:pPr>
      <w:r w:rsidRPr="003D375A">
        <w:rPr>
          <w:b/>
          <w:szCs w:val="24"/>
        </w:rPr>
        <w:t>Table of Contents</w:t>
      </w:r>
    </w:p>
    <w:p w:rsidR="003635DB" w:rsidRPr="003D375A" w14:paraId="0E4C97ED" w14:textId="6FD8A1EA">
      <w:pPr>
        <w:pStyle w:val="TOC1"/>
        <w:rPr>
          <w:rFonts w:asciiTheme="minorHAnsi" w:eastAsiaTheme="minorEastAsia" w:hAnsiTheme="minorHAnsi" w:cstheme="minorBidi"/>
          <w:b w:val="0"/>
          <w:bCs w:val="0"/>
          <w:caps w:val="0"/>
          <w:sz w:val="22"/>
          <w:szCs w:val="22"/>
        </w:rPr>
      </w:pPr>
      <w:r w:rsidRPr="003D375A">
        <w:rPr>
          <w:b w:val="0"/>
          <w:bCs w:val="0"/>
          <w:szCs w:val="24"/>
        </w:rPr>
        <w:fldChar w:fldCharType="begin"/>
      </w:r>
      <w:r w:rsidRPr="003D375A">
        <w:rPr>
          <w:b w:val="0"/>
          <w:bCs w:val="0"/>
          <w:szCs w:val="24"/>
        </w:rPr>
        <w:instrText xml:space="preserve"> TOC \o "1-2" \h \z \u </w:instrText>
      </w:r>
      <w:r w:rsidRPr="003D375A">
        <w:rPr>
          <w:b w:val="0"/>
          <w:bCs w:val="0"/>
          <w:szCs w:val="24"/>
        </w:rPr>
        <w:fldChar w:fldCharType="separate"/>
      </w:r>
      <w:hyperlink w:anchor="_Toc115788669" w:history="1">
        <w:r w:rsidRPr="003D375A">
          <w:rPr>
            <w:rStyle w:val="Hyperlink"/>
            <w:b w:val="0"/>
            <w:bCs w:val="0"/>
          </w:rPr>
          <w:t>A1. Circumstances that make the collection of information necessary.</w:t>
        </w:r>
        <w:r w:rsidRPr="003D375A">
          <w:rPr>
            <w:b w:val="0"/>
            <w:bCs w:val="0"/>
            <w:webHidden/>
          </w:rPr>
          <w:tab/>
          <w:t>4</w:t>
        </w:r>
      </w:hyperlink>
    </w:p>
    <w:p w:rsidR="003635DB" w:rsidRPr="003D375A" w14:paraId="2B6D07EF" w14:textId="7B8ED02C">
      <w:pPr>
        <w:pStyle w:val="TOC1"/>
        <w:rPr>
          <w:rFonts w:asciiTheme="minorHAnsi" w:eastAsiaTheme="minorEastAsia" w:hAnsiTheme="minorHAnsi" w:cstheme="minorBidi"/>
          <w:b w:val="0"/>
          <w:bCs w:val="0"/>
          <w:caps w:val="0"/>
          <w:sz w:val="22"/>
          <w:szCs w:val="22"/>
        </w:rPr>
      </w:pPr>
      <w:hyperlink w:anchor="_Toc115788670" w:history="1">
        <w:r w:rsidRPr="003D375A">
          <w:rPr>
            <w:rStyle w:val="Hyperlink"/>
            <w:b w:val="0"/>
            <w:bCs w:val="0"/>
          </w:rPr>
          <w:t>A2. Purpose and Use of the Information.</w:t>
        </w:r>
        <w:r w:rsidRPr="003D375A">
          <w:rPr>
            <w:b w:val="0"/>
            <w:bCs w:val="0"/>
            <w:webHidden/>
          </w:rPr>
          <w:tab/>
          <w:t>5</w:t>
        </w:r>
      </w:hyperlink>
    </w:p>
    <w:p w:rsidR="003635DB" w:rsidRPr="003D375A" w14:paraId="10D63571" w14:textId="14DE22AE">
      <w:pPr>
        <w:pStyle w:val="TOC1"/>
        <w:rPr>
          <w:rFonts w:asciiTheme="minorHAnsi" w:eastAsiaTheme="minorEastAsia" w:hAnsiTheme="minorHAnsi" w:cstheme="minorBidi"/>
          <w:b w:val="0"/>
          <w:bCs w:val="0"/>
          <w:caps w:val="0"/>
          <w:sz w:val="22"/>
          <w:szCs w:val="22"/>
        </w:rPr>
      </w:pPr>
      <w:hyperlink w:anchor="_Toc115788671" w:history="1">
        <w:r w:rsidRPr="003D375A">
          <w:rPr>
            <w:rStyle w:val="Hyperlink"/>
            <w:b w:val="0"/>
            <w:bCs w:val="0"/>
          </w:rPr>
          <w:t>A3.  Use of information technology and burden reduction.</w:t>
        </w:r>
        <w:r w:rsidRPr="003D375A">
          <w:rPr>
            <w:b w:val="0"/>
            <w:bCs w:val="0"/>
            <w:webHidden/>
          </w:rPr>
          <w:tab/>
        </w:r>
        <w:r w:rsidRPr="003D375A">
          <w:rPr>
            <w:b w:val="0"/>
            <w:bCs w:val="0"/>
            <w:webHidden/>
          </w:rPr>
          <w:fldChar w:fldCharType="begin"/>
        </w:r>
        <w:r w:rsidRPr="003D375A">
          <w:rPr>
            <w:b w:val="0"/>
            <w:bCs w:val="0"/>
            <w:webHidden/>
          </w:rPr>
          <w:instrText xml:space="preserve"> PAGEREF _Toc115788671 \h </w:instrText>
        </w:r>
        <w:r w:rsidRPr="003D375A">
          <w:rPr>
            <w:b w:val="0"/>
            <w:bCs w:val="0"/>
            <w:webHidden/>
          </w:rPr>
          <w:fldChar w:fldCharType="separate"/>
        </w:r>
        <w:r>
          <w:rPr>
            <w:b w:val="0"/>
            <w:bCs w:val="0"/>
            <w:webHidden/>
          </w:rPr>
          <w:t>11</w:t>
        </w:r>
        <w:r w:rsidRPr="003D375A">
          <w:rPr>
            <w:b w:val="0"/>
            <w:bCs w:val="0"/>
            <w:webHidden/>
          </w:rPr>
          <w:fldChar w:fldCharType="end"/>
        </w:r>
      </w:hyperlink>
    </w:p>
    <w:p w:rsidR="003635DB" w:rsidRPr="003D375A" w14:paraId="04CCECD2" w14:textId="334E93C7">
      <w:pPr>
        <w:pStyle w:val="TOC1"/>
        <w:rPr>
          <w:rFonts w:asciiTheme="minorHAnsi" w:eastAsiaTheme="minorEastAsia" w:hAnsiTheme="minorHAnsi" w:cstheme="minorBidi"/>
          <w:b w:val="0"/>
          <w:bCs w:val="0"/>
          <w:caps w:val="0"/>
          <w:sz w:val="22"/>
          <w:szCs w:val="22"/>
        </w:rPr>
      </w:pPr>
      <w:hyperlink w:anchor="_Toc115788672" w:history="1">
        <w:r w:rsidRPr="003D375A">
          <w:rPr>
            <w:rStyle w:val="Hyperlink"/>
            <w:b w:val="0"/>
            <w:bCs w:val="0"/>
          </w:rPr>
          <w:t>A4.  Efforts to identify duplication.</w:t>
        </w:r>
        <w:r w:rsidRPr="003D375A">
          <w:rPr>
            <w:b w:val="0"/>
            <w:bCs w:val="0"/>
            <w:webHidden/>
          </w:rPr>
          <w:tab/>
        </w:r>
        <w:r w:rsidRPr="003D375A">
          <w:rPr>
            <w:b w:val="0"/>
            <w:bCs w:val="0"/>
            <w:webHidden/>
          </w:rPr>
          <w:fldChar w:fldCharType="begin"/>
        </w:r>
        <w:r w:rsidRPr="003D375A">
          <w:rPr>
            <w:b w:val="0"/>
            <w:bCs w:val="0"/>
            <w:webHidden/>
          </w:rPr>
          <w:instrText xml:space="preserve"> PAGEREF _Toc115788672 \h </w:instrText>
        </w:r>
        <w:r w:rsidRPr="003D375A">
          <w:rPr>
            <w:b w:val="0"/>
            <w:bCs w:val="0"/>
            <w:webHidden/>
          </w:rPr>
          <w:fldChar w:fldCharType="separate"/>
        </w:r>
        <w:r>
          <w:rPr>
            <w:b w:val="0"/>
            <w:bCs w:val="0"/>
            <w:webHidden/>
          </w:rPr>
          <w:t>13</w:t>
        </w:r>
        <w:r w:rsidRPr="003D375A">
          <w:rPr>
            <w:b w:val="0"/>
            <w:bCs w:val="0"/>
            <w:webHidden/>
          </w:rPr>
          <w:fldChar w:fldCharType="end"/>
        </w:r>
      </w:hyperlink>
    </w:p>
    <w:p w:rsidR="003635DB" w:rsidRPr="003D375A" w14:paraId="44A5F3AE" w14:textId="5AE078FA">
      <w:pPr>
        <w:pStyle w:val="TOC1"/>
        <w:rPr>
          <w:rFonts w:asciiTheme="minorHAnsi" w:eastAsiaTheme="minorEastAsia" w:hAnsiTheme="minorHAnsi" w:cstheme="minorBidi"/>
          <w:b w:val="0"/>
          <w:bCs w:val="0"/>
          <w:caps w:val="0"/>
          <w:sz w:val="22"/>
          <w:szCs w:val="22"/>
        </w:rPr>
      </w:pPr>
      <w:hyperlink w:anchor="_Toc115788673" w:history="1">
        <w:r w:rsidRPr="003D375A">
          <w:rPr>
            <w:rStyle w:val="Hyperlink"/>
            <w:b w:val="0"/>
            <w:bCs w:val="0"/>
          </w:rPr>
          <w:t>A5.  Impacts on small businesses or other small entities.</w:t>
        </w:r>
        <w:r w:rsidRPr="003D375A">
          <w:rPr>
            <w:b w:val="0"/>
            <w:bCs w:val="0"/>
            <w:webHidden/>
          </w:rPr>
          <w:tab/>
        </w:r>
        <w:r w:rsidRPr="003D375A">
          <w:rPr>
            <w:b w:val="0"/>
            <w:bCs w:val="0"/>
            <w:webHidden/>
          </w:rPr>
          <w:fldChar w:fldCharType="begin"/>
        </w:r>
        <w:r w:rsidRPr="003D375A">
          <w:rPr>
            <w:b w:val="0"/>
            <w:bCs w:val="0"/>
            <w:webHidden/>
          </w:rPr>
          <w:instrText xml:space="preserve"> PAGEREF _Toc115788673 \h </w:instrText>
        </w:r>
        <w:r w:rsidRPr="003D375A">
          <w:rPr>
            <w:b w:val="0"/>
            <w:bCs w:val="0"/>
            <w:webHidden/>
          </w:rPr>
          <w:fldChar w:fldCharType="separate"/>
        </w:r>
        <w:r>
          <w:rPr>
            <w:b w:val="0"/>
            <w:bCs w:val="0"/>
            <w:webHidden/>
          </w:rPr>
          <w:t>13</w:t>
        </w:r>
        <w:r w:rsidRPr="003D375A">
          <w:rPr>
            <w:b w:val="0"/>
            <w:bCs w:val="0"/>
            <w:webHidden/>
          </w:rPr>
          <w:fldChar w:fldCharType="end"/>
        </w:r>
      </w:hyperlink>
    </w:p>
    <w:p w:rsidR="003635DB" w:rsidRPr="003D375A" w14:paraId="2D822750" w14:textId="36D77802">
      <w:pPr>
        <w:pStyle w:val="TOC1"/>
        <w:rPr>
          <w:rFonts w:asciiTheme="minorHAnsi" w:eastAsiaTheme="minorEastAsia" w:hAnsiTheme="minorHAnsi" w:cstheme="minorBidi"/>
          <w:b w:val="0"/>
          <w:bCs w:val="0"/>
          <w:caps w:val="0"/>
          <w:sz w:val="22"/>
          <w:szCs w:val="22"/>
        </w:rPr>
      </w:pPr>
      <w:hyperlink w:anchor="_Toc115788674" w:history="1">
        <w:r w:rsidRPr="003D375A">
          <w:rPr>
            <w:rStyle w:val="Hyperlink"/>
            <w:b w:val="0"/>
            <w:bCs w:val="0"/>
          </w:rPr>
          <w:t>A6.  Consequences of collecting the information less frequently.</w:t>
        </w:r>
        <w:r w:rsidRPr="003D375A">
          <w:rPr>
            <w:b w:val="0"/>
            <w:bCs w:val="0"/>
            <w:webHidden/>
          </w:rPr>
          <w:tab/>
        </w:r>
        <w:r w:rsidRPr="003D375A">
          <w:rPr>
            <w:b w:val="0"/>
            <w:bCs w:val="0"/>
            <w:webHidden/>
          </w:rPr>
          <w:fldChar w:fldCharType="begin"/>
        </w:r>
        <w:r w:rsidRPr="003D375A">
          <w:rPr>
            <w:b w:val="0"/>
            <w:bCs w:val="0"/>
            <w:webHidden/>
          </w:rPr>
          <w:instrText xml:space="preserve"> PAGEREF _Toc115788674 \h </w:instrText>
        </w:r>
        <w:r w:rsidRPr="003D375A">
          <w:rPr>
            <w:b w:val="0"/>
            <w:bCs w:val="0"/>
            <w:webHidden/>
          </w:rPr>
          <w:fldChar w:fldCharType="separate"/>
        </w:r>
        <w:r>
          <w:rPr>
            <w:b w:val="0"/>
            <w:bCs w:val="0"/>
            <w:webHidden/>
          </w:rPr>
          <w:t>14</w:t>
        </w:r>
        <w:r w:rsidRPr="003D375A">
          <w:rPr>
            <w:b w:val="0"/>
            <w:bCs w:val="0"/>
            <w:webHidden/>
          </w:rPr>
          <w:fldChar w:fldCharType="end"/>
        </w:r>
      </w:hyperlink>
    </w:p>
    <w:p w:rsidR="003635DB" w:rsidRPr="003D375A" w14:paraId="752AFE61" w14:textId="272AD364">
      <w:pPr>
        <w:pStyle w:val="TOC1"/>
        <w:rPr>
          <w:rFonts w:asciiTheme="minorHAnsi" w:eastAsiaTheme="minorEastAsia" w:hAnsiTheme="minorHAnsi" w:cstheme="minorBidi"/>
          <w:b w:val="0"/>
          <w:bCs w:val="0"/>
          <w:caps w:val="0"/>
          <w:sz w:val="22"/>
          <w:szCs w:val="22"/>
        </w:rPr>
      </w:pPr>
      <w:hyperlink w:anchor="_Toc115788675" w:history="1">
        <w:r w:rsidRPr="003D375A">
          <w:rPr>
            <w:rStyle w:val="Hyperlink"/>
            <w:b w:val="0"/>
            <w:bCs w:val="0"/>
          </w:rPr>
          <w:t>A7.  Special circumstances relating to the Guidelines of 5 CFR 1320.5.</w:t>
        </w:r>
        <w:r w:rsidRPr="003D375A">
          <w:rPr>
            <w:b w:val="0"/>
            <w:bCs w:val="0"/>
            <w:webHidden/>
          </w:rPr>
          <w:tab/>
        </w:r>
        <w:r w:rsidRPr="003D375A">
          <w:rPr>
            <w:b w:val="0"/>
            <w:bCs w:val="0"/>
            <w:webHidden/>
          </w:rPr>
          <w:fldChar w:fldCharType="begin"/>
        </w:r>
        <w:r w:rsidRPr="003D375A">
          <w:rPr>
            <w:b w:val="0"/>
            <w:bCs w:val="0"/>
            <w:webHidden/>
          </w:rPr>
          <w:instrText xml:space="preserve"> PAGEREF _Toc115788675 \h </w:instrText>
        </w:r>
        <w:r w:rsidRPr="003D375A">
          <w:rPr>
            <w:b w:val="0"/>
            <w:bCs w:val="0"/>
            <w:webHidden/>
          </w:rPr>
          <w:fldChar w:fldCharType="separate"/>
        </w:r>
        <w:r>
          <w:rPr>
            <w:b w:val="0"/>
            <w:bCs w:val="0"/>
            <w:webHidden/>
          </w:rPr>
          <w:t>15</w:t>
        </w:r>
        <w:r w:rsidRPr="003D375A">
          <w:rPr>
            <w:b w:val="0"/>
            <w:bCs w:val="0"/>
            <w:webHidden/>
          </w:rPr>
          <w:fldChar w:fldCharType="end"/>
        </w:r>
      </w:hyperlink>
    </w:p>
    <w:p w:rsidR="003635DB" w:rsidRPr="003D375A" w14:paraId="0D6DB2AC" w14:textId="33F889E0">
      <w:pPr>
        <w:pStyle w:val="TOC1"/>
        <w:rPr>
          <w:rFonts w:asciiTheme="minorHAnsi" w:eastAsiaTheme="minorEastAsia" w:hAnsiTheme="minorHAnsi" w:cstheme="minorBidi"/>
          <w:b w:val="0"/>
          <w:bCs w:val="0"/>
          <w:caps w:val="0"/>
          <w:sz w:val="22"/>
          <w:szCs w:val="22"/>
        </w:rPr>
      </w:pPr>
      <w:hyperlink w:anchor="_Toc115788676" w:history="1">
        <w:r w:rsidRPr="003D375A">
          <w:rPr>
            <w:rStyle w:val="Hyperlink"/>
            <w:b w:val="0"/>
            <w:bCs w:val="0"/>
          </w:rPr>
          <w:t>A8.  Comments to the Federal Register Notice and efforts for consultation.</w:t>
        </w:r>
        <w:r w:rsidRPr="003D375A">
          <w:rPr>
            <w:b w:val="0"/>
            <w:bCs w:val="0"/>
            <w:webHidden/>
          </w:rPr>
          <w:tab/>
        </w:r>
        <w:r w:rsidRPr="003D375A">
          <w:rPr>
            <w:b w:val="0"/>
            <w:bCs w:val="0"/>
            <w:webHidden/>
          </w:rPr>
          <w:fldChar w:fldCharType="begin"/>
        </w:r>
        <w:r w:rsidRPr="003D375A">
          <w:rPr>
            <w:b w:val="0"/>
            <w:bCs w:val="0"/>
            <w:webHidden/>
          </w:rPr>
          <w:instrText xml:space="preserve"> PAGEREF _Toc115788676 \h </w:instrText>
        </w:r>
        <w:r w:rsidRPr="003D375A">
          <w:rPr>
            <w:b w:val="0"/>
            <w:bCs w:val="0"/>
            <w:webHidden/>
          </w:rPr>
          <w:fldChar w:fldCharType="separate"/>
        </w:r>
        <w:r>
          <w:rPr>
            <w:b w:val="0"/>
            <w:bCs w:val="0"/>
            <w:webHidden/>
          </w:rPr>
          <w:t>16</w:t>
        </w:r>
        <w:r w:rsidRPr="003D375A">
          <w:rPr>
            <w:b w:val="0"/>
            <w:bCs w:val="0"/>
            <w:webHidden/>
          </w:rPr>
          <w:fldChar w:fldCharType="end"/>
        </w:r>
      </w:hyperlink>
    </w:p>
    <w:p w:rsidR="003635DB" w:rsidRPr="003D375A" w14:paraId="446C2575" w14:textId="6601B9B0">
      <w:pPr>
        <w:pStyle w:val="TOC1"/>
        <w:rPr>
          <w:rFonts w:asciiTheme="minorHAnsi" w:eastAsiaTheme="minorEastAsia" w:hAnsiTheme="minorHAnsi" w:cstheme="minorBidi"/>
          <w:b w:val="0"/>
          <w:bCs w:val="0"/>
          <w:caps w:val="0"/>
          <w:sz w:val="22"/>
          <w:szCs w:val="22"/>
        </w:rPr>
      </w:pPr>
      <w:hyperlink w:anchor="_Toc115788677" w:history="1">
        <w:r w:rsidRPr="003D375A">
          <w:rPr>
            <w:rStyle w:val="Hyperlink"/>
            <w:b w:val="0"/>
            <w:bCs w:val="0"/>
          </w:rPr>
          <w:t>A9.  Explain any decisions to provide any payment or gift to respondents.</w:t>
        </w:r>
        <w:r w:rsidRPr="003D375A">
          <w:rPr>
            <w:b w:val="0"/>
            <w:bCs w:val="0"/>
            <w:webHidden/>
          </w:rPr>
          <w:tab/>
        </w:r>
        <w:r w:rsidRPr="003D375A">
          <w:rPr>
            <w:b w:val="0"/>
            <w:bCs w:val="0"/>
            <w:webHidden/>
          </w:rPr>
          <w:fldChar w:fldCharType="begin"/>
        </w:r>
        <w:r w:rsidRPr="003D375A">
          <w:rPr>
            <w:b w:val="0"/>
            <w:bCs w:val="0"/>
            <w:webHidden/>
          </w:rPr>
          <w:instrText xml:space="preserve"> PAGEREF _Toc115788677 \h </w:instrText>
        </w:r>
        <w:r w:rsidRPr="003D375A">
          <w:rPr>
            <w:b w:val="0"/>
            <w:bCs w:val="0"/>
            <w:webHidden/>
          </w:rPr>
          <w:fldChar w:fldCharType="separate"/>
        </w:r>
        <w:r>
          <w:rPr>
            <w:b w:val="0"/>
            <w:bCs w:val="0"/>
            <w:webHidden/>
          </w:rPr>
          <w:t>23</w:t>
        </w:r>
        <w:r w:rsidRPr="003D375A">
          <w:rPr>
            <w:b w:val="0"/>
            <w:bCs w:val="0"/>
            <w:webHidden/>
          </w:rPr>
          <w:fldChar w:fldCharType="end"/>
        </w:r>
      </w:hyperlink>
    </w:p>
    <w:p w:rsidR="003635DB" w:rsidRPr="003D375A" w14:paraId="03E5E375" w14:textId="2D45A6F6">
      <w:pPr>
        <w:pStyle w:val="TOC1"/>
        <w:rPr>
          <w:rFonts w:asciiTheme="minorHAnsi" w:eastAsiaTheme="minorEastAsia" w:hAnsiTheme="minorHAnsi" w:cstheme="minorBidi"/>
          <w:b w:val="0"/>
          <w:bCs w:val="0"/>
          <w:caps w:val="0"/>
          <w:sz w:val="22"/>
          <w:szCs w:val="22"/>
        </w:rPr>
      </w:pPr>
      <w:hyperlink w:anchor="_Toc115788678" w:history="1">
        <w:r w:rsidRPr="003D375A">
          <w:rPr>
            <w:rStyle w:val="Hyperlink"/>
            <w:b w:val="0"/>
            <w:bCs w:val="0"/>
          </w:rPr>
          <w:t>A10.  Assurances of confidentiality provided to respondents.</w:t>
        </w:r>
        <w:r w:rsidRPr="003D375A">
          <w:rPr>
            <w:b w:val="0"/>
            <w:bCs w:val="0"/>
            <w:webHidden/>
          </w:rPr>
          <w:tab/>
        </w:r>
        <w:r w:rsidRPr="003D375A">
          <w:rPr>
            <w:b w:val="0"/>
            <w:bCs w:val="0"/>
            <w:webHidden/>
          </w:rPr>
          <w:fldChar w:fldCharType="begin"/>
        </w:r>
        <w:r w:rsidRPr="003D375A">
          <w:rPr>
            <w:b w:val="0"/>
            <w:bCs w:val="0"/>
            <w:webHidden/>
          </w:rPr>
          <w:instrText xml:space="preserve"> PAGEREF _Toc115788678 \h </w:instrText>
        </w:r>
        <w:r w:rsidRPr="003D375A">
          <w:rPr>
            <w:b w:val="0"/>
            <w:bCs w:val="0"/>
            <w:webHidden/>
          </w:rPr>
          <w:fldChar w:fldCharType="separate"/>
        </w:r>
        <w:r>
          <w:rPr>
            <w:b w:val="0"/>
            <w:bCs w:val="0"/>
            <w:webHidden/>
          </w:rPr>
          <w:t>23</w:t>
        </w:r>
        <w:r w:rsidRPr="003D375A">
          <w:rPr>
            <w:b w:val="0"/>
            <w:bCs w:val="0"/>
            <w:webHidden/>
          </w:rPr>
          <w:fldChar w:fldCharType="end"/>
        </w:r>
      </w:hyperlink>
    </w:p>
    <w:p w:rsidR="003635DB" w:rsidRPr="003D375A" w14:paraId="2553ACD6" w14:textId="2E9CD327">
      <w:pPr>
        <w:pStyle w:val="TOC1"/>
        <w:rPr>
          <w:rFonts w:asciiTheme="minorHAnsi" w:eastAsiaTheme="minorEastAsia" w:hAnsiTheme="minorHAnsi" w:cstheme="minorBidi"/>
          <w:b w:val="0"/>
          <w:bCs w:val="0"/>
          <w:caps w:val="0"/>
          <w:sz w:val="22"/>
          <w:szCs w:val="22"/>
        </w:rPr>
      </w:pPr>
      <w:hyperlink w:anchor="_Toc115788679" w:history="1">
        <w:r w:rsidRPr="003D375A">
          <w:rPr>
            <w:rStyle w:val="Hyperlink"/>
            <w:b w:val="0"/>
            <w:bCs w:val="0"/>
          </w:rPr>
          <w:t>A11.  Justification for any questions of a sensitive nature.</w:t>
        </w:r>
        <w:r w:rsidRPr="003D375A">
          <w:rPr>
            <w:b w:val="0"/>
            <w:bCs w:val="0"/>
            <w:webHidden/>
          </w:rPr>
          <w:tab/>
          <w:t>21</w:t>
        </w:r>
      </w:hyperlink>
    </w:p>
    <w:p w:rsidR="003635DB" w:rsidRPr="003D375A" w14:paraId="161A6377" w14:textId="01669EDB">
      <w:pPr>
        <w:pStyle w:val="TOC1"/>
        <w:rPr>
          <w:rFonts w:asciiTheme="minorHAnsi" w:eastAsiaTheme="minorEastAsia" w:hAnsiTheme="minorHAnsi" w:cstheme="minorBidi"/>
          <w:b w:val="0"/>
          <w:bCs w:val="0"/>
          <w:caps w:val="0"/>
          <w:sz w:val="22"/>
          <w:szCs w:val="22"/>
        </w:rPr>
      </w:pPr>
      <w:hyperlink w:anchor="_Toc115788680" w:history="1">
        <w:r w:rsidRPr="003D375A">
          <w:rPr>
            <w:rStyle w:val="Hyperlink"/>
            <w:b w:val="0"/>
            <w:bCs w:val="0"/>
          </w:rPr>
          <w:t>A12.  Estimates of the hour burden of the collection of information.</w:t>
        </w:r>
        <w:r w:rsidRPr="003D375A">
          <w:rPr>
            <w:b w:val="0"/>
            <w:bCs w:val="0"/>
            <w:webHidden/>
          </w:rPr>
          <w:tab/>
          <w:t>24</w:t>
        </w:r>
      </w:hyperlink>
    </w:p>
    <w:p w:rsidR="003635DB" w:rsidRPr="003D375A" w14:paraId="0D6677EB" w14:textId="7B064482">
      <w:pPr>
        <w:pStyle w:val="TOC1"/>
        <w:rPr>
          <w:rFonts w:asciiTheme="minorHAnsi" w:eastAsiaTheme="minorEastAsia" w:hAnsiTheme="minorHAnsi" w:cstheme="minorBidi"/>
          <w:b w:val="0"/>
          <w:bCs w:val="0"/>
          <w:caps w:val="0"/>
          <w:sz w:val="22"/>
          <w:szCs w:val="22"/>
        </w:rPr>
      </w:pPr>
      <w:hyperlink w:anchor="_Toc115788681" w:history="1">
        <w:r w:rsidRPr="003D375A">
          <w:rPr>
            <w:rStyle w:val="Hyperlink"/>
            <w:b w:val="0"/>
            <w:bCs w:val="0"/>
          </w:rPr>
          <w:t>A13.  Estimates of other total annual cost burden.</w:t>
        </w:r>
        <w:r w:rsidRPr="003D375A">
          <w:rPr>
            <w:b w:val="0"/>
            <w:bCs w:val="0"/>
            <w:webHidden/>
          </w:rPr>
          <w:tab/>
          <w:t>30</w:t>
        </w:r>
      </w:hyperlink>
    </w:p>
    <w:p w:rsidR="003635DB" w:rsidRPr="003D375A" w14:paraId="2F1321E1" w14:textId="3B00CF82">
      <w:pPr>
        <w:pStyle w:val="TOC1"/>
        <w:rPr>
          <w:rFonts w:asciiTheme="minorHAnsi" w:eastAsiaTheme="minorEastAsia" w:hAnsiTheme="minorHAnsi" w:cstheme="minorBidi"/>
          <w:b w:val="0"/>
          <w:bCs w:val="0"/>
          <w:caps w:val="0"/>
          <w:sz w:val="22"/>
          <w:szCs w:val="22"/>
        </w:rPr>
      </w:pPr>
      <w:hyperlink w:anchor="_Toc115788682" w:history="1">
        <w:r w:rsidRPr="003D375A">
          <w:rPr>
            <w:rStyle w:val="Hyperlink"/>
            <w:b w:val="0"/>
            <w:bCs w:val="0"/>
          </w:rPr>
          <w:t>A14.  Provide estimates of annualized cost to the Federal government.</w:t>
        </w:r>
        <w:r w:rsidRPr="003D375A">
          <w:rPr>
            <w:b w:val="0"/>
            <w:bCs w:val="0"/>
            <w:webHidden/>
          </w:rPr>
          <w:tab/>
          <w:t>33</w:t>
        </w:r>
      </w:hyperlink>
    </w:p>
    <w:p w:rsidR="003635DB" w:rsidRPr="003D375A" w14:paraId="0C076E5D" w14:textId="1C19116F">
      <w:pPr>
        <w:pStyle w:val="TOC1"/>
        <w:rPr>
          <w:rFonts w:asciiTheme="minorHAnsi" w:eastAsiaTheme="minorEastAsia" w:hAnsiTheme="minorHAnsi" w:cstheme="minorBidi"/>
          <w:b w:val="0"/>
          <w:bCs w:val="0"/>
          <w:caps w:val="0"/>
          <w:sz w:val="22"/>
          <w:szCs w:val="22"/>
        </w:rPr>
      </w:pPr>
      <w:hyperlink w:anchor="_Toc115788683" w:history="1">
        <w:r w:rsidRPr="003D375A">
          <w:rPr>
            <w:rStyle w:val="Hyperlink"/>
            <w:b w:val="0"/>
            <w:bCs w:val="0"/>
          </w:rPr>
          <w:t>A15.  Explanation of program changes or adjustments.</w:t>
        </w:r>
        <w:r w:rsidRPr="003D375A">
          <w:rPr>
            <w:b w:val="0"/>
            <w:bCs w:val="0"/>
            <w:webHidden/>
          </w:rPr>
          <w:tab/>
          <w:t>34</w:t>
        </w:r>
      </w:hyperlink>
    </w:p>
    <w:p w:rsidR="003635DB" w:rsidRPr="003D375A" w14:paraId="14218D0D" w14:textId="02F75547">
      <w:pPr>
        <w:pStyle w:val="TOC1"/>
        <w:rPr>
          <w:rFonts w:asciiTheme="minorHAnsi" w:eastAsiaTheme="minorEastAsia" w:hAnsiTheme="minorHAnsi" w:cstheme="minorBidi"/>
          <w:b w:val="0"/>
          <w:bCs w:val="0"/>
          <w:caps w:val="0"/>
          <w:sz w:val="22"/>
          <w:szCs w:val="22"/>
        </w:rPr>
      </w:pPr>
      <w:hyperlink w:anchor="_Toc115788684" w:history="1">
        <w:r w:rsidRPr="003D375A">
          <w:rPr>
            <w:rStyle w:val="Hyperlink"/>
            <w:b w:val="0"/>
            <w:bCs w:val="0"/>
          </w:rPr>
          <w:t>A16.  Plans for tabulation, and publication and project time schedule.</w:t>
        </w:r>
        <w:r w:rsidRPr="003D375A">
          <w:rPr>
            <w:b w:val="0"/>
            <w:bCs w:val="0"/>
            <w:webHidden/>
          </w:rPr>
          <w:tab/>
        </w:r>
        <w:r w:rsidRPr="003D375A">
          <w:rPr>
            <w:b w:val="0"/>
            <w:bCs w:val="0"/>
            <w:webHidden/>
          </w:rPr>
          <w:fldChar w:fldCharType="begin"/>
        </w:r>
        <w:r w:rsidRPr="003D375A">
          <w:rPr>
            <w:b w:val="0"/>
            <w:bCs w:val="0"/>
            <w:webHidden/>
          </w:rPr>
          <w:instrText xml:space="preserve"> PAGEREF _Toc115788684 \h </w:instrText>
        </w:r>
        <w:r w:rsidRPr="003D375A">
          <w:rPr>
            <w:b w:val="0"/>
            <w:bCs w:val="0"/>
            <w:webHidden/>
          </w:rPr>
          <w:fldChar w:fldCharType="separate"/>
        </w:r>
        <w:r>
          <w:rPr>
            <w:b w:val="0"/>
            <w:bCs w:val="0"/>
            <w:webHidden/>
          </w:rPr>
          <w:t>34</w:t>
        </w:r>
        <w:r w:rsidRPr="003D375A">
          <w:rPr>
            <w:b w:val="0"/>
            <w:bCs w:val="0"/>
            <w:webHidden/>
          </w:rPr>
          <w:fldChar w:fldCharType="end"/>
        </w:r>
      </w:hyperlink>
    </w:p>
    <w:p w:rsidR="003635DB" w:rsidRPr="003D375A" w14:paraId="662CE617" w14:textId="0BD12910">
      <w:pPr>
        <w:pStyle w:val="TOC1"/>
        <w:rPr>
          <w:rFonts w:asciiTheme="minorHAnsi" w:eastAsiaTheme="minorEastAsia" w:hAnsiTheme="minorHAnsi" w:cstheme="minorBidi"/>
          <w:b w:val="0"/>
          <w:bCs w:val="0"/>
          <w:caps w:val="0"/>
          <w:sz w:val="22"/>
          <w:szCs w:val="22"/>
        </w:rPr>
      </w:pPr>
      <w:hyperlink w:anchor="_Toc115788685" w:history="1">
        <w:r w:rsidRPr="003D375A">
          <w:rPr>
            <w:rStyle w:val="Hyperlink"/>
            <w:b w:val="0"/>
            <w:bCs w:val="0"/>
          </w:rPr>
          <w:t>A17.  Displaying the OMB Approval Expiration Date.</w:t>
        </w:r>
        <w:r w:rsidRPr="003D375A">
          <w:rPr>
            <w:b w:val="0"/>
            <w:bCs w:val="0"/>
            <w:webHidden/>
          </w:rPr>
          <w:tab/>
        </w:r>
        <w:r w:rsidRPr="003D375A">
          <w:rPr>
            <w:b w:val="0"/>
            <w:bCs w:val="0"/>
            <w:webHidden/>
          </w:rPr>
          <w:fldChar w:fldCharType="begin"/>
        </w:r>
        <w:r w:rsidRPr="003D375A">
          <w:rPr>
            <w:b w:val="0"/>
            <w:bCs w:val="0"/>
            <w:webHidden/>
          </w:rPr>
          <w:instrText xml:space="preserve"> PAGEREF _Toc115788685 \h </w:instrText>
        </w:r>
        <w:r w:rsidRPr="003D375A">
          <w:rPr>
            <w:b w:val="0"/>
            <w:bCs w:val="0"/>
            <w:webHidden/>
          </w:rPr>
          <w:fldChar w:fldCharType="separate"/>
        </w:r>
        <w:r>
          <w:rPr>
            <w:b w:val="0"/>
            <w:bCs w:val="0"/>
            <w:webHidden/>
          </w:rPr>
          <w:t>35</w:t>
        </w:r>
        <w:r w:rsidRPr="003D375A">
          <w:rPr>
            <w:b w:val="0"/>
            <w:bCs w:val="0"/>
            <w:webHidden/>
          </w:rPr>
          <w:fldChar w:fldCharType="end"/>
        </w:r>
      </w:hyperlink>
    </w:p>
    <w:p w:rsidR="003635DB" w:rsidRPr="003D375A" w14:paraId="6383ED4D" w14:textId="21B22DDA">
      <w:pPr>
        <w:pStyle w:val="TOC1"/>
        <w:rPr>
          <w:rFonts w:asciiTheme="minorHAnsi" w:eastAsiaTheme="minorEastAsia" w:hAnsiTheme="minorHAnsi" w:cstheme="minorBidi"/>
          <w:b w:val="0"/>
          <w:bCs w:val="0"/>
          <w:caps w:val="0"/>
          <w:sz w:val="22"/>
          <w:szCs w:val="22"/>
        </w:rPr>
      </w:pPr>
      <w:hyperlink w:anchor="_Toc115788686" w:history="1">
        <w:r w:rsidRPr="003D375A">
          <w:rPr>
            <w:rStyle w:val="Hyperlink"/>
            <w:b w:val="0"/>
            <w:bCs w:val="0"/>
          </w:rPr>
          <w:t>A18.  Exceptions to the certification statement identified in Item 19.</w:t>
        </w:r>
        <w:r w:rsidRPr="003D375A">
          <w:rPr>
            <w:b w:val="0"/>
            <w:bCs w:val="0"/>
            <w:webHidden/>
          </w:rPr>
          <w:tab/>
        </w:r>
        <w:r w:rsidRPr="003D375A">
          <w:rPr>
            <w:b w:val="0"/>
            <w:bCs w:val="0"/>
            <w:webHidden/>
          </w:rPr>
          <w:fldChar w:fldCharType="begin"/>
        </w:r>
        <w:r w:rsidRPr="003D375A">
          <w:rPr>
            <w:b w:val="0"/>
            <w:bCs w:val="0"/>
            <w:webHidden/>
          </w:rPr>
          <w:instrText xml:space="preserve"> PAGEREF _Toc115788686 \h </w:instrText>
        </w:r>
        <w:r w:rsidRPr="003D375A">
          <w:rPr>
            <w:b w:val="0"/>
            <w:bCs w:val="0"/>
            <w:webHidden/>
          </w:rPr>
          <w:fldChar w:fldCharType="separate"/>
        </w:r>
        <w:r>
          <w:rPr>
            <w:b w:val="0"/>
            <w:bCs w:val="0"/>
            <w:webHidden/>
          </w:rPr>
          <w:t>35</w:t>
        </w:r>
        <w:r w:rsidRPr="003D375A">
          <w:rPr>
            <w:b w:val="0"/>
            <w:bCs w:val="0"/>
            <w:webHidden/>
          </w:rPr>
          <w:fldChar w:fldCharType="end"/>
        </w:r>
      </w:hyperlink>
    </w:p>
    <w:p w:rsidR="00905A5F" w:rsidP="009F7E1A" w14:paraId="69FE8039" w14:textId="573380DB">
      <w:pPr>
        <w:tabs>
          <w:tab w:val="center" w:pos="4680"/>
        </w:tabs>
        <w:rPr>
          <w:b/>
          <w:szCs w:val="24"/>
          <w:u w:val="single"/>
        </w:rPr>
      </w:pPr>
      <w:r w:rsidRPr="003D375A">
        <w:rPr>
          <w:szCs w:val="24"/>
          <w:u w:val="single"/>
        </w:rPr>
        <w:fldChar w:fldCharType="end"/>
      </w:r>
    </w:p>
    <w:p w:rsidR="00905A5F" w:rsidP="009F7E1A" w14:paraId="6389F09C" w14:textId="77777777">
      <w:pPr>
        <w:tabs>
          <w:tab w:val="center" w:pos="4680"/>
        </w:tabs>
        <w:rPr>
          <w:b/>
          <w:szCs w:val="24"/>
          <w:u w:val="single"/>
        </w:rPr>
      </w:pPr>
    </w:p>
    <w:p w:rsidR="00ED387D" w14:paraId="19753788" w14:textId="77777777">
      <w:pPr>
        <w:widowControl/>
        <w:overflowPunct/>
        <w:autoSpaceDE/>
        <w:autoSpaceDN/>
        <w:adjustRightInd/>
        <w:textAlignment w:val="auto"/>
        <w:rPr>
          <w:b/>
          <w:szCs w:val="24"/>
        </w:rPr>
      </w:pPr>
      <w:r>
        <w:rPr>
          <w:b/>
          <w:szCs w:val="24"/>
        </w:rPr>
        <w:br w:type="page"/>
      </w:r>
    </w:p>
    <w:p w:rsidR="002568E6" w:rsidRPr="00E86CD7" w:rsidP="4FE94C9D" w14:paraId="3DE06BB6" w14:textId="37A71CFB">
      <w:pPr>
        <w:tabs>
          <w:tab w:val="center" w:pos="4680"/>
        </w:tabs>
        <w:spacing w:line="480" w:lineRule="auto"/>
        <w:rPr>
          <w:b/>
          <w:bCs/>
        </w:rPr>
      </w:pPr>
      <w:r w:rsidRPr="4FE94C9D">
        <w:rPr>
          <w:b/>
          <w:bCs/>
        </w:rPr>
        <w:t>A</w:t>
      </w:r>
      <w:r w:rsidRPr="4FE94C9D" w:rsidR="00193688">
        <w:rPr>
          <w:b/>
          <w:bCs/>
        </w:rPr>
        <w:t>ppendi</w:t>
      </w:r>
      <w:r w:rsidRPr="4FE94C9D" w:rsidR="00FD516A">
        <w:rPr>
          <w:b/>
          <w:bCs/>
        </w:rPr>
        <w:t>x</w:t>
      </w:r>
      <w:r w:rsidRPr="4FE94C9D" w:rsidR="00193688">
        <w:rPr>
          <w:b/>
          <w:bCs/>
        </w:rPr>
        <w:t>es</w:t>
      </w:r>
    </w:p>
    <w:p w:rsidR="00E748D6" w:rsidRPr="00E86CD7" w:rsidP="00E86CD7" w14:paraId="09C59E5C" w14:textId="226D6386">
      <w:pPr>
        <w:tabs>
          <w:tab w:val="center" w:pos="4680"/>
        </w:tabs>
        <w:spacing w:after="240"/>
        <w:rPr>
          <w:bCs/>
          <w:szCs w:val="24"/>
        </w:rPr>
      </w:pPr>
      <w:r w:rsidRPr="00E86CD7">
        <w:rPr>
          <w:bCs/>
          <w:szCs w:val="24"/>
        </w:rPr>
        <w:t xml:space="preserve">Appendix A: </w:t>
      </w:r>
      <w:r w:rsidRPr="00E86CD7" w:rsidR="00627DE4">
        <w:rPr>
          <w:bCs/>
          <w:szCs w:val="24"/>
        </w:rPr>
        <w:t xml:space="preserve">WIC Federal Regulations </w:t>
      </w:r>
      <w:r w:rsidR="00D739A3">
        <w:rPr>
          <w:bCs/>
          <w:szCs w:val="24"/>
        </w:rPr>
        <w:t xml:space="preserve">(7 CFR Part 246; as of </w:t>
      </w:r>
      <w:r w:rsidR="002527A7">
        <w:rPr>
          <w:bCs/>
          <w:szCs w:val="24"/>
        </w:rPr>
        <w:t xml:space="preserve">January 1, </w:t>
      </w:r>
      <w:r w:rsidR="00165F97">
        <w:rPr>
          <w:bCs/>
          <w:szCs w:val="24"/>
        </w:rPr>
        <w:t>202</w:t>
      </w:r>
      <w:r w:rsidR="002527A7">
        <w:rPr>
          <w:bCs/>
          <w:szCs w:val="24"/>
        </w:rPr>
        <w:t>5</w:t>
      </w:r>
      <w:r w:rsidR="00165F97">
        <w:rPr>
          <w:bCs/>
          <w:szCs w:val="24"/>
        </w:rPr>
        <w:t>)</w:t>
      </w:r>
    </w:p>
    <w:p w:rsidR="008F7EC6" w:rsidP="00E86CD7" w14:paraId="795669D6" w14:textId="1016195F">
      <w:pPr>
        <w:tabs>
          <w:tab w:val="center" w:pos="4680"/>
        </w:tabs>
        <w:spacing w:after="240"/>
        <w:rPr>
          <w:bCs/>
          <w:szCs w:val="24"/>
        </w:rPr>
      </w:pPr>
      <w:r w:rsidRPr="00E86CD7">
        <w:rPr>
          <w:bCs/>
          <w:szCs w:val="24"/>
        </w:rPr>
        <w:t xml:space="preserve">Appendix </w:t>
      </w:r>
      <w:r w:rsidRPr="00E86CD7" w:rsidR="00E748D6">
        <w:rPr>
          <w:bCs/>
          <w:szCs w:val="24"/>
        </w:rPr>
        <w:t>B</w:t>
      </w:r>
      <w:r w:rsidRPr="00E86CD7">
        <w:rPr>
          <w:bCs/>
          <w:szCs w:val="24"/>
        </w:rPr>
        <w:t xml:space="preserve">: </w:t>
      </w:r>
      <w:r w:rsidRPr="00E86CD7" w:rsidR="00627DE4">
        <w:rPr>
          <w:bCs/>
          <w:szCs w:val="24"/>
        </w:rPr>
        <w:t>Child Nutrition Act as Amended</w:t>
      </w:r>
    </w:p>
    <w:p w:rsidR="008F7EC6" w:rsidP="008F7EC6" w14:paraId="6556E1C1" w14:textId="06D8C3EE">
      <w:pPr>
        <w:tabs>
          <w:tab w:val="center" w:pos="4680"/>
        </w:tabs>
        <w:spacing w:after="240"/>
        <w:rPr>
          <w:bCs/>
          <w:szCs w:val="24"/>
        </w:rPr>
      </w:pPr>
      <w:r>
        <w:rPr>
          <w:bCs/>
          <w:szCs w:val="24"/>
        </w:rPr>
        <w:t xml:space="preserve">Appendix C: WIC Online Shopping Final Rule Implementation Checklist </w:t>
      </w:r>
    </w:p>
    <w:p w:rsidR="00193688" w:rsidRPr="00E86CD7" w:rsidP="00E86CD7" w14:paraId="1FA508F3" w14:textId="232B1BD2">
      <w:pPr>
        <w:tabs>
          <w:tab w:val="center" w:pos="4680"/>
        </w:tabs>
        <w:spacing w:after="240"/>
        <w:rPr>
          <w:bCs/>
          <w:szCs w:val="24"/>
        </w:rPr>
      </w:pPr>
      <w:r w:rsidRPr="00E86CD7">
        <w:rPr>
          <w:bCs/>
          <w:szCs w:val="24"/>
        </w:rPr>
        <w:t xml:space="preserve">Appendix </w:t>
      </w:r>
      <w:r w:rsidRPr="00E86CD7" w:rsidR="003D2BEA">
        <w:rPr>
          <w:bCs/>
          <w:szCs w:val="24"/>
        </w:rPr>
        <w:t>D</w:t>
      </w:r>
      <w:r w:rsidRPr="00E86CD7">
        <w:rPr>
          <w:bCs/>
          <w:szCs w:val="24"/>
        </w:rPr>
        <w:t xml:space="preserve">: </w:t>
      </w:r>
      <w:r w:rsidRPr="00E86CD7" w:rsidR="791F2639">
        <w:rPr>
          <w:bCs/>
          <w:szCs w:val="24"/>
        </w:rPr>
        <w:t>Final</w:t>
      </w:r>
      <w:r w:rsidRPr="00E86CD7" w:rsidR="729757E8">
        <w:rPr>
          <w:bCs/>
          <w:szCs w:val="24"/>
        </w:rPr>
        <w:t xml:space="preserve"> </w:t>
      </w:r>
      <w:r w:rsidRPr="00E86CD7" w:rsidR="0025557F">
        <w:rPr>
          <w:bCs/>
          <w:szCs w:val="24"/>
        </w:rPr>
        <w:t>Rule: Special Supplemental Nutrition Program for Women, Infants, and Children (</w:t>
      </w:r>
      <w:r w:rsidRPr="00E86CD7" w:rsidR="00EC64FA">
        <w:rPr>
          <w:bCs/>
          <w:szCs w:val="24"/>
        </w:rPr>
        <w:t>WIC</w:t>
      </w:r>
      <w:r w:rsidRPr="00E86CD7" w:rsidR="0025557F">
        <w:rPr>
          <w:bCs/>
          <w:szCs w:val="24"/>
        </w:rPr>
        <w:t>):</w:t>
      </w:r>
      <w:r w:rsidRPr="00E86CD7" w:rsidR="00EC64FA">
        <w:rPr>
          <w:bCs/>
          <w:szCs w:val="24"/>
        </w:rPr>
        <w:t xml:space="preserve"> </w:t>
      </w:r>
      <w:r w:rsidRPr="00E86CD7" w:rsidR="004B37C0">
        <w:rPr>
          <w:bCs/>
          <w:szCs w:val="24"/>
        </w:rPr>
        <w:t xml:space="preserve">Online Ordering and Transactions </w:t>
      </w:r>
      <w:r w:rsidRPr="00E86CD7" w:rsidR="005818D8">
        <w:rPr>
          <w:bCs/>
          <w:szCs w:val="24"/>
        </w:rPr>
        <w:t>and Food Delivery Revisions to Meet the Needs of a Modern, Data-Driven Program</w:t>
      </w:r>
    </w:p>
    <w:p w:rsidR="00312C28" w:rsidRPr="00E86CD7" w:rsidP="00E86CD7" w14:paraId="011DE2FF" w14:textId="5F5C8E63">
      <w:pPr>
        <w:tabs>
          <w:tab w:val="center" w:pos="4680"/>
        </w:tabs>
        <w:spacing w:after="240"/>
        <w:rPr>
          <w:bCs/>
          <w:szCs w:val="24"/>
        </w:rPr>
      </w:pPr>
      <w:r w:rsidRPr="00E86CD7">
        <w:rPr>
          <w:bCs/>
          <w:szCs w:val="24"/>
        </w:rPr>
        <w:t xml:space="preserve">Appendix </w:t>
      </w:r>
      <w:r w:rsidRPr="00E86CD7" w:rsidR="00B60402">
        <w:rPr>
          <w:bCs/>
          <w:szCs w:val="24"/>
        </w:rPr>
        <w:t>E-N</w:t>
      </w:r>
      <w:r w:rsidRPr="00E86CD7">
        <w:rPr>
          <w:bCs/>
          <w:szCs w:val="24"/>
        </w:rPr>
        <w:t xml:space="preserve">: </w:t>
      </w:r>
      <w:r w:rsidRPr="00E86CD7" w:rsidR="00627DE4">
        <w:rPr>
          <w:bCs/>
          <w:szCs w:val="24"/>
        </w:rPr>
        <w:t>Public Comment</w:t>
      </w:r>
      <w:r w:rsidRPr="00E86CD7" w:rsidR="00B60402">
        <w:rPr>
          <w:bCs/>
          <w:szCs w:val="24"/>
        </w:rPr>
        <w:t>s</w:t>
      </w:r>
    </w:p>
    <w:p w:rsidR="340CD224" w:rsidRPr="00E86CD7" w:rsidP="00E86CD7" w14:paraId="0553DCCF" w14:textId="5E06F3CA">
      <w:pPr>
        <w:tabs>
          <w:tab w:val="center" w:pos="4680"/>
        </w:tabs>
        <w:spacing w:after="240"/>
        <w:rPr>
          <w:bCs/>
          <w:szCs w:val="24"/>
        </w:rPr>
      </w:pPr>
      <w:r w:rsidRPr="00E86CD7">
        <w:rPr>
          <w:bCs/>
          <w:szCs w:val="24"/>
        </w:rPr>
        <w:t xml:space="preserve">Appendix </w:t>
      </w:r>
      <w:r w:rsidRPr="00E86CD7" w:rsidR="00B60402">
        <w:rPr>
          <w:bCs/>
          <w:szCs w:val="24"/>
        </w:rPr>
        <w:t>O</w:t>
      </w:r>
      <w:r w:rsidRPr="00E86CD7">
        <w:rPr>
          <w:bCs/>
          <w:szCs w:val="24"/>
        </w:rPr>
        <w:t xml:space="preserve">: </w:t>
      </w:r>
      <w:r w:rsidRPr="00E86CD7" w:rsidR="00EC64FA">
        <w:rPr>
          <w:bCs/>
          <w:szCs w:val="24"/>
        </w:rPr>
        <w:t>W</w:t>
      </w:r>
      <w:r w:rsidRPr="00E86CD7" w:rsidR="001D5384">
        <w:rPr>
          <w:bCs/>
          <w:szCs w:val="24"/>
        </w:rPr>
        <w:t xml:space="preserve">IC Burden </w:t>
      </w:r>
      <w:r w:rsidRPr="00E86CD7">
        <w:rPr>
          <w:bCs/>
          <w:szCs w:val="24"/>
        </w:rPr>
        <w:t>Table</w:t>
      </w:r>
    </w:p>
    <w:p w:rsidR="00627DE4" w:rsidRPr="00E86CD7" w:rsidP="00E86CD7" w14:paraId="71CBA11E" w14:textId="6E8D8E6F">
      <w:pPr>
        <w:tabs>
          <w:tab w:val="center" w:pos="4680"/>
        </w:tabs>
        <w:spacing w:after="240"/>
        <w:rPr>
          <w:bCs/>
          <w:szCs w:val="24"/>
        </w:rPr>
      </w:pPr>
      <w:r w:rsidRPr="00E86CD7">
        <w:rPr>
          <w:bCs/>
          <w:szCs w:val="24"/>
        </w:rPr>
        <w:t xml:space="preserve">Appendix </w:t>
      </w:r>
      <w:r w:rsidRPr="00E86CD7" w:rsidR="00B60402">
        <w:rPr>
          <w:bCs/>
          <w:szCs w:val="24"/>
        </w:rPr>
        <w:t>P</w:t>
      </w:r>
      <w:r w:rsidRPr="00E86CD7">
        <w:rPr>
          <w:bCs/>
          <w:szCs w:val="24"/>
        </w:rPr>
        <w:t>: WIC Burden Narrative</w:t>
      </w:r>
    </w:p>
    <w:p w:rsidR="340CD224" w:rsidP="00ED387D" w14:paraId="3F10754C" w14:textId="13D9DC45">
      <w:pPr>
        <w:tabs>
          <w:tab w:val="center" w:pos="4680"/>
        </w:tabs>
        <w:spacing w:line="480" w:lineRule="auto"/>
        <w:rPr>
          <w:bCs/>
          <w:szCs w:val="24"/>
        </w:rPr>
      </w:pPr>
      <w:r w:rsidRPr="00E86CD7">
        <w:rPr>
          <w:bCs/>
          <w:szCs w:val="24"/>
        </w:rPr>
        <w:t xml:space="preserve">Appendix </w:t>
      </w:r>
      <w:r w:rsidRPr="00E86CD7" w:rsidR="00B60402">
        <w:rPr>
          <w:bCs/>
          <w:szCs w:val="24"/>
        </w:rPr>
        <w:t>Q</w:t>
      </w:r>
      <w:r w:rsidRPr="00E86CD7">
        <w:rPr>
          <w:bCs/>
          <w:szCs w:val="24"/>
        </w:rPr>
        <w:t>: FY 2025 State Plan Guidance Documents</w:t>
      </w:r>
    </w:p>
    <w:p w:rsidR="00533583" w:rsidRPr="00E86CD7" w:rsidP="008F7EC6" w14:paraId="06CAAB65" w14:textId="3A0A2220">
      <w:pPr>
        <w:tabs>
          <w:tab w:val="center" w:pos="4680"/>
        </w:tabs>
        <w:spacing w:line="480" w:lineRule="auto"/>
        <w:rPr>
          <w:bCs/>
          <w:szCs w:val="24"/>
        </w:rPr>
      </w:pPr>
      <w:r>
        <w:rPr>
          <w:bCs/>
          <w:szCs w:val="24"/>
        </w:rPr>
        <w:t>Appendix R: Food Package Revisions Implementation Form</w:t>
      </w:r>
    </w:p>
    <w:p w:rsidR="00776954" w:rsidRPr="00042EC2" w:rsidP="00307A86" w14:paraId="2A216043" w14:textId="233A040E">
      <w:pPr>
        <w:widowControl/>
        <w:overflowPunct/>
        <w:autoSpaceDE/>
        <w:autoSpaceDN/>
        <w:adjustRightInd/>
        <w:textAlignment w:val="auto"/>
      </w:pPr>
      <w:bookmarkStart w:id="0" w:name="_Toc401831357"/>
      <w:r>
        <w:rPr>
          <w:szCs w:val="24"/>
        </w:rPr>
        <w:br w:type="page"/>
      </w:r>
      <w:bookmarkStart w:id="1" w:name="_Toc83710912"/>
      <w:bookmarkStart w:id="2" w:name="_Toc115788669"/>
      <w:bookmarkEnd w:id="0"/>
      <w:r>
        <w:t>A1. Circumstances that make the collection of information necessary.</w:t>
      </w:r>
      <w:bookmarkEnd w:id="1"/>
      <w:bookmarkEnd w:id="2"/>
    </w:p>
    <w:p w:rsidR="00776954" w:rsidRPr="00042EC2" w:rsidP="00776954" w14:paraId="5D76BE1C" w14:textId="77777777">
      <w:pPr>
        <w:tabs>
          <w:tab w:val="left" w:pos="-720"/>
        </w:tabs>
        <w:suppressAutoHyphens/>
        <w:rPr>
          <w:b/>
          <w:szCs w:val="24"/>
        </w:rPr>
      </w:pPr>
    </w:p>
    <w:p w:rsidR="00D638F4" w:rsidRPr="002568E6" w:rsidP="00D638F4" w14:paraId="14EFDD70" w14:textId="77777777">
      <w:pPr>
        <w:tabs>
          <w:tab w:val="left" w:pos="-720"/>
        </w:tabs>
        <w:suppressAutoHyphens/>
        <w:rPr>
          <w:b/>
          <w:szCs w:val="24"/>
        </w:rPr>
      </w:pPr>
      <w:r w:rsidRPr="002568E6">
        <w:rPr>
          <w:b/>
          <w:szCs w:val="24"/>
        </w:rPr>
        <w:t>Identify any legal or administrative requirements that necessitate the collection. Attach a copy of the appropriate section of each statute and regulation mandating or authorizing the collection of information.</w:t>
      </w:r>
    </w:p>
    <w:p w:rsidR="00A308DB" w:rsidRPr="002568E6" w:rsidP="009F7E1A" w14:paraId="5621EA72" w14:textId="77777777">
      <w:pPr>
        <w:tabs>
          <w:tab w:val="left" w:pos="-720"/>
        </w:tabs>
        <w:suppressAutoHyphens/>
        <w:rPr>
          <w:szCs w:val="24"/>
        </w:rPr>
      </w:pPr>
    </w:p>
    <w:p w:rsidR="00AB19AA" w:rsidRPr="00652CAA" w:rsidP="00652CAA" w14:paraId="4378786A" w14:textId="2F3694A9">
      <w:pPr>
        <w:tabs>
          <w:tab w:val="right" w:pos="9360"/>
        </w:tabs>
        <w:spacing w:line="480" w:lineRule="auto"/>
        <w:rPr>
          <w:b/>
        </w:rPr>
      </w:pPr>
      <w:r>
        <w:t>T</w:t>
      </w:r>
      <w:r w:rsidRPr="36A235E9">
        <w:t xml:space="preserve">his revision </w:t>
      </w:r>
      <w:r w:rsidRPr="36A235E9" w:rsidR="008534DE">
        <w:t xml:space="preserve">of </w:t>
      </w:r>
      <w:r w:rsidR="008534DE">
        <w:t>an</w:t>
      </w:r>
      <w:r w:rsidR="00472776">
        <w:t xml:space="preserve"> existing information collection based on the final rule, </w:t>
      </w:r>
      <w:r w:rsidRPr="36A235E9" w:rsidR="00472776">
        <w:t>titled Special Supplemental Nutrition Program for Women, Infants, and Children (WIC): Online Ordering and Transactions and Food Delivery Revisions to Meet the Needs of a Modern, Data-Driven Program</w:t>
      </w:r>
      <w:r w:rsidR="000F7D73">
        <w:t xml:space="preserve"> </w:t>
      </w:r>
      <w:r w:rsidRPr="00652CAA" w:rsidR="000F7D73">
        <w:rPr>
          <w:bCs/>
        </w:rPr>
        <w:t>(RIN 0584 – AE85)</w:t>
      </w:r>
      <w:r w:rsidRPr="00652CAA" w:rsidR="00980B3C">
        <w:rPr>
          <w:bCs/>
        </w:rPr>
        <w:t xml:space="preserve"> </w:t>
      </w:r>
      <w:r w:rsidRPr="00652CAA" w:rsidR="00472776">
        <w:rPr>
          <w:bCs/>
        </w:rPr>
        <w:t>(see</w:t>
      </w:r>
      <w:r w:rsidRPr="001E232B" w:rsidR="00472776">
        <w:t xml:space="preserve"> </w:t>
      </w:r>
      <w:r w:rsidRPr="001E232B" w:rsidR="000F7D73">
        <w:t xml:space="preserve">Appendix </w:t>
      </w:r>
      <w:r w:rsidR="000F7D73">
        <w:t>D</w:t>
      </w:r>
      <w:r w:rsidRPr="001E232B" w:rsidR="00472776">
        <w:t xml:space="preserve">: </w:t>
      </w:r>
      <w:r w:rsidR="000F7D73">
        <w:t>Final</w:t>
      </w:r>
      <w:r w:rsidRPr="001E232B" w:rsidR="000F7D73">
        <w:t xml:space="preserve"> Rule</w:t>
      </w:r>
      <w:r w:rsidRPr="001E232B" w:rsidR="00472776">
        <w:t>). This rulemaking removes barriers to online ordering and</w:t>
      </w:r>
      <w:r w:rsidRPr="36A235E9" w:rsidR="00472776">
        <w:t xml:space="preserve"> internet-based transactions in the WIC Program, streamlines and modernizes WIC food delivery regulations to support the </w:t>
      </w:r>
      <w:r w:rsidR="004045BC">
        <w:t>p</w:t>
      </w:r>
      <w:r w:rsidRPr="36A235E9" w:rsidR="00472776">
        <w:t>rogram’s complete transition to electronic benefit transfer (EBT), and</w:t>
      </w:r>
      <w:r w:rsidR="00EB1349">
        <w:t xml:space="preserve"> updates reporting requirements to </w:t>
      </w:r>
      <w:r w:rsidRPr="36A235E9" w:rsidR="00472776">
        <w:t>meet the needs of a modern, data-driven program</w:t>
      </w:r>
      <w:r w:rsidR="00224B9A">
        <w:t>.</w:t>
      </w:r>
    </w:p>
    <w:p w:rsidR="00AB19AA" w:rsidP="00313B67" w14:paraId="117FB00B" w14:textId="77777777">
      <w:pPr>
        <w:pStyle w:val="BodyTextIndent2"/>
        <w:tabs>
          <w:tab w:val="left" w:pos="540"/>
        </w:tabs>
        <w:spacing w:line="480" w:lineRule="auto"/>
        <w:ind w:firstLine="0"/>
        <w:rPr>
          <w:rFonts w:ascii="Times New Roman" w:hAnsi="Times New Roman"/>
        </w:rPr>
      </w:pPr>
    </w:p>
    <w:p w:rsidR="00313B67" w:rsidP="00313B67" w14:paraId="2E7BB4A2" w14:textId="0B4BD8A7">
      <w:pPr>
        <w:pStyle w:val="BodyTextIndent2"/>
        <w:tabs>
          <w:tab w:val="left" w:pos="540"/>
        </w:tabs>
        <w:spacing w:line="480" w:lineRule="auto"/>
        <w:ind w:firstLine="0"/>
        <w:rPr>
          <w:rFonts w:ascii="Times New Roman" w:hAnsi="Times New Roman"/>
        </w:rPr>
      </w:pPr>
      <w:r w:rsidRPr="4FE94C9D">
        <w:rPr>
          <w:rFonts w:ascii="Times New Roman" w:hAnsi="Times New Roman"/>
        </w:rPr>
        <w:t xml:space="preserve">The purpose of the WIC </w:t>
      </w:r>
      <w:r w:rsidR="00CD7870">
        <w:rPr>
          <w:rFonts w:ascii="Times New Roman" w:hAnsi="Times New Roman"/>
        </w:rPr>
        <w:t>p</w:t>
      </w:r>
      <w:r w:rsidRPr="4FE94C9D">
        <w:rPr>
          <w:rFonts w:ascii="Times New Roman" w:hAnsi="Times New Roman"/>
        </w:rPr>
        <w:t>rogram is to provide supplemental foods, nutrition education, breastfeeding promotion and support, and health</w:t>
      </w:r>
      <w:r w:rsidRPr="4FE94C9D" w:rsidR="000424A0">
        <w:rPr>
          <w:rFonts w:ascii="Times New Roman" w:hAnsi="Times New Roman"/>
        </w:rPr>
        <w:t>care</w:t>
      </w:r>
      <w:r w:rsidRPr="4FE94C9D">
        <w:rPr>
          <w:rFonts w:ascii="Times New Roman" w:hAnsi="Times New Roman"/>
        </w:rPr>
        <w:t xml:space="preserve"> referrals to </w:t>
      </w:r>
      <w:r w:rsidRPr="4FE94C9D" w:rsidR="00A14D96">
        <w:rPr>
          <w:rFonts w:ascii="Times New Roman" w:hAnsi="Times New Roman"/>
        </w:rPr>
        <w:t xml:space="preserve">income-eligible </w:t>
      </w:r>
      <w:r w:rsidRPr="4FE94C9D">
        <w:rPr>
          <w:rFonts w:ascii="Times New Roman" w:hAnsi="Times New Roman"/>
        </w:rPr>
        <w:t xml:space="preserve">income, nutritionally at-risk pregnant, breastfeeding and postpartum women, infants, and children up to age five. The WIC </w:t>
      </w:r>
      <w:r w:rsidRPr="4FE94C9D" w:rsidR="7801DE34">
        <w:rPr>
          <w:rFonts w:ascii="Times New Roman" w:hAnsi="Times New Roman"/>
        </w:rPr>
        <w:t>p</w:t>
      </w:r>
      <w:r w:rsidRPr="4FE94C9D">
        <w:rPr>
          <w:rFonts w:ascii="Times New Roman" w:hAnsi="Times New Roman"/>
        </w:rPr>
        <w:t>rogram is administered by 8</w:t>
      </w:r>
      <w:r w:rsidRPr="4FE94C9D" w:rsidR="00142630">
        <w:rPr>
          <w:rFonts w:ascii="Times New Roman" w:hAnsi="Times New Roman"/>
        </w:rPr>
        <w:t>8</w:t>
      </w:r>
      <w:r w:rsidRPr="4FE94C9D">
        <w:rPr>
          <w:rFonts w:ascii="Times New Roman" w:hAnsi="Times New Roman"/>
        </w:rPr>
        <w:t xml:space="preserve"> State agencies, including the 50 </w:t>
      </w:r>
      <w:r w:rsidRPr="4FE94C9D" w:rsidR="48C2F360">
        <w:rPr>
          <w:rFonts w:ascii="Times New Roman" w:hAnsi="Times New Roman"/>
        </w:rPr>
        <w:t>s</w:t>
      </w:r>
      <w:r w:rsidRPr="4FE94C9D">
        <w:rPr>
          <w:rFonts w:ascii="Times New Roman" w:hAnsi="Times New Roman"/>
        </w:rPr>
        <w:t>tates, 3</w:t>
      </w:r>
      <w:r w:rsidRPr="4FE94C9D" w:rsidR="00142630">
        <w:rPr>
          <w:rFonts w:ascii="Times New Roman" w:hAnsi="Times New Roman"/>
        </w:rPr>
        <w:t>2</w:t>
      </w:r>
      <w:r w:rsidRPr="4FE94C9D">
        <w:rPr>
          <w:rFonts w:ascii="Times New Roman" w:hAnsi="Times New Roman"/>
        </w:rPr>
        <w:t xml:space="preserve"> Indian Tribal Organizations</w:t>
      </w:r>
      <w:r w:rsidRPr="4FE94C9D" w:rsidR="000F2970">
        <w:rPr>
          <w:rFonts w:ascii="Times New Roman" w:hAnsi="Times New Roman"/>
        </w:rPr>
        <w:t xml:space="preserve"> (ITOs)</w:t>
      </w:r>
      <w:r w:rsidRPr="4FE94C9D">
        <w:rPr>
          <w:rFonts w:ascii="Times New Roman" w:hAnsi="Times New Roman"/>
        </w:rPr>
        <w:t xml:space="preserve">, the District of Columbia, and 5 U.S. </w:t>
      </w:r>
      <w:r w:rsidRPr="4FE94C9D" w:rsidR="326A4402">
        <w:rPr>
          <w:rFonts w:ascii="Times New Roman" w:hAnsi="Times New Roman"/>
        </w:rPr>
        <w:t>t</w:t>
      </w:r>
      <w:r w:rsidRPr="4FE94C9D">
        <w:rPr>
          <w:rFonts w:ascii="Times New Roman" w:hAnsi="Times New Roman"/>
        </w:rPr>
        <w:t>erritories (American Samoa, the Commonwealth of the Northern Mariana Islands, Guam, Puerto Rico, and the U.S. Virgin Islands)</w:t>
      </w:r>
      <w:r w:rsidRPr="4FE94C9D" w:rsidR="00142630">
        <w:rPr>
          <w:rFonts w:ascii="Times New Roman" w:hAnsi="Times New Roman"/>
        </w:rPr>
        <w:t>.</w:t>
      </w:r>
    </w:p>
    <w:p w:rsidR="00966945" w:rsidP="00DA3ABE" w14:paraId="400ABF2D" w14:textId="77777777">
      <w:pPr>
        <w:pStyle w:val="BodyTextIndent2"/>
        <w:tabs>
          <w:tab w:val="left" w:pos="540"/>
        </w:tabs>
        <w:spacing w:line="480" w:lineRule="auto"/>
        <w:ind w:firstLine="0"/>
        <w:rPr>
          <w:rFonts w:ascii="Times New Roman" w:hAnsi="Times New Roman"/>
        </w:rPr>
      </w:pPr>
    </w:p>
    <w:p w:rsidR="00D21538" w:rsidP="36A235E9" w14:paraId="365D5BDB" w14:textId="5FA89BE4">
      <w:pPr>
        <w:pStyle w:val="BodyTextIndent2"/>
        <w:tabs>
          <w:tab w:val="left" w:pos="540"/>
        </w:tabs>
        <w:spacing w:line="480" w:lineRule="auto"/>
        <w:ind w:firstLine="0"/>
        <w:rPr>
          <w:rFonts w:ascii="Times New Roman" w:hAnsi="Times New Roman"/>
        </w:rPr>
      </w:pPr>
      <w:r w:rsidRPr="4FE94C9D">
        <w:rPr>
          <w:rFonts w:ascii="Times New Roman" w:hAnsi="Times New Roman"/>
        </w:rPr>
        <w:t xml:space="preserve">The WIC </w:t>
      </w:r>
      <w:r w:rsidRPr="4FE94C9D" w:rsidR="12D824D3">
        <w:rPr>
          <w:rFonts w:ascii="Times New Roman" w:hAnsi="Times New Roman"/>
        </w:rPr>
        <w:t>p</w:t>
      </w:r>
      <w:r w:rsidRPr="4FE94C9D">
        <w:rPr>
          <w:rFonts w:ascii="Times New Roman" w:hAnsi="Times New Roman"/>
        </w:rPr>
        <w:t>rogram is authorized by the Child Nutrition Act of 1966 (42 U.S.C. 1786), as amended</w:t>
      </w:r>
      <w:r w:rsidRPr="4FE94C9D" w:rsidR="00E748D6">
        <w:rPr>
          <w:rFonts w:ascii="Times New Roman" w:hAnsi="Times New Roman"/>
        </w:rPr>
        <w:t xml:space="preserve"> (see Appendix </w:t>
      </w:r>
      <w:r w:rsidRPr="4FE94C9D" w:rsidR="00D54AC3">
        <w:rPr>
          <w:rFonts w:ascii="Times New Roman" w:hAnsi="Times New Roman"/>
        </w:rPr>
        <w:t>B</w:t>
      </w:r>
      <w:r w:rsidRPr="4FE94C9D" w:rsidR="00B62E12">
        <w:rPr>
          <w:rFonts w:ascii="Times New Roman" w:hAnsi="Times New Roman"/>
        </w:rPr>
        <w:t>: Child Nutrition Act as Amended</w:t>
      </w:r>
      <w:r w:rsidRPr="4FE94C9D" w:rsidR="00E748D6">
        <w:rPr>
          <w:rFonts w:ascii="Times New Roman" w:hAnsi="Times New Roman"/>
        </w:rPr>
        <w:t>)</w:t>
      </w:r>
      <w:r w:rsidRPr="4FE94C9D">
        <w:rPr>
          <w:rFonts w:ascii="Times New Roman" w:hAnsi="Times New Roman"/>
        </w:rPr>
        <w:t xml:space="preserve">. </w:t>
      </w:r>
      <w:r w:rsidRPr="4FE94C9D" w:rsidR="003B3233">
        <w:rPr>
          <w:rFonts w:ascii="Times New Roman" w:hAnsi="Times New Roman"/>
        </w:rPr>
        <w:t xml:space="preserve">The Department is </w:t>
      </w:r>
      <w:r w:rsidRPr="4FE94C9D" w:rsidR="7B281729">
        <w:rPr>
          <w:rFonts w:ascii="Times New Roman" w:hAnsi="Times New Roman"/>
        </w:rPr>
        <w:t>finalizing revisions to</w:t>
      </w:r>
      <w:r w:rsidRPr="4FE94C9D" w:rsidR="003B3233">
        <w:rPr>
          <w:rFonts w:ascii="Times New Roman" w:hAnsi="Times New Roman"/>
        </w:rPr>
        <w:t xml:space="preserve"> the Federal regulations governing the WIC </w:t>
      </w:r>
      <w:r w:rsidRPr="4FE94C9D" w:rsidR="4355F211">
        <w:rPr>
          <w:rFonts w:ascii="Times New Roman" w:hAnsi="Times New Roman"/>
        </w:rPr>
        <w:t>p</w:t>
      </w:r>
      <w:r w:rsidRPr="4FE94C9D" w:rsidR="003B3233">
        <w:rPr>
          <w:rFonts w:ascii="Times New Roman" w:hAnsi="Times New Roman"/>
        </w:rPr>
        <w:t>rogram (7 CFR part 246</w:t>
      </w:r>
      <w:r w:rsidRPr="4FE94C9D" w:rsidR="00E748D6">
        <w:rPr>
          <w:rFonts w:ascii="Times New Roman" w:hAnsi="Times New Roman"/>
        </w:rPr>
        <w:t xml:space="preserve">, see Appendix </w:t>
      </w:r>
      <w:r w:rsidRPr="4FE94C9D" w:rsidR="009962A1">
        <w:rPr>
          <w:rFonts w:ascii="Times New Roman" w:hAnsi="Times New Roman"/>
        </w:rPr>
        <w:t>A</w:t>
      </w:r>
      <w:r w:rsidRPr="4FE94C9D" w:rsidR="00B62E12">
        <w:rPr>
          <w:rFonts w:ascii="Times New Roman" w:hAnsi="Times New Roman"/>
        </w:rPr>
        <w:t>: WIC Federal Regulations</w:t>
      </w:r>
      <w:r w:rsidRPr="4FE94C9D" w:rsidR="003B3233">
        <w:rPr>
          <w:rFonts w:ascii="Times New Roman" w:hAnsi="Times New Roman"/>
        </w:rPr>
        <w:t xml:space="preserve">). The </w:t>
      </w:r>
      <w:r w:rsidRPr="4FE94C9D" w:rsidR="002B6A36">
        <w:rPr>
          <w:rFonts w:ascii="Times New Roman" w:hAnsi="Times New Roman"/>
        </w:rPr>
        <w:t xml:space="preserve">WIC </w:t>
      </w:r>
      <w:r w:rsidRPr="4FE94C9D" w:rsidR="003B3233">
        <w:rPr>
          <w:rFonts w:ascii="Times New Roman" w:hAnsi="Times New Roman"/>
        </w:rPr>
        <w:t xml:space="preserve">regulations require that certain program-related information </w:t>
      </w:r>
      <w:r w:rsidRPr="4FE94C9D" w:rsidR="00B17F9C">
        <w:rPr>
          <w:rFonts w:ascii="Times New Roman" w:hAnsi="Times New Roman"/>
        </w:rPr>
        <w:t>is</w:t>
      </w:r>
      <w:r w:rsidRPr="4FE94C9D" w:rsidR="003B3233">
        <w:rPr>
          <w:rFonts w:ascii="Times New Roman" w:hAnsi="Times New Roman"/>
        </w:rPr>
        <w:t xml:space="preserve"> collected and that full and complete records concerning WIC operations are maintained. </w:t>
      </w:r>
      <w:r w:rsidRPr="4FE94C9D" w:rsidR="00E92E6A">
        <w:rPr>
          <w:rFonts w:ascii="Times New Roman" w:hAnsi="Times New Roman"/>
        </w:rPr>
        <w:t xml:space="preserve">The information reporting and recordkeeping burdens are necessary to ensure appropriate and efficient management of the WIC </w:t>
      </w:r>
      <w:r w:rsidRPr="4FE94C9D" w:rsidR="2B56FEB9">
        <w:rPr>
          <w:rFonts w:ascii="Times New Roman" w:hAnsi="Times New Roman"/>
        </w:rPr>
        <w:t>p</w:t>
      </w:r>
      <w:r w:rsidRPr="4FE94C9D" w:rsidR="00E92E6A">
        <w:rPr>
          <w:rFonts w:ascii="Times New Roman" w:hAnsi="Times New Roman"/>
        </w:rPr>
        <w:t xml:space="preserve">rogram. </w:t>
      </w:r>
    </w:p>
    <w:p w:rsidR="007970E5" w:rsidP="00DA3ABE" w14:paraId="43BF1DF8" w14:textId="53B902D8">
      <w:pPr>
        <w:pStyle w:val="BodyTextIndent2"/>
        <w:tabs>
          <w:tab w:val="left" w:pos="540"/>
        </w:tabs>
        <w:spacing w:line="480" w:lineRule="auto"/>
        <w:ind w:firstLine="0"/>
        <w:rPr>
          <w:rFonts w:ascii="Times New Roman" w:hAnsi="Times New Roman"/>
        </w:rPr>
      </w:pPr>
      <w:r w:rsidRPr="36A235E9">
        <w:rPr>
          <w:rFonts w:ascii="Times New Roman" w:hAnsi="Times New Roman"/>
        </w:rPr>
        <w:t xml:space="preserve"> </w:t>
      </w:r>
    </w:p>
    <w:p w:rsidR="009C7E80" w:rsidP="009C7E80" w14:paraId="44F2556D" w14:textId="27CBB5CF">
      <w:pPr>
        <w:pStyle w:val="BodyTextIndent2"/>
        <w:tabs>
          <w:tab w:val="left" w:pos="540"/>
        </w:tabs>
        <w:spacing w:line="480" w:lineRule="auto"/>
        <w:ind w:firstLine="0"/>
        <w:rPr>
          <w:rFonts w:ascii="Times New Roman" w:hAnsi="Times New Roman"/>
        </w:rPr>
      </w:pPr>
      <w:r w:rsidRPr="36A235E9">
        <w:rPr>
          <w:rFonts w:ascii="Times New Roman" w:hAnsi="Times New Roman"/>
        </w:rPr>
        <w:t xml:space="preserve">This </w:t>
      </w:r>
      <w:r w:rsidRPr="36A235E9" w:rsidR="15DDC3DF">
        <w:rPr>
          <w:rFonts w:ascii="Times New Roman" w:hAnsi="Times New Roman"/>
        </w:rPr>
        <w:t xml:space="preserve">final </w:t>
      </w:r>
      <w:r w:rsidRPr="36A235E9">
        <w:rPr>
          <w:rFonts w:ascii="Times New Roman" w:hAnsi="Times New Roman"/>
        </w:rPr>
        <w:t>rule impact</w:t>
      </w:r>
      <w:r w:rsidRPr="36A235E9" w:rsidR="4FC948E1">
        <w:rPr>
          <w:rFonts w:ascii="Times New Roman" w:hAnsi="Times New Roman"/>
        </w:rPr>
        <w:t>s</w:t>
      </w:r>
      <w:r w:rsidRPr="36A235E9">
        <w:rPr>
          <w:rFonts w:ascii="Times New Roman" w:hAnsi="Times New Roman"/>
        </w:rPr>
        <w:t xml:space="preserve"> the burden associated with reporting requirements for State agencies</w:t>
      </w:r>
      <w:r w:rsidRPr="36A235E9" w:rsidR="007A08B6">
        <w:rPr>
          <w:rFonts w:ascii="Times New Roman" w:hAnsi="Times New Roman"/>
        </w:rPr>
        <w:t>, individuals</w:t>
      </w:r>
      <w:r w:rsidRPr="36A235E9" w:rsidR="00BA740F">
        <w:rPr>
          <w:rFonts w:ascii="Times New Roman" w:hAnsi="Times New Roman"/>
        </w:rPr>
        <w:t>/households</w:t>
      </w:r>
      <w:r w:rsidRPr="36A235E9" w:rsidR="007A08B6">
        <w:rPr>
          <w:rFonts w:ascii="Times New Roman" w:hAnsi="Times New Roman"/>
        </w:rPr>
        <w:t>,</w:t>
      </w:r>
      <w:r w:rsidRPr="36A235E9">
        <w:rPr>
          <w:rFonts w:ascii="Times New Roman" w:hAnsi="Times New Roman"/>
        </w:rPr>
        <w:t xml:space="preserve"> and vendors, as well as the burden associated with recordkeeping requirements for State agencies</w:t>
      </w:r>
      <w:r w:rsidR="00D270E1">
        <w:rPr>
          <w:rFonts w:ascii="Times New Roman" w:hAnsi="Times New Roman"/>
        </w:rPr>
        <w:t xml:space="preserve"> and vendors</w:t>
      </w:r>
      <w:r w:rsidRPr="36A235E9">
        <w:rPr>
          <w:rFonts w:ascii="Times New Roman" w:hAnsi="Times New Roman"/>
        </w:rPr>
        <w:t xml:space="preserve">. The </w:t>
      </w:r>
      <w:r w:rsidRPr="36A235E9" w:rsidR="10836CF2">
        <w:rPr>
          <w:rFonts w:ascii="Times New Roman" w:hAnsi="Times New Roman"/>
        </w:rPr>
        <w:t xml:space="preserve">Department modified the </w:t>
      </w:r>
      <w:r w:rsidRPr="36A235E9">
        <w:rPr>
          <w:rFonts w:ascii="Times New Roman" w:hAnsi="Times New Roman"/>
        </w:rPr>
        <w:t>burden estimates</w:t>
      </w:r>
      <w:r w:rsidRPr="36A235E9" w:rsidR="1326B1D7">
        <w:rPr>
          <w:rFonts w:ascii="Times New Roman" w:hAnsi="Times New Roman"/>
        </w:rPr>
        <w:t xml:space="preserve"> </w:t>
      </w:r>
      <w:r w:rsidRPr="36A235E9" w:rsidR="562FDF45">
        <w:rPr>
          <w:rFonts w:ascii="Times New Roman" w:hAnsi="Times New Roman"/>
        </w:rPr>
        <w:t xml:space="preserve">to incorporate </w:t>
      </w:r>
      <w:r w:rsidRPr="36A235E9" w:rsidR="1326B1D7">
        <w:rPr>
          <w:rFonts w:ascii="Times New Roman" w:hAnsi="Times New Roman"/>
        </w:rPr>
        <w:t>feedback received during the public comment period.</w:t>
      </w:r>
      <w:r w:rsidRPr="36A235E9">
        <w:rPr>
          <w:rFonts w:ascii="Times New Roman" w:hAnsi="Times New Roman"/>
        </w:rPr>
        <w:t xml:space="preserve"> </w:t>
      </w:r>
    </w:p>
    <w:p w:rsidR="009C7E80" w:rsidP="00DA3ABE" w14:paraId="1CE45E60" w14:textId="77777777">
      <w:pPr>
        <w:pStyle w:val="BodyTextIndent2"/>
        <w:tabs>
          <w:tab w:val="left" w:pos="540"/>
        </w:tabs>
        <w:spacing w:line="480" w:lineRule="auto"/>
        <w:ind w:firstLine="0"/>
        <w:rPr>
          <w:rFonts w:ascii="Times New Roman" w:hAnsi="Times New Roman"/>
        </w:rPr>
      </w:pPr>
    </w:p>
    <w:p w:rsidR="00083DA5" w:rsidP="00083DA5" w14:paraId="3E3722CC" w14:textId="6CA1267F">
      <w:pPr>
        <w:pStyle w:val="BodyTextIndent2"/>
        <w:tabs>
          <w:tab w:val="left" w:pos="540"/>
        </w:tabs>
        <w:spacing w:line="480" w:lineRule="auto"/>
        <w:ind w:firstLine="0"/>
        <w:rPr>
          <w:rFonts w:ascii="Times New Roman" w:hAnsi="Times New Roman"/>
        </w:rPr>
      </w:pPr>
      <w:r w:rsidRPr="4FE94C9D">
        <w:rPr>
          <w:rFonts w:ascii="Times New Roman" w:hAnsi="Times New Roman"/>
        </w:rPr>
        <w:t>Per §</w:t>
      </w:r>
      <w:r w:rsidRPr="4FE94C9D" w:rsidR="00507BA7">
        <w:rPr>
          <w:rFonts w:ascii="Times New Roman" w:hAnsi="Times New Roman"/>
        </w:rPr>
        <w:t xml:space="preserve"> </w:t>
      </w:r>
      <w:r w:rsidRPr="4FE94C9D">
        <w:rPr>
          <w:rFonts w:ascii="Times New Roman" w:hAnsi="Times New Roman"/>
        </w:rPr>
        <w:t xml:space="preserve">246.2 of WIC regulations, “State agencies” are health departments or comparable agencies of the States, U.S. </w:t>
      </w:r>
      <w:r w:rsidRPr="4FE94C9D" w:rsidR="3F3D42DB">
        <w:rPr>
          <w:rFonts w:ascii="Times New Roman" w:hAnsi="Times New Roman"/>
        </w:rPr>
        <w:t>t</w:t>
      </w:r>
      <w:r w:rsidRPr="4FE94C9D">
        <w:rPr>
          <w:rFonts w:ascii="Times New Roman" w:hAnsi="Times New Roman"/>
        </w:rPr>
        <w:t xml:space="preserve">erritories, and </w:t>
      </w:r>
      <w:r w:rsidRPr="4FE94C9D" w:rsidR="00691F70">
        <w:rPr>
          <w:rFonts w:ascii="Times New Roman" w:hAnsi="Times New Roman"/>
        </w:rPr>
        <w:t>I</w:t>
      </w:r>
      <w:r w:rsidRPr="4FE94C9D" w:rsidR="0068149A">
        <w:rPr>
          <w:rFonts w:ascii="Times New Roman" w:hAnsi="Times New Roman"/>
        </w:rPr>
        <w:t>TOs</w:t>
      </w:r>
      <w:r w:rsidRPr="4FE94C9D">
        <w:rPr>
          <w:rFonts w:ascii="Times New Roman" w:hAnsi="Times New Roman"/>
        </w:rPr>
        <w:t xml:space="preserve">. State agencies administer the WIC </w:t>
      </w:r>
      <w:r w:rsidRPr="4FE94C9D" w:rsidR="320B000E">
        <w:rPr>
          <w:rFonts w:ascii="Times New Roman" w:hAnsi="Times New Roman"/>
        </w:rPr>
        <w:t>p</w:t>
      </w:r>
      <w:r w:rsidRPr="4FE94C9D">
        <w:rPr>
          <w:rFonts w:ascii="Times New Roman" w:hAnsi="Times New Roman"/>
        </w:rPr>
        <w:t xml:space="preserve">rogram with funds provided by the USDA Food and Nutrition </w:t>
      </w:r>
      <w:r w:rsidR="00533583">
        <w:rPr>
          <w:rFonts w:ascii="Times New Roman" w:hAnsi="Times New Roman"/>
        </w:rPr>
        <w:t>Administration</w:t>
      </w:r>
      <w:r w:rsidRPr="4FE94C9D" w:rsidR="00533583">
        <w:rPr>
          <w:rFonts w:ascii="Times New Roman" w:hAnsi="Times New Roman"/>
        </w:rPr>
        <w:t xml:space="preserve"> </w:t>
      </w:r>
      <w:r w:rsidRPr="4FE94C9D">
        <w:rPr>
          <w:rFonts w:ascii="Times New Roman" w:hAnsi="Times New Roman"/>
        </w:rPr>
        <w:t>(FN</w:t>
      </w:r>
      <w:r w:rsidR="00533583">
        <w:rPr>
          <w:rFonts w:ascii="Times New Roman" w:hAnsi="Times New Roman"/>
        </w:rPr>
        <w:t>A</w:t>
      </w:r>
      <w:r w:rsidRPr="4FE94C9D">
        <w:rPr>
          <w:rFonts w:ascii="Times New Roman" w:hAnsi="Times New Roman"/>
        </w:rPr>
        <w:t xml:space="preserve">) pursuant to annual Federal-State agreements.   </w:t>
      </w:r>
    </w:p>
    <w:p w:rsidR="00083DA5" w:rsidP="00083DA5" w14:paraId="5684D53A" w14:textId="77777777">
      <w:pPr>
        <w:pStyle w:val="BodyTextIndent2"/>
        <w:tabs>
          <w:tab w:val="left" w:pos="540"/>
        </w:tabs>
        <w:spacing w:line="480" w:lineRule="auto"/>
        <w:ind w:firstLine="0"/>
        <w:rPr>
          <w:rFonts w:ascii="Times New Roman" w:hAnsi="Times New Roman"/>
        </w:rPr>
      </w:pPr>
    </w:p>
    <w:p w:rsidR="00083DA5" w:rsidP="00083DA5" w14:paraId="08AD974F" w14:textId="7A0EA432">
      <w:pPr>
        <w:pStyle w:val="BodyTextIndent2"/>
        <w:tabs>
          <w:tab w:val="left" w:pos="540"/>
        </w:tabs>
        <w:spacing w:line="480" w:lineRule="auto"/>
        <w:ind w:firstLine="0"/>
        <w:rPr>
          <w:rFonts w:ascii="Times New Roman" w:hAnsi="Times New Roman"/>
        </w:rPr>
      </w:pPr>
      <w:r w:rsidRPr="00083DA5">
        <w:rPr>
          <w:rFonts w:ascii="Times New Roman" w:hAnsi="Times New Roman"/>
        </w:rPr>
        <w:t>Per §</w:t>
      </w:r>
      <w:r w:rsidR="00507BA7">
        <w:rPr>
          <w:rFonts w:ascii="Times New Roman" w:hAnsi="Times New Roman"/>
        </w:rPr>
        <w:t xml:space="preserve"> </w:t>
      </w:r>
      <w:r w:rsidRPr="00083DA5">
        <w:rPr>
          <w:rFonts w:ascii="Times New Roman" w:hAnsi="Times New Roman"/>
        </w:rPr>
        <w:t>246.2 of WIC regulations, “vendors” are businesses operating retail stores authorized by State agencies to transact the WIC “food instruments” (checks, vouchers</w:t>
      </w:r>
      <w:r w:rsidR="002F4B73">
        <w:rPr>
          <w:rFonts w:ascii="Times New Roman" w:hAnsi="Times New Roman"/>
        </w:rPr>
        <w:t>,</w:t>
      </w:r>
      <w:r w:rsidRPr="00083DA5">
        <w:rPr>
          <w:rFonts w:ascii="Times New Roman" w:hAnsi="Times New Roman"/>
        </w:rPr>
        <w:t xml:space="preserve"> or EBT cards) </w:t>
      </w:r>
      <w:r w:rsidR="00A12F3C">
        <w:rPr>
          <w:rFonts w:ascii="Times New Roman" w:hAnsi="Times New Roman"/>
        </w:rPr>
        <w:t xml:space="preserve">that are </w:t>
      </w:r>
      <w:r w:rsidRPr="00083DA5">
        <w:rPr>
          <w:rFonts w:ascii="Times New Roman" w:hAnsi="Times New Roman"/>
        </w:rPr>
        <w:t xml:space="preserve">used by WIC participants to purchase authorized </w:t>
      </w:r>
      <w:r w:rsidR="000F11E2">
        <w:rPr>
          <w:rFonts w:ascii="Times New Roman" w:hAnsi="Times New Roman"/>
        </w:rPr>
        <w:t xml:space="preserve">supplemental </w:t>
      </w:r>
      <w:r w:rsidRPr="00083DA5">
        <w:rPr>
          <w:rFonts w:ascii="Times New Roman" w:hAnsi="Times New Roman"/>
        </w:rPr>
        <w:t xml:space="preserve">foods.   </w:t>
      </w:r>
    </w:p>
    <w:p w:rsidR="00DA3ABE" w:rsidRPr="00DA3ABE" w:rsidP="00DA3ABE" w14:paraId="04F65107" w14:textId="77777777">
      <w:pPr>
        <w:pStyle w:val="BodyTextIndent2"/>
        <w:tabs>
          <w:tab w:val="left" w:pos="540"/>
        </w:tabs>
        <w:spacing w:line="480" w:lineRule="auto"/>
        <w:ind w:left="540"/>
        <w:rPr>
          <w:rFonts w:ascii="Times New Roman" w:hAnsi="Times New Roman"/>
          <w:b/>
          <w:szCs w:val="24"/>
        </w:rPr>
      </w:pPr>
    </w:p>
    <w:p w:rsidR="00CE0C73" w:rsidRPr="00042EC2" w:rsidP="00CE0C73" w14:paraId="7F7944D6" w14:textId="4F714D0A">
      <w:pPr>
        <w:pStyle w:val="Heading1"/>
      </w:pPr>
      <w:bookmarkStart w:id="3" w:name="_Toc401831358"/>
      <w:bookmarkStart w:id="4" w:name="_Toc83710913"/>
      <w:bookmarkStart w:id="5" w:name="_Toc115788670"/>
      <w:r>
        <w:t xml:space="preserve">A2. Purpose and </w:t>
      </w:r>
      <w:r w:rsidR="00E32544">
        <w:t>u</w:t>
      </w:r>
      <w:r>
        <w:t>se of the</w:t>
      </w:r>
      <w:r w:rsidR="00856ECF">
        <w:t xml:space="preserve"> </w:t>
      </w:r>
      <w:r w:rsidR="00E32544">
        <w:t>i</w:t>
      </w:r>
      <w:r>
        <w:t>nformation.</w:t>
      </w:r>
      <w:bookmarkEnd w:id="3"/>
      <w:bookmarkEnd w:id="4"/>
      <w:bookmarkEnd w:id="5"/>
    </w:p>
    <w:p w:rsidR="00CE0C73" w:rsidRPr="00042EC2" w:rsidP="00CE0C73" w14:paraId="6A52BC9D" w14:textId="77777777">
      <w:pPr>
        <w:tabs>
          <w:tab w:val="left" w:pos="-720"/>
        </w:tabs>
        <w:suppressAutoHyphens/>
        <w:rPr>
          <w:b/>
          <w:szCs w:val="24"/>
        </w:rPr>
      </w:pPr>
    </w:p>
    <w:p w:rsidR="00CE0C73" w:rsidRPr="00042EC2" w:rsidP="00CE0C73" w14:paraId="031AC6CE" w14:textId="77777777">
      <w:pPr>
        <w:tabs>
          <w:tab w:val="left" w:pos="-720"/>
        </w:tabs>
        <w:suppressAutoHyphens/>
        <w:rPr>
          <w:b/>
          <w:szCs w:val="24"/>
        </w:rPr>
      </w:pPr>
      <w:r w:rsidRPr="00042EC2">
        <w:rPr>
          <w:b/>
          <w:szCs w:val="24"/>
        </w:rPr>
        <w:t>Indicate how, by whom, and for what purpose the information is to be used.  Except for a new collection, indicate how the agency has actually used the information received from the current collection.</w:t>
      </w:r>
    </w:p>
    <w:p w:rsidR="005D1BF0" w:rsidRPr="00B22E94" w:rsidP="003169C2" w14:paraId="6AAD99C7" w14:textId="77777777">
      <w:pPr>
        <w:pStyle w:val="BodyTextIndent2"/>
        <w:tabs>
          <w:tab w:val="left" w:pos="540"/>
        </w:tabs>
        <w:spacing w:line="240" w:lineRule="auto"/>
        <w:ind w:firstLine="0"/>
        <w:jc w:val="center"/>
        <w:rPr>
          <w:rFonts w:ascii="Times New Roman" w:hAnsi="Times New Roman"/>
          <w:b/>
          <w:szCs w:val="24"/>
        </w:rPr>
      </w:pPr>
    </w:p>
    <w:p w:rsidR="00DA3ABE" w:rsidRPr="00B22E94" w:rsidP="00F129A0" w14:paraId="29A69872" w14:textId="1E890E77">
      <w:pPr>
        <w:pStyle w:val="BodyTextIndent2"/>
        <w:numPr>
          <w:ilvl w:val="0"/>
          <w:numId w:val="3"/>
        </w:numPr>
        <w:tabs>
          <w:tab w:val="left" w:pos="540"/>
        </w:tabs>
        <w:spacing w:line="480" w:lineRule="auto"/>
        <w:rPr>
          <w:rFonts w:ascii="Times New Roman" w:hAnsi="Times New Roman"/>
          <w:b/>
          <w:bCs/>
          <w:i/>
          <w:iCs/>
        </w:rPr>
      </w:pPr>
      <w:r w:rsidRPr="36A235E9">
        <w:rPr>
          <w:rFonts w:ascii="Times New Roman" w:hAnsi="Times New Roman"/>
          <w:b/>
          <w:bCs/>
        </w:rPr>
        <w:t>What information will be collected</w:t>
      </w:r>
      <w:r w:rsidRPr="36A235E9">
        <w:rPr>
          <w:rFonts w:ascii="Times New Roman" w:hAnsi="Times New Roman"/>
          <w:b/>
          <w:bCs/>
          <w:i/>
          <w:iCs/>
        </w:rPr>
        <w:t xml:space="preserve">?  </w:t>
      </w:r>
    </w:p>
    <w:p w:rsidR="00B77B55" w:rsidP="003B1E56" w14:paraId="1327F727" w14:textId="277B5875">
      <w:pPr>
        <w:spacing w:line="480" w:lineRule="auto"/>
        <w:rPr>
          <w:bCs/>
          <w:szCs w:val="24"/>
        </w:rPr>
      </w:pPr>
      <w:r w:rsidRPr="000F7F5C">
        <w:rPr>
          <w:bCs/>
          <w:szCs w:val="24"/>
        </w:rPr>
        <w:t xml:space="preserve">The information collection </w:t>
      </w:r>
      <w:r w:rsidRPr="000F7F5C" w:rsidR="00DA3ABE">
        <w:rPr>
          <w:bCs/>
          <w:szCs w:val="24"/>
        </w:rPr>
        <w:t>include</w:t>
      </w:r>
      <w:r w:rsidRPr="000F7F5C" w:rsidR="00755298">
        <w:rPr>
          <w:bCs/>
          <w:szCs w:val="24"/>
        </w:rPr>
        <w:t>s</w:t>
      </w:r>
      <w:r>
        <w:rPr>
          <w:bCs/>
          <w:szCs w:val="24"/>
        </w:rPr>
        <w:t xml:space="preserve">: </w:t>
      </w:r>
      <w:r w:rsidR="00AC256E">
        <w:rPr>
          <w:bCs/>
          <w:szCs w:val="24"/>
        </w:rPr>
        <w:t xml:space="preserve">WIC </w:t>
      </w:r>
      <w:r w:rsidR="00A7609F">
        <w:rPr>
          <w:bCs/>
          <w:szCs w:val="24"/>
        </w:rPr>
        <w:t>State agency operation</w:t>
      </w:r>
      <w:r w:rsidR="00B277C1">
        <w:rPr>
          <w:bCs/>
          <w:szCs w:val="24"/>
        </w:rPr>
        <w:t>al plans</w:t>
      </w:r>
      <w:r w:rsidR="00011E35">
        <w:rPr>
          <w:bCs/>
          <w:szCs w:val="24"/>
        </w:rPr>
        <w:t xml:space="preserve"> and policies</w:t>
      </w:r>
      <w:r w:rsidR="00A7609F">
        <w:rPr>
          <w:bCs/>
          <w:szCs w:val="24"/>
        </w:rPr>
        <w:t xml:space="preserve">; </w:t>
      </w:r>
      <w:r w:rsidR="00B277C1">
        <w:rPr>
          <w:bCs/>
          <w:szCs w:val="24"/>
        </w:rPr>
        <w:t xml:space="preserve">vendor sales and shelf price data; </w:t>
      </w:r>
      <w:r w:rsidR="00D239BB">
        <w:rPr>
          <w:bCs/>
          <w:szCs w:val="24"/>
        </w:rPr>
        <w:t xml:space="preserve">vendor application and agreement information; data related to vendor </w:t>
      </w:r>
      <w:r w:rsidR="002E2E26">
        <w:rPr>
          <w:bCs/>
          <w:szCs w:val="24"/>
        </w:rPr>
        <w:t>authorization</w:t>
      </w:r>
      <w:r w:rsidR="00E900A5">
        <w:rPr>
          <w:bCs/>
          <w:szCs w:val="24"/>
        </w:rPr>
        <w:t xml:space="preserve">, training, </w:t>
      </w:r>
      <w:r w:rsidR="00D239BB">
        <w:rPr>
          <w:bCs/>
          <w:szCs w:val="24"/>
        </w:rPr>
        <w:t xml:space="preserve">monitoring, and compliance investigations; </w:t>
      </w:r>
      <w:r w:rsidR="003305D4">
        <w:rPr>
          <w:bCs/>
          <w:szCs w:val="24"/>
        </w:rPr>
        <w:t>State agency systems updates</w:t>
      </w:r>
      <w:r w:rsidR="005A0B3B">
        <w:rPr>
          <w:bCs/>
          <w:szCs w:val="24"/>
        </w:rPr>
        <w:t xml:space="preserve">; participant benefit pick up; </w:t>
      </w:r>
      <w:r w:rsidR="003305D4">
        <w:rPr>
          <w:bCs/>
          <w:szCs w:val="24"/>
        </w:rPr>
        <w:t xml:space="preserve">vendor systems updates; and </w:t>
      </w:r>
      <w:r w:rsidR="008D4A59">
        <w:rPr>
          <w:bCs/>
          <w:szCs w:val="24"/>
        </w:rPr>
        <w:t>notification of program violations to vendors</w:t>
      </w:r>
      <w:r w:rsidR="003305D4">
        <w:rPr>
          <w:bCs/>
          <w:szCs w:val="24"/>
        </w:rPr>
        <w:t>.</w:t>
      </w:r>
    </w:p>
    <w:p w:rsidR="00B52E23" w:rsidP="00DA3ABE" w14:paraId="663C9E5A" w14:textId="77C67029">
      <w:pPr>
        <w:pStyle w:val="BodyTextIndent"/>
        <w:tabs>
          <w:tab w:val="left" w:pos="540"/>
        </w:tabs>
        <w:spacing w:line="480" w:lineRule="auto"/>
        <w:ind w:left="0"/>
        <w:rPr>
          <w:bCs/>
          <w:szCs w:val="24"/>
        </w:rPr>
      </w:pPr>
    </w:p>
    <w:p w:rsidR="000C3F9D" w:rsidRPr="000C3F9D" w:rsidP="00F129A0" w14:paraId="2D07E2EF" w14:textId="77777777">
      <w:pPr>
        <w:pStyle w:val="BodyTextIndent2"/>
        <w:numPr>
          <w:ilvl w:val="0"/>
          <w:numId w:val="3"/>
        </w:numPr>
        <w:tabs>
          <w:tab w:val="left" w:pos="540"/>
        </w:tabs>
        <w:spacing w:line="240" w:lineRule="auto"/>
        <w:rPr>
          <w:rFonts w:ascii="Times New Roman" w:hAnsi="Times New Roman"/>
          <w:szCs w:val="24"/>
        </w:rPr>
      </w:pPr>
      <w:r w:rsidRPr="007A7335">
        <w:rPr>
          <w:rFonts w:ascii="Times New Roman" w:hAnsi="Times New Roman"/>
          <w:b/>
          <w:bCs/>
          <w:szCs w:val="24"/>
        </w:rPr>
        <w:t>Is the information collected via a report, public disclosure or is</w:t>
      </w:r>
      <w:r w:rsidRPr="007A7335" w:rsidR="00755298">
        <w:rPr>
          <w:rFonts w:ascii="Times New Roman" w:hAnsi="Times New Roman"/>
          <w:b/>
          <w:bCs/>
          <w:szCs w:val="24"/>
        </w:rPr>
        <w:t xml:space="preserve"> it a record that must be maintaine</w:t>
      </w:r>
      <w:r w:rsidRPr="007A7335">
        <w:rPr>
          <w:rFonts w:ascii="Times New Roman" w:hAnsi="Times New Roman"/>
          <w:b/>
          <w:bCs/>
          <w:szCs w:val="24"/>
        </w:rPr>
        <w:t>d?</w:t>
      </w:r>
    </w:p>
    <w:p w:rsidR="00C447A5" w:rsidRPr="00C447A5" w:rsidP="000C3F9D" w14:paraId="1689F18E" w14:textId="2E4F233F">
      <w:pPr>
        <w:pStyle w:val="BodyTextIndent2"/>
        <w:tabs>
          <w:tab w:val="left" w:pos="540"/>
        </w:tabs>
        <w:spacing w:line="240" w:lineRule="auto"/>
        <w:ind w:left="360" w:firstLine="0"/>
        <w:rPr>
          <w:rFonts w:ascii="Times New Roman" w:hAnsi="Times New Roman"/>
          <w:szCs w:val="24"/>
        </w:rPr>
      </w:pPr>
      <w:r w:rsidRPr="00C447A5">
        <w:rPr>
          <w:rFonts w:ascii="Times New Roman" w:hAnsi="Times New Roman"/>
          <w:szCs w:val="24"/>
        </w:rPr>
        <w:t xml:space="preserve"> </w:t>
      </w:r>
    </w:p>
    <w:p w:rsidR="00B52E23" w:rsidP="36A235E9" w14:paraId="71B52977" w14:textId="2D21888C">
      <w:pPr>
        <w:pStyle w:val="BodyTextIndent"/>
        <w:tabs>
          <w:tab w:val="left" w:pos="540"/>
        </w:tabs>
        <w:spacing w:line="480" w:lineRule="auto"/>
        <w:ind w:left="0"/>
        <w:rPr>
          <w:color w:val="000000"/>
        </w:rPr>
      </w:pPr>
      <w:r>
        <w:t>The State Plan of Operations</w:t>
      </w:r>
      <w:r w:rsidR="006A2CB1">
        <w:t xml:space="preserve"> (</w:t>
      </w:r>
      <w:r w:rsidR="000508F2">
        <w:t xml:space="preserve">see </w:t>
      </w:r>
      <w:r w:rsidR="006A2CB1">
        <w:t xml:space="preserve">Appendix </w:t>
      </w:r>
      <w:r w:rsidR="0069488C">
        <w:t>Q</w:t>
      </w:r>
      <w:r w:rsidR="006A2CB1">
        <w:t>:</w:t>
      </w:r>
      <w:r w:rsidR="00B578C8">
        <w:t xml:space="preserve"> FY 2025 State Plan Guidance Documents</w:t>
      </w:r>
      <w:r w:rsidR="000508F2">
        <w:t>, which provides State agencies with reference materials</w:t>
      </w:r>
      <w:r w:rsidR="00611594">
        <w:t xml:space="preserve"> for State Plan requirements</w:t>
      </w:r>
      <w:r w:rsidR="006A2CB1">
        <w:t>)</w:t>
      </w:r>
      <w:r>
        <w:t xml:space="preserve"> is the principal source of information about how each State agency operates </w:t>
      </w:r>
      <w:r w:rsidR="003878EE">
        <w:t>the</w:t>
      </w:r>
      <w:r>
        <w:t xml:space="preserve"> WIC </w:t>
      </w:r>
      <w:r w:rsidR="23C95FBF">
        <w:t>p</w:t>
      </w:r>
      <w:r>
        <w:t>rogram.</w:t>
      </w:r>
      <w:r w:rsidR="00F659D3">
        <w:t xml:space="preserve"> </w:t>
      </w:r>
      <w:r w:rsidR="00533583">
        <w:t>FNA</w:t>
      </w:r>
      <w:r w:rsidR="00F659D3">
        <w:t xml:space="preserve"> provides a </w:t>
      </w:r>
      <w:r w:rsidR="006B1D2F">
        <w:t xml:space="preserve">checklist </w:t>
      </w:r>
      <w:r w:rsidR="00F659D3">
        <w:t xml:space="preserve">for State agencies to ensure that the </w:t>
      </w:r>
      <w:r>
        <w:t>S</w:t>
      </w:r>
      <w:r w:rsidR="00F659D3">
        <w:t xml:space="preserve">tate </w:t>
      </w:r>
      <w:r>
        <w:t>P</w:t>
      </w:r>
      <w:r w:rsidR="00F659D3">
        <w:t>lan is complete and in compliance</w:t>
      </w:r>
      <w:r w:rsidR="009B172D">
        <w:t xml:space="preserve"> with</w:t>
      </w:r>
      <w:r w:rsidR="00F659D3">
        <w:t xml:space="preserve"> §</w:t>
      </w:r>
      <w:r w:rsidR="00023D1F">
        <w:t xml:space="preserve"> </w:t>
      </w:r>
      <w:r w:rsidR="00F659D3">
        <w:t>246.4</w:t>
      </w:r>
      <w:r w:rsidR="009B172D">
        <w:t>;</w:t>
      </w:r>
      <w:r w:rsidR="00F659D3">
        <w:t xml:space="preserve"> however, the use of the checklist is optional. </w:t>
      </w:r>
      <w:r w:rsidRPr="4FE94C9D" w:rsidR="00A43DAD">
        <w:rPr>
          <w:color w:val="000000" w:themeColor="text1"/>
        </w:rPr>
        <w:t xml:space="preserve">Vendors generally submit information and forms to the State agencies in paper format, by email or through an online portal. </w:t>
      </w:r>
      <w:r w:rsidRPr="4FE94C9D" w:rsidR="00DC3D06">
        <w:rPr>
          <w:color w:val="000000" w:themeColor="text1"/>
        </w:rPr>
        <w:t>Electronic reporting</w:t>
      </w:r>
      <w:r w:rsidRPr="4FE94C9D" w:rsidR="00DB6AC6">
        <w:rPr>
          <w:color w:val="000000" w:themeColor="text1"/>
        </w:rPr>
        <w:t xml:space="preserve"> of vendor information</w:t>
      </w:r>
      <w:r w:rsidRPr="4FE94C9D" w:rsidR="00A43DAD">
        <w:rPr>
          <w:color w:val="000000" w:themeColor="text1"/>
        </w:rPr>
        <w:t xml:space="preserve"> by State agencies to </w:t>
      </w:r>
      <w:r w:rsidR="00533583">
        <w:rPr>
          <w:color w:val="000000" w:themeColor="text1"/>
        </w:rPr>
        <w:t>FNA</w:t>
      </w:r>
      <w:r w:rsidRPr="4FE94C9D" w:rsidR="00DB6AC6">
        <w:rPr>
          <w:color w:val="000000" w:themeColor="text1"/>
        </w:rPr>
        <w:t xml:space="preserve"> </w:t>
      </w:r>
      <w:r w:rsidRPr="4FE94C9D" w:rsidR="00AA466E">
        <w:rPr>
          <w:color w:val="000000" w:themeColor="text1"/>
        </w:rPr>
        <w:t>is</w:t>
      </w:r>
      <w:r w:rsidRPr="4FE94C9D" w:rsidR="00DB6AC6">
        <w:rPr>
          <w:color w:val="000000" w:themeColor="text1"/>
        </w:rPr>
        <w:t xml:space="preserve"> submitted through the Food Delivery Portal (FDP)</w:t>
      </w:r>
      <w:r w:rsidRPr="4FE94C9D" w:rsidR="00A675A4">
        <w:rPr>
          <w:color w:val="000000" w:themeColor="text1"/>
        </w:rPr>
        <w:t xml:space="preserve">. </w:t>
      </w:r>
      <w:r w:rsidRPr="4FE94C9D" w:rsidR="00AA466E">
        <w:rPr>
          <w:color w:val="000000" w:themeColor="text1"/>
        </w:rPr>
        <w:t xml:space="preserve">The FDP </w:t>
      </w:r>
      <w:r w:rsidRPr="4FE94C9D" w:rsidR="00A675A4">
        <w:rPr>
          <w:color w:val="000000" w:themeColor="text1"/>
        </w:rPr>
        <w:t>and its associated reporting burden are approved under OMB Control Number 0854-0401 Food Delivery Portal (FDP) Data Collection.</w:t>
      </w:r>
      <w:r w:rsidRPr="4FE94C9D" w:rsidR="00EF07AD">
        <w:rPr>
          <w:color w:val="000000" w:themeColor="text1"/>
        </w:rPr>
        <w:t xml:space="preserve"> However, the reporting burden associated with conducting visits of </w:t>
      </w:r>
      <w:r w:rsidRPr="4FE94C9D" w:rsidR="00130E72">
        <w:rPr>
          <w:color w:val="000000" w:themeColor="text1"/>
        </w:rPr>
        <w:t>vendors for monitoring and oversight purposes is included in this information collection.</w:t>
      </w:r>
      <w:r w:rsidRPr="4FE94C9D" w:rsidR="00A675A4">
        <w:rPr>
          <w:color w:val="000000" w:themeColor="text1"/>
        </w:rPr>
        <w:t xml:space="preserve"> </w:t>
      </w:r>
      <w:r w:rsidRPr="4FE94C9D" w:rsidR="00130E72">
        <w:rPr>
          <w:color w:val="000000" w:themeColor="text1"/>
        </w:rPr>
        <w:t>Additionally</w:t>
      </w:r>
      <w:r w:rsidRPr="4FE94C9D" w:rsidR="00DC3D06">
        <w:rPr>
          <w:color w:val="000000" w:themeColor="text1"/>
        </w:rPr>
        <w:t xml:space="preserve">, the recordkeeping burden associated with </w:t>
      </w:r>
      <w:r w:rsidRPr="4FE94C9D" w:rsidR="000A12B6">
        <w:rPr>
          <w:color w:val="000000" w:themeColor="text1"/>
        </w:rPr>
        <w:t xml:space="preserve">vendor </w:t>
      </w:r>
      <w:r w:rsidRPr="4FE94C9D" w:rsidR="00BD232D">
        <w:rPr>
          <w:color w:val="000000" w:themeColor="text1"/>
        </w:rPr>
        <w:t xml:space="preserve">applications and agreements, </w:t>
      </w:r>
      <w:r w:rsidRPr="4FE94C9D" w:rsidR="000A12B6">
        <w:rPr>
          <w:color w:val="000000" w:themeColor="text1"/>
        </w:rPr>
        <w:t>monitoring</w:t>
      </w:r>
      <w:r w:rsidRPr="4FE94C9D" w:rsidR="00BD232D">
        <w:rPr>
          <w:color w:val="000000" w:themeColor="text1"/>
        </w:rPr>
        <w:t>,</w:t>
      </w:r>
      <w:r w:rsidRPr="4FE94C9D" w:rsidR="000A12B6">
        <w:rPr>
          <w:color w:val="000000" w:themeColor="text1"/>
        </w:rPr>
        <w:t xml:space="preserve"> </w:t>
      </w:r>
      <w:r w:rsidRPr="4FE94C9D" w:rsidR="00255AAE">
        <w:rPr>
          <w:color w:val="000000" w:themeColor="text1"/>
        </w:rPr>
        <w:t xml:space="preserve">and oversight </w:t>
      </w:r>
      <w:r w:rsidRPr="4FE94C9D" w:rsidR="000A12B6">
        <w:rPr>
          <w:color w:val="000000" w:themeColor="text1"/>
        </w:rPr>
        <w:t xml:space="preserve">information collected by State agencies </w:t>
      </w:r>
      <w:r w:rsidRPr="4FE94C9D" w:rsidR="00DC3D06">
        <w:rPr>
          <w:color w:val="000000" w:themeColor="text1"/>
        </w:rPr>
        <w:t xml:space="preserve">is included in this collection. </w:t>
      </w:r>
      <w:r w:rsidRPr="4FE94C9D" w:rsidR="002037F4">
        <w:rPr>
          <w:color w:val="000000" w:themeColor="text1"/>
        </w:rPr>
        <w:t>This information collection also includes a</w:t>
      </w:r>
      <w:r w:rsidRPr="4FE94C9D" w:rsidR="00163044">
        <w:rPr>
          <w:color w:val="000000" w:themeColor="text1"/>
        </w:rPr>
        <w:t xml:space="preserve">ctivities </w:t>
      </w:r>
      <w:r w:rsidRPr="4FE94C9D" w:rsidR="00F35099">
        <w:rPr>
          <w:color w:val="000000" w:themeColor="text1"/>
        </w:rPr>
        <w:t>required</w:t>
      </w:r>
      <w:r w:rsidRPr="4FE94C9D" w:rsidR="00D95BD6">
        <w:rPr>
          <w:color w:val="000000" w:themeColor="text1"/>
        </w:rPr>
        <w:t xml:space="preserve"> for participants to obtain </w:t>
      </w:r>
      <w:r w:rsidRPr="4FE94C9D" w:rsidR="006F2928">
        <w:rPr>
          <w:color w:val="000000" w:themeColor="text1"/>
        </w:rPr>
        <w:t>benefits</w:t>
      </w:r>
      <w:r w:rsidRPr="4FE94C9D" w:rsidR="00D95BD6">
        <w:rPr>
          <w:color w:val="000000" w:themeColor="text1"/>
        </w:rPr>
        <w:t xml:space="preserve">, </w:t>
      </w:r>
      <w:r w:rsidRPr="4FE94C9D" w:rsidR="007173D8">
        <w:rPr>
          <w:color w:val="000000" w:themeColor="text1"/>
        </w:rPr>
        <w:t xml:space="preserve">and </w:t>
      </w:r>
      <w:r w:rsidRPr="4FE94C9D" w:rsidR="00D95BD6">
        <w:rPr>
          <w:color w:val="000000" w:themeColor="text1"/>
        </w:rPr>
        <w:t xml:space="preserve">activities required for State agencies to perform </w:t>
      </w:r>
      <w:r w:rsidRPr="4FE94C9D" w:rsidR="007173D8">
        <w:rPr>
          <w:color w:val="000000" w:themeColor="text1"/>
        </w:rPr>
        <w:t xml:space="preserve">vendor </w:t>
      </w:r>
      <w:r w:rsidRPr="4FE94C9D" w:rsidR="00D95BD6">
        <w:rPr>
          <w:color w:val="000000" w:themeColor="text1"/>
        </w:rPr>
        <w:t xml:space="preserve">training and </w:t>
      </w:r>
      <w:r w:rsidRPr="4FE94C9D" w:rsidR="007173D8">
        <w:rPr>
          <w:color w:val="000000" w:themeColor="text1"/>
        </w:rPr>
        <w:t>oversight</w:t>
      </w:r>
      <w:r w:rsidRPr="4FE94C9D" w:rsidR="002037F4">
        <w:rPr>
          <w:color w:val="000000" w:themeColor="text1"/>
        </w:rPr>
        <w:t xml:space="preserve">. </w:t>
      </w:r>
    </w:p>
    <w:p w:rsidR="00D24459" w14:paraId="339A2541" w14:textId="7557A7FF">
      <w:pPr>
        <w:pStyle w:val="BodyTextIndent"/>
        <w:tabs>
          <w:tab w:val="left" w:pos="540"/>
        </w:tabs>
        <w:spacing w:line="480" w:lineRule="auto"/>
        <w:ind w:left="0"/>
        <w:rPr>
          <w:b/>
          <w:bCs/>
          <w:szCs w:val="24"/>
        </w:rPr>
      </w:pPr>
    </w:p>
    <w:p w:rsidR="00B52E23" w:rsidP="00F129A0" w14:paraId="56FBA862" w14:textId="5EA8DF8D">
      <w:pPr>
        <w:pStyle w:val="BodyTextIndent"/>
        <w:numPr>
          <w:ilvl w:val="0"/>
          <w:numId w:val="3"/>
        </w:numPr>
        <w:tabs>
          <w:tab w:val="left" w:pos="540"/>
        </w:tabs>
        <w:spacing w:line="480" w:lineRule="auto"/>
        <w:rPr>
          <w:b/>
          <w:bCs/>
          <w:szCs w:val="24"/>
        </w:rPr>
      </w:pPr>
      <w:r>
        <w:rPr>
          <w:b/>
          <w:bCs/>
          <w:szCs w:val="24"/>
        </w:rPr>
        <w:t>Is the collection voluntary, mandatory or necessary to obtain benefits?</w:t>
      </w:r>
    </w:p>
    <w:p w:rsidR="00156002" w:rsidP="00156002" w14:paraId="01F820C3" w14:textId="128AB750">
      <w:pPr>
        <w:pStyle w:val="BodyTextIndent2"/>
        <w:tabs>
          <w:tab w:val="left" w:pos="540"/>
        </w:tabs>
        <w:spacing w:line="480" w:lineRule="auto"/>
        <w:ind w:firstLine="0"/>
        <w:rPr>
          <w:rFonts w:ascii="Times New Roman" w:hAnsi="Times New Roman"/>
        </w:rPr>
      </w:pPr>
      <w:r w:rsidRPr="4FE94C9D">
        <w:rPr>
          <w:rFonts w:ascii="Times New Roman" w:hAnsi="Times New Roman"/>
        </w:rPr>
        <w:t>The entire information collection involves regulatory provisions at 7 CFR 246</w:t>
      </w:r>
      <w:r w:rsidRPr="4FE94C9D" w:rsidR="00A840F7">
        <w:rPr>
          <w:rFonts w:ascii="Times New Roman" w:hAnsi="Times New Roman"/>
        </w:rPr>
        <w:t xml:space="preserve"> (see Appendix </w:t>
      </w:r>
      <w:r w:rsidRPr="4FE94C9D" w:rsidR="00A909E1">
        <w:rPr>
          <w:rFonts w:ascii="Times New Roman" w:hAnsi="Times New Roman"/>
        </w:rPr>
        <w:t>A</w:t>
      </w:r>
      <w:r w:rsidRPr="4FE94C9D" w:rsidR="000222E8">
        <w:rPr>
          <w:rFonts w:ascii="Times New Roman" w:hAnsi="Times New Roman"/>
        </w:rPr>
        <w:t>: WIC Federal Regulations</w:t>
      </w:r>
      <w:r w:rsidRPr="4FE94C9D" w:rsidR="00A840F7">
        <w:rPr>
          <w:rFonts w:ascii="Times New Roman" w:hAnsi="Times New Roman"/>
        </w:rPr>
        <w:t>)</w:t>
      </w:r>
      <w:r w:rsidRPr="4FE94C9D">
        <w:rPr>
          <w:rFonts w:ascii="Times New Roman" w:hAnsi="Times New Roman"/>
        </w:rPr>
        <w:t xml:space="preserve">. </w:t>
      </w:r>
      <w:r w:rsidRPr="4FE94C9D" w:rsidR="00141675">
        <w:rPr>
          <w:rFonts w:ascii="Times New Roman" w:hAnsi="Times New Roman"/>
        </w:rPr>
        <w:t>The collect</w:t>
      </w:r>
      <w:r w:rsidRPr="4FE94C9D" w:rsidR="00FA635E">
        <w:rPr>
          <w:rFonts w:ascii="Times New Roman" w:hAnsi="Times New Roman"/>
        </w:rPr>
        <w:t>ion</w:t>
      </w:r>
      <w:r w:rsidRPr="4FE94C9D" w:rsidR="00141675">
        <w:rPr>
          <w:rFonts w:ascii="Times New Roman" w:hAnsi="Times New Roman"/>
        </w:rPr>
        <w:t xml:space="preserve"> burden for</w:t>
      </w:r>
      <w:r w:rsidRPr="4FE94C9D" w:rsidR="00477431">
        <w:rPr>
          <w:rFonts w:ascii="Times New Roman" w:hAnsi="Times New Roman"/>
        </w:rPr>
        <w:t xml:space="preserve"> the</w:t>
      </w:r>
      <w:r w:rsidRPr="4FE94C9D" w:rsidR="00DD59E0">
        <w:rPr>
          <w:rFonts w:ascii="Times New Roman" w:hAnsi="Times New Roman"/>
        </w:rPr>
        <w:t xml:space="preserve"> </w:t>
      </w:r>
      <w:r w:rsidRPr="4FE94C9D">
        <w:rPr>
          <w:rFonts w:ascii="Times New Roman" w:hAnsi="Times New Roman"/>
        </w:rPr>
        <w:t>S</w:t>
      </w:r>
      <w:r w:rsidRPr="4FE94C9D" w:rsidR="00DD59E0">
        <w:rPr>
          <w:rFonts w:ascii="Times New Roman" w:hAnsi="Times New Roman"/>
        </w:rPr>
        <w:t xml:space="preserve">tate </w:t>
      </w:r>
      <w:r w:rsidRPr="4FE94C9D">
        <w:rPr>
          <w:rFonts w:ascii="Times New Roman" w:hAnsi="Times New Roman"/>
        </w:rPr>
        <w:t>P</w:t>
      </w:r>
      <w:r w:rsidRPr="4FE94C9D" w:rsidR="00DD59E0">
        <w:rPr>
          <w:rFonts w:ascii="Times New Roman" w:hAnsi="Times New Roman"/>
        </w:rPr>
        <w:t>lan (</w:t>
      </w:r>
      <w:r w:rsidRPr="4FE94C9D" w:rsidR="00A16F8F">
        <w:rPr>
          <w:rFonts w:ascii="Times New Roman" w:hAnsi="Times New Roman"/>
        </w:rPr>
        <w:t>see § 246.4</w:t>
      </w:r>
      <w:r w:rsidRPr="4FE94C9D" w:rsidR="00DD59E0">
        <w:rPr>
          <w:rFonts w:ascii="Times New Roman" w:hAnsi="Times New Roman"/>
        </w:rPr>
        <w:t>)</w:t>
      </w:r>
      <w:r w:rsidRPr="4FE94C9D" w:rsidR="00C57BC5">
        <w:rPr>
          <w:rFonts w:ascii="Times New Roman" w:hAnsi="Times New Roman"/>
        </w:rPr>
        <w:t xml:space="preserve">, the </w:t>
      </w:r>
      <w:r w:rsidRPr="4FE94C9D" w:rsidR="00E53539">
        <w:rPr>
          <w:rFonts w:ascii="Times New Roman" w:hAnsi="Times New Roman"/>
        </w:rPr>
        <w:t>submission and review of vendor applications and agreements,</w:t>
      </w:r>
      <w:r w:rsidRPr="4FE94C9D" w:rsidR="00477431">
        <w:rPr>
          <w:rFonts w:ascii="Times New Roman" w:hAnsi="Times New Roman"/>
        </w:rPr>
        <w:t xml:space="preserve"> </w:t>
      </w:r>
      <w:r w:rsidRPr="4FE94C9D" w:rsidR="00C57BC5">
        <w:rPr>
          <w:rFonts w:ascii="Times New Roman" w:hAnsi="Times New Roman"/>
        </w:rPr>
        <w:t xml:space="preserve">the </w:t>
      </w:r>
      <w:r w:rsidRPr="4FE94C9D" w:rsidR="00477431">
        <w:rPr>
          <w:rFonts w:ascii="Times New Roman" w:hAnsi="Times New Roman"/>
        </w:rPr>
        <w:t>authorization, training and monitoring of vendors</w:t>
      </w:r>
      <w:r w:rsidRPr="4FE94C9D" w:rsidR="00A16F8F">
        <w:rPr>
          <w:rFonts w:ascii="Times New Roman" w:hAnsi="Times New Roman"/>
        </w:rPr>
        <w:t>,</w:t>
      </w:r>
      <w:r w:rsidRPr="4FE94C9D" w:rsidR="00477431">
        <w:rPr>
          <w:rFonts w:ascii="Times New Roman" w:hAnsi="Times New Roman"/>
        </w:rPr>
        <w:t xml:space="preserve"> and the collection of vendor pricing information </w:t>
      </w:r>
      <w:r w:rsidRPr="4FE94C9D" w:rsidR="00026DF5">
        <w:rPr>
          <w:rFonts w:ascii="Times New Roman" w:hAnsi="Times New Roman"/>
        </w:rPr>
        <w:t>(</w:t>
      </w:r>
      <w:r w:rsidRPr="4FE94C9D" w:rsidR="00767F3A">
        <w:rPr>
          <w:rFonts w:ascii="Times New Roman" w:hAnsi="Times New Roman"/>
        </w:rPr>
        <w:t>see §</w:t>
      </w:r>
      <w:r w:rsidRPr="4FE94C9D" w:rsidR="00026DF5">
        <w:rPr>
          <w:rFonts w:ascii="Times New Roman" w:hAnsi="Times New Roman"/>
        </w:rPr>
        <w:t xml:space="preserve"> </w:t>
      </w:r>
      <w:r w:rsidRPr="4FE94C9D" w:rsidR="007F0881">
        <w:rPr>
          <w:rFonts w:ascii="Times New Roman" w:hAnsi="Times New Roman"/>
        </w:rPr>
        <w:t>246.12</w:t>
      </w:r>
      <w:r w:rsidRPr="4FE94C9D" w:rsidR="00026DF5">
        <w:rPr>
          <w:rFonts w:ascii="Times New Roman" w:hAnsi="Times New Roman"/>
        </w:rPr>
        <w:t xml:space="preserve">) </w:t>
      </w:r>
      <w:r w:rsidRPr="4FE94C9D" w:rsidR="00477431">
        <w:rPr>
          <w:rFonts w:ascii="Times New Roman" w:hAnsi="Times New Roman"/>
        </w:rPr>
        <w:t>in order to comply with the Federal regulations regarding WIC cost containment</w:t>
      </w:r>
      <w:r w:rsidRPr="4FE94C9D" w:rsidR="00141675">
        <w:rPr>
          <w:rFonts w:ascii="Times New Roman" w:hAnsi="Times New Roman"/>
        </w:rPr>
        <w:t xml:space="preserve"> are mandatory</w:t>
      </w:r>
      <w:r w:rsidRPr="4FE94C9D" w:rsidR="00477431">
        <w:rPr>
          <w:rFonts w:ascii="Times New Roman" w:hAnsi="Times New Roman"/>
        </w:rPr>
        <w:t>.</w:t>
      </w:r>
      <w:r w:rsidRPr="4FE94C9D" w:rsidR="00BF3E47">
        <w:rPr>
          <w:rFonts w:ascii="Times New Roman" w:hAnsi="Times New Roman"/>
        </w:rPr>
        <w:t xml:space="preserve"> </w:t>
      </w:r>
      <w:r w:rsidRPr="4FE94C9D" w:rsidR="0064017B">
        <w:rPr>
          <w:rFonts w:ascii="Times New Roman" w:hAnsi="Times New Roman"/>
        </w:rPr>
        <w:t xml:space="preserve">In-person </w:t>
      </w:r>
      <w:r w:rsidRPr="4FE94C9D" w:rsidR="006F2928">
        <w:rPr>
          <w:rFonts w:ascii="Times New Roman" w:hAnsi="Times New Roman"/>
        </w:rPr>
        <w:t xml:space="preserve">loading of EBT benefits for offline State agencies is </w:t>
      </w:r>
      <w:r w:rsidRPr="4FE94C9D" w:rsidR="00256776">
        <w:rPr>
          <w:rFonts w:ascii="Times New Roman" w:hAnsi="Times New Roman"/>
        </w:rPr>
        <w:t xml:space="preserve">necessary given the current technologies used by the State agencies using offline EBT </w:t>
      </w:r>
      <w:r w:rsidRPr="4FE94C9D" w:rsidR="0015515F">
        <w:rPr>
          <w:rFonts w:ascii="Times New Roman" w:hAnsi="Times New Roman"/>
        </w:rPr>
        <w:t>(see § 246.12)</w:t>
      </w:r>
      <w:r w:rsidRPr="4FE94C9D" w:rsidR="009027A3">
        <w:rPr>
          <w:rFonts w:ascii="Times New Roman" w:hAnsi="Times New Roman"/>
        </w:rPr>
        <w:t>.</w:t>
      </w:r>
    </w:p>
    <w:p w:rsidR="00156002" w:rsidP="00156002" w14:paraId="0B15AB43" w14:textId="645DEA73">
      <w:pPr>
        <w:pStyle w:val="BodyTextIndent2"/>
        <w:tabs>
          <w:tab w:val="left" w:pos="540"/>
        </w:tabs>
        <w:spacing w:line="480" w:lineRule="auto"/>
        <w:ind w:firstLine="0"/>
        <w:rPr>
          <w:rFonts w:ascii="Times New Roman" w:hAnsi="Times New Roman"/>
        </w:rPr>
      </w:pPr>
      <w:r w:rsidRPr="00156002">
        <w:rPr>
          <w:rFonts w:ascii="Times New Roman" w:hAnsi="Times New Roman"/>
        </w:rPr>
        <w:t xml:space="preserve">  </w:t>
      </w:r>
    </w:p>
    <w:p w:rsidR="00DA3ABE" w:rsidRPr="000C3F9D" w:rsidP="00F129A0" w14:paraId="3A40244C" w14:textId="2CA3E0AE">
      <w:pPr>
        <w:pStyle w:val="BodyTextIndent"/>
        <w:numPr>
          <w:ilvl w:val="0"/>
          <w:numId w:val="3"/>
        </w:numPr>
        <w:tabs>
          <w:tab w:val="left" w:pos="540"/>
        </w:tabs>
      </w:pPr>
      <w:r w:rsidRPr="36A235E9">
        <w:rPr>
          <w:b/>
          <w:bCs/>
        </w:rPr>
        <w:t>From whom will the information be collected?</w:t>
      </w:r>
      <w:r w:rsidRPr="36A235E9">
        <w:rPr>
          <w:b/>
          <w:bCs/>
          <w:i/>
          <w:iCs/>
        </w:rPr>
        <w:t xml:space="preserve">  </w:t>
      </w:r>
      <w:r w:rsidRPr="36A235E9" w:rsidR="0011250E">
        <w:rPr>
          <w:b/>
          <w:bCs/>
        </w:rPr>
        <w:t>If there are different respondent categories</w:t>
      </w:r>
      <w:r w:rsidRPr="36A235E9" w:rsidR="00BB3C75">
        <w:rPr>
          <w:b/>
          <w:bCs/>
        </w:rPr>
        <w:t xml:space="preserve"> (e.g., beneficiary, retailer, State agency, Local agency, School Food Authority, etc.), </w:t>
      </w:r>
      <w:r w:rsidRPr="36A235E9" w:rsidR="0011250E">
        <w:rPr>
          <w:b/>
          <w:bCs/>
        </w:rPr>
        <w:t>each should be identified along with the type of collect</w:t>
      </w:r>
      <w:r w:rsidRPr="36A235E9" w:rsidR="00BB3C75">
        <w:rPr>
          <w:b/>
          <w:bCs/>
        </w:rPr>
        <w:t>ion</w:t>
      </w:r>
      <w:r w:rsidRPr="36A235E9" w:rsidR="0011250E">
        <w:rPr>
          <w:b/>
          <w:bCs/>
        </w:rPr>
        <w:t xml:space="preserve"> activity that applies.</w:t>
      </w:r>
    </w:p>
    <w:p w:rsidR="000C3F9D" w:rsidRPr="002871C2" w:rsidP="000C3F9D" w14:paraId="386F18EA" w14:textId="77777777">
      <w:pPr>
        <w:pStyle w:val="BodyTextIndent"/>
        <w:tabs>
          <w:tab w:val="left" w:pos="540"/>
        </w:tabs>
        <w:ind w:left="360"/>
        <w:rPr>
          <w:bCs/>
          <w:szCs w:val="24"/>
        </w:rPr>
      </w:pPr>
    </w:p>
    <w:p w:rsidR="00885CA0" w:rsidP="0030112E" w14:paraId="49BD3D11" w14:textId="4AE2CB25">
      <w:pPr>
        <w:pStyle w:val="BodyTextIndent"/>
        <w:tabs>
          <w:tab w:val="left" w:pos="540"/>
        </w:tabs>
        <w:spacing w:line="480" w:lineRule="auto"/>
        <w:ind w:left="0" w:firstLine="7"/>
        <w:rPr>
          <w:szCs w:val="24"/>
        </w:rPr>
      </w:pPr>
      <w:r w:rsidRPr="00B22E94">
        <w:rPr>
          <w:szCs w:val="24"/>
        </w:rPr>
        <w:t>The respondents for the information collection are State agencies</w:t>
      </w:r>
      <w:r w:rsidR="00DA724C">
        <w:rPr>
          <w:szCs w:val="24"/>
        </w:rPr>
        <w:t xml:space="preserve">, households </w:t>
      </w:r>
      <w:r w:rsidR="00D67F02">
        <w:rPr>
          <w:szCs w:val="24"/>
        </w:rPr>
        <w:t>with WIC participant</w:t>
      </w:r>
      <w:r w:rsidR="002A6FCF">
        <w:rPr>
          <w:szCs w:val="24"/>
        </w:rPr>
        <w:t>s</w:t>
      </w:r>
      <w:r w:rsidR="00D67F02">
        <w:rPr>
          <w:szCs w:val="24"/>
        </w:rPr>
        <w:t>,</w:t>
      </w:r>
      <w:r w:rsidRPr="00B22E94">
        <w:rPr>
          <w:szCs w:val="24"/>
        </w:rPr>
        <w:t xml:space="preserve"> and retail vendors.  </w:t>
      </w:r>
    </w:p>
    <w:p w:rsidR="0030112E" w:rsidP="0030112E" w14:paraId="7BDC9D9F" w14:textId="77777777">
      <w:pPr>
        <w:pStyle w:val="BodyTextIndent"/>
        <w:tabs>
          <w:tab w:val="left" w:pos="540"/>
        </w:tabs>
        <w:spacing w:line="480" w:lineRule="auto"/>
        <w:ind w:left="0" w:firstLine="7"/>
        <w:rPr>
          <w:szCs w:val="24"/>
        </w:rPr>
      </w:pPr>
    </w:p>
    <w:p w:rsidR="00F949BE" w:rsidP="0030112E" w14:paraId="5997E4E8" w14:textId="270BC059">
      <w:pPr>
        <w:pStyle w:val="BodyTextIndent"/>
        <w:tabs>
          <w:tab w:val="left" w:pos="540"/>
        </w:tabs>
        <w:spacing w:line="480" w:lineRule="auto"/>
        <w:ind w:left="0" w:firstLine="7"/>
        <w:rPr>
          <w:bCs/>
          <w:szCs w:val="24"/>
        </w:rPr>
      </w:pPr>
      <w:r>
        <w:rPr>
          <w:szCs w:val="24"/>
        </w:rPr>
        <w:t>The State agency shall collect and ma</w:t>
      </w:r>
      <w:r w:rsidR="003B6630">
        <w:rPr>
          <w:szCs w:val="24"/>
        </w:rPr>
        <w:t>intain information relating to p</w:t>
      </w:r>
      <w:r>
        <w:rPr>
          <w:szCs w:val="24"/>
        </w:rPr>
        <w:t>rogram operation</w:t>
      </w:r>
      <w:r w:rsidR="001F2413">
        <w:rPr>
          <w:szCs w:val="24"/>
        </w:rPr>
        <w:t>s</w:t>
      </w:r>
      <w:r>
        <w:rPr>
          <w:szCs w:val="24"/>
        </w:rPr>
        <w:t xml:space="preserve"> and </w:t>
      </w:r>
      <w:r w:rsidRPr="00C47ACC">
        <w:rPr>
          <w:szCs w:val="24"/>
        </w:rPr>
        <w:t>administration to</w:t>
      </w:r>
      <w:r>
        <w:rPr>
          <w:szCs w:val="24"/>
        </w:rPr>
        <w:t xml:space="preserve"> include: </w:t>
      </w:r>
      <w:r w:rsidRPr="00B22E94">
        <w:rPr>
          <w:bCs/>
          <w:szCs w:val="24"/>
        </w:rPr>
        <w:t xml:space="preserve">vendor application and agreement information; vendor sales and </w:t>
      </w:r>
      <w:r w:rsidR="00CF2939">
        <w:rPr>
          <w:bCs/>
          <w:szCs w:val="24"/>
        </w:rPr>
        <w:t>shelf price</w:t>
      </w:r>
      <w:r w:rsidR="004E1A51">
        <w:rPr>
          <w:bCs/>
          <w:szCs w:val="24"/>
        </w:rPr>
        <w:t xml:space="preserve"> </w:t>
      </w:r>
      <w:r w:rsidRPr="00B22E94">
        <w:rPr>
          <w:bCs/>
          <w:szCs w:val="24"/>
        </w:rPr>
        <w:t>data;</w:t>
      </w:r>
      <w:r w:rsidR="00CB2F50">
        <w:rPr>
          <w:bCs/>
          <w:szCs w:val="24"/>
        </w:rPr>
        <w:t xml:space="preserve"> </w:t>
      </w:r>
      <w:r w:rsidRPr="00B22E94">
        <w:rPr>
          <w:bCs/>
          <w:szCs w:val="24"/>
        </w:rPr>
        <w:t>data related to vendor monitoring and training;</w:t>
      </w:r>
      <w:r>
        <w:rPr>
          <w:bCs/>
          <w:szCs w:val="24"/>
        </w:rPr>
        <w:t xml:space="preserve"> </w:t>
      </w:r>
      <w:r w:rsidR="00581246">
        <w:rPr>
          <w:bCs/>
          <w:szCs w:val="24"/>
        </w:rPr>
        <w:t xml:space="preserve">and </w:t>
      </w:r>
      <w:r w:rsidR="00992ED2">
        <w:rPr>
          <w:bCs/>
          <w:szCs w:val="24"/>
        </w:rPr>
        <w:t>transaction authentication policies</w:t>
      </w:r>
      <w:r w:rsidRPr="00B22E94">
        <w:rPr>
          <w:bCs/>
          <w:szCs w:val="24"/>
        </w:rPr>
        <w:t>.</w:t>
      </w:r>
      <w:r w:rsidR="00156757">
        <w:rPr>
          <w:bCs/>
          <w:szCs w:val="24"/>
        </w:rPr>
        <w:t xml:space="preserve"> </w:t>
      </w:r>
      <w:r w:rsidR="004E7FE5">
        <w:rPr>
          <w:bCs/>
          <w:szCs w:val="24"/>
        </w:rPr>
        <w:t xml:space="preserve">The State agency also </w:t>
      </w:r>
      <w:r w:rsidR="00A71E46">
        <w:rPr>
          <w:bCs/>
          <w:szCs w:val="24"/>
        </w:rPr>
        <w:t>conducts vendor training and monitoring activities and</w:t>
      </w:r>
      <w:r w:rsidR="00CF2939">
        <w:rPr>
          <w:bCs/>
          <w:szCs w:val="24"/>
        </w:rPr>
        <w:t xml:space="preserve"> prepares requests for </w:t>
      </w:r>
      <w:r w:rsidR="00961AA9">
        <w:rPr>
          <w:bCs/>
          <w:szCs w:val="24"/>
        </w:rPr>
        <w:t xml:space="preserve">certain allowable </w:t>
      </w:r>
      <w:r w:rsidR="00CF2939">
        <w:rPr>
          <w:bCs/>
          <w:szCs w:val="24"/>
        </w:rPr>
        <w:t>costs</w:t>
      </w:r>
      <w:r w:rsidR="00961AA9">
        <w:rPr>
          <w:bCs/>
          <w:szCs w:val="24"/>
        </w:rPr>
        <w:t xml:space="preserve"> to submit to </w:t>
      </w:r>
      <w:r w:rsidR="00533583">
        <w:rPr>
          <w:bCs/>
          <w:szCs w:val="24"/>
        </w:rPr>
        <w:t>FNA</w:t>
      </w:r>
      <w:r w:rsidR="00961AA9">
        <w:rPr>
          <w:bCs/>
          <w:szCs w:val="24"/>
        </w:rPr>
        <w:t xml:space="preserve"> for approval</w:t>
      </w:r>
      <w:r w:rsidR="00F45160">
        <w:rPr>
          <w:bCs/>
          <w:szCs w:val="24"/>
        </w:rPr>
        <w:t>.</w:t>
      </w:r>
      <w:r w:rsidR="008F14EA">
        <w:rPr>
          <w:bCs/>
          <w:szCs w:val="24"/>
        </w:rPr>
        <w:t xml:space="preserve"> </w:t>
      </w:r>
    </w:p>
    <w:p w:rsidR="007E3862" w:rsidP="0030112E" w14:paraId="333573C5" w14:textId="77777777">
      <w:pPr>
        <w:pStyle w:val="BodyTextIndent"/>
        <w:tabs>
          <w:tab w:val="left" w:pos="540"/>
        </w:tabs>
        <w:spacing w:line="480" w:lineRule="auto"/>
        <w:ind w:left="0" w:firstLine="7"/>
        <w:rPr>
          <w:bCs/>
          <w:szCs w:val="24"/>
        </w:rPr>
      </w:pPr>
    </w:p>
    <w:p w:rsidR="00A71E46" w:rsidP="0030112E" w14:paraId="3F998A70" w14:textId="47A0CC27">
      <w:pPr>
        <w:pStyle w:val="BodyTextIndent"/>
        <w:tabs>
          <w:tab w:val="left" w:pos="540"/>
        </w:tabs>
        <w:spacing w:line="480" w:lineRule="auto"/>
        <w:ind w:left="0" w:firstLine="7"/>
        <w:rPr>
          <w:bCs/>
          <w:szCs w:val="24"/>
        </w:rPr>
      </w:pPr>
      <w:r>
        <w:rPr>
          <w:bCs/>
          <w:szCs w:val="24"/>
        </w:rPr>
        <w:t xml:space="preserve">WIC households </w:t>
      </w:r>
      <w:r w:rsidR="00994502">
        <w:rPr>
          <w:bCs/>
          <w:szCs w:val="24"/>
        </w:rPr>
        <w:t xml:space="preserve">must </w:t>
      </w:r>
      <w:r w:rsidR="00F438DA">
        <w:rPr>
          <w:bCs/>
          <w:szCs w:val="24"/>
        </w:rPr>
        <w:t>travel to the clinic to</w:t>
      </w:r>
      <w:r w:rsidR="00187221">
        <w:rPr>
          <w:bCs/>
          <w:szCs w:val="24"/>
        </w:rPr>
        <w:t xml:space="preserve"> load their EBT cards </w:t>
      </w:r>
      <w:r w:rsidR="00454491">
        <w:rPr>
          <w:bCs/>
          <w:szCs w:val="24"/>
        </w:rPr>
        <w:t xml:space="preserve">with benefits </w:t>
      </w:r>
      <w:r w:rsidR="00994502">
        <w:rPr>
          <w:bCs/>
          <w:szCs w:val="24"/>
        </w:rPr>
        <w:t xml:space="preserve">outside of scheduled </w:t>
      </w:r>
      <w:r w:rsidR="00B568ED">
        <w:rPr>
          <w:bCs/>
          <w:szCs w:val="24"/>
        </w:rPr>
        <w:t>re</w:t>
      </w:r>
      <w:r w:rsidR="00994502">
        <w:rPr>
          <w:bCs/>
          <w:szCs w:val="24"/>
        </w:rPr>
        <w:t xml:space="preserve">certification and nutrition education appointments if their State agency </w:t>
      </w:r>
      <w:r w:rsidR="00187221">
        <w:rPr>
          <w:bCs/>
          <w:szCs w:val="24"/>
        </w:rPr>
        <w:t>uses offline EBT systems</w:t>
      </w:r>
      <w:r w:rsidR="00994502">
        <w:rPr>
          <w:bCs/>
          <w:szCs w:val="24"/>
        </w:rPr>
        <w:t>.</w:t>
      </w:r>
    </w:p>
    <w:p w:rsidR="00A71E46" w:rsidP="0030112E" w14:paraId="75B487C7" w14:textId="77777777">
      <w:pPr>
        <w:pStyle w:val="BodyTextIndent"/>
        <w:tabs>
          <w:tab w:val="left" w:pos="540"/>
        </w:tabs>
        <w:spacing w:line="480" w:lineRule="auto"/>
        <w:ind w:left="0" w:firstLine="7"/>
        <w:rPr>
          <w:bCs/>
          <w:szCs w:val="24"/>
        </w:rPr>
      </w:pPr>
    </w:p>
    <w:p w:rsidR="007E3862" w:rsidP="0030112E" w14:paraId="2E811FA6" w14:textId="31CFDBDF">
      <w:pPr>
        <w:pStyle w:val="BodyTextIndent"/>
        <w:tabs>
          <w:tab w:val="left" w:pos="540"/>
        </w:tabs>
        <w:spacing w:line="480" w:lineRule="auto"/>
        <w:ind w:left="0" w:firstLine="7"/>
      </w:pPr>
      <w:r>
        <w:t>Retail vendors are required to submit an applic</w:t>
      </w:r>
      <w:r w:rsidR="00DB4C55">
        <w:t xml:space="preserve">ation to verify eligibility for </w:t>
      </w:r>
      <w:r>
        <w:t xml:space="preserve">participation in the WIC </w:t>
      </w:r>
      <w:r w:rsidR="039E6FA3">
        <w:t>p</w:t>
      </w:r>
      <w:r>
        <w:t>rogram</w:t>
      </w:r>
      <w:r w:rsidR="005D35CB">
        <w:t xml:space="preserve"> and undergo a</w:t>
      </w:r>
      <w:r w:rsidR="00F438DA">
        <w:t>n initial</w:t>
      </w:r>
      <w:r w:rsidR="005D35CB">
        <w:t xml:space="preserve"> preauthorization visit</w:t>
      </w:r>
      <w:r>
        <w:t xml:space="preserve">. When authorized, retail vendors enter into agreements with and provide the State agency information on vendor sales and </w:t>
      </w:r>
      <w:r w:rsidR="001F2DD2">
        <w:t xml:space="preserve">access to pricing </w:t>
      </w:r>
      <w:r>
        <w:t>data</w:t>
      </w:r>
      <w:r w:rsidR="00C41F2C">
        <w:t>, and regularly complete training and monitoring activities with the State agency</w:t>
      </w:r>
      <w:r>
        <w:t>.</w:t>
      </w:r>
    </w:p>
    <w:p w:rsidR="003C5D38" w:rsidP="0030112E" w14:paraId="2AA7E0AC" w14:textId="77777777">
      <w:pPr>
        <w:pStyle w:val="BodyTextIndent"/>
        <w:tabs>
          <w:tab w:val="left" w:pos="540"/>
        </w:tabs>
        <w:spacing w:line="480" w:lineRule="auto"/>
        <w:ind w:left="0" w:firstLine="7"/>
        <w:rPr>
          <w:bCs/>
          <w:szCs w:val="24"/>
        </w:rPr>
      </w:pPr>
    </w:p>
    <w:p w:rsidR="00DA3ABE" w:rsidRPr="00B22E94" w:rsidP="00F129A0" w14:paraId="0562F743" w14:textId="65A9763A">
      <w:pPr>
        <w:pStyle w:val="Level2"/>
        <w:numPr>
          <w:ilvl w:val="0"/>
          <w:numId w:val="3"/>
        </w:numPr>
        <w:tabs>
          <w:tab w:val="left" w:pos="900"/>
        </w:tabs>
        <w:spacing w:line="480" w:lineRule="auto"/>
        <w:rPr>
          <w:b/>
          <w:bCs/>
          <w:i/>
        </w:rPr>
      </w:pPr>
      <w:r w:rsidRPr="007A7335">
        <w:rPr>
          <w:b/>
          <w:bCs/>
        </w:rPr>
        <w:t xml:space="preserve">How will this information be used?  </w:t>
      </w:r>
      <w:r>
        <w:rPr>
          <w:b/>
          <w:bCs/>
        </w:rPr>
        <w:t>(</w:t>
      </w:r>
      <w:r w:rsidRPr="007A7335">
        <w:rPr>
          <w:b/>
          <w:bCs/>
        </w:rPr>
        <w:t>Provide ALL uses.</w:t>
      </w:r>
      <w:r>
        <w:rPr>
          <w:b/>
          <w:bCs/>
        </w:rPr>
        <w:t>)</w:t>
      </w:r>
    </w:p>
    <w:p w:rsidR="00DA3ABE" w:rsidP="4FE94C9D" w14:paraId="40B47179" w14:textId="25EB7786">
      <w:pPr>
        <w:pStyle w:val="BodyTextIndent"/>
        <w:tabs>
          <w:tab w:val="left" w:pos="900"/>
        </w:tabs>
        <w:spacing w:line="480" w:lineRule="auto"/>
        <w:ind w:left="0"/>
      </w:pPr>
      <w:r>
        <w:t xml:space="preserve">The information collection </w:t>
      </w:r>
      <w:r w:rsidR="000C0B82">
        <w:t xml:space="preserve">adjusted by the </w:t>
      </w:r>
      <w:r w:rsidR="00F23D18">
        <w:t xml:space="preserve">final </w:t>
      </w:r>
      <w:r w:rsidR="000C0B82">
        <w:t>rule</w:t>
      </w:r>
      <w:r>
        <w:t xml:space="preserve"> includes</w:t>
      </w:r>
      <w:r w:rsidR="00083C7D">
        <w:t xml:space="preserve"> information on State agency </w:t>
      </w:r>
      <w:r w:rsidR="00793CBD">
        <w:t>operations, policies, and costs;</w:t>
      </w:r>
      <w:r>
        <w:t xml:space="preserve"> vendor application and agreement information; vendor sales and </w:t>
      </w:r>
      <w:r w:rsidR="00FA4E21">
        <w:t xml:space="preserve">shelf price </w:t>
      </w:r>
      <w:r>
        <w:t xml:space="preserve">data; </w:t>
      </w:r>
      <w:r w:rsidR="00793CBD">
        <w:t xml:space="preserve">and </w:t>
      </w:r>
      <w:r>
        <w:t xml:space="preserve">data related to vendor monitoring and training. The information is needed for the general operation of the </w:t>
      </w:r>
      <w:r w:rsidR="004045BC">
        <w:t>p</w:t>
      </w:r>
      <w:r>
        <w:t xml:space="preserve">rogram, including regulatory compliance, and for ongoing program integrity and cost-saving efforts. </w:t>
      </w:r>
      <w:r w:rsidR="00C447A5">
        <w:t xml:space="preserve">The information collected is used by </w:t>
      </w:r>
      <w:r w:rsidR="00533583">
        <w:t>FNA</w:t>
      </w:r>
      <w:r w:rsidR="00736358">
        <w:t xml:space="preserve"> </w:t>
      </w:r>
      <w:r w:rsidR="00C447A5">
        <w:t>to manage, plan, evaluate, make decisions</w:t>
      </w:r>
      <w:r w:rsidR="00890A97">
        <w:t>,</w:t>
      </w:r>
      <w:r w:rsidR="00C447A5">
        <w:t xml:space="preserve"> and report on WIC </w:t>
      </w:r>
      <w:r w:rsidR="156831AB">
        <w:t>p</w:t>
      </w:r>
      <w:r w:rsidR="00C447A5">
        <w:t xml:space="preserve">rogram operations.  </w:t>
      </w:r>
    </w:p>
    <w:p w:rsidR="00B22E94" w:rsidRPr="00B22E94" w:rsidP="00B22E94" w14:paraId="65720845" w14:textId="77777777">
      <w:pPr>
        <w:pStyle w:val="BodyTextIndent"/>
        <w:tabs>
          <w:tab w:val="left" w:pos="900"/>
        </w:tabs>
        <w:spacing w:line="480" w:lineRule="auto"/>
        <w:ind w:left="0"/>
        <w:rPr>
          <w:szCs w:val="24"/>
        </w:rPr>
      </w:pPr>
    </w:p>
    <w:p w:rsidR="00DA3ABE" w:rsidRPr="000C3F9D" w:rsidP="00F129A0" w14:paraId="62B42CAF" w14:textId="0EB3F822">
      <w:pPr>
        <w:pStyle w:val="Level2"/>
        <w:numPr>
          <w:ilvl w:val="0"/>
          <w:numId w:val="3"/>
        </w:numPr>
        <w:tabs>
          <w:tab w:val="left" w:pos="900"/>
        </w:tabs>
        <w:rPr>
          <w:b/>
          <w:bCs/>
          <w:i/>
        </w:rPr>
      </w:pPr>
      <w:r w:rsidRPr="007A7335">
        <w:rPr>
          <w:b/>
          <w:bCs/>
        </w:rPr>
        <w:t>How will the information be collected</w:t>
      </w:r>
      <w:r w:rsidR="00E87E01">
        <w:rPr>
          <w:b/>
          <w:bCs/>
        </w:rPr>
        <w:t xml:space="preserve"> (e.g., forms, descriptive reports or plans, electronically, face-to-face, ov</w:t>
      </w:r>
      <w:r w:rsidR="0003016C">
        <w:rPr>
          <w:b/>
          <w:bCs/>
        </w:rPr>
        <w:t xml:space="preserve">er the phone, over the </w:t>
      </w:r>
      <w:r w:rsidR="00451FF9">
        <w:rPr>
          <w:b/>
          <w:bCs/>
        </w:rPr>
        <w:t>i</w:t>
      </w:r>
      <w:r w:rsidR="0003016C">
        <w:rPr>
          <w:b/>
          <w:bCs/>
        </w:rPr>
        <w:t>nternet</w:t>
      </w:r>
      <w:r w:rsidR="00BB3C75">
        <w:rPr>
          <w:b/>
          <w:bCs/>
        </w:rPr>
        <w:t>)</w:t>
      </w:r>
      <w:r w:rsidRPr="007A7335">
        <w:rPr>
          <w:b/>
          <w:bCs/>
        </w:rPr>
        <w:t>?</w:t>
      </w:r>
      <w:r w:rsidR="00E87E01">
        <w:rPr>
          <w:b/>
          <w:bCs/>
        </w:rPr>
        <w:t xml:space="preserve">  Does the respondent have multiple options for providing the information?  If so, what are they?</w:t>
      </w:r>
    </w:p>
    <w:p w:rsidR="000C3F9D" w:rsidRPr="00B22E94" w:rsidP="000C3F9D" w14:paraId="292B74F5" w14:textId="77777777">
      <w:pPr>
        <w:pStyle w:val="Level2"/>
        <w:tabs>
          <w:tab w:val="left" w:pos="900"/>
        </w:tabs>
        <w:ind w:left="360" w:firstLine="0"/>
        <w:rPr>
          <w:b/>
          <w:bCs/>
          <w:i/>
        </w:rPr>
      </w:pPr>
    </w:p>
    <w:p w:rsidR="00DB5C7B" w:rsidP="00B67269" w14:paraId="35232BD0" w14:textId="5FD60692">
      <w:pPr>
        <w:pStyle w:val="BodyTextIndent"/>
        <w:tabs>
          <w:tab w:val="left" w:pos="540"/>
        </w:tabs>
        <w:spacing w:line="480" w:lineRule="auto"/>
        <w:ind w:left="0"/>
      </w:pPr>
      <w:r>
        <w:t>Sta</w:t>
      </w:r>
      <w:r w:rsidR="009323CD">
        <w:t xml:space="preserve">te agencies submit their </w:t>
      </w:r>
      <w:r w:rsidR="0045478E">
        <w:t>S</w:t>
      </w:r>
      <w:r w:rsidR="009323CD">
        <w:t xml:space="preserve">tate </w:t>
      </w:r>
      <w:r w:rsidR="0045478E">
        <w:t>P</w:t>
      </w:r>
      <w:r>
        <w:t>lan</w:t>
      </w:r>
      <w:r w:rsidR="0045478E">
        <w:t xml:space="preserve"> electronically </w:t>
      </w:r>
      <w:r w:rsidR="00932000">
        <w:t>to</w:t>
      </w:r>
      <w:r w:rsidR="00EF05F8">
        <w:t xml:space="preserve"> </w:t>
      </w:r>
      <w:r w:rsidR="00533583">
        <w:t>FNA</w:t>
      </w:r>
      <w:r w:rsidR="00FE4DB3">
        <w:t>.</w:t>
      </w:r>
      <w:r w:rsidR="00EF05F8">
        <w:t xml:space="preserve"> State agencies may submit plans through the</w:t>
      </w:r>
      <w:r>
        <w:t xml:space="preserve"> regular mail</w:t>
      </w:r>
      <w:r w:rsidR="0026556C">
        <w:t xml:space="preserve"> </w:t>
      </w:r>
      <w:r w:rsidR="00856ECF">
        <w:t xml:space="preserve">or by email </w:t>
      </w:r>
      <w:r w:rsidR="0026556C">
        <w:t>if that is their preference</w:t>
      </w:r>
      <w:r>
        <w:t xml:space="preserve">. </w:t>
      </w:r>
      <w:r w:rsidR="009533C1">
        <w:t>V</w:t>
      </w:r>
      <w:r>
        <w:t>endors</w:t>
      </w:r>
      <w:r w:rsidR="009533C1">
        <w:t xml:space="preserve"> generally</w:t>
      </w:r>
      <w:r>
        <w:t xml:space="preserve"> submit information </w:t>
      </w:r>
      <w:r w:rsidR="009533C1">
        <w:t>and</w:t>
      </w:r>
      <w:r>
        <w:t xml:space="preserve"> </w:t>
      </w:r>
      <w:r w:rsidR="0003016C">
        <w:t xml:space="preserve">forms to State agencies in </w:t>
      </w:r>
      <w:r>
        <w:t>paper format</w:t>
      </w:r>
      <w:r w:rsidR="009533C1">
        <w:t>, by email</w:t>
      </w:r>
      <w:r w:rsidR="00890A97">
        <w:t>,</w:t>
      </w:r>
      <w:r w:rsidR="009533C1">
        <w:t xml:space="preserve"> or through an online portal.</w:t>
      </w:r>
      <w:r w:rsidR="00B52E23">
        <w:t xml:space="preserve"> </w:t>
      </w:r>
      <w:r w:rsidR="003C088E">
        <w:t xml:space="preserve">State agencies submit information on their implementation of the </w:t>
      </w:r>
      <w:r w:rsidR="003C6C1A">
        <w:t xml:space="preserve">Special Supplemental Nutrition Program for Women, Infants, and Children (WIC): </w:t>
      </w:r>
      <w:r w:rsidRPr="4FE94C9D" w:rsidR="003C088E">
        <w:rPr>
          <w:i/>
          <w:iCs/>
        </w:rPr>
        <w:t xml:space="preserve">Revisions in the WIC Food Packages </w:t>
      </w:r>
      <w:r w:rsidR="003C6C1A">
        <w:t>f</w:t>
      </w:r>
      <w:r w:rsidR="003C088E">
        <w:t xml:space="preserve">inal </w:t>
      </w:r>
      <w:r w:rsidR="003C6C1A">
        <w:t>r</w:t>
      </w:r>
      <w:r w:rsidR="003C088E">
        <w:t xml:space="preserve">ule </w:t>
      </w:r>
      <w:r w:rsidR="00206C72">
        <w:t xml:space="preserve">using an online form (see Appendix R: Food Package Revisions </w:t>
      </w:r>
      <w:r w:rsidR="003C6C1A">
        <w:t xml:space="preserve">Implementation </w:t>
      </w:r>
      <w:r w:rsidR="00206C72">
        <w:t>Form</w:t>
      </w:r>
      <w:r w:rsidR="007419F0">
        <w:t>, which is not affected by</w:t>
      </w:r>
      <w:r w:rsidR="00312748">
        <w:t xml:space="preserve"> this </w:t>
      </w:r>
      <w:r w:rsidR="007B4776">
        <w:t>revision</w:t>
      </w:r>
      <w:r w:rsidR="007419F0">
        <w:t>)</w:t>
      </w:r>
      <w:r w:rsidR="003C6C1A">
        <w:t>.</w:t>
      </w:r>
      <w:r w:rsidR="00206C72">
        <w:t xml:space="preserve"> </w:t>
      </w:r>
      <w:r w:rsidR="00443190">
        <w:t xml:space="preserve">FNA plans to ask State agencies to submit information on </w:t>
      </w:r>
      <w:r w:rsidR="00443190">
        <w:t xml:space="preserve">their progress implementing the final rule electronically, using a fillable form checklist (see Appendix </w:t>
      </w:r>
      <w:r w:rsidR="00B0647F">
        <w:t>C</w:t>
      </w:r>
      <w:r w:rsidR="00443190">
        <w:t xml:space="preserve">: WIC Online Shopping Final Rule Implementation Checklist). </w:t>
      </w:r>
      <w:r w:rsidR="00B52E23">
        <w:t>M</w:t>
      </w:r>
      <w:r w:rsidR="00E87E01">
        <w:t>ore information about how the information will be collect</w:t>
      </w:r>
      <w:r w:rsidR="00187842">
        <w:t>ed can be found in</w:t>
      </w:r>
      <w:r w:rsidR="0059377F">
        <w:t xml:space="preserve"> </w:t>
      </w:r>
      <w:r w:rsidR="00187842">
        <w:t>Appendix</w:t>
      </w:r>
      <w:r w:rsidR="00616086">
        <w:t xml:space="preserve"> </w:t>
      </w:r>
      <w:r w:rsidR="00EF6C32">
        <w:t>P</w:t>
      </w:r>
      <w:r w:rsidR="000222E8">
        <w:t>:</w:t>
      </w:r>
      <w:r w:rsidR="00782FFB">
        <w:t xml:space="preserve"> </w:t>
      </w:r>
      <w:r w:rsidR="00E87E01">
        <w:t>WIC Burden Narrative.</w:t>
      </w:r>
    </w:p>
    <w:p w:rsidR="003C45B4" w:rsidP="00B67269" w14:paraId="2154962B" w14:textId="77777777">
      <w:pPr>
        <w:pStyle w:val="BodyTextIndent"/>
        <w:tabs>
          <w:tab w:val="left" w:pos="540"/>
        </w:tabs>
        <w:spacing w:line="480" w:lineRule="auto"/>
        <w:ind w:left="0"/>
        <w:rPr>
          <w:bCs/>
          <w:szCs w:val="24"/>
        </w:rPr>
      </w:pPr>
    </w:p>
    <w:p w:rsidR="00DA3ABE" w:rsidRPr="00B22E94" w:rsidP="00F129A0" w14:paraId="4511ADA9" w14:textId="2200D026">
      <w:pPr>
        <w:pStyle w:val="Level2"/>
        <w:numPr>
          <w:ilvl w:val="0"/>
          <w:numId w:val="3"/>
        </w:numPr>
        <w:tabs>
          <w:tab w:val="left" w:pos="900"/>
        </w:tabs>
        <w:spacing w:line="480" w:lineRule="auto"/>
        <w:rPr>
          <w:b/>
          <w:bCs/>
          <w:i/>
        </w:rPr>
      </w:pPr>
      <w:r w:rsidRPr="007A7335">
        <w:rPr>
          <w:b/>
          <w:bCs/>
        </w:rPr>
        <w:t>How frequently will the information be collected?</w:t>
      </w:r>
    </w:p>
    <w:p w:rsidR="00B60316" w:rsidP="00DA3ABE" w14:paraId="3B2B6217" w14:textId="15A06043">
      <w:pPr>
        <w:pStyle w:val="BodyTextIndent"/>
        <w:tabs>
          <w:tab w:val="left" w:pos="540"/>
        </w:tabs>
        <w:spacing w:line="480" w:lineRule="auto"/>
        <w:ind w:left="0"/>
      </w:pPr>
      <w:r>
        <w:t xml:space="preserve">State </w:t>
      </w:r>
      <w:r w:rsidR="00777366">
        <w:t xml:space="preserve">agencies submit their </w:t>
      </w:r>
      <w:r>
        <w:t>S</w:t>
      </w:r>
      <w:r w:rsidR="00777366">
        <w:t xml:space="preserve">tate </w:t>
      </w:r>
      <w:r>
        <w:t>P</w:t>
      </w:r>
      <w:r w:rsidR="00A74BAB">
        <w:t>lan</w:t>
      </w:r>
      <w:r w:rsidR="00777366">
        <w:t xml:space="preserve"> to </w:t>
      </w:r>
      <w:r w:rsidR="00533583">
        <w:t>FNA</w:t>
      </w:r>
      <w:r w:rsidR="005071F6">
        <w:t>, request approval for allowable costs (if applicable),</w:t>
      </w:r>
      <w:r w:rsidR="000207E6">
        <w:t xml:space="preserve"> and provide training </w:t>
      </w:r>
      <w:r w:rsidR="005071F6">
        <w:t xml:space="preserve">to all authorized vendors </w:t>
      </w:r>
      <w:r w:rsidR="000207E6">
        <w:t>annually</w:t>
      </w:r>
      <w:r w:rsidR="00DA3ABE">
        <w:t xml:space="preserve">. </w:t>
      </w:r>
      <w:r w:rsidR="00DD6393">
        <w:t xml:space="preserve">If a State agency adopts a new transaction authentication method under the </w:t>
      </w:r>
      <w:r w:rsidR="009D6DBF">
        <w:t>final</w:t>
      </w:r>
      <w:r w:rsidR="00DD6393">
        <w:t xml:space="preserve"> rule, they </w:t>
      </w:r>
      <w:r w:rsidR="009D6DBF">
        <w:t>will</w:t>
      </w:r>
      <w:r w:rsidR="00DD6393">
        <w:t xml:space="preserve"> also only </w:t>
      </w:r>
      <w:r w:rsidR="009955CB">
        <w:t>develop new policies and trainings once for the new authentication method</w:t>
      </w:r>
      <w:r w:rsidR="00300464">
        <w:t xml:space="preserve"> outside of the</w:t>
      </w:r>
      <w:r w:rsidR="004B1C57">
        <w:t>ir standard operations</w:t>
      </w:r>
      <w:r w:rsidR="009955CB">
        <w:t>.</w:t>
      </w:r>
      <w:r w:rsidR="00DD6393">
        <w:t xml:space="preserve"> </w:t>
      </w:r>
    </w:p>
    <w:p w:rsidR="00B60316" w:rsidP="00DA3ABE" w14:paraId="73FFD15C" w14:textId="77777777">
      <w:pPr>
        <w:pStyle w:val="BodyTextIndent"/>
        <w:tabs>
          <w:tab w:val="left" w:pos="540"/>
        </w:tabs>
        <w:spacing w:line="480" w:lineRule="auto"/>
        <w:ind w:left="0"/>
        <w:rPr>
          <w:szCs w:val="24"/>
        </w:rPr>
      </w:pPr>
    </w:p>
    <w:p w:rsidR="00C30F7C" w:rsidP="00DA3ABE" w14:paraId="73358C5C" w14:textId="0C755FCF">
      <w:pPr>
        <w:pStyle w:val="BodyTextIndent"/>
        <w:tabs>
          <w:tab w:val="left" w:pos="540"/>
        </w:tabs>
        <w:spacing w:line="480" w:lineRule="auto"/>
        <w:ind w:left="0"/>
        <w:rPr>
          <w:szCs w:val="24"/>
        </w:rPr>
      </w:pPr>
      <w:r>
        <w:rPr>
          <w:szCs w:val="24"/>
        </w:rPr>
        <w:t>Vendors provide sales data</w:t>
      </w:r>
      <w:r w:rsidR="00621403">
        <w:rPr>
          <w:szCs w:val="24"/>
        </w:rPr>
        <w:t xml:space="preserve"> during preauthorization</w:t>
      </w:r>
      <w:r>
        <w:rPr>
          <w:szCs w:val="24"/>
        </w:rPr>
        <w:t xml:space="preserve"> (which take</w:t>
      </w:r>
      <w:r w:rsidR="00D74A84">
        <w:rPr>
          <w:szCs w:val="24"/>
        </w:rPr>
        <w:t>s</w:t>
      </w:r>
      <w:r>
        <w:rPr>
          <w:szCs w:val="24"/>
        </w:rPr>
        <w:t xml:space="preserve"> place every 1-</w:t>
      </w:r>
      <w:r w:rsidR="00D74A84">
        <w:rPr>
          <w:szCs w:val="24"/>
        </w:rPr>
        <w:t>3</w:t>
      </w:r>
      <w:r>
        <w:rPr>
          <w:szCs w:val="24"/>
        </w:rPr>
        <w:t xml:space="preserve"> years)</w:t>
      </w:r>
      <w:r w:rsidR="00621403">
        <w:rPr>
          <w:szCs w:val="24"/>
        </w:rPr>
        <w:t xml:space="preserve"> </w:t>
      </w:r>
      <w:r w:rsidR="00087D14">
        <w:rPr>
          <w:szCs w:val="24"/>
        </w:rPr>
        <w:t xml:space="preserve">and during </w:t>
      </w:r>
      <w:r w:rsidR="00621403">
        <w:rPr>
          <w:szCs w:val="24"/>
        </w:rPr>
        <w:t>monitoring and compliance visits</w:t>
      </w:r>
      <w:r w:rsidR="003503ED">
        <w:rPr>
          <w:szCs w:val="24"/>
        </w:rPr>
        <w:t xml:space="preserve">. State agencies are required to </w:t>
      </w:r>
      <w:r w:rsidR="007D176E">
        <w:rPr>
          <w:szCs w:val="24"/>
        </w:rPr>
        <w:t>complete monitoring and compliance visits on five percent of their vendor population per year, and so the frequency of these activities depends on the size of the State agency’s authorized vendor population</w:t>
      </w:r>
      <w:r w:rsidR="00934A2D">
        <w:rPr>
          <w:szCs w:val="24"/>
        </w:rPr>
        <w:t xml:space="preserve">. </w:t>
      </w:r>
      <w:r w:rsidR="00A51D4E">
        <w:rPr>
          <w:szCs w:val="24"/>
        </w:rPr>
        <w:t>V</w:t>
      </w:r>
      <w:r w:rsidRPr="00B22E94" w:rsidR="00DA3ABE">
        <w:rPr>
          <w:szCs w:val="24"/>
        </w:rPr>
        <w:t xml:space="preserve">endor applications and agreements </w:t>
      </w:r>
      <w:r w:rsidR="00D74A84">
        <w:rPr>
          <w:szCs w:val="24"/>
        </w:rPr>
        <w:t xml:space="preserve">are </w:t>
      </w:r>
      <w:r w:rsidR="00B60316">
        <w:rPr>
          <w:szCs w:val="24"/>
        </w:rPr>
        <w:t xml:space="preserve">submitted, and then </w:t>
      </w:r>
      <w:r w:rsidR="000E6D3C">
        <w:rPr>
          <w:szCs w:val="24"/>
        </w:rPr>
        <w:t>reviewed</w:t>
      </w:r>
      <w:r w:rsidR="00336DF4">
        <w:rPr>
          <w:szCs w:val="24"/>
        </w:rPr>
        <w:t xml:space="preserve">, signed, and documented by the State agency </w:t>
      </w:r>
      <w:r w:rsidRPr="00B22E94" w:rsidR="00DA3ABE">
        <w:rPr>
          <w:szCs w:val="24"/>
        </w:rPr>
        <w:t xml:space="preserve">every </w:t>
      </w:r>
      <w:r w:rsidR="00A51D4E">
        <w:rPr>
          <w:szCs w:val="24"/>
        </w:rPr>
        <w:t>1-</w:t>
      </w:r>
      <w:r w:rsidR="00D74A84">
        <w:rPr>
          <w:szCs w:val="24"/>
        </w:rPr>
        <w:t>3</w:t>
      </w:r>
      <w:r w:rsidR="00A51D4E">
        <w:rPr>
          <w:szCs w:val="24"/>
        </w:rPr>
        <w:t xml:space="preserve"> years</w:t>
      </w:r>
      <w:r w:rsidRPr="00B22E94" w:rsidR="00DA3ABE">
        <w:rPr>
          <w:szCs w:val="24"/>
        </w:rPr>
        <w:t>.</w:t>
      </w:r>
      <w:r w:rsidR="00A47B94">
        <w:rPr>
          <w:szCs w:val="24"/>
        </w:rPr>
        <w:t xml:space="preserve"> </w:t>
      </w:r>
      <w:r w:rsidRPr="00B22E94" w:rsidR="00DA3ABE">
        <w:rPr>
          <w:szCs w:val="24"/>
        </w:rPr>
        <w:t xml:space="preserve"> </w:t>
      </w:r>
    </w:p>
    <w:p w:rsidR="00C30F7C" w:rsidP="00DA3ABE" w14:paraId="5DE36B0B" w14:textId="77777777">
      <w:pPr>
        <w:pStyle w:val="BodyTextIndent"/>
        <w:tabs>
          <w:tab w:val="left" w:pos="540"/>
        </w:tabs>
        <w:spacing w:line="480" w:lineRule="auto"/>
        <w:ind w:left="0"/>
        <w:rPr>
          <w:szCs w:val="24"/>
        </w:rPr>
      </w:pPr>
    </w:p>
    <w:p w:rsidR="005C2692" w:rsidP="00DA3ABE" w14:paraId="7F9B5473" w14:textId="2597417B">
      <w:pPr>
        <w:pStyle w:val="BodyTextIndent"/>
        <w:tabs>
          <w:tab w:val="left" w:pos="540"/>
        </w:tabs>
        <w:spacing w:line="480" w:lineRule="auto"/>
        <w:ind w:left="0"/>
        <w:rPr>
          <w:szCs w:val="24"/>
        </w:rPr>
      </w:pPr>
      <w:r>
        <w:rPr>
          <w:szCs w:val="24"/>
        </w:rPr>
        <w:t xml:space="preserve">Households in State agencies that operate an online EBT system will never need to visit the clinic solely to pick up food instruments. Households with new WIC participants in State agencies that operate an offline EBT system will need to visit the clinic twice annually outside of another scheduled visit to </w:t>
      </w:r>
      <w:r w:rsidR="00C4724A">
        <w:rPr>
          <w:szCs w:val="24"/>
        </w:rPr>
        <w:t>load their benefits onto the EBT card, as three months of benefits can only ever be issued at one time</w:t>
      </w:r>
      <w:r>
        <w:rPr>
          <w:szCs w:val="24"/>
        </w:rPr>
        <w:t>.</w:t>
      </w:r>
    </w:p>
    <w:p w:rsidR="00530598" w:rsidP="00DA3ABE" w14:paraId="55EE8B4B" w14:textId="77777777">
      <w:pPr>
        <w:pStyle w:val="BodyTextIndent"/>
        <w:tabs>
          <w:tab w:val="left" w:pos="540"/>
        </w:tabs>
        <w:spacing w:line="480" w:lineRule="auto"/>
        <w:ind w:left="0"/>
        <w:rPr>
          <w:szCs w:val="24"/>
        </w:rPr>
      </w:pPr>
    </w:p>
    <w:p w:rsidR="00DA3ABE" w:rsidRPr="00B22E94" w:rsidP="00DA3ABE" w14:paraId="61941FAD" w14:textId="2E0B6FC0">
      <w:pPr>
        <w:pStyle w:val="BodyTextIndent"/>
        <w:tabs>
          <w:tab w:val="left" w:pos="540"/>
        </w:tabs>
        <w:spacing w:line="480" w:lineRule="auto"/>
        <w:ind w:left="0"/>
        <w:rPr>
          <w:szCs w:val="24"/>
        </w:rPr>
      </w:pPr>
      <w:r w:rsidRPr="00B22E94">
        <w:rPr>
          <w:szCs w:val="24"/>
        </w:rPr>
        <w:t>More information on the frequenc</w:t>
      </w:r>
      <w:r w:rsidRPr="00CE3099">
        <w:rPr>
          <w:szCs w:val="24"/>
        </w:rPr>
        <w:t xml:space="preserve">y of each type of </w:t>
      </w:r>
      <w:r w:rsidRPr="00CE3099" w:rsidR="00155734">
        <w:rPr>
          <w:szCs w:val="24"/>
        </w:rPr>
        <w:t>collection</w:t>
      </w:r>
      <w:r w:rsidRPr="00CE3099" w:rsidR="00187842">
        <w:rPr>
          <w:szCs w:val="24"/>
        </w:rPr>
        <w:t xml:space="preserve"> can be f</w:t>
      </w:r>
      <w:r w:rsidRPr="00AC5CF3" w:rsidR="00187842">
        <w:rPr>
          <w:szCs w:val="24"/>
        </w:rPr>
        <w:t xml:space="preserve">ound in Appendix </w:t>
      </w:r>
      <w:r w:rsidRPr="00AC5CF3" w:rsidR="00EF6C32">
        <w:rPr>
          <w:szCs w:val="24"/>
        </w:rPr>
        <w:t>P</w:t>
      </w:r>
      <w:r w:rsidRPr="00AC5CF3" w:rsidR="000222E8">
        <w:rPr>
          <w:szCs w:val="24"/>
        </w:rPr>
        <w:t>:</w:t>
      </w:r>
      <w:r w:rsidRPr="00AC5CF3">
        <w:rPr>
          <w:szCs w:val="24"/>
        </w:rPr>
        <w:t xml:space="preserve"> </w:t>
      </w:r>
      <w:r w:rsidRPr="00AC5CF3" w:rsidR="00B52E23">
        <w:rPr>
          <w:szCs w:val="24"/>
        </w:rPr>
        <w:t>WIC</w:t>
      </w:r>
      <w:r w:rsidRPr="00CE3099" w:rsidR="00B52E23">
        <w:rPr>
          <w:szCs w:val="24"/>
        </w:rPr>
        <w:t xml:space="preserve"> B</w:t>
      </w:r>
      <w:r w:rsidRPr="00CE3099">
        <w:rPr>
          <w:szCs w:val="24"/>
        </w:rPr>
        <w:t xml:space="preserve">urden </w:t>
      </w:r>
      <w:r w:rsidRPr="00CE3099" w:rsidR="00B52E23">
        <w:rPr>
          <w:szCs w:val="24"/>
        </w:rPr>
        <w:t>N</w:t>
      </w:r>
      <w:r w:rsidRPr="00CE3099">
        <w:rPr>
          <w:szCs w:val="24"/>
        </w:rPr>
        <w:t>arrative.</w:t>
      </w:r>
    </w:p>
    <w:p w:rsidR="00DA3ABE" w:rsidRPr="00B22E94" w:rsidP="00DA3ABE" w14:paraId="0A902437" w14:textId="77777777">
      <w:pPr>
        <w:pStyle w:val="BodyTextIndent"/>
        <w:tabs>
          <w:tab w:val="left" w:pos="540"/>
        </w:tabs>
        <w:spacing w:line="480" w:lineRule="auto"/>
        <w:ind w:left="0"/>
        <w:rPr>
          <w:szCs w:val="24"/>
        </w:rPr>
      </w:pPr>
    </w:p>
    <w:p w:rsidR="00DA3ABE" w:rsidP="00F129A0" w14:paraId="56CA08D4" w14:textId="07FF2EA2">
      <w:pPr>
        <w:pStyle w:val="BodyTextIndent"/>
        <w:numPr>
          <w:ilvl w:val="0"/>
          <w:numId w:val="3"/>
        </w:numPr>
        <w:tabs>
          <w:tab w:val="left" w:pos="540"/>
        </w:tabs>
        <w:rPr>
          <w:b/>
          <w:i/>
          <w:szCs w:val="24"/>
        </w:rPr>
      </w:pPr>
      <w:r w:rsidRPr="007A7335">
        <w:rPr>
          <w:b/>
          <w:szCs w:val="24"/>
        </w:rPr>
        <w:t>Will the information be shared with any other organizations inside or outside USDA or the government?</w:t>
      </w:r>
    </w:p>
    <w:p w:rsidR="008D677F" w:rsidRPr="00B22E94" w:rsidP="00DA3ABE" w14:paraId="1FC1855C" w14:textId="77777777">
      <w:pPr>
        <w:pStyle w:val="BodyTextIndent"/>
        <w:tabs>
          <w:tab w:val="left" w:pos="540"/>
        </w:tabs>
        <w:ind w:left="0"/>
        <w:rPr>
          <w:b/>
          <w:szCs w:val="24"/>
        </w:rPr>
      </w:pPr>
    </w:p>
    <w:p w:rsidR="003C45B4" w:rsidP="008C62BA" w14:paraId="36E4B11D" w14:textId="50519799">
      <w:pPr>
        <w:pStyle w:val="BodyTextIndent"/>
        <w:tabs>
          <w:tab w:val="left" w:pos="540"/>
        </w:tabs>
        <w:spacing w:line="480" w:lineRule="auto"/>
        <w:ind w:left="0"/>
        <w:rPr>
          <w:szCs w:val="24"/>
        </w:rPr>
      </w:pPr>
      <w:r w:rsidRPr="00B22E94">
        <w:rPr>
          <w:szCs w:val="24"/>
        </w:rPr>
        <w:t>The information may be made available to the Government Accountability Office or other Congressional offices.</w:t>
      </w:r>
      <w:r w:rsidRPr="00B22E94">
        <w:rPr>
          <w:color w:val="3366FF"/>
          <w:szCs w:val="24"/>
        </w:rPr>
        <w:t xml:space="preserve"> </w:t>
      </w:r>
      <w:r w:rsidRPr="00B22E94">
        <w:rPr>
          <w:szCs w:val="24"/>
        </w:rPr>
        <w:t xml:space="preserve">The information may also be made available to private contractors conducting research for </w:t>
      </w:r>
      <w:r w:rsidR="00533583">
        <w:rPr>
          <w:szCs w:val="24"/>
        </w:rPr>
        <w:t>FNA</w:t>
      </w:r>
      <w:r w:rsidRPr="00B22E94">
        <w:rPr>
          <w:szCs w:val="24"/>
        </w:rPr>
        <w:t xml:space="preserve">. The research information may subsequently be made public when the reports developed by the contractors are issued. To protect the privacy of vendors, information made available to the public is provided only in aggregate form, without identifying individual vendors.  </w:t>
      </w:r>
    </w:p>
    <w:p w:rsidR="00564B63" w:rsidRPr="00564B63" w:rsidP="008C62BA" w14:paraId="3FE85EF7" w14:textId="77777777">
      <w:pPr>
        <w:pStyle w:val="BodyTextIndent"/>
        <w:tabs>
          <w:tab w:val="left" w:pos="540"/>
        </w:tabs>
        <w:spacing w:line="480" w:lineRule="auto"/>
        <w:ind w:left="0"/>
        <w:rPr>
          <w:szCs w:val="24"/>
        </w:rPr>
      </w:pPr>
    </w:p>
    <w:p w:rsidR="00564B63" w:rsidRPr="000C3F9D" w:rsidP="00F129A0" w14:paraId="6A20981E" w14:textId="78A884EA">
      <w:pPr>
        <w:pStyle w:val="BodyTextIndent"/>
        <w:numPr>
          <w:ilvl w:val="0"/>
          <w:numId w:val="3"/>
        </w:numPr>
        <w:tabs>
          <w:tab w:val="left" w:pos="540"/>
        </w:tabs>
        <w:rPr>
          <w:b/>
          <w:bCs/>
          <w:i/>
          <w:szCs w:val="24"/>
        </w:rPr>
      </w:pPr>
      <w:r w:rsidRPr="007A7335">
        <w:rPr>
          <w:b/>
          <w:bCs/>
          <w:szCs w:val="24"/>
        </w:rPr>
        <w:t>If this is an ongoing collection, how have the collection requirements changed over time?</w:t>
      </w:r>
    </w:p>
    <w:p w:rsidR="000C3F9D" w:rsidRPr="00564B63" w:rsidP="000C3F9D" w14:paraId="7400025C" w14:textId="77777777">
      <w:pPr>
        <w:pStyle w:val="BodyTextIndent"/>
        <w:tabs>
          <w:tab w:val="left" w:pos="540"/>
        </w:tabs>
        <w:ind w:left="360"/>
        <w:rPr>
          <w:b/>
          <w:bCs/>
          <w:i/>
          <w:szCs w:val="24"/>
        </w:rPr>
      </w:pPr>
    </w:p>
    <w:p w:rsidR="00094670" w:rsidP="00E9778A" w14:paraId="1BD52A7A" w14:textId="6F8C4B63">
      <w:pPr>
        <w:pStyle w:val="BodyTextIndent"/>
        <w:tabs>
          <w:tab w:val="left" w:pos="540"/>
        </w:tabs>
        <w:spacing w:line="480" w:lineRule="auto"/>
        <w:ind w:left="0"/>
      </w:pPr>
      <w:r>
        <w:t>The reporting and recordkeeping burdens covered by this</w:t>
      </w:r>
      <w:r w:rsidR="001F5A06">
        <w:t xml:space="preserve"> </w:t>
      </w:r>
      <w:r w:rsidR="000B6B96">
        <w:t>information collection request</w:t>
      </w:r>
      <w:r>
        <w:t xml:space="preserve"> include requirements that involve the </w:t>
      </w:r>
      <w:r w:rsidR="00FE743E">
        <w:t xml:space="preserve">submission of </w:t>
      </w:r>
      <w:r>
        <w:t>S</w:t>
      </w:r>
      <w:r w:rsidR="00FE743E">
        <w:t xml:space="preserve">tate </w:t>
      </w:r>
      <w:r>
        <w:t>P</w:t>
      </w:r>
      <w:r w:rsidR="00FE743E">
        <w:t xml:space="preserve">lans; the </w:t>
      </w:r>
      <w:r>
        <w:t>authorization, training</w:t>
      </w:r>
      <w:r w:rsidR="001B6257">
        <w:t>,</w:t>
      </w:r>
      <w:r>
        <w:t xml:space="preserve"> and monitoring of vendors; and the collection of vendor pricing information in order to comply with the Federal regulations regarding WIC cost containment. </w:t>
      </w:r>
      <w:r w:rsidR="00D8744A">
        <w:t xml:space="preserve">The revisions in this </w:t>
      </w:r>
      <w:r w:rsidR="00CC46A6">
        <w:t xml:space="preserve">information collection </w:t>
      </w:r>
      <w:r w:rsidR="00EF2E9E">
        <w:t xml:space="preserve">are </w:t>
      </w:r>
      <w:r w:rsidR="00CC46A6">
        <w:t xml:space="preserve">due to program changes </w:t>
      </w:r>
      <w:r w:rsidR="00EF2E9E">
        <w:t xml:space="preserve">from the </w:t>
      </w:r>
      <w:r w:rsidR="6AEF6B86">
        <w:t xml:space="preserve">final </w:t>
      </w:r>
      <w:r w:rsidR="00EF2E9E">
        <w:t>rule</w:t>
      </w:r>
      <w:r w:rsidR="00E210AE">
        <w:t xml:space="preserve"> that</w:t>
      </w:r>
      <w:r w:rsidR="00EF2E9E">
        <w:t xml:space="preserve"> increase </w:t>
      </w:r>
      <w:r w:rsidR="00774B0B">
        <w:t>the number of WIC-authorized vendors</w:t>
      </w:r>
      <w:r w:rsidR="00582BBA">
        <w:t xml:space="preserve"> (due to the authorization of internet vendors)</w:t>
      </w:r>
      <w:r w:rsidR="00774B0B">
        <w:t xml:space="preserve">, </w:t>
      </w:r>
      <w:r w:rsidR="0022769B">
        <w:t xml:space="preserve">remove the </w:t>
      </w:r>
      <w:r w:rsidR="00774B0B">
        <w:t xml:space="preserve">requirement to </w:t>
      </w:r>
      <w:r w:rsidR="00AB27B7">
        <w:t xml:space="preserve">collect </w:t>
      </w:r>
      <w:r w:rsidR="002107A7">
        <w:t xml:space="preserve">shelf </w:t>
      </w:r>
      <w:r w:rsidR="0022769B">
        <w:t xml:space="preserve">price data from </w:t>
      </w:r>
      <w:r w:rsidR="00AB27B7">
        <w:t>vendor</w:t>
      </w:r>
      <w:r w:rsidR="0022769B">
        <w:t>s</w:t>
      </w:r>
      <w:r w:rsidR="002107A7">
        <w:t xml:space="preserve"> in State agencies with access to EBT data</w:t>
      </w:r>
      <w:r w:rsidR="00AB27B7">
        <w:t xml:space="preserve">, </w:t>
      </w:r>
      <w:r w:rsidR="005D0689">
        <w:t xml:space="preserve">and </w:t>
      </w:r>
      <w:r w:rsidR="00400189">
        <w:t>allow remote issuance of benefits in State agencies with online EBT systems</w:t>
      </w:r>
      <w:r w:rsidR="008533F7">
        <w:t>.</w:t>
      </w:r>
      <w:r w:rsidR="00CC46A6">
        <w:t xml:space="preserve"> </w:t>
      </w:r>
    </w:p>
    <w:p w:rsidR="00094670" w:rsidP="00E9778A" w14:paraId="2358B262" w14:textId="77777777">
      <w:pPr>
        <w:pStyle w:val="BodyTextIndent"/>
        <w:tabs>
          <w:tab w:val="left" w:pos="540"/>
        </w:tabs>
        <w:spacing w:line="480" w:lineRule="auto"/>
        <w:ind w:left="0"/>
      </w:pPr>
    </w:p>
    <w:p w:rsidR="00973D07" w:rsidP="00E9778A" w14:paraId="33A82C61" w14:textId="2FF34CFA">
      <w:pPr>
        <w:pStyle w:val="BodyTextIndent"/>
        <w:tabs>
          <w:tab w:val="left" w:pos="540"/>
        </w:tabs>
        <w:spacing w:line="480" w:lineRule="auto"/>
        <w:ind w:left="0"/>
      </w:pPr>
      <w:r>
        <w:t xml:space="preserve">The </w:t>
      </w:r>
      <w:r w:rsidR="49ABCD9F">
        <w:t xml:space="preserve">final </w:t>
      </w:r>
      <w:r>
        <w:t>rule add</w:t>
      </w:r>
      <w:r w:rsidR="73A045A6">
        <w:t>s</w:t>
      </w:r>
      <w:r>
        <w:t xml:space="preserve"> new, ongoing information collections related to</w:t>
      </w:r>
      <w:r w:rsidR="00E75FA8">
        <w:t xml:space="preserve"> conducting monitoring and oversight activities virtually,</w:t>
      </w:r>
      <w:r w:rsidR="009F0F23">
        <w:t xml:space="preserve"> and</w:t>
      </w:r>
      <w:r w:rsidR="00586F8E">
        <w:t xml:space="preserve"> </w:t>
      </w:r>
      <w:r w:rsidR="00E210AE">
        <w:t xml:space="preserve">this final rule </w:t>
      </w:r>
      <w:r w:rsidR="00304C3F">
        <w:t>includes several one</w:t>
      </w:r>
      <w:r>
        <w:t>-time</w:t>
      </w:r>
      <w:r w:rsidR="00304C3F">
        <w:t xml:space="preserve"> </w:t>
      </w:r>
      <w:r w:rsidR="006D1448">
        <w:t xml:space="preserve">burdens related to </w:t>
      </w:r>
      <w:r w:rsidR="00E210AE">
        <w:t>requir</w:t>
      </w:r>
      <w:r w:rsidR="006D1448">
        <w:t>ing</w:t>
      </w:r>
      <w:r w:rsidR="009F0F23">
        <w:t xml:space="preserve"> </w:t>
      </w:r>
      <w:r w:rsidR="007B5A69">
        <w:t>State agenc</w:t>
      </w:r>
      <w:r w:rsidR="00F07830">
        <w:t>ies</w:t>
      </w:r>
      <w:r w:rsidR="009F0F23">
        <w:t xml:space="preserve"> </w:t>
      </w:r>
      <w:r w:rsidR="007B5A69">
        <w:t xml:space="preserve">to develop </w:t>
      </w:r>
      <w:r w:rsidR="00C9695D">
        <w:t>transaction authentication policies</w:t>
      </w:r>
      <w:r w:rsidR="006D1448">
        <w:t xml:space="preserve">, State agencies undertaking system updates </w:t>
      </w:r>
      <w:r w:rsidR="00BA6F49">
        <w:t xml:space="preserve">to implement </w:t>
      </w:r>
      <w:r w:rsidR="006D1448">
        <w:t xml:space="preserve">online shopping and reporting progress to the Department, and </w:t>
      </w:r>
      <w:r w:rsidR="00BA6F49">
        <w:t>vendors undertaking system updates to accept online WIC transactions</w:t>
      </w:r>
      <w:r w:rsidR="00970B43">
        <w:t xml:space="preserve">. </w:t>
      </w:r>
      <w:r w:rsidR="00CF3965">
        <w:t>Further detail</w:t>
      </w:r>
      <w:r w:rsidR="00AC5CF3">
        <w:t>s</w:t>
      </w:r>
      <w:r w:rsidR="00CF3965">
        <w:t xml:space="preserve"> about the impacts from the rule </w:t>
      </w:r>
      <w:r w:rsidR="00F07830">
        <w:t xml:space="preserve">are </w:t>
      </w:r>
      <w:r w:rsidR="00CF3965">
        <w:t xml:space="preserve">included in the burden narrative (see Appendix </w:t>
      </w:r>
      <w:r w:rsidR="00EF6C32">
        <w:t>P</w:t>
      </w:r>
      <w:r w:rsidR="000222E8">
        <w:t>: WIC Burden Narrative</w:t>
      </w:r>
      <w:r w:rsidR="00CF3965">
        <w:t xml:space="preserve">), the burden </w:t>
      </w:r>
      <w:r w:rsidR="002A2891">
        <w:t xml:space="preserve">table </w:t>
      </w:r>
      <w:r w:rsidR="00CF3965">
        <w:t xml:space="preserve">(see Appendix </w:t>
      </w:r>
      <w:r w:rsidR="004D4F87">
        <w:t>O</w:t>
      </w:r>
      <w:r w:rsidR="000222E8">
        <w:t>: WIC Burden Table</w:t>
      </w:r>
      <w:r w:rsidR="00CF3965">
        <w:t>), and in the response to A15.</w:t>
      </w:r>
      <w:bookmarkStart w:id="6" w:name="_Toc401831359"/>
    </w:p>
    <w:p w:rsidR="00E9778A" w:rsidRPr="007041C3" w:rsidP="00E9778A" w14:paraId="2D8542CA" w14:textId="77777777">
      <w:pPr>
        <w:pStyle w:val="BodyTextIndent"/>
        <w:tabs>
          <w:tab w:val="left" w:pos="540"/>
        </w:tabs>
        <w:spacing w:line="480" w:lineRule="auto"/>
        <w:ind w:left="0"/>
        <w:rPr>
          <w:b/>
          <w:bCs/>
          <w:iCs/>
          <w:szCs w:val="24"/>
        </w:rPr>
      </w:pPr>
    </w:p>
    <w:p w:rsidR="009316A9" w:rsidRPr="00042EC2" w:rsidP="009316A9" w14:paraId="5971350F" w14:textId="77777777">
      <w:pPr>
        <w:pStyle w:val="Heading1"/>
      </w:pPr>
      <w:bookmarkStart w:id="7" w:name="_Toc83710914"/>
      <w:bookmarkStart w:id="8" w:name="_Toc115788671"/>
      <w:bookmarkEnd w:id="6"/>
      <w:r>
        <w:t>A3.  Use of information technology and burden reduction.</w:t>
      </w:r>
      <w:bookmarkEnd w:id="7"/>
      <w:bookmarkEnd w:id="8"/>
      <w:r>
        <w:t xml:space="preserve">  </w:t>
      </w:r>
    </w:p>
    <w:p w:rsidR="009316A9" w:rsidRPr="00042EC2" w:rsidP="009316A9" w14:paraId="670D757D" w14:textId="77777777">
      <w:pPr>
        <w:tabs>
          <w:tab w:val="left" w:pos="0"/>
        </w:tabs>
        <w:suppressAutoHyphens/>
        <w:rPr>
          <w:szCs w:val="24"/>
        </w:rPr>
      </w:pPr>
    </w:p>
    <w:p w:rsidR="009316A9" w:rsidRPr="00042EC2" w:rsidP="009316A9" w14:paraId="0A61229E" w14:textId="77777777">
      <w:pPr>
        <w:rPr>
          <w:b/>
          <w:szCs w:val="24"/>
        </w:rPr>
      </w:pPr>
      <w:r w:rsidRPr="00042EC2">
        <w:rPr>
          <w:b/>
          <w:szCs w:val="24"/>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A308DB" w:rsidRPr="002568E6" w14:paraId="51B119CD" w14:textId="77777777">
      <w:pPr>
        <w:tabs>
          <w:tab w:val="left" w:pos="0"/>
        </w:tabs>
        <w:suppressAutoHyphens/>
        <w:rPr>
          <w:szCs w:val="24"/>
        </w:rPr>
      </w:pPr>
    </w:p>
    <w:p w:rsidR="00BD6A4E" w14:paraId="6697B4FD" w14:textId="22E3734B">
      <w:pPr>
        <w:spacing w:line="480" w:lineRule="auto"/>
      </w:pPr>
      <w:r>
        <w:t>FNA</w:t>
      </w:r>
      <w:r w:rsidR="0045478E">
        <w:t xml:space="preserve"> makes every effort to comply with the E-Government Act of 2002. Any information that must be submitted to </w:t>
      </w:r>
      <w:r>
        <w:t>FNA</w:t>
      </w:r>
      <w:r w:rsidR="0045478E">
        <w:t xml:space="preserve"> may be submitted via web-based application</w:t>
      </w:r>
      <w:r w:rsidR="00337235">
        <w:t>s</w:t>
      </w:r>
      <w:r w:rsidR="0045478E">
        <w:t xml:space="preserve"> that allows users to share and access information. </w:t>
      </w:r>
      <w:r w:rsidR="00D8098D">
        <w:t>T</w:t>
      </w:r>
      <w:r w:rsidR="0045478E">
        <w:t xml:space="preserve">hose with limited access to or familiarity with technology also have the option to submit information via email, mail, or fax. In addition, </w:t>
      </w:r>
      <w:r>
        <w:t>FNA</w:t>
      </w:r>
      <w:r w:rsidR="002B4B91">
        <w:t xml:space="preserve"> encourages its State agency partners to offer electronic submission to local agencies and vendors whenever it is feasible. All 8</w:t>
      </w:r>
      <w:r w:rsidR="00BA6F49">
        <w:t>8</w:t>
      </w:r>
      <w:r w:rsidR="002B4B91">
        <w:t xml:space="preserve"> WIC State agencies have automated management information systems (MIS) and/or food delivery systems that were created with funding from </w:t>
      </w:r>
      <w:r>
        <w:t>FNA</w:t>
      </w:r>
      <w:r w:rsidR="002B4B91">
        <w:t xml:space="preserve">, and 100 percent of State agencies submit information via MIS. </w:t>
      </w:r>
      <w:r>
        <w:t>FNA</w:t>
      </w:r>
      <w:r w:rsidR="0003016C">
        <w:t xml:space="preserve"> offers funding for</w:t>
      </w:r>
      <w:r w:rsidR="005F6624">
        <w:t xml:space="preserve"> enhancements to</w:t>
      </w:r>
      <w:r w:rsidR="00EC07F7">
        <w:t xml:space="preserve"> these systems at the State and local </w:t>
      </w:r>
      <w:r w:rsidR="00EB3353">
        <w:t xml:space="preserve">agency </w:t>
      </w:r>
      <w:r w:rsidR="00EC07F7">
        <w:t>levels</w:t>
      </w:r>
      <w:r w:rsidR="00EB3353">
        <w:t>,</w:t>
      </w:r>
      <w:r w:rsidR="00EC07F7">
        <w:t xml:space="preserve"> </w:t>
      </w:r>
      <w:r w:rsidR="005F6624">
        <w:t xml:space="preserve">which </w:t>
      </w:r>
      <w:r w:rsidR="00EC07F7">
        <w:t>continue</w:t>
      </w:r>
      <w:r w:rsidR="005F6624">
        <w:t>s</w:t>
      </w:r>
      <w:r w:rsidR="00EC07F7">
        <w:t xml:space="preserve"> to reduce the time and effort required to collect and transmit </w:t>
      </w:r>
      <w:r w:rsidR="00B02E2C">
        <w:t>information</w:t>
      </w:r>
      <w:r w:rsidR="00EC07F7">
        <w:t xml:space="preserve">. For example, State agency use of automated MIS minimizes the </w:t>
      </w:r>
      <w:r w:rsidR="00EC07F7">
        <w:t>burden associated with the perfo</w:t>
      </w:r>
      <w:r w:rsidR="0001134D">
        <w:t>rmance of many other activities</w:t>
      </w:r>
      <w:r w:rsidR="00E948E1">
        <w:t xml:space="preserve"> </w:t>
      </w:r>
      <w:r w:rsidR="00EC07F7">
        <w:t>including</w:t>
      </w:r>
      <w:r w:rsidR="00E948E1">
        <w:t xml:space="preserve"> </w:t>
      </w:r>
      <w:r w:rsidR="00EC07F7">
        <w:t>performing and documenting vendor training, and documenting monitoring visits to retail vendors.</w:t>
      </w:r>
      <w:r w:rsidR="00AA6B75">
        <w:t xml:space="preserve"> Vendor applications and agreements are submitted via email or mail to the State agency but are not submitted to </w:t>
      </w:r>
      <w:r>
        <w:t>FNA</w:t>
      </w:r>
      <w:r w:rsidR="00AA6B75">
        <w:t>.</w:t>
      </w:r>
    </w:p>
    <w:p w:rsidR="00387811" w:rsidRPr="001A2B62" w:rsidP="00D55267" w14:paraId="5869DBFB" w14:textId="75DAD12D">
      <w:pPr>
        <w:tabs>
          <w:tab w:val="left" w:pos="0"/>
        </w:tabs>
        <w:spacing w:line="480" w:lineRule="auto"/>
        <w:rPr>
          <w:bCs/>
          <w:szCs w:val="24"/>
        </w:rPr>
      </w:pPr>
      <w:r w:rsidRPr="00B22E94">
        <w:rPr>
          <w:szCs w:val="24"/>
        </w:rPr>
        <w:t xml:space="preserve"> </w:t>
      </w:r>
    </w:p>
    <w:p w:rsidR="00FC3A4B" w:rsidP="36A235E9" w14:paraId="230169C9" w14:textId="421FB61F">
      <w:pPr>
        <w:spacing w:line="480" w:lineRule="auto"/>
      </w:pPr>
      <w:r>
        <w:t xml:space="preserve">For the information collection specific to the revisions in the </w:t>
      </w:r>
      <w:r w:rsidR="00630A69">
        <w:t xml:space="preserve">final </w:t>
      </w:r>
      <w:r>
        <w:t xml:space="preserve">rule, </w:t>
      </w:r>
      <w:r w:rsidR="00533583">
        <w:t>FNA</w:t>
      </w:r>
      <w:r>
        <w:t xml:space="preserve"> estimates that </w:t>
      </w:r>
      <w:r w:rsidR="025A7A9E">
        <w:t>essentially all</w:t>
      </w:r>
      <w:r>
        <w:t xml:space="preserve"> responses pertaining to </w:t>
      </w:r>
      <w:r w:rsidR="00133960">
        <w:t>State agenc</w:t>
      </w:r>
      <w:r w:rsidR="00380C01">
        <w:t>y</w:t>
      </w:r>
      <w:r w:rsidR="00133960">
        <w:t xml:space="preserve"> </w:t>
      </w:r>
      <w:r w:rsidR="00844AD9">
        <w:t xml:space="preserve">and vendor </w:t>
      </w:r>
      <w:r>
        <w:t>reporting and recordkeeping in this revision are collected electronically</w:t>
      </w:r>
      <w:r w:rsidR="37A7F8E2">
        <w:t>.</w:t>
      </w:r>
      <w:r>
        <w:t xml:space="preserve"> Out of </w:t>
      </w:r>
      <w:r w:rsidR="00885191">
        <w:t>217,206</w:t>
      </w:r>
      <w:r w:rsidR="003B7CBD">
        <w:t xml:space="preserve"> </w:t>
      </w:r>
      <w:r w:rsidR="00B90934">
        <w:t xml:space="preserve">State agency and vendor </w:t>
      </w:r>
      <w:r>
        <w:t xml:space="preserve">responses for this collection, </w:t>
      </w:r>
      <w:r w:rsidR="00533583">
        <w:t>FNA</w:t>
      </w:r>
      <w:r>
        <w:t xml:space="preserve"> estimates that </w:t>
      </w:r>
      <w:r w:rsidR="00CB2238">
        <w:t>100</w:t>
      </w:r>
      <w:r w:rsidR="00B16F01">
        <w:t xml:space="preserve"> </w:t>
      </w:r>
      <w:r w:rsidR="4646F0A3">
        <w:t>percent</w:t>
      </w:r>
      <w:r w:rsidR="00CB2238">
        <w:t xml:space="preserve"> </w:t>
      </w:r>
      <w:r>
        <w:t>are collected electronically.</w:t>
      </w:r>
      <w:r w:rsidR="00A10362">
        <w:t xml:space="preserve"> Out of </w:t>
      </w:r>
      <w:r w:rsidR="00240D65">
        <w:t>1,017,</w:t>
      </w:r>
      <w:r w:rsidR="00885191">
        <w:t>195</w:t>
      </w:r>
      <w:r w:rsidR="000435B5">
        <w:t xml:space="preserve"> </w:t>
      </w:r>
      <w:r w:rsidR="00A10362">
        <w:t xml:space="preserve">responses for this information collection revision, </w:t>
      </w:r>
      <w:r w:rsidR="00533583">
        <w:t>FNA</w:t>
      </w:r>
      <w:r w:rsidR="00A10362">
        <w:t xml:space="preserve"> estimates that </w:t>
      </w:r>
      <w:r w:rsidR="000B7B29">
        <w:t>2</w:t>
      </w:r>
      <w:r w:rsidR="00DF3E2B">
        <w:t>1</w:t>
      </w:r>
      <w:r w:rsidR="00B16F01">
        <w:t xml:space="preserve"> </w:t>
      </w:r>
      <w:r w:rsidR="4646F0A3">
        <w:t>percent</w:t>
      </w:r>
      <w:r w:rsidR="00D13EF7">
        <w:t xml:space="preserve"> are collected electronically (</w:t>
      </w:r>
      <w:r w:rsidR="000B7B29">
        <w:t>217,206</w:t>
      </w:r>
      <w:r w:rsidR="000435B5">
        <w:t>/</w:t>
      </w:r>
      <w:r w:rsidR="00D10515">
        <w:t>1,017,</w:t>
      </w:r>
      <w:r w:rsidR="000B7B29">
        <w:t>195</w:t>
      </w:r>
      <w:r w:rsidR="00D10515">
        <w:t xml:space="preserve"> </w:t>
      </w:r>
      <w:r w:rsidR="00120420">
        <w:t>= 0</w:t>
      </w:r>
      <w:r w:rsidR="000435B5">
        <w:t>.</w:t>
      </w:r>
      <w:r w:rsidR="000B7B29">
        <w:t>2</w:t>
      </w:r>
      <w:r w:rsidR="000435B5">
        <w:t>1</w:t>
      </w:r>
      <w:r w:rsidR="00120420">
        <w:t xml:space="preserve">). The remaining responses in this collection </w:t>
      </w:r>
      <w:r w:rsidR="001A3F50">
        <w:t>involve participants physically visiting a clinic to</w:t>
      </w:r>
      <w:r w:rsidR="00E10ED9">
        <w:t xml:space="preserve"> load their EBT cards with benefits if the State agency operates an offline EBT system.</w:t>
      </w:r>
    </w:p>
    <w:p w:rsidR="00FC3A4B" w:rsidRPr="00D55267" w:rsidP="00D55267" w14:paraId="371DBF66" w14:textId="77777777">
      <w:pPr>
        <w:tabs>
          <w:tab w:val="left" w:pos="0"/>
        </w:tabs>
        <w:spacing w:line="480" w:lineRule="auto"/>
        <w:rPr>
          <w:bCs/>
          <w:szCs w:val="24"/>
        </w:rPr>
      </w:pPr>
    </w:p>
    <w:p w:rsidR="002111EE" w:rsidP="0001134D" w14:paraId="52835FC2" w14:textId="0326AF3B">
      <w:pPr>
        <w:tabs>
          <w:tab w:val="left" w:pos="540"/>
        </w:tabs>
        <w:spacing w:line="480" w:lineRule="auto"/>
      </w:pPr>
      <w:r>
        <w:t>For the information collection o</w:t>
      </w:r>
      <w:r w:rsidR="00E717D7">
        <w:t xml:space="preserve">verall, </w:t>
      </w:r>
      <w:r w:rsidR="00533583">
        <w:t>FNA</w:t>
      </w:r>
      <w:r>
        <w:t xml:space="preserve"> estimates that </w:t>
      </w:r>
      <w:r w:rsidR="446558AE">
        <w:t>nearly all</w:t>
      </w:r>
      <w:r>
        <w:t xml:space="preserve"> responses pertaining to </w:t>
      </w:r>
      <w:r w:rsidR="00380C01">
        <w:t xml:space="preserve">State agency and vendor </w:t>
      </w:r>
      <w:r>
        <w:t>reporting and recordkeeping are collected electronically</w:t>
      </w:r>
      <w:r w:rsidR="00D50FF5">
        <w:t>.</w:t>
      </w:r>
      <w:r w:rsidR="00074ADA">
        <w:t xml:space="preserve"> </w:t>
      </w:r>
      <w:r w:rsidR="00D05768">
        <w:t>I</w:t>
      </w:r>
      <w:r w:rsidR="00F30051">
        <w:t>ndividual</w:t>
      </w:r>
      <w:r w:rsidR="000222D7">
        <w:t xml:space="preserve"> </w:t>
      </w:r>
      <w:r w:rsidR="007D41DF">
        <w:t>or</w:t>
      </w:r>
      <w:r w:rsidR="000222D7">
        <w:t xml:space="preserve"> </w:t>
      </w:r>
      <w:r w:rsidR="00F30051">
        <w:t xml:space="preserve">household </w:t>
      </w:r>
      <w:r w:rsidR="00040610">
        <w:t xml:space="preserve">responses </w:t>
      </w:r>
      <w:r w:rsidR="00FA16D2">
        <w:t xml:space="preserve">are provided to the </w:t>
      </w:r>
      <w:r w:rsidR="00123A65">
        <w:t xml:space="preserve">local </w:t>
      </w:r>
      <w:r w:rsidR="00FA16D2">
        <w:t xml:space="preserve">agency </w:t>
      </w:r>
      <w:r w:rsidR="00123A65">
        <w:t xml:space="preserve">either </w:t>
      </w:r>
      <w:r w:rsidR="00FA16D2">
        <w:t>face-to-face</w:t>
      </w:r>
      <w:r w:rsidR="00123A65">
        <w:t xml:space="preserve"> or</w:t>
      </w:r>
      <w:r w:rsidR="00FA16D2">
        <w:t xml:space="preserve"> over the phone</w:t>
      </w:r>
      <w:r w:rsidR="00074ADA">
        <w:t xml:space="preserve"> or involve participants physically visiting a clinic to </w:t>
      </w:r>
      <w:r w:rsidR="000222D7">
        <w:t>load their benefits</w:t>
      </w:r>
      <w:r>
        <w:t xml:space="preserve">. </w:t>
      </w:r>
      <w:r w:rsidR="00736358">
        <w:t>Out of</w:t>
      </w:r>
      <w:r w:rsidR="00B96DA3">
        <w:t xml:space="preserve"> </w:t>
      </w:r>
      <w:r w:rsidR="00380121">
        <w:t xml:space="preserve">the </w:t>
      </w:r>
      <w:r w:rsidR="005E6E61">
        <w:t>64,</w:t>
      </w:r>
      <w:r w:rsidR="006E0246">
        <w:t>2</w:t>
      </w:r>
      <w:r w:rsidR="007D41DF">
        <w:t>29,802</w:t>
      </w:r>
      <w:r w:rsidR="00655439">
        <w:t xml:space="preserve"> </w:t>
      </w:r>
      <w:r w:rsidR="00380121">
        <w:t xml:space="preserve">total </w:t>
      </w:r>
      <w:r w:rsidR="00736358">
        <w:t xml:space="preserve">responses for this collection, </w:t>
      </w:r>
      <w:r w:rsidR="00533583">
        <w:t>FNA</w:t>
      </w:r>
      <w:r w:rsidR="00736358">
        <w:t xml:space="preserve"> estimates that</w:t>
      </w:r>
      <w:r w:rsidR="00B96DA3">
        <w:t xml:space="preserve"> </w:t>
      </w:r>
      <w:r w:rsidR="00707ABB">
        <w:t>31,9</w:t>
      </w:r>
      <w:r w:rsidR="00D459AE">
        <w:t>72,405</w:t>
      </w:r>
      <w:r w:rsidR="00707ABB">
        <w:t xml:space="preserve"> </w:t>
      </w:r>
      <w:r w:rsidR="003F4FC3">
        <w:t>(</w:t>
      </w:r>
      <w:r w:rsidR="003B6395">
        <w:t>50</w:t>
      </w:r>
      <w:r w:rsidR="00B16F01">
        <w:t xml:space="preserve"> </w:t>
      </w:r>
      <w:r w:rsidR="4646F0A3">
        <w:t>percent</w:t>
      </w:r>
      <w:r w:rsidR="003F4FC3">
        <w:t>)</w:t>
      </w:r>
      <w:r w:rsidR="00736358">
        <w:t xml:space="preserve"> are collected electronically.</w:t>
      </w:r>
      <w:r>
        <w:t xml:space="preserve"> </w:t>
      </w:r>
    </w:p>
    <w:p w:rsidR="003B1801" w:rsidP="0001134D" w14:paraId="133202B1" w14:textId="77777777">
      <w:pPr>
        <w:tabs>
          <w:tab w:val="left" w:pos="540"/>
        </w:tabs>
        <w:spacing w:line="480" w:lineRule="auto"/>
        <w:rPr>
          <w:bCs/>
          <w:szCs w:val="24"/>
        </w:rPr>
      </w:pPr>
    </w:p>
    <w:p w:rsidR="003B1801" w:rsidP="36A235E9" w14:paraId="471C6546" w14:textId="607C5A77">
      <w:pPr>
        <w:spacing w:line="480" w:lineRule="auto"/>
      </w:pPr>
      <w:r>
        <w:t xml:space="preserve">The </w:t>
      </w:r>
      <w:r w:rsidR="239C82FE">
        <w:t xml:space="preserve">final </w:t>
      </w:r>
      <w:r>
        <w:t xml:space="preserve">rule formally recognizes the benefit of EBT data and would significantly reduce the time it takes </w:t>
      </w:r>
      <w:r w:rsidR="0003434C">
        <w:t xml:space="preserve">for State agencies to </w:t>
      </w:r>
      <w:r>
        <w:t xml:space="preserve">collect shelf price data </w:t>
      </w:r>
      <w:r w:rsidR="0003434C">
        <w:t>from vendors</w:t>
      </w:r>
      <w:r w:rsidR="00680E05">
        <w:t xml:space="preserve">. Using EBT data allows </w:t>
      </w:r>
      <w:r>
        <w:t xml:space="preserve">pricing data </w:t>
      </w:r>
      <w:r w:rsidR="00680E05">
        <w:t xml:space="preserve">to </w:t>
      </w:r>
      <w:r>
        <w:t xml:space="preserve">be collected in real time. </w:t>
      </w:r>
      <w:r w:rsidR="00533583">
        <w:t>FNA</w:t>
      </w:r>
      <w:r>
        <w:t xml:space="preserve"> estimates that</w:t>
      </w:r>
      <w:r w:rsidR="00F87749">
        <w:t xml:space="preserve"> all State agencies </w:t>
      </w:r>
      <w:r w:rsidR="00DC02CC">
        <w:t xml:space="preserve">have access to EBT </w:t>
      </w:r>
      <w:r>
        <w:t>data</w:t>
      </w:r>
      <w:r w:rsidR="00F87749">
        <w:t>.</w:t>
      </w:r>
      <w:r>
        <w:t xml:space="preserve"> Improved and extended use of automated approaches to </w:t>
      </w:r>
      <w:r w:rsidR="004045BC">
        <w:t>p</w:t>
      </w:r>
      <w:r>
        <w:t xml:space="preserve">rogram management and service delivery is a priority of the WIC </w:t>
      </w:r>
      <w:r w:rsidR="00571BAA">
        <w:t>p</w:t>
      </w:r>
      <w:r>
        <w:t>rogram.</w:t>
      </w:r>
    </w:p>
    <w:p w:rsidR="005A3F80" w:rsidRPr="002568E6" w:rsidP="003169C2" w14:paraId="14FD8832" w14:textId="77777777">
      <w:pPr>
        <w:tabs>
          <w:tab w:val="left" w:pos="0"/>
        </w:tabs>
        <w:suppressAutoHyphens/>
        <w:spacing w:after="240"/>
        <w:rPr>
          <w:szCs w:val="24"/>
        </w:rPr>
      </w:pPr>
    </w:p>
    <w:p w:rsidR="002F1E19" w:rsidRPr="00042EC2" w:rsidP="002F1E19" w14:paraId="37C582BB" w14:textId="77777777">
      <w:pPr>
        <w:pStyle w:val="Heading1"/>
      </w:pPr>
      <w:bookmarkStart w:id="9" w:name="_Toc401831360"/>
      <w:bookmarkStart w:id="10" w:name="_Toc83710915"/>
      <w:bookmarkStart w:id="11" w:name="_Toc115788672"/>
      <w:r>
        <w:t>A4.  Efforts to identify duplication.</w:t>
      </w:r>
      <w:bookmarkEnd w:id="9"/>
      <w:bookmarkEnd w:id="10"/>
      <w:bookmarkEnd w:id="11"/>
      <w:r>
        <w:t xml:space="preserve"> </w:t>
      </w:r>
    </w:p>
    <w:p w:rsidR="002F1E19" w:rsidRPr="00042EC2" w:rsidP="002F1E19" w14:paraId="2F3510B5" w14:textId="77777777">
      <w:pPr>
        <w:tabs>
          <w:tab w:val="left" w:pos="0"/>
        </w:tabs>
        <w:suppressAutoHyphens/>
        <w:rPr>
          <w:szCs w:val="24"/>
        </w:rPr>
      </w:pPr>
    </w:p>
    <w:p w:rsidR="002F1E19" w:rsidRPr="00042EC2" w:rsidP="002F1E19" w14:paraId="21CEC241" w14:textId="77777777">
      <w:pPr>
        <w:tabs>
          <w:tab w:val="left" w:pos="0"/>
        </w:tabs>
        <w:suppressAutoHyphens/>
        <w:rPr>
          <w:szCs w:val="24"/>
        </w:rPr>
      </w:pPr>
      <w:r w:rsidRPr="00042EC2">
        <w:rPr>
          <w:b/>
          <w:szCs w:val="24"/>
        </w:rPr>
        <w:t>Describe efforts to identify duplication.  Show specifically why any similar information already available cannot be used or modified for use for the purposes described in Question 2.</w:t>
      </w:r>
    </w:p>
    <w:p w:rsidR="009F7E1A" w:rsidRPr="002568E6" w:rsidP="009F7E1A" w14:paraId="7E3D1554" w14:textId="77777777">
      <w:pPr>
        <w:tabs>
          <w:tab w:val="left" w:pos="-720"/>
        </w:tabs>
        <w:suppressAutoHyphens/>
        <w:rPr>
          <w:szCs w:val="24"/>
        </w:rPr>
      </w:pPr>
    </w:p>
    <w:p w:rsidR="00EC07F7" w:rsidRPr="007A0BBB" w:rsidP="00304DFF" w14:paraId="086843EF" w14:textId="240D9EF6">
      <w:pPr>
        <w:pStyle w:val="BodyTextIndent"/>
        <w:tabs>
          <w:tab w:val="left" w:pos="540"/>
        </w:tabs>
        <w:spacing w:line="480" w:lineRule="auto"/>
        <w:ind w:left="0"/>
      </w:pPr>
      <w:r>
        <w:t xml:space="preserve">There </w:t>
      </w:r>
      <w:r w:rsidR="006B2877">
        <w:t>is</w:t>
      </w:r>
      <w:r>
        <w:t xml:space="preserve"> no similar information collection</w:t>
      </w:r>
      <w:r w:rsidR="00082993">
        <w:t xml:space="preserve"> for the </w:t>
      </w:r>
      <w:r w:rsidR="009512FE">
        <w:t xml:space="preserve">requirements in the </w:t>
      </w:r>
      <w:r w:rsidR="00C01781">
        <w:t>fina</w:t>
      </w:r>
      <w:r w:rsidR="006204B6">
        <w:t>l</w:t>
      </w:r>
      <w:r w:rsidR="00C01781">
        <w:t xml:space="preserve"> </w:t>
      </w:r>
      <w:r w:rsidR="00082993">
        <w:t>rulemaking</w:t>
      </w:r>
      <w:r>
        <w:t>.</w:t>
      </w:r>
      <w:r w:rsidR="00A44A90">
        <w:t xml:space="preserve"> Every effort has been made to avoid duplication</w:t>
      </w:r>
      <w:r w:rsidR="005F5185">
        <w:t xml:space="preserve">. </w:t>
      </w:r>
      <w:r w:rsidR="00533583">
        <w:t>FNA</w:t>
      </w:r>
      <w:r w:rsidR="005F5185">
        <w:t xml:space="preserve"> has reviewed USDA reporting requirements</w:t>
      </w:r>
      <w:r w:rsidR="000A2F1D">
        <w:t xml:space="preserve"> and</w:t>
      </w:r>
      <w:r w:rsidR="00E900CF">
        <w:t xml:space="preserve"> </w:t>
      </w:r>
      <w:r w:rsidR="00E779E7">
        <w:t>S</w:t>
      </w:r>
      <w:r w:rsidR="005F5185">
        <w:t>tate administrative agency requirements</w:t>
      </w:r>
      <w:r w:rsidR="000A2F1D">
        <w:t>.</w:t>
      </w:r>
      <w:r w:rsidR="00056859">
        <w:t xml:space="preserve"> </w:t>
      </w:r>
      <w:r w:rsidR="00533583">
        <w:t>FNA</w:t>
      </w:r>
      <w:r w:rsidR="005F5185">
        <w:t xml:space="preserve"> solely administers and monitors the WIC </w:t>
      </w:r>
      <w:r w:rsidR="503777DD">
        <w:t>p</w:t>
      </w:r>
      <w:r w:rsidR="005F5185">
        <w:t>rogram.</w:t>
      </w:r>
      <w:r>
        <w:t xml:space="preserve"> </w:t>
      </w:r>
    </w:p>
    <w:p w:rsidR="00E11A38" w:rsidRPr="002568E6" w:rsidP="009F7E1A" w14:paraId="2302EA96" w14:textId="77777777">
      <w:pPr>
        <w:tabs>
          <w:tab w:val="left" w:pos="-720"/>
        </w:tabs>
        <w:suppressAutoHyphens/>
        <w:spacing w:line="480" w:lineRule="auto"/>
        <w:rPr>
          <w:szCs w:val="24"/>
        </w:rPr>
      </w:pPr>
    </w:p>
    <w:p w:rsidR="00C17434" w:rsidRPr="00042EC2" w:rsidP="00C17434" w14:paraId="55A2B3EF" w14:textId="77777777">
      <w:pPr>
        <w:pStyle w:val="Heading1"/>
      </w:pPr>
      <w:bookmarkStart w:id="12" w:name="_Toc115788673"/>
      <w:r>
        <w:t>A5.  Impacts on small businesses or other small entities.</w:t>
      </w:r>
      <w:bookmarkEnd w:id="12"/>
      <w:r>
        <w:t xml:space="preserve">  </w:t>
      </w:r>
    </w:p>
    <w:p w:rsidR="00C17434" w:rsidRPr="00042EC2" w:rsidP="00C17434" w14:paraId="5DDDB782" w14:textId="77777777">
      <w:pPr>
        <w:tabs>
          <w:tab w:val="left" w:pos="0"/>
        </w:tabs>
        <w:suppressAutoHyphens/>
        <w:rPr>
          <w:szCs w:val="24"/>
        </w:rPr>
      </w:pPr>
    </w:p>
    <w:p w:rsidR="00C17434" w:rsidRPr="00042EC2" w:rsidP="36A235E9" w14:paraId="1DD5CE58" w14:textId="77777777">
      <w:pPr>
        <w:suppressAutoHyphens/>
        <w:rPr>
          <w:b/>
          <w:bCs/>
        </w:rPr>
      </w:pPr>
      <w:r w:rsidRPr="36A235E9">
        <w:rPr>
          <w:b/>
          <w:bCs/>
        </w:rPr>
        <w:t>If the collection of information impacts small businesses or other small entities (Item 5 of OMB Form 83-I), describe any methods used to minimize burden.</w:t>
      </w:r>
    </w:p>
    <w:p w:rsidR="00A308DB" w:rsidRPr="002568E6" w14:paraId="6C30F2D5" w14:textId="77777777">
      <w:pPr>
        <w:tabs>
          <w:tab w:val="left" w:pos="0"/>
        </w:tabs>
        <w:suppressAutoHyphens/>
        <w:rPr>
          <w:szCs w:val="24"/>
        </w:rPr>
      </w:pPr>
    </w:p>
    <w:p w:rsidR="00AC13BB" w:rsidP="00F72593" w14:paraId="66DC79C6" w14:textId="68B2862F">
      <w:pPr>
        <w:spacing w:line="480" w:lineRule="auto"/>
      </w:pPr>
      <w:r>
        <w:rPr>
          <w:spacing w:val="-3"/>
        </w:rPr>
        <w:t>FNA</w:t>
      </w:r>
      <w:r w:rsidRPr="36A235E9" w:rsidR="0045478E">
        <w:rPr>
          <w:spacing w:val="-3"/>
        </w:rPr>
        <w:t xml:space="preserve"> estimates that </w:t>
      </w:r>
      <w:r w:rsidRPr="36A235E9" w:rsidR="00E717D7">
        <w:rPr>
          <w:spacing w:val="-3"/>
        </w:rPr>
        <w:t xml:space="preserve">approximately </w:t>
      </w:r>
      <w:r w:rsidR="00D725DE">
        <w:rPr>
          <w:spacing w:val="-3"/>
        </w:rPr>
        <w:t>24</w:t>
      </w:r>
      <w:r w:rsidRPr="36A235E9" w:rsidR="00D725DE">
        <w:rPr>
          <w:spacing w:val="-3"/>
        </w:rPr>
        <w:t xml:space="preserve"> </w:t>
      </w:r>
      <w:r w:rsidRPr="36A235E9" w:rsidR="0045478E">
        <w:rPr>
          <w:spacing w:val="-3"/>
        </w:rPr>
        <w:t xml:space="preserve">percent of the </w:t>
      </w:r>
      <w:r w:rsidR="005F064D">
        <w:rPr>
          <w:spacing w:val="-3"/>
        </w:rPr>
        <w:t>40,377</w:t>
      </w:r>
      <w:r w:rsidRPr="00304DFF" w:rsidR="0045478E">
        <w:rPr>
          <w:spacing w:val="-3"/>
          <w:szCs w:val="24"/>
        </w:rPr>
        <w:t xml:space="preserve"> </w:t>
      </w:r>
      <w:r w:rsidRPr="36A235E9" w:rsidR="00C07D0B">
        <w:rPr>
          <w:spacing w:val="-3"/>
        </w:rPr>
        <w:t xml:space="preserve">currently authorized </w:t>
      </w:r>
      <w:r w:rsidRPr="36A235E9" w:rsidR="0045478E">
        <w:rPr>
          <w:spacing w:val="-3"/>
        </w:rPr>
        <w:t>retail vendors are small businesses</w:t>
      </w:r>
      <w:r w:rsidRPr="00304DFF" w:rsidR="0045478E">
        <w:rPr>
          <w:szCs w:val="24"/>
        </w:rPr>
        <w:t>.</w:t>
      </w:r>
      <w:r w:rsidRPr="36A235E9" w:rsidR="004579C9">
        <w:t xml:space="preserve"> </w:t>
      </w:r>
      <w:r>
        <w:t>FNA</w:t>
      </w:r>
      <w:r w:rsidRPr="36A235E9" w:rsidR="004579C9">
        <w:t xml:space="preserve"> </w:t>
      </w:r>
      <w:r w:rsidRPr="36A235E9" w:rsidR="003F1167">
        <w:t xml:space="preserve">expects that internet vendors </w:t>
      </w:r>
      <w:r w:rsidRPr="36A235E9" w:rsidR="00515A2A">
        <w:t>are</w:t>
      </w:r>
      <w:r w:rsidRPr="36A235E9" w:rsidR="003F1167">
        <w:t xml:space="preserve"> less likely </w:t>
      </w:r>
      <w:r w:rsidRPr="36A235E9" w:rsidR="00F80606">
        <w:t xml:space="preserve">to be </w:t>
      </w:r>
      <w:r w:rsidRPr="36A235E9" w:rsidR="00E34526">
        <w:t>small businesses than brick-and-mortar vendors</w:t>
      </w:r>
      <w:r w:rsidRPr="36A235E9" w:rsidR="00C07D0B">
        <w:t xml:space="preserve"> and estimates that only 15 percent of the </w:t>
      </w:r>
      <w:r w:rsidR="005F064D">
        <w:t>110</w:t>
      </w:r>
      <w:r w:rsidRPr="36A235E9" w:rsidR="00C07D0B">
        <w:t xml:space="preserve"> </w:t>
      </w:r>
      <w:r w:rsidRPr="36A235E9" w:rsidR="00CD7F6E">
        <w:t xml:space="preserve">internet vendors that </w:t>
      </w:r>
      <w:r>
        <w:t>FNA</w:t>
      </w:r>
      <w:r w:rsidRPr="36A235E9" w:rsidR="00CD7F6E">
        <w:t xml:space="preserve"> estimates would be authorized under the </w:t>
      </w:r>
      <w:r w:rsidR="00C01781">
        <w:t>final</w:t>
      </w:r>
      <w:r w:rsidRPr="36A235E9" w:rsidR="00C01781">
        <w:t xml:space="preserve"> </w:t>
      </w:r>
      <w:r w:rsidRPr="36A235E9" w:rsidR="00CD7F6E">
        <w:t>rule would be small businesses</w:t>
      </w:r>
      <w:r w:rsidR="00E34526">
        <w:rPr>
          <w:szCs w:val="24"/>
        </w:rPr>
        <w:t>.</w:t>
      </w:r>
      <w:r w:rsidRPr="00304DFF" w:rsidR="0045478E">
        <w:rPr>
          <w:szCs w:val="24"/>
        </w:rPr>
        <w:t xml:space="preserve"> </w:t>
      </w:r>
      <w:r w:rsidRPr="36A235E9" w:rsidR="009117FA">
        <w:t>Altogether</w:t>
      </w:r>
      <w:r w:rsidR="00E717D7">
        <w:rPr>
          <w:szCs w:val="24"/>
        </w:rPr>
        <w:t xml:space="preserve">, </w:t>
      </w:r>
      <w:r w:rsidRPr="36A235E9" w:rsidR="009117FA">
        <w:t xml:space="preserve">a total </w:t>
      </w:r>
      <w:r w:rsidR="00C61DFD">
        <w:t>9,</w:t>
      </w:r>
      <w:r w:rsidR="00AF15A0">
        <w:t>708</w:t>
      </w:r>
      <w:r w:rsidRPr="36A235E9" w:rsidR="009117FA">
        <w:t xml:space="preserve"> WIC-authorized vendors would be small businesses that are impacted by this information collection</w:t>
      </w:r>
      <w:r w:rsidR="009117FA">
        <w:rPr>
          <w:szCs w:val="24"/>
        </w:rPr>
        <w:t xml:space="preserve"> (</w:t>
      </w:r>
      <w:r w:rsidRPr="4FE94C9D" w:rsidR="008D5D91">
        <w:t>9,69</w:t>
      </w:r>
      <w:r w:rsidRPr="4FE94C9D" w:rsidR="00CE0520">
        <w:t>1</w:t>
      </w:r>
      <w:r w:rsidRPr="36A235E9" w:rsidR="00105390">
        <w:t xml:space="preserve"> </w:t>
      </w:r>
      <w:r w:rsidRPr="36A235E9" w:rsidR="006B60F5">
        <w:t xml:space="preserve">brick-and-mortar </w:t>
      </w:r>
      <w:r w:rsidRPr="36A235E9" w:rsidR="00E717D7">
        <w:t xml:space="preserve">vendors </w:t>
      </w:r>
      <w:r w:rsidRPr="36A235E9" w:rsidR="006B60F5">
        <w:t xml:space="preserve">and </w:t>
      </w:r>
      <w:r w:rsidR="00AF15A0">
        <w:t>17</w:t>
      </w:r>
      <w:r w:rsidRPr="36A235E9" w:rsidR="00B24C34">
        <w:t xml:space="preserve"> </w:t>
      </w:r>
      <w:r w:rsidRPr="36A235E9" w:rsidR="006B60F5">
        <w:t>internet vendors</w:t>
      </w:r>
      <w:r w:rsidR="009117FA">
        <w:rPr>
          <w:szCs w:val="24"/>
        </w:rPr>
        <w:t>)</w:t>
      </w:r>
      <w:r w:rsidRPr="00304DFF" w:rsidR="0045478E">
        <w:rPr>
          <w:szCs w:val="24"/>
        </w:rPr>
        <w:t>.</w:t>
      </w:r>
      <w:r w:rsidR="0045478E">
        <w:rPr>
          <w:szCs w:val="24"/>
        </w:rPr>
        <w:t xml:space="preserve"> </w:t>
      </w:r>
      <w:r w:rsidRPr="36A235E9" w:rsidR="00F770FB">
        <w:t xml:space="preserve">Therefore, of the </w:t>
      </w:r>
      <w:r w:rsidR="00627B72">
        <w:t>3,</w:t>
      </w:r>
      <w:r w:rsidR="00025482">
        <w:t>392,909</w:t>
      </w:r>
      <w:r w:rsidR="000E23FA">
        <w:t xml:space="preserve"> </w:t>
      </w:r>
      <w:r w:rsidRPr="36A235E9" w:rsidR="00F770FB">
        <w:t xml:space="preserve">respondents </w:t>
      </w:r>
      <w:r w:rsidRPr="36A235E9" w:rsidR="005C5E28">
        <w:t xml:space="preserve">specific to the information collection revisions in the </w:t>
      </w:r>
      <w:r w:rsidR="00C364C4">
        <w:t>final</w:t>
      </w:r>
      <w:r w:rsidRPr="36A235E9" w:rsidR="00C364C4">
        <w:t xml:space="preserve"> </w:t>
      </w:r>
      <w:r w:rsidRPr="36A235E9" w:rsidR="005C5E28">
        <w:t>rule</w:t>
      </w:r>
      <w:r w:rsidRPr="36A235E9" w:rsidR="00F770FB">
        <w:t xml:space="preserve">, </w:t>
      </w:r>
      <w:r>
        <w:t>FNA</w:t>
      </w:r>
      <w:r w:rsidRPr="36A235E9" w:rsidR="00F770FB">
        <w:t xml:space="preserve"> estimates that </w:t>
      </w:r>
      <w:r w:rsidR="000E23FA">
        <w:t>9,</w:t>
      </w:r>
      <w:r w:rsidR="00031703">
        <w:t>708</w:t>
      </w:r>
      <w:r w:rsidRPr="36A235E9" w:rsidR="004B5DD0">
        <w:t xml:space="preserve"> </w:t>
      </w:r>
      <w:r w:rsidRPr="0030107C" w:rsidR="00DD5ECD">
        <w:rPr>
          <w:szCs w:val="24"/>
        </w:rPr>
        <w:t>(</w:t>
      </w:r>
      <w:r w:rsidR="003656E2">
        <w:t>0</w:t>
      </w:r>
      <w:r w:rsidRPr="0030107C" w:rsidR="00051FE8">
        <w:rPr>
          <w:szCs w:val="24"/>
        </w:rPr>
        <w:t>.</w:t>
      </w:r>
      <w:r w:rsidRPr="4FE94C9D" w:rsidR="009469CA">
        <w:t>29</w:t>
      </w:r>
      <w:r w:rsidR="004451CB">
        <w:t xml:space="preserve"> </w:t>
      </w:r>
      <w:r w:rsidRPr="0030107C" w:rsidR="4646F0A3">
        <w:rPr>
          <w:szCs w:val="24"/>
        </w:rPr>
        <w:t>percent</w:t>
      </w:r>
      <w:r w:rsidRPr="0030107C" w:rsidR="00DD5ECD">
        <w:rPr>
          <w:szCs w:val="24"/>
        </w:rPr>
        <w:t xml:space="preserve">) </w:t>
      </w:r>
      <w:r w:rsidRPr="36A235E9" w:rsidR="00F770FB">
        <w:t>will be small entities</w:t>
      </w:r>
      <w:r w:rsidR="00DD5ECD">
        <w:rPr>
          <w:szCs w:val="24"/>
        </w:rPr>
        <w:t xml:space="preserve">. </w:t>
      </w:r>
      <w:r w:rsidRPr="36A235E9" w:rsidR="003F3594">
        <w:t xml:space="preserve">Out of the </w:t>
      </w:r>
      <w:r w:rsidR="007A5453">
        <w:t>6,</w:t>
      </w:r>
      <w:r w:rsidR="009469CA">
        <w:t>747,052</w:t>
      </w:r>
      <w:r w:rsidRPr="36A235E9" w:rsidR="008B0A19">
        <w:t xml:space="preserve"> </w:t>
      </w:r>
      <w:r w:rsidRPr="36A235E9" w:rsidR="003F3594">
        <w:t xml:space="preserve">total respondents for this </w:t>
      </w:r>
      <w:r w:rsidRPr="36A235E9" w:rsidR="008B0A19">
        <w:t xml:space="preserve">overall information </w:t>
      </w:r>
      <w:r w:rsidRPr="36A235E9" w:rsidR="003F3594">
        <w:t>collection</w:t>
      </w:r>
      <w:r w:rsidRPr="36A235E9" w:rsidR="00F770FB">
        <w:t xml:space="preserve"> revision</w:t>
      </w:r>
      <w:r w:rsidRPr="36A235E9" w:rsidR="003F3594">
        <w:t xml:space="preserve">, </w:t>
      </w:r>
      <w:r>
        <w:t>FNA</w:t>
      </w:r>
      <w:r w:rsidRPr="36A235E9" w:rsidR="003F3594">
        <w:t xml:space="preserve"> estimates that </w:t>
      </w:r>
      <w:r w:rsidR="00C364C4">
        <w:t>9,</w:t>
      </w:r>
      <w:r w:rsidR="00025482">
        <w:t>708</w:t>
      </w:r>
      <w:r w:rsidRPr="36A235E9" w:rsidR="008B0A19">
        <w:t xml:space="preserve"> </w:t>
      </w:r>
      <w:r w:rsidR="003F3594">
        <w:rPr>
          <w:szCs w:val="24"/>
        </w:rPr>
        <w:t>(</w:t>
      </w:r>
      <w:r w:rsidRPr="36A235E9" w:rsidR="008B0A19">
        <w:t>0.</w:t>
      </w:r>
      <w:r w:rsidR="00CB312F">
        <w:t>14</w:t>
      </w:r>
      <w:r w:rsidR="004451CB">
        <w:t xml:space="preserve"> </w:t>
      </w:r>
      <w:r w:rsidRPr="36A235E9" w:rsidR="4646F0A3">
        <w:t>percent</w:t>
      </w:r>
      <w:r w:rsidRPr="36A235E9" w:rsidR="003F3594">
        <w:t xml:space="preserve">) will be </w:t>
      </w:r>
      <w:r w:rsidRPr="36A235E9" w:rsidR="003F3594">
        <w:t>small entities.</w:t>
      </w:r>
      <w:r w:rsidR="004C4047">
        <w:rPr>
          <w:szCs w:val="24"/>
        </w:rPr>
        <w:t xml:space="preserve"> </w:t>
      </w:r>
      <w:r w:rsidRPr="36A235E9" w:rsidR="00F770FB">
        <w:t xml:space="preserve">However, this information collection does not impose a significant economic impact on </w:t>
      </w:r>
      <w:r w:rsidRPr="36A235E9" w:rsidR="005C76B0">
        <w:t xml:space="preserve">these small entities </w:t>
      </w:r>
      <w:r w:rsidRPr="36A235E9" w:rsidR="00F770FB">
        <w:t xml:space="preserve">and is a necessary component of electing to participate in this </w:t>
      </w:r>
      <w:r w:rsidR="004045BC">
        <w:t>p</w:t>
      </w:r>
      <w:r w:rsidRPr="36A235E9" w:rsidR="00F770FB">
        <w:t>rogram as a vendor.</w:t>
      </w:r>
    </w:p>
    <w:p w:rsidR="00E717D7" w:rsidP="00F72593" w14:paraId="5885180C" w14:textId="77777777">
      <w:pPr>
        <w:spacing w:line="480" w:lineRule="auto"/>
        <w:rPr>
          <w:szCs w:val="24"/>
        </w:rPr>
      </w:pPr>
    </w:p>
    <w:p w:rsidR="007739F6" w:rsidP="00F72593" w14:paraId="3DB42158" w14:textId="51F1689E">
      <w:pPr>
        <w:spacing w:line="480" w:lineRule="auto"/>
        <w:rPr>
          <w:szCs w:val="24"/>
        </w:rPr>
      </w:pPr>
      <w:r>
        <w:rPr>
          <w:szCs w:val="24"/>
        </w:rPr>
        <w:t>FNA</w:t>
      </w:r>
      <w:r w:rsidR="0045478E">
        <w:rPr>
          <w:szCs w:val="24"/>
        </w:rPr>
        <w:t xml:space="preserve"> encourages State</w:t>
      </w:r>
      <w:r w:rsidR="006D589E">
        <w:rPr>
          <w:szCs w:val="24"/>
        </w:rPr>
        <w:t xml:space="preserve"> agencie</w:t>
      </w:r>
      <w:r w:rsidR="0045478E">
        <w:rPr>
          <w:szCs w:val="24"/>
        </w:rPr>
        <w:t xml:space="preserve">s to use automated approaches in the collection of vendor data and other vendor related activities. </w:t>
      </w:r>
      <w:r w:rsidR="002E2D3F">
        <w:rPr>
          <w:szCs w:val="24"/>
        </w:rPr>
        <w:t>This information collection reflects a rulemaking that would reduce the burden on vendors</w:t>
      </w:r>
      <w:r w:rsidR="00136B6B">
        <w:rPr>
          <w:szCs w:val="24"/>
        </w:rPr>
        <w:t xml:space="preserve">, including those that are small </w:t>
      </w:r>
      <w:r w:rsidR="009B7FB1">
        <w:rPr>
          <w:szCs w:val="24"/>
        </w:rPr>
        <w:t>entities</w:t>
      </w:r>
      <w:r w:rsidR="00136B6B">
        <w:rPr>
          <w:szCs w:val="24"/>
        </w:rPr>
        <w:t>,</w:t>
      </w:r>
      <w:r w:rsidR="002E2D3F">
        <w:rPr>
          <w:szCs w:val="24"/>
        </w:rPr>
        <w:t xml:space="preserve"> by eliminating the requirement to </w:t>
      </w:r>
      <w:r w:rsidR="006D589E">
        <w:rPr>
          <w:szCs w:val="24"/>
        </w:rPr>
        <w:t xml:space="preserve">collect and </w:t>
      </w:r>
      <w:r w:rsidR="002E2D3F">
        <w:rPr>
          <w:szCs w:val="24"/>
        </w:rPr>
        <w:t>report shelf prices</w:t>
      </w:r>
      <w:r w:rsidR="007D3852">
        <w:rPr>
          <w:szCs w:val="24"/>
        </w:rPr>
        <w:t xml:space="preserve"> every six months</w:t>
      </w:r>
      <w:r w:rsidR="002E2D3F">
        <w:rPr>
          <w:szCs w:val="24"/>
        </w:rPr>
        <w:t>, recogni</w:t>
      </w:r>
      <w:r w:rsidR="008C01EA">
        <w:rPr>
          <w:szCs w:val="24"/>
        </w:rPr>
        <w:t>zing</w:t>
      </w:r>
      <w:r w:rsidR="002E2D3F">
        <w:rPr>
          <w:szCs w:val="24"/>
        </w:rPr>
        <w:t xml:space="preserve"> that electronic benefit redemption data are </w:t>
      </w:r>
      <w:r w:rsidR="008C01EA">
        <w:rPr>
          <w:szCs w:val="24"/>
        </w:rPr>
        <w:t xml:space="preserve">a </w:t>
      </w:r>
      <w:r w:rsidR="002E2D3F">
        <w:rPr>
          <w:szCs w:val="24"/>
        </w:rPr>
        <w:t>sufficient</w:t>
      </w:r>
      <w:r w:rsidR="008C01EA">
        <w:rPr>
          <w:szCs w:val="24"/>
        </w:rPr>
        <w:t xml:space="preserve"> replacement</w:t>
      </w:r>
      <w:r w:rsidR="002E2D3F">
        <w:rPr>
          <w:szCs w:val="24"/>
        </w:rPr>
        <w:t xml:space="preserve">. </w:t>
      </w:r>
      <w:r w:rsidR="0045478E">
        <w:rPr>
          <w:szCs w:val="24"/>
        </w:rPr>
        <w:t>State agency</w:t>
      </w:r>
      <w:r w:rsidRPr="00B22E94" w:rsidR="0045478E">
        <w:rPr>
          <w:szCs w:val="24"/>
        </w:rPr>
        <w:t xml:space="preserve"> use of automated MIS</w:t>
      </w:r>
      <w:r w:rsidR="0045478E">
        <w:rPr>
          <w:szCs w:val="24"/>
        </w:rPr>
        <w:t xml:space="preserve"> and other processors</w:t>
      </w:r>
      <w:r w:rsidRPr="00B22E94" w:rsidR="0045478E">
        <w:rPr>
          <w:szCs w:val="24"/>
        </w:rPr>
        <w:t xml:space="preserve"> minimize the burden associated with the</w:t>
      </w:r>
      <w:r w:rsidR="0045478E">
        <w:rPr>
          <w:szCs w:val="24"/>
        </w:rPr>
        <w:t xml:space="preserve"> collection of vendor data and other vendor related activities.</w:t>
      </w:r>
    </w:p>
    <w:p w:rsidR="004C4047" w:rsidRPr="00F72593" w:rsidP="00F72593" w14:paraId="1D87B2AA" w14:textId="77777777">
      <w:pPr>
        <w:spacing w:line="480" w:lineRule="auto"/>
        <w:rPr>
          <w:szCs w:val="24"/>
        </w:rPr>
      </w:pPr>
    </w:p>
    <w:p w:rsidR="000D27BD" w:rsidRPr="00042EC2" w:rsidP="000D27BD" w14:paraId="5B75F21C" w14:textId="77777777">
      <w:pPr>
        <w:pStyle w:val="Heading1"/>
      </w:pPr>
      <w:bookmarkStart w:id="13" w:name="_Toc401831362"/>
      <w:bookmarkStart w:id="14" w:name="_Toc83710917"/>
      <w:bookmarkStart w:id="15" w:name="_Toc115788674"/>
      <w:r>
        <w:t>A6.  Consequences of collecting the information less frequently.</w:t>
      </w:r>
      <w:bookmarkEnd w:id="13"/>
      <w:bookmarkEnd w:id="14"/>
      <w:bookmarkEnd w:id="15"/>
      <w:r>
        <w:t xml:space="preserve">  </w:t>
      </w:r>
    </w:p>
    <w:p w:rsidR="000D27BD" w:rsidRPr="00042EC2" w:rsidP="000D27BD" w14:paraId="56D601EC" w14:textId="77777777">
      <w:pPr>
        <w:tabs>
          <w:tab w:val="left" w:pos="0"/>
        </w:tabs>
        <w:suppressAutoHyphens/>
        <w:rPr>
          <w:szCs w:val="24"/>
        </w:rPr>
      </w:pPr>
    </w:p>
    <w:p w:rsidR="000D27BD" w:rsidRPr="00042EC2" w:rsidP="000D27BD" w14:paraId="6B14AE32" w14:textId="77777777">
      <w:pPr>
        <w:rPr>
          <w:b/>
          <w:szCs w:val="24"/>
        </w:rPr>
      </w:pPr>
      <w:r w:rsidRPr="00042EC2">
        <w:rPr>
          <w:b/>
          <w:szCs w:val="24"/>
        </w:rPr>
        <w:t>Describe the consequence to Federal program or policy activities if the collection is not conducted, or is conducted less frequently, as well as any technical or legal obstacles to reducing burden.</w:t>
      </w:r>
    </w:p>
    <w:p w:rsidR="00E11A38" w:rsidRPr="002568E6" w:rsidP="00E11A38" w14:paraId="124C53A5" w14:textId="77777777">
      <w:pPr>
        <w:tabs>
          <w:tab w:val="left" w:pos="-720"/>
        </w:tabs>
        <w:suppressAutoHyphens/>
        <w:rPr>
          <w:szCs w:val="24"/>
        </w:rPr>
      </w:pPr>
    </w:p>
    <w:p w:rsidR="00E11A38" w:rsidP="4FE94C9D" w14:paraId="1531AA73" w14:textId="15B90A34">
      <w:pPr>
        <w:suppressAutoHyphens/>
        <w:spacing w:line="480" w:lineRule="auto"/>
      </w:pPr>
      <w:r>
        <w:t xml:space="preserve">This is an ongoing information collection which includes requirements that are mandatory </w:t>
      </w:r>
      <w:r w:rsidR="00794704">
        <w:t xml:space="preserve">for the purpose of administering </w:t>
      </w:r>
      <w:r w:rsidR="002D2223">
        <w:t xml:space="preserve">the WIC </w:t>
      </w:r>
      <w:r w:rsidR="6180AFAE">
        <w:t>p</w:t>
      </w:r>
      <w:r w:rsidR="002D2223">
        <w:t>rogram</w:t>
      </w:r>
      <w:r w:rsidR="00794704">
        <w:t xml:space="preserve">. </w:t>
      </w:r>
      <w:r w:rsidR="004E3EE1">
        <w:t>Collecting data</w:t>
      </w:r>
      <w:r w:rsidR="00EC07F7">
        <w:t xml:space="preserve"> less frequently</w:t>
      </w:r>
      <w:r w:rsidR="007F1C3A">
        <w:t xml:space="preserve"> would not allow </w:t>
      </w:r>
      <w:r w:rsidR="00533583">
        <w:t>FNA</w:t>
      </w:r>
      <w:r w:rsidR="007F1C3A">
        <w:t xml:space="preserve"> to properly monitor program funding, statutory and regulatory compliance</w:t>
      </w:r>
      <w:r w:rsidR="004D36BB">
        <w:t>,</w:t>
      </w:r>
      <w:r w:rsidR="007F1C3A">
        <w:t xml:space="preserve"> and program trends.</w:t>
      </w:r>
      <w:r w:rsidR="00794704">
        <w:t xml:space="preserve"> </w:t>
      </w:r>
      <w:r w:rsidR="007F1C3A">
        <w:t xml:space="preserve">If information were collected less </w:t>
      </w:r>
      <w:r w:rsidR="00794704">
        <w:t>than the frequencies discussed in A2</w:t>
      </w:r>
      <w:r w:rsidR="00EC07F7">
        <w:t xml:space="preserve">, the efficiency and effectiveness of the </w:t>
      </w:r>
      <w:r w:rsidR="006F02F4">
        <w:t xml:space="preserve">WIC </w:t>
      </w:r>
      <w:r w:rsidR="5DB36CDE">
        <w:t>p</w:t>
      </w:r>
      <w:r w:rsidR="00EC07F7">
        <w:t>rogram would be jeopardized</w:t>
      </w:r>
      <w:r w:rsidR="00794704">
        <w:t xml:space="preserve">. </w:t>
      </w:r>
      <w:r w:rsidR="00B37F46">
        <w:t>The risk for i</w:t>
      </w:r>
      <w:r w:rsidR="00EC07F7">
        <w:t xml:space="preserve">mproper use of Federal funds would increase, and </w:t>
      </w:r>
      <w:r w:rsidR="00533583">
        <w:t>FNA</w:t>
      </w:r>
      <w:r w:rsidR="00EC07F7">
        <w:t>’</w:t>
      </w:r>
      <w:r w:rsidR="00533583">
        <w:t>s</w:t>
      </w:r>
      <w:r w:rsidR="00EC07F7">
        <w:t xml:space="preserve"> ability to detect violations would diminish greatly.  </w:t>
      </w:r>
    </w:p>
    <w:p w:rsidR="0001134D" w:rsidRPr="0001134D" w:rsidP="00E11A38" w14:paraId="2D64B886" w14:textId="77777777">
      <w:pPr>
        <w:tabs>
          <w:tab w:val="left" w:pos="-720"/>
        </w:tabs>
        <w:suppressAutoHyphens/>
        <w:spacing w:line="480" w:lineRule="auto"/>
        <w:rPr>
          <w:szCs w:val="24"/>
        </w:rPr>
      </w:pPr>
    </w:p>
    <w:p w:rsidR="00343C88" w:rsidRPr="00042EC2" w:rsidP="00343C88" w14:paraId="5107987D" w14:textId="77777777">
      <w:pPr>
        <w:pStyle w:val="Heading1"/>
      </w:pPr>
      <w:bookmarkStart w:id="16" w:name="_Toc401831363"/>
      <w:bookmarkStart w:id="17" w:name="_Toc83710918"/>
      <w:bookmarkStart w:id="18" w:name="_Toc115788675"/>
      <w:r>
        <w:t>A7.  Special circumstances relating to the Guidelines of 5 CFR 1320.5.</w:t>
      </w:r>
      <w:bookmarkEnd w:id="16"/>
      <w:bookmarkEnd w:id="17"/>
      <w:bookmarkEnd w:id="18"/>
      <w:r>
        <w:t xml:space="preserve">  </w:t>
      </w:r>
    </w:p>
    <w:p w:rsidR="00343C88" w:rsidRPr="00042EC2" w:rsidP="00343C88" w14:paraId="2B71DC63" w14:textId="77777777">
      <w:pPr>
        <w:tabs>
          <w:tab w:val="left" w:pos="0"/>
        </w:tabs>
        <w:suppressAutoHyphens/>
        <w:rPr>
          <w:szCs w:val="24"/>
        </w:rPr>
      </w:pPr>
    </w:p>
    <w:p w:rsidR="004E3EE1" w:rsidRPr="00343C88" w:rsidP="00343C88" w14:paraId="6D9110CE" w14:textId="2153B2B3">
      <w:pPr>
        <w:widowControl/>
        <w:rPr>
          <w:b/>
          <w:szCs w:val="24"/>
        </w:rPr>
      </w:pPr>
      <w:r w:rsidRPr="00042EC2">
        <w:rPr>
          <w:b/>
          <w:szCs w:val="24"/>
        </w:rPr>
        <w:t xml:space="preserve">Explain any special circumstances that would cause an information collection to be conducted in a manner: </w:t>
      </w:r>
    </w:p>
    <w:p w:rsidR="003333DF" w:rsidP="00F129A0" w14:paraId="166BC68F" w14:textId="0A3826BB">
      <w:pPr>
        <w:widowControl/>
        <w:numPr>
          <w:ilvl w:val="0"/>
          <w:numId w:val="1"/>
        </w:numPr>
        <w:tabs>
          <w:tab w:val="left" w:pos="-720"/>
        </w:tabs>
        <w:suppressAutoHyphens/>
        <w:overflowPunct/>
        <w:autoSpaceDE/>
        <w:autoSpaceDN/>
        <w:adjustRightInd/>
        <w:spacing w:line="480" w:lineRule="auto"/>
        <w:textAlignment w:val="auto"/>
        <w:rPr>
          <w:b/>
          <w:szCs w:val="24"/>
        </w:rPr>
      </w:pPr>
      <w:r w:rsidRPr="00BF2C13">
        <w:rPr>
          <w:b/>
          <w:szCs w:val="24"/>
        </w:rPr>
        <w:t>Requirin</w:t>
      </w:r>
      <w:r w:rsidRPr="00BF2C13" w:rsidR="00CF7CB1">
        <w:rPr>
          <w:b/>
          <w:szCs w:val="24"/>
        </w:rPr>
        <w:t>g respondents to report informa</w:t>
      </w:r>
      <w:r w:rsidRPr="00BF2C13">
        <w:rPr>
          <w:b/>
          <w:szCs w:val="24"/>
        </w:rPr>
        <w:t xml:space="preserve">tion to the agency more often than quarterly; </w:t>
      </w:r>
    </w:p>
    <w:p w:rsidR="003333DF" w:rsidP="00F129A0" w14:paraId="3FAD241B" w14:textId="4AB97DFD">
      <w:pPr>
        <w:widowControl/>
        <w:numPr>
          <w:ilvl w:val="0"/>
          <w:numId w:val="1"/>
        </w:numPr>
        <w:tabs>
          <w:tab w:val="left" w:pos="-720"/>
        </w:tabs>
        <w:suppressAutoHyphens/>
        <w:overflowPunct/>
        <w:autoSpaceDE/>
        <w:autoSpaceDN/>
        <w:adjustRightInd/>
        <w:textAlignment w:val="auto"/>
        <w:rPr>
          <w:b/>
          <w:szCs w:val="24"/>
        </w:rPr>
      </w:pPr>
      <w:r w:rsidRPr="002568E6">
        <w:rPr>
          <w:b/>
          <w:szCs w:val="24"/>
        </w:rPr>
        <w:t>Requirin</w:t>
      </w:r>
      <w:r w:rsidRPr="002568E6" w:rsidR="008F3F14">
        <w:rPr>
          <w:b/>
          <w:szCs w:val="24"/>
        </w:rPr>
        <w:t>g respondents to prepare a writ</w:t>
      </w:r>
      <w:r w:rsidRPr="002568E6">
        <w:rPr>
          <w:b/>
          <w:szCs w:val="24"/>
        </w:rPr>
        <w:t>ten re</w:t>
      </w:r>
      <w:r w:rsidRPr="002568E6" w:rsidR="008F3F14">
        <w:rPr>
          <w:b/>
          <w:szCs w:val="24"/>
        </w:rPr>
        <w:t>sponse to a collection of informa</w:t>
      </w:r>
      <w:r w:rsidRPr="002568E6">
        <w:rPr>
          <w:b/>
          <w:szCs w:val="24"/>
        </w:rPr>
        <w:t xml:space="preserve">tion in fewer than 30 days after receipt of it; </w:t>
      </w:r>
    </w:p>
    <w:p w:rsidR="003412C0" w:rsidP="003412C0" w14:paraId="6BB36A49" w14:textId="77777777">
      <w:pPr>
        <w:widowControl/>
        <w:tabs>
          <w:tab w:val="left" w:pos="-720"/>
        </w:tabs>
        <w:suppressAutoHyphens/>
        <w:overflowPunct/>
        <w:autoSpaceDE/>
        <w:autoSpaceDN/>
        <w:adjustRightInd/>
        <w:textAlignment w:val="auto"/>
        <w:rPr>
          <w:b/>
          <w:szCs w:val="24"/>
        </w:rPr>
      </w:pPr>
    </w:p>
    <w:p w:rsidR="003333DF" w:rsidP="00F129A0" w14:paraId="704EF693" w14:textId="44E2BD23">
      <w:pPr>
        <w:widowControl/>
        <w:numPr>
          <w:ilvl w:val="0"/>
          <w:numId w:val="1"/>
        </w:numPr>
        <w:tabs>
          <w:tab w:val="left" w:pos="-720"/>
        </w:tabs>
        <w:suppressAutoHyphens/>
        <w:overflowPunct/>
        <w:autoSpaceDE/>
        <w:autoSpaceDN/>
        <w:adjustRightInd/>
        <w:textAlignment w:val="auto"/>
        <w:rPr>
          <w:b/>
          <w:szCs w:val="24"/>
        </w:rPr>
      </w:pPr>
      <w:r w:rsidRPr="002568E6">
        <w:rPr>
          <w:b/>
          <w:szCs w:val="24"/>
        </w:rPr>
        <w:t>Requiring respondents to submit more than an orig</w:t>
      </w:r>
      <w:r w:rsidRPr="002568E6" w:rsidR="008F3F14">
        <w:rPr>
          <w:b/>
          <w:szCs w:val="24"/>
        </w:rPr>
        <w:t>inal and two copies of any docu</w:t>
      </w:r>
      <w:r w:rsidRPr="002568E6">
        <w:rPr>
          <w:b/>
          <w:szCs w:val="24"/>
        </w:rPr>
        <w:t xml:space="preserve">ment; </w:t>
      </w:r>
    </w:p>
    <w:p w:rsidR="003412C0" w:rsidP="003412C0" w14:paraId="694FAC4E" w14:textId="77777777">
      <w:pPr>
        <w:widowControl/>
        <w:tabs>
          <w:tab w:val="left" w:pos="-720"/>
        </w:tabs>
        <w:suppressAutoHyphens/>
        <w:overflowPunct/>
        <w:autoSpaceDE/>
        <w:autoSpaceDN/>
        <w:adjustRightInd/>
        <w:textAlignment w:val="auto"/>
        <w:rPr>
          <w:b/>
          <w:szCs w:val="24"/>
        </w:rPr>
      </w:pPr>
    </w:p>
    <w:p w:rsidR="003333DF" w:rsidP="00F129A0" w14:paraId="20564C48" w14:textId="77777777">
      <w:pPr>
        <w:widowControl/>
        <w:numPr>
          <w:ilvl w:val="0"/>
          <w:numId w:val="1"/>
        </w:numPr>
        <w:tabs>
          <w:tab w:val="left" w:pos="-720"/>
        </w:tabs>
        <w:suppressAutoHyphens/>
        <w:overflowPunct/>
        <w:autoSpaceDE/>
        <w:autoSpaceDN/>
        <w:adjustRightInd/>
        <w:textAlignment w:val="auto"/>
        <w:rPr>
          <w:b/>
          <w:szCs w:val="24"/>
        </w:rPr>
      </w:pPr>
      <w:r w:rsidRPr="002568E6">
        <w:rPr>
          <w:b/>
          <w:szCs w:val="24"/>
        </w:rPr>
        <w:t>Req</w:t>
      </w:r>
      <w:r w:rsidRPr="002568E6" w:rsidR="008F3F14">
        <w:rPr>
          <w:b/>
          <w:szCs w:val="24"/>
        </w:rPr>
        <w:t>uiring respondents to retain re</w:t>
      </w:r>
      <w:r w:rsidRPr="002568E6">
        <w:rPr>
          <w:b/>
          <w:szCs w:val="24"/>
        </w:rPr>
        <w:t>cords, othe</w:t>
      </w:r>
      <w:r w:rsidRPr="002568E6" w:rsidR="008F3F14">
        <w:rPr>
          <w:b/>
          <w:szCs w:val="24"/>
        </w:rPr>
        <w:t>r than health, medical, governm</w:t>
      </w:r>
      <w:r w:rsidRPr="002568E6">
        <w:rPr>
          <w:b/>
          <w:szCs w:val="24"/>
        </w:rPr>
        <w:t>ent contract, grant-in-aid, or tax records for more than three years</w:t>
      </w:r>
      <w:r w:rsidRPr="002568E6" w:rsidR="008F3F14">
        <w:rPr>
          <w:b/>
          <w:szCs w:val="24"/>
        </w:rPr>
        <w:t>;</w:t>
      </w:r>
    </w:p>
    <w:p w:rsidR="00967A8A" w:rsidP="00967A8A" w14:paraId="29B928C5" w14:textId="77777777">
      <w:pPr>
        <w:widowControl/>
        <w:tabs>
          <w:tab w:val="left" w:pos="-720"/>
        </w:tabs>
        <w:suppressAutoHyphens/>
        <w:overflowPunct/>
        <w:autoSpaceDE/>
        <w:autoSpaceDN/>
        <w:adjustRightInd/>
        <w:textAlignment w:val="auto"/>
        <w:rPr>
          <w:b/>
          <w:szCs w:val="24"/>
        </w:rPr>
      </w:pPr>
    </w:p>
    <w:p w:rsidR="00967A8A" w:rsidRPr="002568E6" w:rsidP="004E3EE1" w14:paraId="3F5DD366" w14:textId="73D79C68">
      <w:pPr>
        <w:pStyle w:val="Level1"/>
        <w:numPr>
          <w:ilvl w:val="0"/>
          <w:numId w:val="0"/>
        </w:numPr>
        <w:tabs>
          <w:tab w:val="left" w:pos="1080"/>
        </w:tabs>
        <w:spacing w:line="480" w:lineRule="auto"/>
        <w:outlineLvl w:val="9"/>
        <w:rPr>
          <w:b/>
        </w:rPr>
      </w:pPr>
      <w:r w:rsidRPr="00C34045">
        <w:t>Under §</w:t>
      </w:r>
      <w:r w:rsidR="00EE6BB6">
        <w:t xml:space="preserve"> </w:t>
      </w:r>
      <w:r w:rsidRPr="00C34045">
        <w:t>246.25(a)(2) of the WIC regulations, all records shall be retained for a minimum of three years following the date of submission of the final expenditure report for the period to which the report pertains</w:t>
      </w:r>
      <w:r w:rsidR="00B37F46">
        <w:t>. I</w:t>
      </w:r>
      <w:r w:rsidRPr="00C34045">
        <w:t>f any litigation, claim, negotiation, audit</w:t>
      </w:r>
      <w:r w:rsidR="00B2386F">
        <w:t>,</w:t>
      </w:r>
      <w:r w:rsidRPr="00C34045">
        <w:t xml:space="preserve"> or other action involving the</w:t>
      </w:r>
      <w:r w:rsidR="00B37F46">
        <w:t>se</w:t>
      </w:r>
      <w:r w:rsidRPr="00C34045">
        <w:t xml:space="preserve"> records has been started before the end of the three-year period, the records shall be kept until all issues are resolved, or until the end of the regular three-year period, whichever is later.  This provision is based on 36 CFR 1207.42(b)(2) of the National Archives and Records Administration regulations.</w:t>
      </w:r>
    </w:p>
    <w:p w:rsidR="004E3EE1" w:rsidP="00F129A0" w14:paraId="7A3CD5A9" w14:textId="4DEE1112">
      <w:pPr>
        <w:widowControl/>
        <w:numPr>
          <w:ilvl w:val="0"/>
          <w:numId w:val="1"/>
        </w:numPr>
        <w:tabs>
          <w:tab w:val="left" w:pos="-720"/>
        </w:tabs>
        <w:suppressAutoHyphens/>
        <w:overflowPunct/>
        <w:autoSpaceDE/>
        <w:autoSpaceDN/>
        <w:adjustRightInd/>
        <w:textAlignment w:val="auto"/>
        <w:rPr>
          <w:b/>
          <w:szCs w:val="24"/>
        </w:rPr>
      </w:pPr>
      <w:r w:rsidRPr="002568E6">
        <w:rPr>
          <w:b/>
          <w:szCs w:val="24"/>
        </w:rPr>
        <w:t>In connection with a statistical survey, that is not de</w:t>
      </w:r>
      <w:r w:rsidRPr="002568E6" w:rsidR="003333DF">
        <w:rPr>
          <w:b/>
          <w:szCs w:val="24"/>
        </w:rPr>
        <w:t>s</w:t>
      </w:r>
      <w:r w:rsidRPr="002568E6">
        <w:rPr>
          <w:b/>
          <w:szCs w:val="24"/>
        </w:rPr>
        <w:t>igned to produce valid and reli</w:t>
      </w:r>
      <w:r w:rsidRPr="002568E6" w:rsidR="003333DF">
        <w:rPr>
          <w:b/>
          <w:szCs w:val="24"/>
        </w:rPr>
        <w:t>a</w:t>
      </w:r>
      <w:r w:rsidRPr="002568E6">
        <w:rPr>
          <w:b/>
          <w:szCs w:val="24"/>
        </w:rPr>
        <w:t>ble results that can be generalized to the uni</w:t>
      </w:r>
      <w:r w:rsidRPr="002568E6" w:rsidR="003333DF">
        <w:rPr>
          <w:b/>
          <w:szCs w:val="24"/>
        </w:rPr>
        <w:t>verse of study;</w:t>
      </w:r>
    </w:p>
    <w:p w:rsidR="005A6A99" w:rsidRPr="005A6A99" w:rsidP="005A6A99" w14:paraId="601E4E9D" w14:textId="77777777">
      <w:pPr>
        <w:widowControl/>
        <w:tabs>
          <w:tab w:val="left" w:pos="-720"/>
        </w:tabs>
        <w:suppressAutoHyphens/>
        <w:overflowPunct/>
        <w:autoSpaceDE/>
        <w:autoSpaceDN/>
        <w:adjustRightInd/>
        <w:ind w:left="360"/>
        <w:textAlignment w:val="auto"/>
        <w:rPr>
          <w:b/>
          <w:szCs w:val="24"/>
        </w:rPr>
      </w:pPr>
    </w:p>
    <w:p w:rsidR="003333DF" w:rsidRPr="002568E6" w:rsidP="004E3EE1" w14:paraId="19EC5A7F" w14:textId="32647264">
      <w:pPr>
        <w:widowControl/>
        <w:overflowPunct/>
        <w:autoSpaceDE/>
        <w:autoSpaceDN/>
        <w:adjustRightInd/>
        <w:spacing w:after="80" w:line="480" w:lineRule="auto"/>
        <w:textAlignment w:val="auto"/>
        <w:rPr>
          <w:b/>
          <w:szCs w:val="24"/>
        </w:rPr>
      </w:pPr>
      <w:r w:rsidRPr="00B37F46">
        <w:rPr>
          <w:szCs w:val="24"/>
        </w:rPr>
        <w:t xml:space="preserve">Under </w:t>
      </w:r>
      <w:r w:rsidRPr="00B37F46">
        <w:rPr>
          <w:bCs/>
          <w:szCs w:val="24"/>
        </w:rPr>
        <w:t xml:space="preserve">§ 246.26(b) of the WIC regulations, </w:t>
      </w:r>
      <w:r w:rsidR="00533583">
        <w:rPr>
          <w:szCs w:val="24"/>
        </w:rPr>
        <w:t>FNA</w:t>
      </w:r>
      <w:r w:rsidRPr="008D51D8">
        <w:rPr>
          <w:szCs w:val="24"/>
        </w:rPr>
        <w:t xml:space="preserve"> reserves the right to use information obtained under the </w:t>
      </w:r>
      <w:r w:rsidR="004045BC">
        <w:rPr>
          <w:szCs w:val="24"/>
        </w:rPr>
        <w:t>p</w:t>
      </w:r>
      <w:r w:rsidRPr="008D51D8">
        <w:rPr>
          <w:szCs w:val="24"/>
        </w:rPr>
        <w:t>rogram in a summary, statistical</w:t>
      </w:r>
      <w:r w:rsidR="00D12BE9">
        <w:rPr>
          <w:szCs w:val="24"/>
        </w:rPr>
        <w:t>,</w:t>
      </w:r>
      <w:r w:rsidRPr="008D51D8">
        <w:rPr>
          <w:szCs w:val="24"/>
        </w:rPr>
        <w:t xml:space="preserve"> or other form which does not identify particular individuals</w:t>
      </w:r>
      <w:r w:rsidR="00B37F46">
        <w:rPr>
          <w:szCs w:val="24"/>
        </w:rPr>
        <w:t>.</w:t>
      </w:r>
    </w:p>
    <w:p w:rsidR="003333DF" w:rsidP="00F129A0" w14:paraId="1B587316" w14:textId="77777777">
      <w:pPr>
        <w:widowControl/>
        <w:numPr>
          <w:ilvl w:val="0"/>
          <w:numId w:val="1"/>
        </w:numPr>
        <w:tabs>
          <w:tab w:val="left" w:pos="-720"/>
        </w:tabs>
        <w:suppressAutoHyphens/>
        <w:overflowPunct/>
        <w:autoSpaceDE/>
        <w:autoSpaceDN/>
        <w:adjustRightInd/>
        <w:textAlignment w:val="auto"/>
        <w:rPr>
          <w:b/>
          <w:szCs w:val="24"/>
        </w:rPr>
      </w:pPr>
      <w:r w:rsidRPr="002568E6">
        <w:rPr>
          <w:b/>
          <w:szCs w:val="24"/>
        </w:rPr>
        <w:t>Requiring the use of a statistical data classification that has not been reviewed and approved by OMB;</w:t>
      </w:r>
    </w:p>
    <w:p w:rsidR="00967A8A" w:rsidP="00967A8A" w14:paraId="2B43C845" w14:textId="77777777">
      <w:pPr>
        <w:widowControl/>
        <w:tabs>
          <w:tab w:val="left" w:pos="-720"/>
        </w:tabs>
        <w:suppressAutoHyphens/>
        <w:overflowPunct/>
        <w:autoSpaceDE/>
        <w:autoSpaceDN/>
        <w:adjustRightInd/>
        <w:textAlignment w:val="auto"/>
        <w:rPr>
          <w:b/>
          <w:szCs w:val="24"/>
        </w:rPr>
      </w:pPr>
    </w:p>
    <w:p w:rsidR="00967A8A" w:rsidRPr="002568E6" w:rsidP="004E3EE1" w14:paraId="6266B829" w14:textId="35F79B64">
      <w:pPr>
        <w:widowControl/>
        <w:spacing w:line="480" w:lineRule="auto"/>
        <w:rPr>
          <w:b/>
          <w:szCs w:val="24"/>
        </w:rPr>
      </w:pPr>
      <w:r w:rsidRPr="00967A8A">
        <w:rPr>
          <w:szCs w:val="24"/>
        </w:rPr>
        <w:t xml:space="preserve">Under </w:t>
      </w:r>
      <w:r w:rsidRPr="00B37F46">
        <w:rPr>
          <w:bCs/>
          <w:szCs w:val="24"/>
        </w:rPr>
        <w:t xml:space="preserve">§ 246.26(b) of the WIC regulations, </w:t>
      </w:r>
      <w:r w:rsidR="00533583">
        <w:rPr>
          <w:szCs w:val="24"/>
        </w:rPr>
        <w:t>FNA</w:t>
      </w:r>
      <w:r w:rsidRPr="008D51D8">
        <w:rPr>
          <w:szCs w:val="24"/>
        </w:rPr>
        <w:t xml:space="preserve"> reserves the right to use information obtained under the </w:t>
      </w:r>
      <w:r w:rsidR="004045BC">
        <w:rPr>
          <w:szCs w:val="24"/>
        </w:rPr>
        <w:t>p</w:t>
      </w:r>
      <w:r w:rsidRPr="008D51D8">
        <w:rPr>
          <w:szCs w:val="24"/>
        </w:rPr>
        <w:t>rogram in a summary, statistical</w:t>
      </w:r>
      <w:r w:rsidR="00F615A9">
        <w:rPr>
          <w:szCs w:val="24"/>
        </w:rPr>
        <w:t>,</w:t>
      </w:r>
      <w:r w:rsidRPr="008D51D8">
        <w:rPr>
          <w:szCs w:val="24"/>
        </w:rPr>
        <w:t xml:space="preserve"> or other form which does not identify particular individuals.</w:t>
      </w:r>
    </w:p>
    <w:p w:rsidR="003333DF" w:rsidP="00F129A0" w14:paraId="19B3E679" w14:textId="77777777">
      <w:pPr>
        <w:widowControl/>
        <w:numPr>
          <w:ilvl w:val="0"/>
          <w:numId w:val="1"/>
        </w:numPr>
        <w:tabs>
          <w:tab w:val="left" w:pos="-720"/>
        </w:tabs>
        <w:suppressAutoHyphens/>
        <w:overflowPunct/>
        <w:autoSpaceDE/>
        <w:autoSpaceDN/>
        <w:adjustRightInd/>
        <w:textAlignment w:val="auto"/>
        <w:rPr>
          <w:b/>
          <w:szCs w:val="24"/>
        </w:rPr>
      </w:pPr>
      <w:r w:rsidRPr="002568E6">
        <w:rPr>
          <w:b/>
          <w:szCs w:val="24"/>
        </w:rPr>
        <w:t>That includ</w:t>
      </w:r>
      <w:r w:rsidRPr="002568E6" w:rsidR="00383C0A">
        <w:rPr>
          <w:b/>
          <w:szCs w:val="24"/>
        </w:rPr>
        <w:t>es a pledge of confidentiality that is not supported by authority established in statute or regulation, that is not supported by dis</w:t>
      </w:r>
      <w:r w:rsidRPr="002568E6">
        <w:rPr>
          <w:b/>
          <w:szCs w:val="24"/>
        </w:rPr>
        <w:t>closure and data security policies that are consistent wi</w:t>
      </w:r>
      <w:r w:rsidRPr="002568E6" w:rsidR="00383C0A">
        <w:rPr>
          <w:b/>
          <w:szCs w:val="24"/>
        </w:rPr>
        <w:t>th the pledge, or which unnecessarily impedes shar</w:t>
      </w:r>
      <w:r w:rsidRPr="002568E6">
        <w:rPr>
          <w:b/>
          <w:szCs w:val="24"/>
        </w:rPr>
        <w:t>ing of d</w:t>
      </w:r>
      <w:r w:rsidRPr="002568E6" w:rsidR="00383C0A">
        <w:rPr>
          <w:b/>
          <w:szCs w:val="24"/>
        </w:rPr>
        <w:t>ata with other agencies for com</w:t>
      </w:r>
      <w:r w:rsidRPr="002568E6" w:rsidR="00D3753F">
        <w:rPr>
          <w:b/>
          <w:szCs w:val="24"/>
        </w:rPr>
        <w:t>patible confiden</w:t>
      </w:r>
      <w:r w:rsidRPr="002568E6">
        <w:rPr>
          <w:b/>
          <w:szCs w:val="24"/>
        </w:rPr>
        <w:t xml:space="preserve">tial use; or </w:t>
      </w:r>
    </w:p>
    <w:p w:rsidR="00967A8A" w:rsidP="00967A8A" w14:paraId="259D60D0" w14:textId="77777777">
      <w:pPr>
        <w:widowControl/>
        <w:tabs>
          <w:tab w:val="left" w:pos="-720"/>
        </w:tabs>
        <w:suppressAutoHyphens/>
        <w:overflowPunct/>
        <w:autoSpaceDE/>
        <w:autoSpaceDN/>
        <w:adjustRightInd/>
        <w:textAlignment w:val="auto"/>
        <w:rPr>
          <w:b/>
          <w:szCs w:val="24"/>
        </w:rPr>
      </w:pPr>
    </w:p>
    <w:p w:rsidR="00C34045" w:rsidRPr="003C051C" w:rsidP="00F129A0" w14:paraId="580117DA" w14:textId="77777777">
      <w:pPr>
        <w:pStyle w:val="BodyText"/>
        <w:widowControl/>
        <w:numPr>
          <w:ilvl w:val="0"/>
          <w:numId w:val="1"/>
        </w:numPr>
        <w:tabs>
          <w:tab w:val="left" w:pos="0"/>
        </w:tabs>
        <w:overflowPunct/>
        <w:autoSpaceDE/>
        <w:autoSpaceDN/>
        <w:adjustRightInd/>
        <w:spacing w:after="80"/>
        <w:textAlignment w:val="auto"/>
        <w:rPr>
          <w:szCs w:val="24"/>
        </w:rPr>
      </w:pPr>
      <w:r w:rsidRPr="003C051C">
        <w:rPr>
          <w:szCs w:val="24"/>
        </w:rPr>
        <w:t>Requiri</w:t>
      </w:r>
      <w:r w:rsidRPr="003C051C" w:rsidR="0032533B">
        <w:rPr>
          <w:szCs w:val="24"/>
        </w:rPr>
        <w:t>ng respondents to submit propri</w:t>
      </w:r>
      <w:r w:rsidRPr="003C051C">
        <w:rPr>
          <w:szCs w:val="24"/>
        </w:rPr>
        <w:t>etary trade secret, or other confidential informat</w:t>
      </w:r>
      <w:r w:rsidRPr="003C051C" w:rsidR="0032533B">
        <w:rPr>
          <w:szCs w:val="24"/>
        </w:rPr>
        <w:t>ion unless the agency can demon</w:t>
      </w:r>
      <w:r w:rsidRPr="003C051C">
        <w:rPr>
          <w:szCs w:val="24"/>
        </w:rPr>
        <w:t>strate that it has instituted procedures to protect the information's confidentiali</w:t>
      </w:r>
      <w:r w:rsidRPr="003C051C" w:rsidR="0032533B">
        <w:rPr>
          <w:szCs w:val="24"/>
        </w:rPr>
        <w:t>ty to the extent permit</w:t>
      </w:r>
      <w:r w:rsidRPr="003C051C">
        <w:rPr>
          <w:szCs w:val="24"/>
        </w:rPr>
        <w:t>ted by law.</w:t>
      </w:r>
    </w:p>
    <w:p w:rsidR="00AF2181" w:rsidRPr="00AF2181" w:rsidP="00E86CD7" w14:paraId="3426B483" w14:textId="5FD84B56">
      <w:pPr>
        <w:widowControl/>
        <w:spacing w:before="240" w:line="480" w:lineRule="auto"/>
        <w:rPr>
          <w:bCs/>
          <w:szCs w:val="24"/>
        </w:rPr>
      </w:pPr>
      <w:r w:rsidRPr="00AF2181">
        <w:rPr>
          <w:bCs/>
          <w:szCs w:val="24"/>
        </w:rPr>
        <w:t xml:space="preserve">There are no </w:t>
      </w:r>
      <w:r w:rsidR="00C41780">
        <w:rPr>
          <w:bCs/>
          <w:szCs w:val="24"/>
        </w:rPr>
        <w:t xml:space="preserve">other </w:t>
      </w:r>
      <w:r w:rsidRPr="00AF2181">
        <w:rPr>
          <w:bCs/>
          <w:szCs w:val="24"/>
        </w:rPr>
        <w:t>special circumstances. The collection of information is conducted in a manner consistent with the guidelines in 5 CFR 1320.5.</w:t>
      </w:r>
    </w:p>
    <w:p w:rsidR="005E58F4" w:rsidRPr="00042EC2" w:rsidP="005E58F4" w14:paraId="4E2A52A0" w14:textId="77777777">
      <w:pPr>
        <w:pStyle w:val="Heading1"/>
      </w:pPr>
      <w:bookmarkStart w:id="19" w:name="_Toc401831364"/>
      <w:bookmarkStart w:id="20" w:name="_Toc83710919"/>
      <w:bookmarkStart w:id="21" w:name="_Toc115788676"/>
      <w:r>
        <w:t>A8.  Comments to the Federal Register Notice and efforts for consultation.</w:t>
      </w:r>
      <w:bookmarkEnd w:id="19"/>
      <w:bookmarkEnd w:id="20"/>
      <w:bookmarkEnd w:id="21"/>
      <w:r>
        <w:t xml:space="preserve">  </w:t>
      </w:r>
    </w:p>
    <w:p w:rsidR="005E58F4" w:rsidRPr="00042EC2" w:rsidP="005E58F4" w14:paraId="48B09426" w14:textId="77777777">
      <w:pPr>
        <w:tabs>
          <w:tab w:val="left" w:pos="450"/>
        </w:tabs>
        <w:suppressAutoHyphens/>
        <w:ind w:left="450" w:hanging="450"/>
        <w:rPr>
          <w:szCs w:val="24"/>
        </w:rPr>
      </w:pPr>
    </w:p>
    <w:p w:rsidR="003333DF" w:rsidRPr="005E58F4" w:rsidP="005E58F4" w14:paraId="0FCF8A51" w14:textId="72897C00">
      <w:pPr>
        <w:rPr>
          <w:b/>
          <w:szCs w:val="24"/>
        </w:rPr>
      </w:pPr>
      <w:r w:rsidRPr="00042EC2">
        <w:rPr>
          <w:b/>
          <w:szCs w:val="24"/>
        </w:rPr>
        <w:t>If applicable, provide a copy and identify the date and page number of publication in the Federal Register of the agency's notice, required by 5 CFR 1320.8 (d),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r w:rsidRPr="00042EC2">
        <w:rPr>
          <w:b/>
          <w:szCs w:val="24"/>
        </w:rPr>
        <w:tab/>
      </w:r>
    </w:p>
    <w:p w:rsidR="003333DF" w:rsidRPr="002568E6" w:rsidP="0062567E" w14:paraId="27F9EC3E" w14:textId="77777777">
      <w:pPr>
        <w:rPr>
          <w:b/>
          <w:szCs w:val="24"/>
        </w:rPr>
      </w:pPr>
    </w:p>
    <w:p w:rsidR="00D63505" w:rsidP="36A235E9" w14:paraId="095F01CE" w14:textId="2D84C1BB">
      <w:pPr>
        <w:spacing w:line="480" w:lineRule="auto"/>
      </w:pPr>
      <w:bookmarkStart w:id="22" w:name="OLE_LINK1"/>
      <w:bookmarkStart w:id="23" w:name="OLE_LINK2"/>
      <w:r>
        <w:t xml:space="preserve">A 60-day Federal Register Notice </w:t>
      </w:r>
      <w:r w:rsidR="3069AFC6">
        <w:t xml:space="preserve">was </w:t>
      </w:r>
      <w:r>
        <w:t xml:space="preserve">embedded in the proposed rule titled “WIC Online Ordering and Transactions </w:t>
      </w:r>
      <w:r w:rsidR="000E4CC0">
        <w:t>and Food Delivery Revisions to Meet the Needs of a Modern, Data-Driven Program</w:t>
      </w:r>
      <w:r w:rsidR="002F75AD">
        <w:t>”</w:t>
      </w:r>
      <w:r w:rsidR="000E4CC0">
        <w:t xml:space="preserve"> </w:t>
      </w:r>
      <w:r>
        <w:t>(RIN 0584-</w:t>
      </w:r>
      <w:r w:rsidRPr="36A235E9" w:rsidR="000E456E">
        <w:rPr>
          <w:rStyle w:val="Strong"/>
          <w:b w:val="0"/>
          <w:bCs w:val="0"/>
        </w:rPr>
        <w:t>AE85</w:t>
      </w:r>
      <w:r>
        <w:t xml:space="preserve">), which </w:t>
      </w:r>
      <w:r w:rsidR="00692800">
        <w:t>w</w:t>
      </w:r>
      <w:r w:rsidR="46385400">
        <w:t>as</w:t>
      </w:r>
      <w:r w:rsidR="00692800">
        <w:t xml:space="preserve"> </w:t>
      </w:r>
      <w:r>
        <w:t>published in the Federal Register</w:t>
      </w:r>
      <w:r w:rsidR="0CF2104A">
        <w:t xml:space="preserve"> on February 23, 2023</w:t>
      </w:r>
      <w:r>
        <w:t xml:space="preserve">. </w:t>
      </w:r>
      <w:r w:rsidR="00FD1D91">
        <w:t xml:space="preserve">Comments </w:t>
      </w:r>
      <w:r w:rsidRPr="00AC5CF3" w:rsidR="00FD1D91">
        <w:t xml:space="preserve">received </w:t>
      </w:r>
      <w:r w:rsidRPr="00AC5CF3" w:rsidR="00F248CD">
        <w:t>(</w:t>
      </w:r>
      <w:r w:rsidRPr="00AC5CF3" w:rsidR="0052767D">
        <w:t>for a representative sample, s</w:t>
      </w:r>
      <w:r w:rsidRPr="00AC5CF3" w:rsidR="00F248CD">
        <w:t>ee Appendi</w:t>
      </w:r>
      <w:r w:rsidR="00FD516A">
        <w:t>x</w:t>
      </w:r>
      <w:r w:rsidRPr="00AC5CF3" w:rsidR="0069488C">
        <w:t>es</w:t>
      </w:r>
      <w:r w:rsidRPr="00AC5CF3" w:rsidR="00F248CD">
        <w:t xml:space="preserve"> </w:t>
      </w:r>
      <w:r w:rsidRPr="00AC5CF3" w:rsidR="0069488C">
        <w:t>E</w:t>
      </w:r>
      <w:r w:rsidRPr="00AC5CF3" w:rsidR="00F248CD">
        <w:t>-</w:t>
      </w:r>
      <w:r w:rsidRPr="00AC5CF3" w:rsidR="0069488C">
        <w:t>N</w:t>
      </w:r>
      <w:r w:rsidRPr="00AC5CF3" w:rsidR="00F248CD">
        <w:t>: Public Comment</w:t>
      </w:r>
      <w:r w:rsidRPr="00AC5CF3" w:rsidR="0069488C">
        <w:t>s</w:t>
      </w:r>
      <w:r w:rsidRPr="00AC5CF3" w:rsidR="00F248CD">
        <w:t xml:space="preserve">) </w:t>
      </w:r>
      <w:r w:rsidRPr="00AC5CF3" w:rsidR="49FE6106">
        <w:t xml:space="preserve">were </w:t>
      </w:r>
      <w:r w:rsidRPr="00AC5CF3" w:rsidR="00FD1D91">
        <w:t xml:space="preserve">evaluated on the information </w:t>
      </w:r>
      <w:r w:rsidR="00FD1D91">
        <w:t xml:space="preserve">collection requirements during </w:t>
      </w:r>
      <w:r w:rsidR="002D75D0">
        <w:t>the comment period after publication of the proposed rule</w:t>
      </w:r>
      <w:r w:rsidR="00FD1D91">
        <w:t>. Comments w</w:t>
      </w:r>
      <w:r w:rsidR="4193DAC8">
        <w:t xml:space="preserve">ere </w:t>
      </w:r>
      <w:r w:rsidR="00FD1D91">
        <w:t xml:space="preserve">addressed during the final stage of rulemaking </w:t>
      </w:r>
      <w:r w:rsidR="37C93CEE">
        <w:t>and incorporated into</w:t>
      </w:r>
      <w:r w:rsidR="00FD1D91">
        <w:t xml:space="preserve"> the final rule information collection request.</w:t>
      </w:r>
    </w:p>
    <w:p w:rsidR="006A174B" w:rsidP="36A235E9" w14:paraId="485A1538" w14:textId="77777777">
      <w:pPr>
        <w:spacing w:line="480" w:lineRule="auto"/>
      </w:pPr>
    </w:p>
    <w:p w:rsidR="00166C88" w:rsidP="00166C88" w14:paraId="041BCDBB" w14:textId="446ECB5A">
      <w:pPr>
        <w:spacing w:line="480" w:lineRule="auto"/>
      </w:pPr>
      <w:r>
        <w:t xml:space="preserve">The Department received approximately 20 comments on the proposed information collection requirements and associated burdens. </w:t>
      </w:r>
      <w:r w:rsidR="00422CC3">
        <w:t xml:space="preserve">A representative sample of 10 comments is included in </w:t>
      </w:r>
      <w:r w:rsidRPr="00AC5CF3" w:rsidR="00422CC3">
        <w:t>Appendi</w:t>
      </w:r>
      <w:r w:rsidR="00FD516A">
        <w:t>x</w:t>
      </w:r>
      <w:r w:rsidRPr="00AC5CF3" w:rsidR="00422CC3">
        <w:t xml:space="preserve">es </w:t>
      </w:r>
      <w:r w:rsidRPr="00AC5CF3" w:rsidR="0069488C">
        <w:t>E</w:t>
      </w:r>
      <w:r w:rsidRPr="00AC5CF3" w:rsidR="00422CC3">
        <w:t>-</w:t>
      </w:r>
      <w:r w:rsidRPr="00AC5CF3" w:rsidR="0069488C">
        <w:t>N</w:t>
      </w:r>
      <w:r w:rsidRPr="00AC5CF3" w:rsidR="00422CC3">
        <w:t>: Public Comment</w:t>
      </w:r>
      <w:r w:rsidRPr="00AC5CF3" w:rsidR="0069488C">
        <w:t>s</w:t>
      </w:r>
      <w:r w:rsidRPr="00AC5CF3" w:rsidR="00422CC3">
        <w:t xml:space="preserve">. </w:t>
      </w:r>
      <w:r w:rsidRPr="00AC5CF3">
        <w:t xml:space="preserve">Based </w:t>
      </w:r>
      <w:r>
        <w:t>on public comment feedback, the Department revised the burden estimates for this final rule as follows:</w:t>
      </w:r>
    </w:p>
    <w:p w:rsidR="00DA38A5" w:rsidP="00F129A0" w14:paraId="4FB80D71" w14:textId="340486FE">
      <w:pPr>
        <w:pStyle w:val="ListParagraph"/>
        <w:numPr>
          <w:ilvl w:val="0"/>
          <w:numId w:val="4"/>
        </w:numPr>
        <w:rPr>
          <w:szCs w:val="24"/>
        </w:rPr>
      </w:pPr>
      <w:r>
        <w:rPr>
          <w:szCs w:val="24"/>
        </w:rPr>
        <w:t xml:space="preserve">Travel time for vendor visits: The Department received feedback that a </w:t>
      </w:r>
      <w:r w:rsidR="00C02B95">
        <w:rPr>
          <w:szCs w:val="24"/>
        </w:rPr>
        <w:t>20-minute</w:t>
      </w:r>
      <w:r>
        <w:rPr>
          <w:szCs w:val="24"/>
        </w:rPr>
        <w:t xml:space="preserve"> round trip </w:t>
      </w:r>
      <w:r>
        <w:rPr>
          <w:szCs w:val="24"/>
        </w:rPr>
        <w:t>travel</w:t>
      </w:r>
      <w:r w:rsidR="00B501CB">
        <w:rPr>
          <w:szCs w:val="24"/>
        </w:rPr>
        <w:t xml:space="preserve"> </w:t>
      </w:r>
      <w:r w:rsidR="00C12B66">
        <w:rPr>
          <w:szCs w:val="24"/>
        </w:rPr>
        <w:t>time</w:t>
      </w:r>
      <w:r>
        <w:rPr>
          <w:szCs w:val="24"/>
        </w:rPr>
        <w:t xml:space="preserve"> for visiting vendors for various activities was an underestimate</w:t>
      </w:r>
      <w:r w:rsidR="00FE5ECA">
        <w:rPr>
          <w:szCs w:val="24"/>
        </w:rPr>
        <w:t xml:space="preserve">. Therefore, the Department is </w:t>
      </w:r>
      <w:r w:rsidR="00412F79">
        <w:rPr>
          <w:szCs w:val="24"/>
        </w:rPr>
        <w:t>adjusting</w:t>
      </w:r>
      <w:r w:rsidR="00FE5ECA">
        <w:rPr>
          <w:szCs w:val="24"/>
        </w:rPr>
        <w:t xml:space="preserve"> the estimated travel</w:t>
      </w:r>
      <w:r w:rsidR="00B501CB">
        <w:rPr>
          <w:szCs w:val="24"/>
        </w:rPr>
        <w:t xml:space="preserve"> </w:t>
      </w:r>
      <w:r w:rsidR="00C12B66">
        <w:rPr>
          <w:szCs w:val="24"/>
        </w:rPr>
        <w:t>time</w:t>
      </w:r>
      <w:r w:rsidR="00FE5ECA">
        <w:rPr>
          <w:szCs w:val="24"/>
        </w:rPr>
        <w:t xml:space="preserve"> for round trip vendor visits to 30 minutes and incorporated this edit into the various </w:t>
      </w:r>
      <w:r w:rsidR="00C12436">
        <w:rPr>
          <w:szCs w:val="24"/>
        </w:rPr>
        <w:t>activities involving vendor visits.</w:t>
      </w:r>
    </w:p>
    <w:p w:rsidR="007E0022" w:rsidRPr="00697488" w:rsidP="00F129A0" w14:paraId="6C902618" w14:textId="660F70C9">
      <w:pPr>
        <w:pStyle w:val="ListParagraph"/>
        <w:numPr>
          <w:ilvl w:val="0"/>
          <w:numId w:val="4"/>
        </w:numPr>
        <w:rPr>
          <w:szCs w:val="24"/>
        </w:rPr>
      </w:pPr>
      <w:r>
        <w:rPr>
          <w:szCs w:val="24"/>
        </w:rPr>
        <w:t>On</w:t>
      </w:r>
      <w:r w:rsidR="000A4EB1">
        <w:rPr>
          <w:szCs w:val="24"/>
        </w:rPr>
        <w:t>site</w:t>
      </w:r>
      <w:r w:rsidR="006B4C12">
        <w:rPr>
          <w:szCs w:val="24"/>
        </w:rPr>
        <w:t xml:space="preserve"> p</w:t>
      </w:r>
      <w:r w:rsidRPr="00697488">
        <w:rPr>
          <w:szCs w:val="24"/>
        </w:rPr>
        <w:t xml:space="preserve">reauthorization visits: </w:t>
      </w:r>
      <w:r>
        <w:rPr>
          <w:szCs w:val="24"/>
        </w:rPr>
        <w:t>To reflect the feedback received related to travel</w:t>
      </w:r>
      <w:r w:rsidR="008F4A70">
        <w:rPr>
          <w:szCs w:val="24"/>
        </w:rPr>
        <w:t xml:space="preserve"> </w:t>
      </w:r>
      <w:r w:rsidR="00C12B66">
        <w:rPr>
          <w:szCs w:val="24"/>
        </w:rPr>
        <w:t>time</w:t>
      </w:r>
      <w:r>
        <w:rPr>
          <w:szCs w:val="24"/>
        </w:rPr>
        <w:t xml:space="preserve"> for State agencies visiting vendors,</w:t>
      </w:r>
      <w:r w:rsidRPr="00697488" w:rsidR="00697488">
        <w:rPr>
          <w:szCs w:val="24"/>
        </w:rPr>
        <w:t xml:space="preserve"> the Department </w:t>
      </w:r>
      <w:r w:rsidR="00412F79">
        <w:rPr>
          <w:szCs w:val="24"/>
        </w:rPr>
        <w:t>adjusted</w:t>
      </w:r>
      <w:r w:rsidRPr="00697488" w:rsidR="00697488">
        <w:rPr>
          <w:szCs w:val="24"/>
        </w:rPr>
        <w:t xml:space="preserve"> the </w:t>
      </w:r>
      <w:r w:rsidR="00DA00D6">
        <w:rPr>
          <w:szCs w:val="24"/>
        </w:rPr>
        <w:t xml:space="preserve">total </w:t>
      </w:r>
      <w:r w:rsidRPr="00697488" w:rsidR="00697488">
        <w:rPr>
          <w:szCs w:val="24"/>
        </w:rPr>
        <w:t>burden</w:t>
      </w:r>
      <w:r w:rsidR="00DA00D6">
        <w:rPr>
          <w:szCs w:val="24"/>
        </w:rPr>
        <w:t xml:space="preserve"> for this </w:t>
      </w:r>
      <w:r>
        <w:rPr>
          <w:szCs w:val="24"/>
        </w:rPr>
        <w:t xml:space="preserve">activity from 60 minutes </w:t>
      </w:r>
      <w:r w:rsidRPr="00697488" w:rsidR="00697488">
        <w:rPr>
          <w:szCs w:val="24"/>
        </w:rPr>
        <w:t>to 70 minutes</w:t>
      </w:r>
      <w:r w:rsidR="00531075">
        <w:rPr>
          <w:szCs w:val="24"/>
        </w:rPr>
        <w:t xml:space="preserve"> (1.</w:t>
      </w:r>
      <w:r w:rsidRPr="0155029D" w:rsidR="658A6E08">
        <w:rPr>
          <w:szCs w:val="24"/>
        </w:rPr>
        <w:t>17</w:t>
      </w:r>
      <w:r w:rsidR="00531075">
        <w:rPr>
          <w:szCs w:val="24"/>
        </w:rPr>
        <w:t xml:space="preserve"> hours)</w:t>
      </w:r>
      <w:r w:rsidRPr="00697488" w:rsidR="00697488">
        <w:rPr>
          <w:szCs w:val="24"/>
        </w:rPr>
        <w:t xml:space="preserve">. </w:t>
      </w:r>
    </w:p>
    <w:p w:rsidR="00166C88" w:rsidRPr="00BF1840" w:rsidP="00F129A0" w14:paraId="19523284" w14:textId="44B962D3">
      <w:pPr>
        <w:pStyle w:val="ListParagraph"/>
        <w:numPr>
          <w:ilvl w:val="0"/>
          <w:numId w:val="4"/>
        </w:numPr>
        <w:rPr>
          <w:szCs w:val="24"/>
        </w:rPr>
      </w:pPr>
      <w:r w:rsidRPr="00BF1840">
        <w:rPr>
          <w:szCs w:val="24"/>
        </w:rPr>
        <w:t>Vendor applications and agreements</w:t>
      </w:r>
      <w:r w:rsidRPr="0155029D" w:rsidR="658A6E08">
        <w:rPr>
          <w:szCs w:val="24"/>
        </w:rPr>
        <w:t>:</w:t>
      </w:r>
      <w:r w:rsidRPr="00BF1840">
        <w:rPr>
          <w:szCs w:val="24"/>
        </w:rPr>
        <w:t xml:space="preserve"> The Department proposed the burden for this activity to be </w:t>
      </w:r>
      <w:r w:rsidRPr="0155029D" w:rsidR="658A6E08">
        <w:rPr>
          <w:szCs w:val="24"/>
        </w:rPr>
        <w:t>40</w:t>
      </w:r>
      <w:r w:rsidRPr="00BF1840">
        <w:rPr>
          <w:szCs w:val="24"/>
        </w:rPr>
        <w:t xml:space="preserve"> minutes </w:t>
      </w:r>
      <w:r w:rsidRPr="0155029D" w:rsidR="658A6E08">
        <w:rPr>
          <w:szCs w:val="24"/>
        </w:rPr>
        <w:t>(0.</w:t>
      </w:r>
      <w:r w:rsidR="00D6508B">
        <w:rPr>
          <w:szCs w:val="24"/>
        </w:rPr>
        <w:t>668</w:t>
      </w:r>
      <w:r w:rsidRPr="0155029D" w:rsidR="658A6E08">
        <w:rPr>
          <w:szCs w:val="24"/>
        </w:rPr>
        <w:t xml:space="preserve"> hours) per vendor applicant.</w:t>
      </w:r>
      <w:r w:rsidRPr="00BF1840">
        <w:rPr>
          <w:szCs w:val="24"/>
        </w:rPr>
        <w:t xml:space="preserve"> However, multiple commenters stated that this underestimated the amount of time necessary to complete a full review and completion of vendor applications and agreements. Based on the feedback, the Department </w:t>
      </w:r>
      <w:r w:rsidRPr="00BF1840" w:rsidR="00DE086D">
        <w:rPr>
          <w:szCs w:val="24"/>
        </w:rPr>
        <w:t>adjusted</w:t>
      </w:r>
      <w:r w:rsidRPr="00BF1840">
        <w:rPr>
          <w:szCs w:val="24"/>
        </w:rPr>
        <w:t xml:space="preserve"> the estimated burden to 120 minutes </w:t>
      </w:r>
      <w:r w:rsidR="00531075">
        <w:rPr>
          <w:szCs w:val="24"/>
        </w:rPr>
        <w:t xml:space="preserve">(2 hours) </w:t>
      </w:r>
      <w:r w:rsidRPr="00BF1840">
        <w:rPr>
          <w:szCs w:val="24"/>
        </w:rPr>
        <w:t xml:space="preserve">per vendor applicant for this activity to account for </w:t>
      </w:r>
      <w:r w:rsidRPr="00BF1840" w:rsidR="00F430E9">
        <w:rPr>
          <w:szCs w:val="24"/>
        </w:rPr>
        <w:t>the</w:t>
      </w:r>
      <w:r w:rsidRPr="00BF1840">
        <w:rPr>
          <w:szCs w:val="24"/>
        </w:rPr>
        <w:t xml:space="preserve"> increased estimat</w:t>
      </w:r>
      <w:r w:rsidRPr="00BF1840" w:rsidR="00F430E9">
        <w:rPr>
          <w:szCs w:val="24"/>
        </w:rPr>
        <w:t>e</w:t>
      </w:r>
      <w:r w:rsidRPr="00BF1840">
        <w:rPr>
          <w:szCs w:val="24"/>
        </w:rPr>
        <w:t xml:space="preserve"> </w:t>
      </w:r>
      <w:r w:rsidRPr="00BF1840" w:rsidR="00F430E9">
        <w:rPr>
          <w:szCs w:val="24"/>
        </w:rPr>
        <w:t xml:space="preserve">of </w:t>
      </w:r>
      <w:r w:rsidRPr="00BF1840">
        <w:rPr>
          <w:szCs w:val="24"/>
        </w:rPr>
        <w:t>review and processing of applications and agreements.</w:t>
      </w:r>
    </w:p>
    <w:p w:rsidR="00166C88" w:rsidP="00F129A0" w14:paraId="2356302D" w14:textId="7E4AD9D5">
      <w:pPr>
        <w:pStyle w:val="ListParagraph"/>
        <w:numPr>
          <w:ilvl w:val="0"/>
          <w:numId w:val="4"/>
        </w:numPr>
        <w:rPr>
          <w:szCs w:val="24"/>
        </w:rPr>
      </w:pPr>
      <w:r>
        <w:rPr>
          <w:szCs w:val="24"/>
        </w:rPr>
        <w:t>On</w:t>
      </w:r>
      <w:r w:rsidR="000A4EB1">
        <w:rPr>
          <w:szCs w:val="24"/>
        </w:rPr>
        <w:t>site</w:t>
      </w:r>
      <w:r>
        <w:rPr>
          <w:szCs w:val="24"/>
        </w:rPr>
        <w:t xml:space="preserve"> r</w:t>
      </w:r>
      <w:r w:rsidRPr="7E40A6B1">
        <w:rPr>
          <w:szCs w:val="24"/>
        </w:rPr>
        <w:t xml:space="preserve">outine vendor monitoring: </w:t>
      </w:r>
      <w:r w:rsidR="000A6159">
        <w:rPr>
          <w:szCs w:val="24"/>
        </w:rPr>
        <w:t>To reflect feedback from</w:t>
      </w:r>
      <w:r w:rsidR="00AE2BF7">
        <w:rPr>
          <w:szCs w:val="24"/>
        </w:rPr>
        <w:t xml:space="preserve"> stakeholders that routine monitoring takes longer than the proposed </w:t>
      </w:r>
      <w:r w:rsidR="006639BA">
        <w:rPr>
          <w:szCs w:val="24"/>
        </w:rPr>
        <w:t>80 minutes including travel</w:t>
      </w:r>
      <w:r w:rsidR="000C756E">
        <w:rPr>
          <w:szCs w:val="24"/>
        </w:rPr>
        <w:t xml:space="preserve"> </w:t>
      </w:r>
      <w:r w:rsidR="00C12B66">
        <w:rPr>
          <w:szCs w:val="24"/>
        </w:rPr>
        <w:t>time</w:t>
      </w:r>
      <w:r w:rsidR="006639BA">
        <w:rPr>
          <w:szCs w:val="24"/>
        </w:rPr>
        <w:t xml:space="preserve">, the </w:t>
      </w:r>
      <w:r w:rsidRPr="7E40A6B1">
        <w:rPr>
          <w:szCs w:val="24"/>
        </w:rPr>
        <w:t xml:space="preserve">Department </w:t>
      </w:r>
      <w:r w:rsidR="00BF1840">
        <w:rPr>
          <w:szCs w:val="24"/>
        </w:rPr>
        <w:t>adjusted</w:t>
      </w:r>
      <w:r w:rsidRPr="7E40A6B1">
        <w:rPr>
          <w:szCs w:val="24"/>
        </w:rPr>
        <w:t xml:space="preserve"> the estimated burden to </w:t>
      </w:r>
      <w:r w:rsidR="00F249D2">
        <w:rPr>
          <w:szCs w:val="24"/>
        </w:rPr>
        <w:t>10</w:t>
      </w:r>
      <w:r w:rsidRPr="7E40A6B1">
        <w:rPr>
          <w:szCs w:val="24"/>
        </w:rPr>
        <w:t xml:space="preserve">0 minutes </w:t>
      </w:r>
      <w:r w:rsidR="002B0519">
        <w:rPr>
          <w:szCs w:val="24"/>
        </w:rPr>
        <w:t xml:space="preserve">(1.67 hours) </w:t>
      </w:r>
      <w:r w:rsidRPr="7E40A6B1">
        <w:rPr>
          <w:szCs w:val="24"/>
        </w:rPr>
        <w:t>per vendor for this activity to account for both increased estimate in travel</w:t>
      </w:r>
      <w:r w:rsidR="000C756E">
        <w:rPr>
          <w:szCs w:val="24"/>
        </w:rPr>
        <w:t xml:space="preserve"> </w:t>
      </w:r>
      <w:r w:rsidR="00C12B66">
        <w:rPr>
          <w:szCs w:val="24"/>
        </w:rPr>
        <w:t>time</w:t>
      </w:r>
      <w:r w:rsidRPr="7E40A6B1">
        <w:rPr>
          <w:szCs w:val="24"/>
        </w:rPr>
        <w:t xml:space="preserve"> and the routine monitoring activities that take place.</w:t>
      </w:r>
    </w:p>
    <w:p w:rsidR="00F249D2" w:rsidP="00F129A0" w14:paraId="07B9CAD6" w14:textId="1D3749D6">
      <w:pPr>
        <w:pStyle w:val="ListParagraph"/>
        <w:numPr>
          <w:ilvl w:val="0"/>
          <w:numId w:val="4"/>
        </w:numPr>
        <w:rPr>
          <w:szCs w:val="24"/>
        </w:rPr>
      </w:pPr>
      <w:r>
        <w:rPr>
          <w:szCs w:val="24"/>
        </w:rPr>
        <w:t xml:space="preserve">Virtual </w:t>
      </w:r>
      <w:r w:rsidR="00087265">
        <w:rPr>
          <w:szCs w:val="24"/>
        </w:rPr>
        <w:t xml:space="preserve">routine </w:t>
      </w:r>
      <w:r>
        <w:rPr>
          <w:szCs w:val="24"/>
        </w:rPr>
        <w:t xml:space="preserve">vendor monitoring: </w:t>
      </w:r>
      <w:r w:rsidRPr="7E40A6B1">
        <w:rPr>
          <w:szCs w:val="24"/>
        </w:rPr>
        <w:t xml:space="preserve">The Department proposed the burden for this activity to be </w:t>
      </w:r>
      <w:r w:rsidR="009F4F20">
        <w:rPr>
          <w:szCs w:val="24"/>
        </w:rPr>
        <w:t>60</w:t>
      </w:r>
      <w:r w:rsidRPr="7E40A6B1">
        <w:rPr>
          <w:szCs w:val="24"/>
        </w:rPr>
        <w:t xml:space="preserve"> minutes per vendor. However multiple commenters stated that routine monitoring, including remote monitoring, is likely to take longer. Based on this feedback, the Department increased the estimated burden to </w:t>
      </w:r>
      <w:r w:rsidR="00FE7978">
        <w:rPr>
          <w:szCs w:val="24"/>
        </w:rPr>
        <w:t>7</w:t>
      </w:r>
      <w:r w:rsidR="009F4F20">
        <w:rPr>
          <w:szCs w:val="24"/>
        </w:rPr>
        <w:t>0</w:t>
      </w:r>
      <w:r w:rsidR="002B0519">
        <w:rPr>
          <w:szCs w:val="24"/>
        </w:rPr>
        <w:t xml:space="preserve"> </w:t>
      </w:r>
      <w:r w:rsidRPr="7E40A6B1">
        <w:rPr>
          <w:szCs w:val="24"/>
        </w:rPr>
        <w:t xml:space="preserve">minutes </w:t>
      </w:r>
      <w:r w:rsidR="002B0519">
        <w:rPr>
          <w:szCs w:val="24"/>
        </w:rPr>
        <w:t xml:space="preserve">(1.17 hours) </w:t>
      </w:r>
      <w:r w:rsidRPr="7E40A6B1">
        <w:rPr>
          <w:szCs w:val="24"/>
        </w:rPr>
        <w:t xml:space="preserve">per vendor for this activity to account for </w:t>
      </w:r>
      <w:r w:rsidR="009F4F20">
        <w:rPr>
          <w:szCs w:val="24"/>
        </w:rPr>
        <w:t>an increased estimate.</w:t>
      </w:r>
    </w:p>
    <w:p w:rsidR="00166C88" w:rsidP="1BB34979" w14:paraId="13695A0A" w14:textId="10EBC909">
      <w:pPr>
        <w:pStyle w:val="ListParagraph"/>
        <w:numPr>
          <w:ilvl w:val="0"/>
          <w:numId w:val="4"/>
        </w:numPr>
        <w:rPr>
          <w:szCs w:val="24"/>
        </w:rPr>
      </w:pPr>
      <w:r>
        <w:t>On</w:t>
      </w:r>
      <w:r w:rsidR="000A4EB1">
        <w:t>site</w:t>
      </w:r>
      <w:r>
        <w:t xml:space="preserve"> compliance investigations: </w:t>
      </w:r>
      <w:r w:rsidR="00FE7978">
        <w:t>To reflect feedback from stakeholders that on</w:t>
      </w:r>
      <w:r w:rsidR="000A4EB1">
        <w:t>site</w:t>
      </w:r>
      <w:r w:rsidR="00FE7978">
        <w:t xml:space="preserve"> compliance investigations take longer than 120 minutes per vendor, </w:t>
      </w:r>
      <w:r>
        <w:t xml:space="preserve">the Department </w:t>
      </w:r>
      <w:r w:rsidR="7CF6FF42">
        <w:t xml:space="preserve">adjusted </w:t>
      </w:r>
      <w:r>
        <w:t xml:space="preserve">the estimated burden to </w:t>
      </w:r>
      <w:r w:rsidR="00A275D2">
        <w:t>300 minutes (</w:t>
      </w:r>
      <w:r>
        <w:t>5 hours</w:t>
      </w:r>
      <w:r w:rsidR="00A275D2">
        <w:t>)</w:t>
      </w:r>
      <w:r>
        <w:t xml:space="preserve"> per vendor for this activity to account for both increased estimate in travel</w:t>
      </w:r>
      <w:r w:rsidR="00CD7BCB">
        <w:t xml:space="preserve"> </w:t>
      </w:r>
      <w:r w:rsidR="00C12B66">
        <w:t>time</w:t>
      </w:r>
      <w:r w:rsidR="00112EBF">
        <w:t xml:space="preserve"> and</w:t>
      </w:r>
      <w:r>
        <w:t xml:space="preserve"> the activities that take place.</w:t>
      </w:r>
    </w:p>
    <w:p w:rsidR="00653988" w:rsidRPr="00390DC0" w:rsidP="00F129A0" w14:paraId="4A4278E2" w14:textId="7849E19B">
      <w:pPr>
        <w:pStyle w:val="ListParagraph"/>
        <w:numPr>
          <w:ilvl w:val="0"/>
          <w:numId w:val="4"/>
        </w:numPr>
        <w:rPr>
          <w:szCs w:val="24"/>
        </w:rPr>
      </w:pPr>
      <w:r>
        <w:rPr>
          <w:szCs w:val="24"/>
        </w:rPr>
        <w:t>Virtual compliance investigations:</w:t>
      </w:r>
      <w:r w:rsidRPr="00FE7978" w:rsidR="00FE7978">
        <w:rPr>
          <w:szCs w:val="24"/>
        </w:rPr>
        <w:t xml:space="preserve"> </w:t>
      </w:r>
      <w:r w:rsidRPr="7E40A6B1" w:rsidR="00FE7978">
        <w:rPr>
          <w:szCs w:val="24"/>
        </w:rPr>
        <w:t xml:space="preserve">The Department proposed the burden for this activity to be 120 minutes per vendor. Multiple commenters stated that compliance buys take a significantly longer amount of time, </w:t>
      </w:r>
      <w:r w:rsidR="00390DC0">
        <w:rPr>
          <w:szCs w:val="24"/>
        </w:rPr>
        <w:t>even if done remotely</w:t>
      </w:r>
      <w:r w:rsidRPr="7E40A6B1" w:rsidR="00FE7978">
        <w:rPr>
          <w:szCs w:val="24"/>
        </w:rPr>
        <w:t xml:space="preserve">. Based on this feedback, the Department increased the estimated burden to </w:t>
      </w:r>
      <w:r w:rsidR="004605E2">
        <w:rPr>
          <w:szCs w:val="24"/>
        </w:rPr>
        <w:t>270 minutes (</w:t>
      </w:r>
      <w:r w:rsidR="00390DC0">
        <w:rPr>
          <w:szCs w:val="24"/>
        </w:rPr>
        <w:t>4.</w:t>
      </w:r>
      <w:r w:rsidRPr="7E40A6B1" w:rsidR="00FE7978">
        <w:rPr>
          <w:szCs w:val="24"/>
        </w:rPr>
        <w:t>5 hours</w:t>
      </w:r>
      <w:r w:rsidR="004605E2">
        <w:rPr>
          <w:szCs w:val="24"/>
        </w:rPr>
        <w:t>)</w:t>
      </w:r>
      <w:r w:rsidRPr="7E40A6B1" w:rsidR="00FE7978">
        <w:rPr>
          <w:szCs w:val="24"/>
        </w:rPr>
        <w:t xml:space="preserve"> per vendor for this activity</w:t>
      </w:r>
      <w:r w:rsidR="00390DC0">
        <w:rPr>
          <w:szCs w:val="24"/>
        </w:rPr>
        <w:t>, removing the 30-minute travel</w:t>
      </w:r>
      <w:r w:rsidR="00CD7BCB">
        <w:rPr>
          <w:szCs w:val="24"/>
        </w:rPr>
        <w:t xml:space="preserve"> </w:t>
      </w:r>
      <w:r w:rsidR="00C12B66">
        <w:rPr>
          <w:szCs w:val="24"/>
        </w:rPr>
        <w:t>time</w:t>
      </w:r>
      <w:r w:rsidR="00390DC0">
        <w:rPr>
          <w:szCs w:val="24"/>
        </w:rPr>
        <w:t xml:space="preserve"> accounted for in the on</w:t>
      </w:r>
      <w:r w:rsidR="000A4EB1">
        <w:rPr>
          <w:szCs w:val="24"/>
        </w:rPr>
        <w:t>site</w:t>
      </w:r>
      <w:r w:rsidR="00390DC0">
        <w:rPr>
          <w:szCs w:val="24"/>
        </w:rPr>
        <w:t xml:space="preserve"> compliance investigation.</w:t>
      </w:r>
    </w:p>
    <w:p w:rsidR="004605E2" w:rsidP="00F129A0" w14:paraId="69BA38B2" w14:textId="0126B776">
      <w:pPr>
        <w:pStyle w:val="ListParagraph"/>
        <w:numPr>
          <w:ilvl w:val="0"/>
          <w:numId w:val="4"/>
        </w:numPr>
        <w:rPr>
          <w:szCs w:val="24"/>
        </w:rPr>
      </w:pPr>
      <w:r>
        <w:rPr>
          <w:szCs w:val="24"/>
        </w:rPr>
        <w:t xml:space="preserve">System updates to allow online shopping, including return of benefits: The Department did not initially include the burden associated with updates to State agency systems (EBT and MIS) and vendor systems necessary to implement online shopping. Commenters discussed the significant cost and impact related to these necessary changes and based on feedback provided by State agencies currently implementing online shopping projects, </w:t>
      </w:r>
      <w:r w:rsidR="00533583">
        <w:rPr>
          <w:szCs w:val="24"/>
        </w:rPr>
        <w:t>FNA</w:t>
      </w:r>
      <w:r>
        <w:rPr>
          <w:szCs w:val="24"/>
        </w:rPr>
        <w:t xml:space="preserve"> estimates that on average, each State agency will need to spend 50 hours modifying their EBT and MIS to enable online shopping. The Department estimates that internet vendors will also have a 50-hour burden to update their systems to implement online shopping and incorporated that into this burden estimate.</w:t>
      </w:r>
    </w:p>
    <w:p w:rsidR="00166C88" w:rsidP="00F129A0" w14:paraId="656F7150" w14:textId="4B688CA6">
      <w:pPr>
        <w:pStyle w:val="ListParagraph"/>
        <w:numPr>
          <w:ilvl w:val="0"/>
          <w:numId w:val="4"/>
        </w:numPr>
        <w:rPr>
          <w:szCs w:val="24"/>
        </w:rPr>
      </w:pPr>
      <w:r w:rsidRPr="7E40A6B1">
        <w:rPr>
          <w:szCs w:val="24"/>
        </w:rPr>
        <w:t xml:space="preserve">Development of </w:t>
      </w:r>
      <w:r w:rsidRPr="7E40A6B1" w:rsidR="00C36AAC">
        <w:rPr>
          <w:szCs w:val="24"/>
        </w:rPr>
        <w:t>transaction authentication</w:t>
      </w:r>
      <w:r w:rsidRPr="7E40A6B1">
        <w:rPr>
          <w:szCs w:val="24"/>
        </w:rPr>
        <w:t xml:space="preserve"> policies: The Department proposed the burden for this activity to be 25 hours per State agency. Commenters stated that this was an underestimate and did not take into consideration the hours that to will take State agency to clear these types of policies through State level review. Based on this feedback,</w:t>
      </w:r>
      <w:r w:rsidR="000963DF">
        <w:rPr>
          <w:szCs w:val="24"/>
        </w:rPr>
        <w:t xml:space="preserve"> and to </w:t>
      </w:r>
      <w:r w:rsidR="000963DF">
        <w:rPr>
          <w:szCs w:val="24"/>
        </w:rPr>
        <w:t>account for modification</w:t>
      </w:r>
      <w:r w:rsidR="007F41D4">
        <w:rPr>
          <w:szCs w:val="24"/>
        </w:rPr>
        <w:t>s</w:t>
      </w:r>
      <w:r w:rsidR="000963DF">
        <w:rPr>
          <w:szCs w:val="24"/>
        </w:rPr>
        <w:t xml:space="preserve"> to the provision </w:t>
      </w:r>
      <w:r w:rsidR="00066754">
        <w:rPr>
          <w:szCs w:val="24"/>
        </w:rPr>
        <w:t>that require</w:t>
      </w:r>
      <w:r w:rsidR="007F41D4">
        <w:rPr>
          <w:szCs w:val="24"/>
        </w:rPr>
        <w:t xml:space="preserve"> State agencies to receive written approval from </w:t>
      </w:r>
      <w:r w:rsidR="00533583">
        <w:rPr>
          <w:szCs w:val="24"/>
        </w:rPr>
        <w:t>FNA</w:t>
      </w:r>
      <w:r w:rsidR="007F41D4">
        <w:rPr>
          <w:szCs w:val="24"/>
        </w:rPr>
        <w:t xml:space="preserve"> to adopt an authentication method other than the </w:t>
      </w:r>
      <w:r w:rsidR="00CD7BCB">
        <w:rPr>
          <w:szCs w:val="24"/>
        </w:rPr>
        <w:t>Personal Identification Number (</w:t>
      </w:r>
      <w:r w:rsidR="007F41D4">
        <w:rPr>
          <w:szCs w:val="24"/>
        </w:rPr>
        <w:t>PIN</w:t>
      </w:r>
      <w:r w:rsidR="00CD7BCB">
        <w:rPr>
          <w:szCs w:val="24"/>
        </w:rPr>
        <w:t>)</w:t>
      </w:r>
      <w:r w:rsidR="007F41D4">
        <w:rPr>
          <w:szCs w:val="24"/>
        </w:rPr>
        <w:t>,</w:t>
      </w:r>
      <w:r w:rsidRPr="7E40A6B1">
        <w:rPr>
          <w:szCs w:val="24"/>
        </w:rPr>
        <w:t xml:space="preserve"> the Department increased the estimated burden to 50 hours for this activity.</w:t>
      </w:r>
    </w:p>
    <w:p w:rsidR="003169C2" w:rsidP="003169C2" w14:paraId="5899E92E" w14:textId="77777777">
      <w:pPr>
        <w:spacing w:line="480" w:lineRule="auto"/>
        <w:rPr>
          <w:szCs w:val="24"/>
        </w:rPr>
      </w:pPr>
      <w:r w:rsidRPr="00CD7FC4">
        <w:rPr>
          <w:szCs w:val="24"/>
        </w:rPr>
        <w:t xml:space="preserve">The Department appreciates the feedback provided and incorporated it into the estimates for the final burden. </w:t>
      </w:r>
    </w:p>
    <w:p w:rsidR="003169C2" w:rsidP="003169C2" w14:paraId="6A6FD219" w14:textId="77777777">
      <w:pPr>
        <w:spacing w:line="480" w:lineRule="auto"/>
        <w:rPr>
          <w:szCs w:val="24"/>
        </w:rPr>
      </w:pPr>
    </w:p>
    <w:p w:rsidR="00DC554F" w:rsidRPr="00CD7FC4" w:rsidP="00CD7FC4" w14:paraId="5346FABD" w14:textId="23937157">
      <w:pPr>
        <w:spacing w:after="160" w:line="480" w:lineRule="auto"/>
        <w:rPr>
          <w:szCs w:val="24"/>
        </w:rPr>
      </w:pPr>
      <w:r>
        <w:rPr>
          <w:szCs w:val="24"/>
        </w:rPr>
        <w:t>T</w:t>
      </w:r>
      <w:r w:rsidRPr="00CD7FC4">
        <w:rPr>
          <w:szCs w:val="24"/>
        </w:rPr>
        <w:t>he Department did not change the estimated burden based on public comment feedback for the following provisions:</w:t>
      </w:r>
    </w:p>
    <w:p w:rsidR="00016396" w:rsidP="00F129A0" w14:paraId="569ABBD4" w14:textId="704AA3BE">
      <w:pPr>
        <w:pStyle w:val="ListParagraph"/>
        <w:numPr>
          <w:ilvl w:val="0"/>
          <w:numId w:val="4"/>
        </w:numPr>
        <w:rPr>
          <w:szCs w:val="24"/>
        </w:rPr>
      </w:pPr>
      <w:r w:rsidRPr="7E40A6B1">
        <w:rPr>
          <w:szCs w:val="24"/>
        </w:rPr>
        <w:t xml:space="preserve">Shelf price exemptions: </w:t>
      </w:r>
      <w:r w:rsidRPr="0155029D" w:rsidR="658A6E08">
        <w:rPr>
          <w:szCs w:val="24"/>
        </w:rPr>
        <w:t>Some</w:t>
      </w:r>
      <w:r w:rsidRPr="7E40A6B1">
        <w:rPr>
          <w:szCs w:val="24"/>
        </w:rPr>
        <w:t xml:space="preserve"> State agencies stated that because they utilize shelf price exemptions and do not collect shelf prices, they would not be realizing the benefits of the new provision and therefore the burden estimate was inaccurate. While </w:t>
      </w:r>
      <w:r w:rsidR="00533583">
        <w:rPr>
          <w:szCs w:val="24"/>
        </w:rPr>
        <w:t>FNA</w:t>
      </w:r>
      <w:r w:rsidRPr="7E40A6B1">
        <w:rPr>
          <w:szCs w:val="24"/>
        </w:rPr>
        <w:t xml:space="preserve"> recognizes that some State agencies have already realized the benefits of not collecting shelf prices through the use of exemptions, the goal of this burden assessment is to recognize the decrease in burden hours from an overall regulatory perspective. As this rulemaking permanently removes the requirement to collect shelf prices, the burden reflects the impact on all State agencies, regardless of if they had an exemption.</w:t>
      </w:r>
    </w:p>
    <w:p w:rsidR="007230F8" w:rsidP="00F129A0" w14:paraId="33AC714C" w14:textId="2F5109CA">
      <w:pPr>
        <w:pStyle w:val="ListParagraph"/>
        <w:numPr>
          <w:ilvl w:val="0"/>
          <w:numId w:val="4"/>
        </w:numPr>
      </w:pPr>
      <w:r w:rsidRPr="1FE27BF6">
        <w:t>Participant travel</w:t>
      </w:r>
      <w:r w:rsidR="00DE3EF4">
        <w:t xml:space="preserve"> </w:t>
      </w:r>
      <w:r w:rsidR="00C12B66">
        <w:t>time</w:t>
      </w:r>
      <w:r w:rsidRPr="1FE27BF6">
        <w:t xml:space="preserve"> to clinic: one commenter stated that the participant travel</w:t>
      </w:r>
      <w:r w:rsidR="00DE3EF4">
        <w:t xml:space="preserve"> </w:t>
      </w:r>
      <w:r w:rsidR="00C12B66">
        <w:t>time</w:t>
      </w:r>
      <w:r w:rsidRPr="1FE27BF6">
        <w:t xml:space="preserve"> to </w:t>
      </w:r>
      <w:r w:rsidRPr="1FE27BF6" w:rsidR="001F17FD">
        <w:t>the clinic for benefit pick</w:t>
      </w:r>
      <w:r w:rsidR="0062603C">
        <w:t xml:space="preserve"> </w:t>
      </w:r>
      <w:r w:rsidRPr="1FE27BF6" w:rsidR="001F17FD">
        <w:t>up was underestimated.</w:t>
      </w:r>
      <w:r w:rsidRPr="1FE27BF6" w:rsidR="00782290">
        <w:t xml:space="preserve"> The Department recognizes that the travel</w:t>
      </w:r>
      <w:r w:rsidR="00DE3EF4">
        <w:t xml:space="preserve"> </w:t>
      </w:r>
      <w:r w:rsidR="00C12B66">
        <w:t>time</w:t>
      </w:r>
      <w:r w:rsidRPr="1FE27BF6" w:rsidR="00782290">
        <w:t xml:space="preserve"> for participants in their State agency may be different than the Department’s estimate.</w:t>
      </w:r>
      <w:r w:rsidRPr="1FE27BF6" w:rsidR="001F17FD">
        <w:t xml:space="preserve"> However, the Department’s estimate was based on a survey </w:t>
      </w:r>
      <w:r w:rsidRPr="1FE27BF6" w:rsidR="0026344F">
        <w:t>data</w:t>
      </w:r>
      <w:r>
        <w:rPr>
          <w:rStyle w:val="FootnoteReference"/>
        </w:rPr>
        <w:footnoteReference w:id="3"/>
      </w:r>
      <w:r w:rsidRPr="1FE27BF6" w:rsidR="0026344F">
        <w:t xml:space="preserve"> that represents an accurate </w:t>
      </w:r>
      <w:r w:rsidRPr="1FE27BF6" w:rsidR="0026344F">
        <w:t>sample of participant’s nation</w:t>
      </w:r>
      <w:r w:rsidR="00973B58">
        <w:t>wide</w:t>
      </w:r>
      <w:r w:rsidRPr="1FE27BF6" w:rsidR="0026344F">
        <w:t>, rather than in just one State agency. Therefore, the Department maintains its estimate for participant benefit pick up travel</w:t>
      </w:r>
      <w:r w:rsidR="00DE3EF4">
        <w:t xml:space="preserve"> </w:t>
      </w:r>
      <w:r w:rsidR="00C12B66">
        <w:t>time</w:t>
      </w:r>
      <w:r w:rsidRPr="1FE27BF6" w:rsidR="0026344F">
        <w:t>.</w:t>
      </w:r>
      <w:r>
        <w:rPr>
          <w:szCs w:val="24"/>
        </w:rPr>
        <w:t xml:space="preserve"> </w:t>
      </w:r>
    </w:p>
    <w:p w:rsidR="00DC554F" w:rsidP="00F129A0" w14:paraId="50FFE258" w14:textId="3A2D2DED">
      <w:pPr>
        <w:pStyle w:val="ListParagraph"/>
        <w:numPr>
          <w:ilvl w:val="0"/>
          <w:numId w:val="4"/>
        </w:numPr>
        <w:rPr>
          <w:szCs w:val="24"/>
        </w:rPr>
      </w:pPr>
      <w:r w:rsidRPr="7E40A6B1">
        <w:rPr>
          <w:szCs w:val="24"/>
        </w:rPr>
        <w:t>Reporting Requirements: some commenters stated that the estimated burden impact of quarterly reporting submissions to F</w:t>
      </w:r>
      <w:r w:rsidR="00366B82">
        <w:rPr>
          <w:szCs w:val="24"/>
        </w:rPr>
        <w:t>DP</w:t>
      </w:r>
      <w:r w:rsidRPr="7E40A6B1">
        <w:rPr>
          <w:szCs w:val="24"/>
        </w:rPr>
        <w:t xml:space="preserve"> w</w:t>
      </w:r>
      <w:r w:rsidR="003E3FF8">
        <w:rPr>
          <w:szCs w:val="24"/>
        </w:rPr>
        <w:t>as</w:t>
      </w:r>
      <w:r w:rsidRPr="7E40A6B1">
        <w:rPr>
          <w:szCs w:val="24"/>
        </w:rPr>
        <w:t xml:space="preserve"> underestimated. The Department has reviewed this feedback and will incorporate changes to the burden related to FDP in the separate burden revision under OMB Control Number 0584-0401. </w:t>
      </w:r>
    </w:p>
    <w:p w:rsidR="00E86CD7" w:rsidP="00E86CD7" w14:paraId="4B299AE6" w14:textId="77777777">
      <w:pPr>
        <w:spacing w:line="480" w:lineRule="auto"/>
        <w:rPr>
          <w:szCs w:val="24"/>
        </w:rPr>
      </w:pPr>
    </w:p>
    <w:p w:rsidR="00732D7F" w:rsidP="00E86CD7" w14:paraId="52B62A5D" w14:textId="6AB8B5F6">
      <w:pPr>
        <w:spacing w:line="480" w:lineRule="auto"/>
        <w:rPr>
          <w:szCs w:val="24"/>
        </w:rPr>
      </w:pPr>
      <w:r>
        <w:rPr>
          <w:szCs w:val="24"/>
        </w:rPr>
        <w:t xml:space="preserve">The Department </w:t>
      </w:r>
      <w:r w:rsidR="000508A7">
        <w:rPr>
          <w:szCs w:val="24"/>
        </w:rPr>
        <w:t xml:space="preserve">has </w:t>
      </w:r>
      <w:r>
        <w:rPr>
          <w:szCs w:val="24"/>
        </w:rPr>
        <w:t xml:space="preserve">made </w:t>
      </w:r>
      <w:r w:rsidR="000508A7">
        <w:rPr>
          <w:szCs w:val="24"/>
        </w:rPr>
        <w:t>several additional changes to the estimated burden</w:t>
      </w:r>
      <w:r>
        <w:rPr>
          <w:szCs w:val="24"/>
        </w:rPr>
        <w:t>:</w:t>
      </w:r>
    </w:p>
    <w:p w:rsidR="008F16F4" w:rsidRPr="008F16F4" w:rsidP="4FE94C9D" w14:paraId="17CF1E22" w14:textId="4B919AE3">
      <w:pPr>
        <w:pStyle w:val="ListParagraph"/>
        <w:numPr>
          <w:ilvl w:val="0"/>
          <w:numId w:val="4"/>
        </w:numPr>
      </w:pPr>
      <w:r>
        <w:t xml:space="preserve">Baseline numbers: The baseline number of hours currently approved under OMB Control Number 0584-0043 have been updated since the proposed rule was published, due to the regular revision of the WIC </w:t>
      </w:r>
      <w:r w:rsidR="6E614BB3">
        <w:t>p</w:t>
      </w:r>
      <w:r>
        <w:t xml:space="preserve">rogram </w:t>
      </w:r>
      <w:r w:rsidR="131D6903">
        <w:t>i</w:t>
      </w:r>
      <w:r>
        <w:t xml:space="preserve">nformation </w:t>
      </w:r>
      <w:r w:rsidR="62674A01">
        <w:t>c</w:t>
      </w:r>
      <w:r>
        <w:t xml:space="preserve">ollection </w:t>
      </w:r>
      <w:r w:rsidR="3385984C">
        <w:t>r</w:t>
      </w:r>
      <w:r>
        <w:t xml:space="preserve">equest (ICR). The impact of this final rule on the overall WIC </w:t>
      </w:r>
      <w:r w:rsidR="103FDA11">
        <w:t>p</w:t>
      </w:r>
      <w:r>
        <w:t xml:space="preserve">rogram information collection burden therefore reflects estimated changes to the updated baseline numbers.  </w:t>
      </w:r>
    </w:p>
    <w:p w:rsidR="008F16F4" w:rsidP="008F16F4" w14:paraId="3DCE4219" w14:textId="24190577">
      <w:pPr>
        <w:pStyle w:val="ListParagraph"/>
        <w:numPr>
          <w:ilvl w:val="0"/>
          <w:numId w:val="4"/>
        </w:numPr>
      </w:pPr>
      <w:r>
        <w:t xml:space="preserve">Updated program data: Since the WIC </w:t>
      </w:r>
      <w:r w:rsidR="24B14E5F">
        <w:t>p</w:t>
      </w:r>
      <w:r>
        <w:t xml:space="preserve">rogram ICR was last approved, there has been a decrease in the number of State agencies, an increase in the number of vendors, and an increase in the number of participants. The estimated burden associated with this final rule is calculated using the most recent available program data. Changes to the burden estimates from updated program data are classified as “program adjustments,” while changes to the burden as a result of the final rule are classified as “program changes.”  </w:t>
      </w:r>
    </w:p>
    <w:p w:rsidR="00C9746C" w:rsidP="008F16F4" w14:paraId="53B71579" w14:textId="54F8B577">
      <w:pPr>
        <w:pStyle w:val="ListParagraph"/>
        <w:numPr>
          <w:ilvl w:val="0"/>
          <w:numId w:val="4"/>
        </w:numPr>
        <w:rPr>
          <w:szCs w:val="24"/>
        </w:rPr>
      </w:pPr>
      <w:r w:rsidRPr="00C9746C">
        <w:rPr>
          <w:szCs w:val="24"/>
        </w:rPr>
        <w:t xml:space="preserve">Revised estimates of online shopping uptake: In the proposed rule, the Department estimated that 80 State agencies would implement online shopping and that each State agency would authorize approximately </w:t>
      </w:r>
      <w:r w:rsidR="00FD516A">
        <w:rPr>
          <w:szCs w:val="24"/>
        </w:rPr>
        <w:t>five</w:t>
      </w:r>
      <w:r w:rsidRPr="00C9746C">
        <w:rPr>
          <w:szCs w:val="24"/>
        </w:rPr>
        <w:t xml:space="preserve"> internet vendors, resulting in 400 internet vendors. These estimates were based on the number of State agencies with online EBT </w:t>
      </w:r>
      <w:r w:rsidRPr="00C9746C">
        <w:rPr>
          <w:szCs w:val="24"/>
        </w:rPr>
        <w:t xml:space="preserve">systems and </w:t>
      </w:r>
      <w:r w:rsidR="002026CE">
        <w:rPr>
          <w:szCs w:val="24"/>
        </w:rPr>
        <w:t>the Supplemental Nutrition Assistance Program’s (</w:t>
      </w:r>
      <w:r w:rsidRPr="00C9746C">
        <w:rPr>
          <w:szCs w:val="24"/>
        </w:rPr>
        <w:t>SNAP</w:t>
      </w:r>
      <w:r w:rsidR="002026CE">
        <w:rPr>
          <w:szCs w:val="24"/>
        </w:rPr>
        <w:t>)</w:t>
      </w:r>
      <w:r w:rsidRPr="00C9746C">
        <w:rPr>
          <w:szCs w:val="24"/>
        </w:rPr>
        <w:t xml:space="preserve"> experiences with online shopping. The Department is revising these numbers to estimate that approximately half of WIC State agencies (44) will implement online shopping in the first five years following the rule’s publication and that each State agency will authorize 2 to 3 internet vendors, resulting in 110 internet vendors. These updated estimates are based on experiences with ongoing WIC online shopping projects.  </w:t>
      </w:r>
    </w:p>
    <w:p w:rsidR="000A6CB4" w:rsidP="008F16F4" w14:paraId="3233EE8C" w14:textId="14C2826E">
      <w:pPr>
        <w:pStyle w:val="ListParagraph"/>
        <w:numPr>
          <w:ilvl w:val="0"/>
          <w:numId w:val="4"/>
        </w:numPr>
        <w:rPr>
          <w:szCs w:val="24"/>
        </w:rPr>
      </w:pPr>
      <w:r>
        <w:rPr>
          <w:szCs w:val="24"/>
        </w:rPr>
        <w:t>Correction of error in a previous submission: T</w:t>
      </w:r>
      <w:r w:rsidR="006E63D4">
        <w:rPr>
          <w:szCs w:val="24"/>
        </w:rPr>
        <w:t xml:space="preserve">he </w:t>
      </w:r>
      <w:r>
        <w:rPr>
          <w:szCs w:val="24"/>
        </w:rPr>
        <w:t xml:space="preserve">currently approved </w:t>
      </w:r>
      <w:r w:rsidR="006E63D4">
        <w:rPr>
          <w:szCs w:val="24"/>
        </w:rPr>
        <w:t xml:space="preserve">burden </w:t>
      </w:r>
      <w:r>
        <w:rPr>
          <w:szCs w:val="24"/>
        </w:rPr>
        <w:t xml:space="preserve">for State agency recordkeeping activities related to vendor incentive items </w:t>
      </w:r>
      <w:r w:rsidR="00855AFD">
        <w:rPr>
          <w:szCs w:val="24"/>
        </w:rPr>
        <w:t>has</w:t>
      </w:r>
      <w:r>
        <w:rPr>
          <w:szCs w:val="24"/>
        </w:rPr>
        <w:t xml:space="preserve"> </w:t>
      </w:r>
      <w:r w:rsidR="006E63D4">
        <w:rPr>
          <w:szCs w:val="24"/>
        </w:rPr>
        <w:t xml:space="preserve">an inaccurate number for the total number of above-50-vendors </w:t>
      </w:r>
      <w:r w:rsidRPr="0155029D" w:rsidR="658A6E08">
        <w:rPr>
          <w:szCs w:val="24"/>
        </w:rPr>
        <w:t>used to estimate the burden associated with State agency record keeping for this burden activity. The accurate number is</w:t>
      </w:r>
      <w:r w:rsidR="00AE39EE">
        <w:rPr>
          <w:szCs w:val="24"/>
        </w:rPr>
        <w:t xml:space="preserve"> used for this updated burden and therefore </w:t>
      </w:r>
      <w:r w:rsidR="00BF5C01">
        <w:rPr>
          <w:szCs w:val="24"/>
        </w:rPr>
        <w:t>while program changes would result in an increase to the burden, there is an overall decrease in burden hours associated with this activity.</w:t>
      </w:r>
      <w:r w:rsidR="00AE39EE">
        <w:rPr>
          <w:szCs w:val="24"/>
        </w:rPr>
        <w:t xml:space="preserve"> </w:t>
      </w:r>
    </w:p>
    <w:p w:rsidR="00855AFD" w:rsidRPr="00855AFD" w:rsidP="00855AFD" w14:paraId="2319BD85" w14:textId="7F6E8AF0">
      <w:pPr>
        <w:pStyle w:val="ListParagraph"/>
        <w:numPr>
          <w:ilvl w:val="0"/>
          <w:numId w:val="4"/>
        </w:numPr>
        <w:rPr>
          <w:szCs w:val="24"/>
        </w:rPr>
      </w:pPr>
      <w:r w:rsidRPr="00855AFD">
        <w:rPr>
          <w:szCs w:val="24"/>
        </w:rPr>
        <w:t>Additional implementation burden: The Department has also added a one</w:t>
      </w:r>
      <w:r w:rsidR="008551DB">
        <w:rPr>
          <w:szCs w:val="24"/>
        </w:rPr>
        <w:t xml:space="preserve"> </w:t>
      </w:r>
      <w:r w:rsidR="00EC0AC0">
        <w:rPr>
          <w:szCs w:val="24"/>
        </w:rPr>
        <w:t>time</w:t>
      </w:r>
      <w:r w:rsidRPr="00855AFD">
        <w:rPr>
          <w:szCs w:val="24"/>
        </w:rPr>
        <w:t xml:space="preserve"> implementation burden associated with activities that </w:t>
      </w:r>
      <w:r w:rsidR="00533583">
        <w:rPr>
          <w:szCs w:val="24"/>
        </w:rPr>
        <w:t>FNA</w:t>
      </w:r>
      <w:r w:rsidRPr="00855AFD">
        <w:rPr>
          <w:szCs w:val="24"/>
        </w:rPr>
        <w:t xml:space="preserve"> may ask State agencies that are changing their food delivery systems to complete, such as</w:t>
      </w:r>
      <w:r w:rsidR="00675797">
        <w:rPr>
          <w:szCs w:val="24"/>
        </w:rPr>
        <w:t xml:space="preserve"> the WIC Online Shopping Final Rule Implementation Checklist (see Appendix </w:t>
      </w:r>
      <w:r w:rsidR="00B0647F">
        <w:rPr>
          <w:szCs w:val="24"/>
        </w:rPr>
        <w:t>C</w:t>
      </w:r>
      <w:r w:rsidR="00675797">
        <w:rPr>
          <w:szCs w:val="24"/>
        </w:rPr>
        <w:t>),</w:t>
      </w:r>
      <w:r w:rsidRPr="00855AFD">
        <w:rPr>
          <w:szCs w:val="24"/>
        </w:rPr>
        <w:t xml:space="preserve"> status reports, additional trainings, and reviewing guidance materials.  </w:t>
      </w:r>
    </w:p>
    <w:p w:rsidR="00855AFD" w:rsidRPr="000A6CB4" w:rsidP="00855AFD" w14:paraId="23E8BDE3" w14:textId="62F764E8">
      <w:pPr>
        <w:pStyle w:val="ListParagraph"/>
        <w:numPr>
          <w:ilvl w:val="0"/>
          <w:numId w:val="4"/>
        </w:numPr>
        <w:rPr>
          <w:szCs w:val="24"/>
        </w:rPr>
      </w:pPr>
      <w:r w:rsidRPr="00855AFD">
        <w:rPr>
          <w:szCs w:val="24"/>
        </w:rPr>
        <w:t xml:space="preserve">Adjusted for provisions not finalized: The Department is not adopting the proposed revisions that would have increased the maximum length of vendor agreement periods and the minimum frequency that State agencies must accept and process vendor applications from three to five years. Therefore, the burden associated with vendor agreements and applications have been adjusted to no longer reflect this decreased frequency.  </w:t>
      </w:r>
    </w:p>
    <w:p w:rsidR="00C17A1B" w:rsidP="003169C2" w14:paraId="4E91BC26" w14:textId="77777777">
      <w:pPr>
        <w:spacing w:after="240"/>
        <w:rPr>
          <w:b/>
          <w:szCs w:val="24"/>
        </w:rPr>
      </w:pPr>
    </w:p>
    <w:p w:rsidR="00FB2F66" w:rsidP="00FB2F66" w14:paraId="5B067BA1" w14:textId="28C0D959">
      <w:pPr>
        <w:rPr>
          <w:b/>
          <w:szCs w:val="24"/>
        </w:rPr>
      </w:pPr>
      <w:r w:rsidRPr="002568E6">
        <w:rPr>
          <w:b/>
          <w:szCs w:val="24"/>
        </w:rPr>
        <w:t xml:space="preserve">Describe efforts to consult with persons outside the agency to obtain their views on the availability of data, frequency of collection, the clarity of instructions and recordkeeping, disclosure, or reporting format (if any), and on the data elements to be recorded, disclosed, or reported.  </w:t>
      </w:r>
    </w:p>
    <w:p w:rsidR="00CC2FAF" w:rsidP="00FB2F66" w14:paraId="3FDAF38C" w14:textId="77777777">
      <w:pPr>
        <w:rPr>
          <w:b/>
          <w:szCs w:val="24"/>
        </w:rPr>
      </w:pPr>
    </w:p>
    <w:p w:rsidR="003D6EDB" w:rsidP="00CC2FAF" w14:paraId="251E08BD" w14:textId="05C64388">
      <w:pPr>
        <w:spacing w:line="480" w:lineRule="auto"/>
        <w:rPr>
          <w:bCs/>
          <w:szCs w:val="24"/>
        </w:rPr>
      </w:pPr>
      <w:r w:rsidRPr="003D6EDB">
        <w:rPr>
          <w:bCs/>
          <w:szCs w:val="24"/>
        </w:rPr>
        <w:t xml:space="preserve">When </w:t>
      </w:r>
      <w:r w:rsidR="00533583">
        <w:rPr>
          <w:bCs/>
          <w:szCs w:val="24"/>
        </w:rPr>
        <w:t>FNA</w:t>
      </w:r>
      <w:r w:rsidRPr="003D6EDB">
        <w:rPr>
          <w:bCs/>
          <w:szCs w:val="24"/>
        </w:rPr>
        <w:t xml:space="preserve"> finalizes </w:t>
      </w:r>
      <w:r w:rsidR="00985B9D">
        <w:rPr>
          <w:bCs/>
          <w:szCs w:val="24"/>
        </w:rPr>
        <w:t>the</w:t>
      </w:r>
      <w:r w:rsidRPr="003D6EDB" w:rsidR="00985B9D">
        <w:rPr>
          <w:bCs/>
          <w:szCs w:val="24"/>
        </w:rPr>
        <w:t xml:space="preserve"> </w:t>
      </w:r>
      <w:r w:rsidRPr="003D6EDB">
        <w:rPr>
          <w:bCs/>
          <w:szCs w:val="24"/>
        </w:rPr>
        <w:t xml:space="preserve">information collection package, the package will be available through </w:t>
      </w:r>
      <w:hyperlink r:id="rId10" w:history="1">
        <w:r w:rsidRPr="005D2995">
          <w:rPr>
            <w:rStyle w:val="Hyperlink"/>
            <w:bCs/>
            <w:szCs w:val="24"/>
          </w:rPr>
          <w:t>www.regulations.gov</w:t>
        </w:r>
      </w:hyperlink>
      <w:r>
        <w:rPr>
          <w:bCs/>
          <w:szCs w:val="24"/>
        </w:rPr>
        <w:t xml:space="preserve"> </w:t>
      </w:r>
      <w:r w:rsidRPr="003D6EDB">
        <w:rPr>
          <w:bCs/>
          <w:szCs w:val="24"/>
        </w:rPr>
        <w:t xml:space="preserve">for review and comment by stakeholders such as State agencies, community groups, and the public regarding any proposed changes as the result of legislative, regulatory, or administrative changes. </w:t>
      </w:r>
      <w:r w:rsidR="00533583">
        <w:rPr>
          <w:bCs/>
          <w:szCs w:val="24"/>
        </w:rPr>
        <w:t>FNA</w:t>
      </w:r>
      <w:r w:rsidRPr="003D6EDB">
        <w:rPr>
          <w:bCs/>
          <w:szCs w:val="24"/>
        </w:rPr>
        <w:t xml:space="preserve"> </w:t>
      </w:r>
      <w:r w:rsidR="00003216">
        <w:rPr>
          <w:bCs/>
          <w:szCs w:val="24"/>
        </w:rPr>
        <w:t xml:space="preserve">National Office </w:t>
      </w:r>
      <w:r w:rsidRPr="003D6EDB">
        <w:rPr>
          <w:bCs/>
          <w:szCs w:val="24"/>
        </w:rPr>
        <w:t xml:space="preserve">consults with </w:t>
      </w:r>
      <w:r w:rsidR="00533583">
        <w:rPr>
          <w:bCs/>
          <w:szCs w:val="24"/>
        </w:rPr>
        <w:t>FNA</w:t>
      </w:r>
      <w:r w:rsidRPr="003D6EDB">
        <w:rPr>
          <w:bCs/>
          <w:szCs w:val="24"/>
        </w:rPr>
        <w:t xml:space="preserve"> </w:t>
      </w:r>
      <w:r w:rsidR="00003216">
        <w:rPr>
          <w:bCs/>
          <w:szCs w:val="24"/>
        </w:rPr>
        <w:t>offices</w:t>
      </w:r>
      <w:r w:rsidR="00D06C1C">
        <w:rPr>
          <w:bCs/>
          <w:szCs w:val="24"/>
        </w:rPr>
        <w:t xml:space="preserve"> across the country </w:t>
      </w:r>
      <w:r w:rsidRPr="003D6EDB">
        <w:rPr>
          <w:bCs/>
          <w:szCs w:val="24"/>
        </w:rPr>
        <w:t xml:space="preserve">regarding any proposed changes as the result of legislative, regulatory, or administrative changes. </w:t>
      </w:r>
      <w:r w:rsidR="00533583">
        <w:rPr>
          <w:bCs/>
          <w:szCs w:val="24"/>
        </w:rPr>
        <w:t>FNA</w:t>
      </w:r>
      <w:r w:rsidR="00003216">
        <w:rPr>
          <w:bCs/>
          <w:szCs w:val="24"/>
        </w:rPr>
        <w:t xml:space="preserve"> offices</w:t>
      </w:r>
      <w:r w:rsidRPr="003D6EDB">
        <w:rPr>
          <w:bCs/>
          <w:szCs w:val="24"/>
        </w:rPr>
        <w:t xml:space="preserve"> are in daily contact with State agencies, which provide feedback on </w:t>
      </w:r>
      <w:r w:rsidR="00533583">
        <w:rPr>
          <w:bCs/>
          <w:szCs w:val="24"/>
        </w:rPr>
        <w:t>FNA</w:t>
      </w:r>
      <w:r w:rsidRPr="003D6EDB">
        <w:rPr>
          <w:bCs/>
          <w:szCs w:val="24"/>
        </w:rPr>
        <w:t xml:space="preserve"> processes and procedures for this information collection. Feedback from the State agencies is then used by </w:t>
      </w:r>
      <w:r w:rsidR="00533583">
        <w:rPr>
          <w:bCs/>
          <w:szCs w:val="24"/>
        </w:rPr>
        <w:t>FNA</w:t>
      </w:r>
      <w:r w:rsidRPr="003D6EDB">
        <w:rPr>
          <w:bCs/>
          <w:szCs w:val="24"/>
        </w:rPr>
        <w:t xml:space="preserve"> to help shape the burden estimates for this collection.</w:t>
      </w:r>
    </w:p>
    <w:p w:rsidR="00357B03" w:rsidP="00FB2F66" w14:paraId="37B6666D" w14:textId="77777777">
      <w:pPr>
        <w:rPr>
          <w:bCs/>
          <w:szCs w:val="24"/>
        </w:rPr>
      </w:pPr>
    </w:p>
    <w:p w:rsidR="00FB2F66" w:rsidRPr="002568E6" w:rsidP="00FB2F66" w14:paraId="7D8C2A86" w14:textId="4F367A7E">
      <w:pPr>
        <w:rPr>
          <w:b/>
          <w:szCs w:val="24"/>
        </w:rPr>
      </w:pPr>
      <w:r w:rsidRPr="002568E6">
        <w:rPr>
          <w:b/>
          <w:szCs w:val="24"/>
        </w:rPr>
        <w:t>Consultation with representatives of those from whom information is to be obtained or those who must compile records should occur at least once every 3 years even if the collection of information activity is the same as in prior years. There may be circumstances that may preclude consultation in a specific situation. These circumstances should be explained.</w:t>
      </w:r>
    </w:p>
    <w:p w:rsidR="003F621A" w:rsidP="00BA58F8" w14:paraId="1C1BD1F3" w14:textId="77777777">
      <w:pPr>
        <w:tabs>
          <w:tab w:val="num" w:pos="0"/>
        </w:tabs>
        <w:rPr>
          <w:szCs w:val="24"/>
        </w:rPr>
      </w:pPr>
    </w:p>
    <w:p w:rsidR="00CC2FAF" w:rsidP="36A235E9" w14:paraId="55D79D87" w14:textId="3AE2AF3C">
      <w:pPr>
        <w:spacing w:line="480" w:lineRule="auto"/>
      </w:pPr>
      <w:r>
        <w:t>FNA</w:t>
      </w:r>
      <w:r w:rsidR="0045478E">
        <w:t xml:space="preserve"> held a consultation with Tribal leaders and representatives on key issues related to the proposed rule. Tribal leaders were generally supportive of online shopping for WIC, which may increase access to food benefits for those with limited access to a physical store. Tribal leaders provided substantive feedback that was taken into consideration during the development of this rule, including concern for the barriers that fees related to online ordering could pose to participants who </w:t>
      </w:r>
      <w:r w:rsidR="00BD6624">
        <w:t xml:space="preserve">would like </w:t>
      </w:r>
      <w:r w:rsidR="0045478E">
        <w:t xml:space="preserve">to use WIC online shopping options. </w:t>
      </w:r>
      <w:r>
        <w:t>FNA</w:t>
      </w:r>
      <w:r w:rsidR="0045478E">
        <w:t xml:space="preserve"> will explore additional opportunities for engagement as needed.  </w:t>
      </w:r>
    </w:p>
    <w:p w:rsidR="00CC2FAF" w:rsidP="00CC2FAF" w14:paraId="4BC32274" w14:textId="77777777">
      <w:pPr>
        <w:spacing w:line="480" w:lineRule="auto"/>
        <w:rPr>
          <w:bCs/>
          <w:szCs w:val="24"/>
        </w:rPr>
      </w:pPr>
    </w:p>
    <w:p w:rsidR="00723A74" w:rsidP="00723A74" w14:paraId="7AE79695" w14:textId="5C67772F">
      <w:pPr>
        <w:spacing w:line="480" w:lineRule="auto"/>
        <w:rPr>
          <w:bCs/>
          <w:szCs w:val="24"/>
        </w:rPr>
      </w:pPr>
      <w:r>
        <w:rPr>
          <w:bCs/>
          <w:szCs w:val="24"/>
        </w:rPr>
        <w:t>FNA</w:t>
      </w:r>
      <w:r w:rsidR="00FA4A0B">
        <w:rPr>
          <w:bCs/>
          <w:szCs w:val="24"/>
        </w:rPr>
        <w:t xml:space="preserve"> National Office</w:t>
      </w:r>
      <w:r w:rsidRPr="00EB3358" w:rsidR="0045478E">
        <w:rPr>
          <w:bCs/>
          <w:szCs w:val="24"/>
        </w:rPr>
        <w:t xml:space="preserve"> consults with </w:t>
      </w:r>
      <w:r>
        <w:rPr>
          <w:bCs/>
          <w:szCs w:val="24"/>
        </w:rPr>
        <w:t>FNA</w:t>
      </w:r>
      <w:r w:rsidRPr="00EB3358" w:rsidR="0045478E">
        <w:rPr>
          <w:bCs/>
          <w:szCs w:val="24"/>
        </w:rPr>
        <w:t xml:space="preserve"> </w:t>
      </w:r>
      <w:r w:rsidR="00FA4A0B">
        <w:rPr>
          <w:bCs/>
          <w:szCs w:val="24"/>
        </w:rPr>
        <w:t xml:space="preserve">offices across the country </w:t>
      </w:r>
      <w:r w:rsidRPr="00EB3358" w:rsidR="0045478E">
        <w:rPr>
          <w:bCs/>
          <w:szCs w:val="24"/>
        </w:rPr>
        <w:t xml:space="preserve">regarding any proposed </w:t>
      </w:r>
      <w:r w:rsidRPr="00EB3358" w:rsidR="0045478E">
        <w:rPr>
          <w:bCs/>
          <w:szCs w:val="24"/>
        </w:rPr>
        <w:t xml:space="preserve">changes as the result of legislative, regulatory, or administrative changes. </w:t>
      </w:r>
      <w:r>
        <w:rPr>
          <w:bCs/>
          <w:szCs w:val="24"/>
        </w:rPr>
        <w:t>FNA</w:t>
      </w:r>
      <w:r w:rsidR="00FA4A0B">
        <w:rPr>
          <w:bCs/>
          <w:szCs w:val="24"/>
        </w:rPr>
        <w:t xml:space="preserve"> offices</w:t>
      </w:r>
      <w:r w:rsidRPr="00EB3358" w:rsidR="0045478E">
        <w:rPr>
          <w:bCs/>
          <w:szCs w:val="24"/>
        </w:rPr>
        <w:t xml:space="preserve"> are in daily contact with State agencies, which provide feedback on </w:t>
      </w:r>
      <w:r>
        <w:rPr>
          <w:bCs/>
          <w:szCs w:val="24"/>
        </w:rPr>
        <w:t>FNA</w:t>
      </w:r>
      <w:r w:rsidRPr="00EB3358" w:rsidR="0045478E">
        <w:rPr>
          <w:bCs/>
          <w:szCs w:val="24"/>
        </w:rPr>
        <w:t xml:space="preserve"> processes and procedures for this information collection. Feedback from the State agencies is then used by </w:t>
      </w:r>
      <w:r>
        <w:rPr>
          <w:bCs/>
          <w:szCs w:val="24"/>
        </w:rPr>
        <w:t>FNA</w:t>
      </w:r>
      <w:r w:rsidRPr="00EB3358" w:rsidR="0045478E">
        <w:rPr>
          <w:bCs/>
          <w:szCs w:val="24"/>
        </w:rPr>
        <w:t xml:space="preserve"> to help shape the burden estimates for this collection.</w:t>
      </w:r>
    </w:p>
    <w:p w:rsidR="00ED28F2" w:rsidRPr="0078008C" w:rsidP="00723A74" w14:paraId="725207E7" w14:textId="5DFE2BEA">
      <w:pPr>
        <w:spacing w:line="480" w:lineRule="auto"/>
        <w:rPr>
          <w:bCs/>
          <w:szCs w:val="24"/>
        </w:rPr>
      </w:pPr>
      <w:r w:rsidRPr="00304DFF">
        <w:rPr>
          <w:bCs/>
          <w:szCs w:val="24"/>
        </w:rPr>
        <w:tab/>
      </w:r>
    </w:p>
    <w:p w:rsidR="006B5979" w:rsidRPr="00042EC2" w:rsidP="006B5979" w14:paraId="051FA85D" w14:textId="77777777">
      <w:pPr>
        <w:pStyle w:val="Heading1"/>
      </w:pPr>
      <w:bookmarkStart w:id="24" w:name="_Toc115788677"/>
      <w:bookmarkEnd w:id="22"/>
      <w:bookmarkEnd w:id="23"/>
      <w:r>
        <w:t>A9.  Explain any decisions to provide any payment or gift to respondents.</w:t>
      </w:r>
      <w:bookmarkEnd w:id="24"/>
      <w:r>
        <w:t xml:space="preserve">  </w:t>
      </w:r>
    </w:p>
    <w:p w:rsidR="006B5979" w:rsidRPr="00042EC2" w:rsidP="006B5979" w14:paraId="2A8AB60D" w14:textId="77777777">
      <w:pPr>
        <w:tabs>
          <w:tab w:val="left" w:pos="0"/>
        </w:tabs>
        <w:suppressAutoHyphens/>
        <w:rPr>
          <w:szCs w:val="24"/>
        </w:rPr>
      </w:pPr>
    </w:p>
    <w:p w:rsidR="006B5979" w:rsidRPr="00042EC2" w:rsidP="006B5979" w14:paraId="2676E864" w14:textId="77777777">
      <w:pPr>
        <w:tabs>
          <w:tab w:val="left" w:pos="0"/>
        </w:tabs>
        <w:suppressAutoHyphens/>
        <w:rPr>
          <w:b/>
          <w:szCs w:val="24"/>
        </w:rPr>
      </w:pPr>
      <w:r w:rsidRPr="00042EC2">
        <w:rPr>
          <w:b/>
          <w:szCs w:val="24"/>
        </w:rPr>
        <w:t>Explain any decision to provide any payment or gift to respondents, other than remuneration of contractors or grantees.</w:t>
      </w:r>
    </w:p>
    <w:p w:rsidR="00ED28F2" w:rsidRPr="002568E6" w:rsidP="00ED28F2" w14:paraId="3DC81150" w14:textId="77777777">
      <w:pPr>
        <w:tabs>
          <w:tab w:val="left" w:pos="-720"/>
        </w:tabs>
        <w:suppressAutoHyphens/>
        <w:rPr>
          <w:szCs w:val="24"/>
        </w:rPr>
      </w:pPr>
    </w:p>
    <w:p w:rsidR="00ED28F2" w:rsidP="003F621A" w14:paraId="3F4D027A" w14:textId="17DB599C">
      <w:pPr>
        <w:tabs>
          <w:tab w:val="num" w:pos="540"/>
        </w:tabs>
        <w:spacing w:line="480" w:lineRule="auto"/>
        <w:ind w:left="540" w:hanging="540"/>
        <w:rPr>
          <w:bCs/>
          <w:szCs w:val="24"/>
        </w:rPr>
      </w:pPr>
      <w:r>
        <w:rPr>
          <w:bCs/>
          <w:szCs w:val="24"/>
        </w:rPr>
        <w:t>N</w:t>
      </w:r>
      <w:r w:rsidRPr="0022020A" w:rsidR="00EC07F7">
        <w:rPr>
          <w:bCs/>
          <w:szCs w:val="24"/>
        </w:rPr>
        <w:t>o payment or gift</w:t>
      </w:r>
      <w:r>
        <w:rPr>
          <w:bCs/>
          <w:szCs w:val="24"/>
        </w:rPr>
        <w:t xml:space="preserve"> will be provided</w:t>
      </w:r>
      <w:r w:rsidRPr="0022020A" w:rsidR="00EC07F7">
        <w:rPr>
          <w:bCs/>
          <w:szCs w:val="24"/>
        </w:rPr>
        <w:t xml:space="preserve"> to respondents.</w:t>
      </w:r>
    </w:p>
    <w:p w:rsidR="003F621A" w:rsidRPr="003F621A" w:rsidP="003F621A" w14:paraId="0864E90D" w14:textId="77777777">
      <w:pPr>
        <w:tabs>
          <w:tab w:val="num" w:pos="540"/>
        </w:tabs>
        <w:spacing w:line="480" w:lineRule="auto"/>
        <w:ind w:left="540" w:hanging="540"/>
        <w:rPr>
          <w:bCs/>
          <w:szCs w:val="24"/>
        </w:rPr>
      </w:pPr>
    </w:p>
    <w:p w:rsidR="002C7953" w:rsidRPr="00042EC2" w:rsidP="002C7953" w14:paraId="3F930C06" w14:textId="77777777">
      <w:pPr>
        <w:pStyle w:val="Heading1"/>
      </w:pPr>
      <w:bookmarkStart w:id="25" w:name="_Toc401831366"/>
      <w:bookmarkStart w:id="26" w:name="_Toc83710921"/>
      <w:bookmarkStart w:id="27" w:name="_Toc115788678"/>
      <w:r>
        <w:t>A10.  Assurances of confidentiality provided to respondents.</w:t>
      </w:r>
      <w:bookmarkEnd w:id="25"/>
      <w:bookmarkEnd w:id="26"/>
      <w:bookmarkEnd w:id="27"/>
      <w:r>
        <w:t xml:space="preserve">  </w:t>
      </w:r>
    </w:p>
    <w:p w:rsidR="002C7953" w:rsidRPr="00042EC2" w:rsidP="002C7953" w14:paraId="07412038" w14:textId="77777777">
      <w:pPr>
        <w:rPr>
          <w:szCs w:val="24"/>
        </w:rPr>
      </w:pPr>
    </w:p>
    <w:p w:rsidR="002C7953" w:rsidRPr="00042EC2" w:rsidP="002C7953" w14:paraId="687DB63E" w14:textId="77777777">
      <w:pPr>
        <w:pStyle w:val="ListParagraph"/>
        <w:spacing w:line="240" w:lineRule="auto"/>
        <w:ind w:left="0"/>
        <w:rPr>
          <w:b/>
          <w:szCs w:val="24"/>
        </w:rPr>
      </w:pPr>
      <w:r w:rsidRPr="00042EC2">
        <w:rPr>
          <w:b/>
          <w:szCs w:val="24"/>
        </w:rPr>
        <w:t>Describe any assurance of confidentiality provided to respondents and the basis for the assurance in statute, regulation, or agency policy.</w:t>
      </w:r>
    </w:p>
    <w:p w:rsidR="003333DF" w:rsidRPr="002568E6" w:rsidP="00BE0B08" w14:paraId="74F13EA3" w14:textId="71E8A347">
      <w:pPr>
        <w:rPr>
          <w:szCs w:val="24"/>
        </w:rPr>
      </w:pPr>
    </w:p>
    <w:p w:rsidR="003C4E27" w:rsidRPr="009B2FBF" w:rsidP="009B2FBF" w14:paraId="2C86D30E" w14:textId="2AFDFEA7">
      <w:pPr>
        <w:spacing w:line="480" w:lineRule="auto"/>
      </w:pPr>
      <w:r>
        <w:t xml:space="preserve">The Department complies with the Privacy Act of 1974. </w:t>
      </w:r>
      <w:r w:rsidR="00EC07F7">
        <w:t>State agencies are required to comply with confidentiality requirements set forth in §</w:t>
      </w:r>
      <w:r w:rsidR="003A4426">
        <w:t xml:space="preserve"> </w:t>
      </w:r>
      <w:r w:rsidR="00EC07F7">
        <w:t>246.26(d)</w:t>
      </w:r>
      <w:r w:rsidR="00962014">
        <w:t xml:space="preserve">, </w:t>
      </w:r>
      <w:r w:rsidR="00EC07F7">
        <w:t>(e)</w:t>
      </w:r>
      <w:r w:rsidR="00962014">
        <w:t xml:space="preserve">, </w:t>
      </w:r>
      <w:r w:rsidR="00EC07F7">
        <w:t>(f)</w:t>
      </w:r>
      <w:r w:rsidR="00962014">
        <w:t xml:space="preserve">, </w:t>
      </w:r>
      <w:r w:rsidR="00EC07F7">
        <w:t>(g)</w:t>
      </w:r>
      <w:r w:rsidR="00962014">
        <w:t>,</w:t>
      </w:r>
      <w:r w:rsidR="00EC07F7">
        <w:t xml:space="preserve"> and (h) of the WIC regulations. Section 246.26(d)(1)(ii) states that “…the State agency must restrict the use and disclosure of confidential applicant and participant information to persons directly connected with the administration or enforcement of the WIC </w:t>
      </w:r>
      <w:r w:rsidR="731F98F4">
        <w:t>p</w:t>
      </w:r>
      <w:r w:rsidR="00EC07F7">
        <w:t>rogram whom the State agency determine</w:t>
      </w:r>
      <w:r w:rsidR="00D31D77">
        <w:t>s</w:t>
      </w:r>
      <w:r w:rsidR="00EC07F7">
        <w:t xml:space="preserve"> have a need to know the information for WIC </w:t>
      </w:r>
      <w:r w:rsidR="5D866F32">
        <w:t>p</w:t>
      </w:r>
      <w:r w:rsidR="00EC07F7">
        <w:t>rogram purposes.”</w:t>
      </w:r>
      <w:r>
        <w:t xml:space="preserve"> With constantly changing technology, as well as constantly changing threats, </w:t>
      </w:r>
      <w:r w:rsidR="00533583">
        <w:t>FNA</w:t>
      </w:r>
      <w:r>
        <w:t xml:space="preserve"> has taken the position that it is impossible for the agency to set and enforce security standards for State </w:t>
      </w:r>
      <w:r w:rsidR="00A9726E">
        <w:t xml:space="preserve">agency </w:t>
      </w:r>
      <w:r>
        <w:t xml:space="preserve">systems. It would be inappropriate for </w:t>
      </w:r>
      <w:r w:rsidR="00533583">
        <w:t>FNA</w:t>
      </w:r>
      <w:r>
        <w:t xml:space="preserve"> to assume the liability of approving or certifying systems with regard to security. To the extent that </w:t>
      </w:r>
      <w:r w:rsidR="00533583">
        <w:t>FNA</w:t>
      </w:r>
      <w:r>
        <w:t xml:space="preserve"> reviews security </w:t>
      </w:r>
      <w:r w:rsidR="0063325F">
        <w:t>as part of the</w:t>
      </w:r>
      <w:r>
        <w:t xml:space="preserve"> assessment of a State </w:t>
      </w:r>
      <w:r w:rsidR="00A9726E">
        <w:t xml:space="preserve">agency </w:t>
      </w:r>
      <w:r>
        <w:t xml:space="preserve">system, </w:t>
      </w:r>
      <w:r w:rsidR="0063325F">
        <w:t>it is to inquire about the State</w:t>
      </w:r>
      <w:r w:rsidR="00A9726E">
        <w:t xml:space="preserve"> agency</w:t>
      </w:r>
      <w:r w:rsidR="0063325F">
        <w:t xml:space="preserve">’s </w:t>
      </w:r>
      <w:r>
        <w:t xml:space="preserve">standards and protocols, and to seek the </w:t>
      </w:r>
      <w:r>
        <w:t>State</w:t>
      </w:r>
      <w:r w:rsidR="00A9726E">
        <w:t xml:space="preserve"> agency</w:t>
      </w:r>
      <w:r>
        <w:t>’s own attestation that they are adhering to their standards.</w:t>
      </w:r>
    </w:p>
    <w:p w:rsidR="00695E68" w:rsidP="00735AD2" w14:paraId="2FCBF2F8" w14:textId="77777777">
      <w:pPr>
        <w:pStyle w:val="BodyTextIndent"/>
        <w:spacing w:line="480" w:lineRule="auto"/>
        <w:ind w:left="0"/>
        <w:rPr>
          <w:bCs/>
        </w:rPr>
      </w:pPr>
    </w:p>
    <w:p w:rsidR="001761F5" w:rsidP="006E662A" w14:paraId="0B740B39" w14:textId="70307E3A">
      <w:pPr>
        <w:pStyle w:val="ListParagraph"/>
        <w:ind w:left="0"/>
      </w:pPr>
      <w:r>
        <w:t xml:space="preserve">Information obtained from vendors is kept confidential in adherence to §246.26(e), (f), and (g) and will not be disclosed to anyone but the individuals involved with this data collection or investigation, except as otherwise permitted or required by law or the noted provisions of the WIC regulations. </w:t>
      </w:r>
      <w:r w:rsidR="00EC07F7">
        <w:t xml:space="preserve">Section 246.26(e) states that “the State agency must restrict the use or disclosure of confidential vendor information to […] </w:t>
      </w:r>
      <w:r w:rsidR="00B9119B">
        <w:t xml:space="preserve">persons </w:t>
      </w:r>
      <w:r w:rsidR="00EC07F7">
        <w:t xml:space="preserve">directly connected with the administration or enforcement of the WIC </w:t>
      </w:r>
      <w:r w:rsidR="46132067">
        <w:t>p</w:t>
      </w:r>
      <w:r w:rsidR="00EC07F7">
        <w:t xml:space="preserve">rogram or SNAP who the State agency determines have a need to know the information for purposes of these programs,” and to “Persons directly connected with the administration or enforcement of any Federal or State law or local law or ordinance.”  </w:t>
      </w:r>
    </w:p>
    <w:p w:rsidR="00BB3DBE" w:rsidP="00735AD2" w14:paraId="34C0A930" w14:textId="77777777">
      <w:pPr>
        <w:pStyle w:val="BodyTextIndent"/>
        <w:spacing w:line="480" w:lineRule="auto"/>
        <w:ind w:left="0"/>
        <w:rPr>
          <w:bCs/>
        </w:rPr>
      </w:pPr>
    </w:p>
    <w:p w:rsidR="00C1169E" w:rsidRPr="0063325F" w:rsidP="2985D380" w14:paraId="443DA0A3" w14:textId="3BFB8F16">
      <w:pPr>
        <w:spacing w:line="480" w:lineRule="auto"/>
      </w:pPr>
      <w:r>
        <w:t>This ICR</w:t>
      </w:r>
      <w:r w:rsidR="00E936BC">
        <w:t xml:space="preserve"> d</w:t>
      </w:r>
      <w:r>
        <w:t xml:space="preserve">oes </w:t>
      </w:r>
      <w:r w:rsidR="00D464FE">
        <w:t xml:space="preserve">not </w:t>
      </w:r>
      <w:r>
        <w:t xml:space="preserve">include any forms that require a Privacy Act Statement. </w:t>
      </w:r>
      <w:r w:rsidR="000E2371">
        <w:t xml:space="preserve">The </w:t>
      </w:r>
      <w:r w:rsidR="00533583">
        <w:t>FNA</w:t>
      </w:r>
      <w:r w:rsidR="00645E51">
        <w:t xml:space="preserve"> </w:t>
      </w:r>
      <w:r w:rsidR="000E2371">
        <w:t xml:space="preserve">Privacy Officer determined (and confirmed on </w:t>
      </w:r>
      <w:r w:rsidR="00B33626">
        <w:t>December 3,</w:t>
      </w:r>
      <w:r w:rsidR="1CC0ECE6">
        <w:t xml:space="preserve"> 2024</w:t>
      </w:r>
      <w:r w:rsidR="000E2371">
        <w:t>) that a Privacy Act System of Records Notice is not applicable</w:t>
      </w:r>
      <w:r w:rsidR="00164763">
        <w:t xml:space="preserve"> to this collection.</w:t>
      </w:r>
      <w:r w:rsidR="00177EA5">
        <w:t xml:space="preserve"> </w:t>
      </w:r>
      <w:r w:rsidR="00533583">
        <w:t>FNA</w:t>
      </w:r>
      <w:r w:rsidR="000E2371">
        <w:t xml:space="preserve"> ensures that WIC State and local agencies keep information confidential, in compliance with program regulations, through management evaluations (ME). If an ME reveals that confidential information has been shared or could have been at risk of being shared, </w:t>
      </w:r>
      <w:r w:rsidR="00533583">
        <w:t>FNA</w:t>
      </w:r>
      <w:r w:rsidR="000E2371">
        <w:t xml:space="preserve"> will require a corrective action plan to correct the noncompliance. </w:t>
      </w:r>
    </w:p>
    <w:p w:rsidR="00ED28F2" w:rsidRPr="003C4E27" w:rsidP="00ED28F2" w14:paraId="7615FE72" w14:textId="77777777">
      <w:pPr>
        <w:tabs>
          <w:tab w:val="left" w:pos="-720"/>
        </w:tabs>
        <w:suppressAutoHyphens/>
        <w:spacing w:line="480" w:lineRule="auto"/>
        <w:rPr>
          <w:szCs w:val="24"/>
        </w:rPr>
      </w:pPr>
    </w:p>
    <w:p w:rsidR="00EC1EF4" w:rsidRPr="00042EC2" w:rsidP="00EC1EF4" w14:paraId="528B77FF" w14:textId="77777777">
      <w:pPr>
        <w:pStyle w:val="Heading1"/>
      </w:pPr>
      <w:bookmarkStart w:id="28" w:name="_Toc401831367"/>
      <w:bookmarkStart w:id="29" w:name="_Toc83710922"/>
      <w:bookmarkStart w:id="30" w:name="_Toc115788679"/>
      <w:r>
        <w:t>A11.  Justification for any questions of a sensitive nature.</w:t>
      </w:r>
      <w:bookmarkEnd w:id="28"/>
      <w:bookmarkEnd w:id="29"/>
      <w:bookmarkEnd w:id="30"/>
      <w:r>
        <w:t xml:space="preserve">    </w:t>
      </w:r>
    </w:p>
    <w:p w:rsidR="00EC1EF4" w:rsidRPr="00042EC2" w:rsidP="00EC1EF4" w14:paraId="4B876028" w14:textId="77777777">
      <w:pPr>
        <w:tabs>
          <w:tab w:val="left" w:pos="0"/>
        </w:tabs>
        <w:suppressAutoHyphens/>
        <w:rPr>
          <w:szCs w:val="24"/>
        </w:rPr>
      </w:pPr>
    </w:p>
    <w:p w:rsidR="00EC1EF4" w:rsidRPr="00042EC2" w:rsidP="00EC1EF4" w14:paraId="2380B54D" w14:textId="77777777">
      <w:pPr>
        <w:tabs>
          <w:tab w:val="left" w:pos="0"/>
        </w:tabs>
        <w:suppressAutoHyphens/>
        <w:rPr>
          <w:b/>
          <w:szCs w:val="24"/>
        </w:rPr>
      </w:pPr>
      <w:r w:rsidRPr="00042EC2">
        <w:rPr>
          <w:b/>
          <w:szCs w:val="24"/>
        </w:rPr>
        <w:t>Provide additional justification for any questions of a sensitive nature, such as sexual behavior or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ED28F2" w:rsidRPr="002568E6" w:rsidP="00ED28F2" w14:paraId="482EEC7B" w14:textId="77777777">
      <w:pPr>
        <w:tabs>
          <w:tab w:val="left" w:pos="-720"/>
        </w:tabs>
        <w:suppressAutoHyphens/>
        <w:rPr>
          <w:szCs w:val="24"/>
        </w:rPr>
      </w:pPr>
    </w:p>
    <w:p w:rsidR="009B2FBF" w:rsidP="004E3EE1" w14:paraId="2B0EB176" w14:textId="04B4D0AA">
      <w:pPr>
        <w:spacing w:line="480" w:lineRule="auto"/>
        <w:rPr>
          <w:bCs/>
        </w:rPr>
      </w:pPr>
      <w:r>
        <w:rPr>
          <w:bCs/>
        </w:rPr>
        <w:t>There are no questions of a sensitive nature included in this information collection.</w:t>
      </w:r>
    </w:p>
    <w:p w:rsidR="006E0756" w:rsidRPr="004E3EE1" w:rsidP="00E86CD7" w14:paraId="0206FA06" w14:textId="77777777">
      <w:pPr>
        <w:spacing w:after="240"/>
        <w:rPr>
          <w:bCs/>
        </w:rPr>
      </w:pPr>
    </w:p>
    <w:p w:rsidR="00CE2D3C" w:rsidRPr="00042EC2" w:rsidP="00CE2D3C" w14:paraId="2C8EB70F" w14:textId="77777777">
      <w:pPr>
        <w:pStyle w:val="Heading1"/>
      </w:pPr>
      <w:bookmarkStart w:id="31" w:name="_Toc401831368"/>
      <w:bookmarkStart w:id="32" w:name="_Toc83710923"/>
      <w:bookmarkStart w:id="33" w:name="_Toc115788680"/>
      <w:r w:rsidRPr="00631860">
        <w:rPr>
          <w:szCs w:val="24"/>
        </w:rPr>
        <w:t xml:space="preserve">A12.  </w:t>
      </w:r>
      <w:r>
        <w:t>Estimates of the hour burden of the collection of information.</w:t>
      </w:r>
      <w:bookmarkEnd w:id="31"/>
      <w:bookmarkEnd w:id="32"/>
      <w:bookmarkEnd w:id="33"/>
      <w:r>
        <w:t xml:space="preserve">  </w:t>
      </w:r>
    </w:p>
    <w:p w:rsidR="00CE2D3C" w:rsidRPr="00042EC2" w:rsidP="00CE2D3C" w14:paraId="7A118BAB" w14:textId="77777777">
      <w:pPr>
        <w:tabs>
          <w:tab w:val="left" w:pos="0"/>
        </w:tabs>
        <w:suppressAutoHyphens/>
        <w:rPr>
          <w:b/>
          <w:szCs w:val="24"/>
        </w:rPr>
      </w:pPr>
    </w:p>
    <w:p w:rsidR="00CE2D3C" w:rsidRPr="00042EC2" w:rsidP="00CE2D3C" w14:paraId="7551EA7A" w14:textId="279007BA">
      <w:pPr>
        <w:tabs>
          <w:tab w:val="left" w:pos="0"/>
        </w:tabs>
        <w:suppressAutoHyphens/>
        <w:rPr>
          <w:b/>
          <w:szCs w:val="24"/>
        </w:rPr>
      </w:pPr>
      <w:r w:rsidRPr="00042EC2">
        <w:rPr>
          <w:b/>
          <w:szCs w:val="24"/>
        </w:rPr>
        <w:t>Provide estimates of the hour burden of the collection of information.  Indicate the number of respondents, frequency of response, annual hour burden, and an explanation of how the burden was estimated.</w:t>
      </w:r>
    </w:p>
    <w:p w:rsidR="00CE2D3C" w:rsidRPr="00042EC2" w:rsidP="00CE2D3C" w14:paraId="629D3278" w14:textId="77777777">
      <w:pPr>
        <w:tabs>
          <w:tab w:val="left" w:pos="0"/>
        </w:tabs>
        <w:suppressAutoHyphens/>
        <w:rPr>
          <w:b/>
          <w:szCs w:val="24"/>
        </w:rPr>
      </w:pPr>
    </w:p>
    <w:p w:rsidR="00CE2D3C" w:rsidRPr="00042EC2" w:rsidP="00CE2D3C" w14:paraId="2A17C99A" w14:textId="77777777">
      <w:pPr>
        <w:tabs>
          <w:tab w:val="left" w:pos="0"/>
        </w:tabs>
        <w:suppressAutoHyphens/>
        <w:rPr>
          <w:b/>
          <w:szCs w:val="24"/>
        </w:rPr>
      </w:pPr>
      <w:r w:rsidRPr="00042EC2">
        <w:rPr>
          <w:b/>
          <w:szCs w:val="24"/>
        </w:rPr>
        <w:t>A.</w:t>
      </w:r>
      <w:r w:rsidRPr="00042EC2">
        <w:rPr>
          <w:b/>
          <w:szCs w:val="24"/>
        </w:rPr>
        <w:tab/>
        <w:t>Indicate the number of respondents, frequency of response, annual hour burden, and an explanation of how the burden was estimated.  If this request for approval covers more than one form, provide separate hour burden estimates for each form and aggregate the hour burdens in Item 13 of OMB Form 83-I.</w:t>
      </w:r>
    </w:p>
    <w:p w:rsidR="0022020A" w:rsidRPr="002568E6" w:rsidP="003333DF" w14:paraId="550DF6EC" w14:textId="77777777">
      <w:pPr>
        <w:tabs>
          <w:tab w:val="left" w:pos="0"/>
        </w:tabs>
        <w:suppressAutoHyphens/>
        <w:rPr>
          <w:b/>
          <w:szCs w:val="24"/>
        </w:rPr>
      </w:pPr>
    </w:p>
    <w:p w:rsidR="009A29CA" w:rsidP="00DA203E" w14:paraId="0A2346B2" w14:textId="05A053A0">
      <w:pPr>
        <w:spacing w:line="480" w:lineRule="auto"/>
      </w:pPr>
      <w:r w:rsidRPr="0008206A">
        <w:t>Th</w:t>
      </w:r>
      <w:r>
        <w:t>e</w:t>
      </w:r>
      <w:r w:rsidRPr="0008206A">
        <w:t xml:space="preserve"> </w:t>
      </w:r>
      <w:r w:rsidR="00AD7827">
        <w:t>final</w:t>
      </w:r>
      <w:r w:rsidRPr="0008206A" w:rsidR="00AD7827">
        <w:t xml:space="preserve"> </w:t>
      </w:r>
      <w:r w:rsidRPr="0008206A">
        <w:t>rule impacts the burden associated with reporting requirements for State agencies</w:t>
      </w:r>
      <w:r w:rsidR="00845C95">
        <w:t>, individuals/households,</w:t>
      </w:r>
      <w:r w:rsidRPr="0008206A">
        <w:t xml:space="preserve"> and vendors, as well as the burden associated with recordkeeping requirements for State agencies. </w:t>
      </w:r>
      <w:r w:rsidRPr="00304DFF" w:rsidR="00AE28CB">
        <w:t>The reporting and recordkeeping burdens covered by this</w:t>
      </w:r>
      <w:r w:rsidR="00BF210C">
        <w:t xml:space="preserve"> </w:t>
      </w:r>
      <w:r w:rsidR="00AA4054">
        <w:t>ICR</w:t>
      </w:r>
      <w:r w:rsidR="00BF210C">
        <w:t xml:space="preserve"> </w:t>
      </w:r>
      <w:r w:rsidRPr="00304DFF" w:rsidR="00AE28CB">
        <w:t xml:space="preserve">include requirements that involve </w:t>
      </w:r>
      <w:r w:rsidR="00A12DBA">
        <w:t xml:space="preserve">submitting information on State agency operations to </w:t>
      </w:r>
      <w:r w:rsidR="00533583">
        <w:t>FNA</w:t>
      </w:r>
      <w:r w:rsidR="00A12DBA">
        <w:t xml:space="preserve">; </w:t>
      </w:r>
      <w:r w:rsidRPr="00304DFF" w:rsidR="00AE28CB">
        <w:t>the authorization, training</w:t>
      </w:r>
      <w:r w:rsidR="00AB6C92">
        <w:t>,</w:t>
      </w:r>
      <w:r w:rsidRPr="00304DFF" w:rsidR="00AE28CB">
        <w:t xml:space="preserve"> and monitoring of vendors; the collection of vendor pricing information in order to comply with the Federal regulations regarding WIC cost containment</w:t>
      </w:r>
      <w:r w:rsidR="00A12DBA">
        <w:t>;</w:t>
      </w:r>
      <w:r w:rsidR="007429A6">
        <w:t xml:space="preserve"> system updates to EBT and MIS to support online shopping,</w:t>
      </w:r>
      <w:r w:rsidR="00A12DBA">
        <w:t xml:space="preserve"> </w:t>
      </w:r>
      <w:r w:rsidR="00834967">
        <w:t xml:space="preserve">and activities necessary for WIC participants to obtain </w:t>
      </w:r>
      <w:r w:rsidR="00060F45">
        <w:t>benefits</w:t>
      </w:r>
      <w:r w:rsidRPr="00304DFF" w:rsidR="00AE28CB">
        <w:t xml:space="preserve">. </w:t>
      </w:r>
    </w:p>
    <w:p w:rsidR="009A29CA" w:rsidP="00DA203E" w14:paraId="0A9E5127" w14:textId="77777777">
      <w:pPr>
        <w:spacing w:line="480" w:lineRule="auto"/>
      </w:pPr>
    </w:p>
    <w:p w:rsidR="00AE28CB" w:rsidP="00DA203E" w14:paraId="13C6A2EA" w14:textId="376DB497">
      <w:pPr>
        <w:spacing w:line="480" w:lineRule="auto"/>
      </w:pPr>
      <w:r>
        <w:t xml:space="preserve">State </w:t>
      </w:r>
      <w:r w:rsidR="6D806773">
        <w:t>p</w:t>
      </w:r>
      <w:r>
        <w:t xml:space="preserve">lans are the principal source of information about how each State agency operates its WIC </w:t>
      </w:r>
      <w:r w:rsidR="57E0130F">
        <w:t>p</w:t>
      </w:r>
      <w:r>
        <w:t>rogram.</w:t>
      </w:r>
      <w:r w:rsidR="006F5AE8">
        <w:t xml:space="preserve"> In addition, </w:t>
      </w:r>
      <w:r w:rsidR="00B066B9">
        <w:t xml:space="preserve">State agencies report to </w:t>
      </w:r>
      <w:r w:rsidR="00533583">
        <w:t>FNA</w:t>
      </w:r>
      <w:r w:rsidR="00B066B9">
        <w:t xml:space="preserve"> on vendor monitoring and oversight activities through annual submissions to the F</w:t>
      </w:r>
      <w:r w:rsidR="001727B7">
        <w:t>DP</w:t>
      </w:r>
      <w:r w:rsidR="00B066B9">
        <w:t xml:space="preserve">. </w:t>
      </w:r>
      <w:r w:rsidR="0024480E">
        <w:t>This information collection burden was estimated using information from these sources.</w:t>
      </w:r>
      <w:r w:rsidR="00B066B9">
        <w:t xml:space="preserve"> </w:t>
      </w:r>
      <w:r>
        <w:t xml:space="preserve">Revisions </w:t>
      </w:r>
      <w:r w:rsidR="00C840FB">
        <w:t xml:space="preserve">in the burden hours are due to program changes </w:t>
      </w:r>
      <w:r w:rsidR="004A086B">
        <w:t xml:space="preserve">from the </w:t>
      </w:r>
      <w:r w:rsidR="00C02363">
        <w:t xml:space="preserve">final </w:t>
      </w:r>
      <w:r w:rsidR="004A086B">
        <w:t>rule</w:t>
      </w:r>
      <w:r w:rsidR="008A55C1">
        <w:t xml:space="preserve"> as well as public feedback </w:t>
      </w:r>
      <w:r w:rsidR="001A60ED">
        <w:t>on the burden hour estimates</w:t>
      </w:r>
      <w:r w:rsidR="009B5690">
        <w:t>.</w:t>
      </w:r>
      <w:r w:rsidR="00874727">
        <w:t xml:space="preserve"> </w:t>
      </w:r>
    </w:p>
    <w:p w:rsidR="001B236D" w:rsidP="00DA203E" w14:paraId="25E5B3A2" w14:textId="77777777">
      <w:pPr>
        <w:spacing w:line="480" w:lineRule="auto"/>
      </w:pPr>
    </w:p>
    <w:p w:rsidR="0045221D" w:rsidP="00AB3442" w14:paraId="1DD024D5" w14:textId="316F9B1E">
      <w:pPr>
        <w:spacing w:line="480" w:lineRule="auto"/>
      </w:pPr>
      <w:r>
        <w:t xml:space="preserve">Provisions affected by the </w:t>
      </w:r>
      <w:r w:rsidR="0082632B">
        <w:t xml:space="preserve">final </w:t>
      </w:r>
      <w:r>
        <w:t>rule will have</w:t>
      </w:r>
      <w:r w:rsidR="004B4825">
        <w:t xml:space="preserve"> </w:t>
      </w:r>
      <w:r w:rsidR="00C97395">
        <w:t>3,</w:t>
      </w:r>
      <w:r w:rsidR="00660C25">
        <w:t>392,909</w:t>
      </w:r>
      <w:r>
        <w:t xml:space="preserve"> respondents, </w:t>
      </w:r>
      <w:r w:rsidR="00E11964">
        <w:t>1,</w:t>
      </w:r>
      <w:r w:rsidR="00F637F7">
        <w:t>017,</w:t>
      </w:r>
      <w:r w:rsidR="00660C25">
        <w:t>195</w:t>
      </w:r>
      <w:r>
        <w:t xml:space="preserve"> responses, and </w:t>
      </w:r>
      <w:r w:rsidR="00F637F7">
        <w:t>7</w:t>
      </w:r>
      <w:r w:rsidR="00714E06">
        <w:t>21,334</w:t>
      </w:r>
      <w:r w:rsidR="00201D1B">
        <w:t xml:space="preserve"> </w:t>
      </w:r>
      <w:r>
        <w:t>burden hours.</w:t>
      </w:r>
      <w:r w:rsidR="00AB3442">
        <w:t xml:space="preserve"> </w:t>
      </w:r>
      <w:r w:rsidR="003833E1">
        <w:t xml:space="preserve">With this revision, </w:t>
      </w:r>
      <w:r w:rsidR="00533583">
        <w:t>FNA</w:t>
      </w:r>
      <w:r w:rsidR="003833E1">
        <w:t xml:space="preserve"> estimates that </w:t>
      </w:r>
      <w:r>
        <w:t xml:space="preserve">the existing total </w:t>
      </w:r>
      <w:r w:rsidR="003833E1">
        <w:t xml:space="preserve">collection will </w:t>
      </w:r>
      <w:r>
        <w:t xml:space="preserve">now </w:t>
      </w:r>
      <w:r w:rsidR="003833E1">
        <w:t>have</w:t>
      </w:r>
      <w:r w:rsidR="00DC706B">
        <w:t xml:space="preserve"> </w:t>
      </w:r>
      <w:r w:rsidRPr="00121702" w:rsidR="00AE3A89">
        <w:t>6,</w:t>
      </w:r>
      <w:r w:rsidR="00714E06">
        <w:t>747,052</w:t>
      </w:r>
      <w:r w:rsidR="00AC639B">
        <w:t xml:space="preserve"> </w:t>
      </w:r>
      <w:r w:rsidR="003833E1">
        <w:t>respondents,</w:t>
      </w:r>
      <w:r w:rsidR="007024D0">
        <w:t xml:space="preserve"> </w:t>
      </w:r>
      <w:r w:rsidRPr="00121702" w:rsidR="00BD3952">
        <w:t>64</w:t>
      </w:r>
      <w:r w:rsidRPr="00121702" w:rsidR="00994931">
        <w:t>,</w:t>
      </w:r>
      <w:r w:rsidR="00714E06">
        <w:t>229,802</w:t>
      </w:r>
      <w:r w:rsidR="00002023">
        <w:t xml:space="preserve"> </w:t>
      </w:r>
      <w:r w:rsidR="003833E1">
        <w:t>responses, and</w:t>
      </w:r>
      <w:r w:rsidR="002E7E31">
        <w:t xml:space="preserve"> </w:t>
      </w:r>
      <w:r w:rsidRPr="00121702" w:rsidR="00053E53">
        <w:t>15,</w:t>
      </w:r>
      <w:r w:rsidR="00DE6BB1">
        <w:t>380,899</w:t>
      </w:r>
      <w:r w:rsidR="00CB5457">
        <w:t xml:space="preserve"> </w:t>
      </w:r>
      <w:r w:rsidR="003833E1">
        <w:t>burden hours.</w:t>
      </w:r>
      <w:r w:rsidR="0052522E">
        <w:t xml:space="preserve"> </w:t>
      </w:r>
      <w:r>
        <w:t xml:space="preserve">The overall information collection burden is estimated to have </w:t>
      </w:r>
      <w:r w:rsidR="00466434">
        <w:t>decreased</w:t>
      </w:r>
      <w:r w:rsidR="00351678">
        <w:t xml:space="preserve"> </w:t>
      </w:r>
      <w:r>
        <w:t>by</w:t>
      </w:r>
      <w:r w:rsidR="00475E90">
        <w:t xml:space="preserve"> </w:t>
      </w:r>
      <w:r w:rsidR="00994931">
        <w:t>1,</w:t>
      </w:r>
      <w:r w:rsidR="00DE6BB1">
        <w:t>588,149</w:t>
      </w:r>
      <w:r w:rsidR="008F7D03">
        <w:t xml:space="preserve"> </w:t>
      </w:r>
      <w:r w:rsidR="00475E90">
        <w:t xml:space="preserve">burden hours annually due to </w:t>
      </w:r>
      <w:r w:rsidR="00510169">
        <w:t xml:space="preserve">program changes </w:t>
      </w:r>
      <w:r w:rsidR="00C22EF9">
        <w:t xml:space="preserve">from the </w:t>
      </w:r>
      <w:r w:rsidR="00655F98">
        <w:t xml:space="preserve">final </w:t>
      </w:r>
      <w:r w:rsidR="00C22EF9">
        <w:t>rule</w:t>
      </w:r>
      <w:r w:rsidR="003D3EF9">
        <w:t>, and by 393,856 hours due to program adjustments</w:t>
      </w:r>
      <w:r>
        <w:t xml:space="preserve">. The total estimated burden hours will </w:t>
      </w:r>
      <w:r w:rsidR="00322715">
        <w:t xml:space="preserve">decrease </w:t>
      </w:r>
      <w:r>
        <w:t xml:space="preserve">from </w:t>
      </w:r>
      <w:r w:rsidR="00D675B6">
        <w:t>17</w:t>
      </w:r>
      <w:r w:rsidR="00C24080">
        <w:t>,</w:t>
      </w:r>
      <w:r w:rsidR="00AD6108">
        <w:t>362,904</w:t>
      </w:r>
      <w:r w:rsidR="00F863D4">
        <w:t xml:space="preserve"> </w:t>
      </w:r>
      <w:r w:rsidR="00FD0E53">
        <w:t xml:space="preserve">to </w:t>
      </w:r>
      <w:r w:rsidR="004D7924">
        <w:t>15,380,899</w:t>
      </w:r>
      <w:r w:rsidR="00994931">
        <w:t xml:space="preserve"> burden </w:t>
      </w:r>
      <w:r w:rsidR="002D5DFF">
        <w:t>hours</w:t>
      </w:r>
      <w:r>
        <w:t xml:space="preserve">. The revisions </w:t>
      </w:r>
      <w:r w:rsidR="002D5DFF">
        <w:t xml:space="preserve">would decrease </w:t>
      </w:r>
      <w:r>
        <w:t xml:space="preserve">the </w:t>
      </w:r>
      <w:r w:rsidR="002D5DFF">
        <w:t xml:space="preserve">current </w:t>
      </w:r>
      <w:r>
        <w:t xml:space="preserve">reporting burden by </w:t>
      </w:r>
      <w:r w:rsidR="000F25FB">
        <w:t>1,98</w:t>
      </w:r>
      <w:r w:rsidR="004D7924">
        <w:t>4,064</w:t>
      </w:r>
      <w:r w:rsidR="00EE150D">
        <w:t xml:space="preserve"> </w:t>
      </w:r>
      <w:r>
        <w:t xml:space="preserve">hours and </w:t>
      </w:r>
      <w:r w:rsidR="004D7924">
        <w:t>in</w:t>
      </w:r>
      <w:r w:rsidR="00EE150D">
        <w:t>crease</w:t>
      </w:r>
      <w:r>
        <w:t xml:space="preserve"> the </w:t>
      </w:r>
      <w:r w:rsidR="002D5DFF">
        <w:t xml:space="preserve">current </w:t>
      </w:r>
      <w:r>
        <w:t xml:space="preserve">recordkeeping burden by </w:t>
      </w:r>
      <w:r w:rsidR="004D7924">
        <w:t>2,059</w:t>
      </w:r>
      <w:r w:rsidR="009B3462">
        <w:t xml:space="preserve"> </w:t>
      </w:r>
      <w:r>
        <w:t>hours.</w:t>
      </w:r>
      <w:r w:rsidR="0086267F">
        <w:t xml:space="preserve"> The revisions would increase the number of respondents by </w:t>
      </w:r>
      <w:r w:rsidR="00D41FB7">
        <w:t>463</w:t>
      </w:r>
      <w:r w:rsidR="008B1D5C">
        <w:t>,924</w:t>
      </w:r>
      <w:r w:rsidR="0086267F">
        <w:t xml:space="preserve">, from </w:t>
      </w:r>
      <w:r w:rsidR="00664C48">
        <w:t>6,283,12</w:t>
      </w:r>
      <w:r w:rsidR="008F2547">
        <w:t>6</w:t>
      </w:r>
      <w:r w:rsidR="0086267F">
        <w:t xml:space="preserve"> to </w:t>
      </w:r>
      <w:r w:rsidR="00664C48">
        <w:t>6,</w:t>
      </w:r>
      <w:r w:rsidR="00075A45">
        <w:t>747,052</w:t>
      </w:r>
      <w:r w:rsidR="0086267F">
        <w:t xml:space="preserve"> respondents. </w:t>
      </w:r>
    </w:p>
    <w:p w:rsidR="00466434" w:rsidP="00891240" w14:paraId="65EF0459" w14:textId="77777777">
      <w:pPr>
        <w:widowControl/>
        <w:autoSpaceDE/>
        <w:autoSpaceDN/>
        <w:adjustRightInd/>
        <w:spacing w:line="480" w:lineRule="auto"/>
        <w:rPr>
          <w:szCs w:val="24"/>
        </w:rPr>
      </w:pPr>
    </w:p>
    <w:p w:rsidR="004F471A" w:rsidRPr="003971D6" w:rsidP="00891240" w14:paraId="038275D1" w14:textId="582C854F">
      <w:pPr>
        <w:widowControl/>
        <w:autoSpaceDE/>
        <w:autoSpaceDN/>
        <w:adjustRightInd/>
        <w:spacing w:line="480" w:lineRule="auto"/>
        <w:sectPr w:rsidSect="0055107E">
          <w:footerReference w:type="default" r:id="rId11"/>
          <w:footerReference w:type="first" r:id="rId12"/>
          <w:endnotePr>
            <w:numFmt w:val="decimal"/>
          </w:endnotePr>
          <w:pgSz w:w="12240" w:h="15840"/>
          <w:pgMar w:top="1440" w:right="1440" w:bottom="1440" w:left="1440" w:header="1440" w:footer="720" w:gutter="0"/>
          <w:cols w:space="720"/>
          <w:noEndnote/>
          <w:titlePg/>
          <w:docGrid w:linePitch="326"/>
        </w:sectPr>
      </w:pPr>
      <w:r w:rsidRPr="003971D6">
        <w:rPr>
          <w:rStyle w:val="normaltextrun"/>
          <w:shd w:val="clear" w:color="auto" w:fill="FFFFFF"/>
        </w:rPr>
        <w:t>The estimated burden revisions for this information collection</w:t>
      </w:r>
      <w:r w:rsidR="003971D6">
        <w:rPr>
          <w:rStyle w:val="normaltextrun"/>
          <w:shd w:val="clear" w:color="auto" w:fill="FFFFFF"/>
        </w:rPr>
        <w:t xml:space="preserve"> that are</w:t>
      </w:r>
      <w:r w:rsidRPr="003971D6">
        <w:rPr>
          <w:rStyle w:val="normaltextrun"/>
          <w:shd w:val="clear" w:color="auto" w:fill="FFFFFF"/>
        </w:rPr>
        <w:t xml:space="preserve"> specific to the revisions in the </w:t>
      </w:r>
      <w:r w:rsidR="00B04183">
        <w:rPr>
          <w:rStyle w:val="normaltextrun"/>
          <w:shd w:val="clear" w:color="auto" w:fill="FFFFFF"/>
        </w:rPr>
        <w:t>final</w:t>
      </w:r>
      <w:r w:rsidRPr="003971D6" w:rsidR="00B04183">
        <w:rPr>
          <w:rStyle w:val="normaltextrun"/>
          <w:shd w:val="clear" w:color="auto" w:fill="FFFFFF"/>
        </w:rPr>
        <w:t xml:space="preserve"> </w:t>
      </w:r>
      <w:r w:rsidRPr="003971D6">
        <w:rPr>
          <w:rStyle w:val="normaltextrun"/>
          <w:shd w:val="clear" w:color="auto" w:fill="FFFFFF"/>
        </w:rPr>
        <w:t>rule, including the number of respondents, frequency of responses, average time to respond, and annual hour burden, are shown in the table below.  </w:t>
      </w:r>
      <w:r w:rsidRPr="003971D6">
        <w:rPr>
          <w:rStyle w:val="eop"/>
          <w:shd w:val="clear" w:color="auto" w:fill="FFFFFF"/>
        </w:rPr>
        <w:t> </w:t>
      </w:r>
    </w:p>
    <w:tbl>
      <w:tblPr>
        <w:tblpPr w:leftFromText="180" w:rightFromText="180" w:vertAnchor="text" w:horzAnchor="margin" w:tblpXSpec="center" w:tblpY="-29"/>
        <w:tblW w:w="14215" w:type="dxa"/>
        <w:tblLayout w:type="fixed"/>
        <w:tblLook w:val="04A0"/>
      </w:tblPr>
      <w:tblGrid>
        <w:gridCol w:w="1651"/>
        <w:gridCol w:w="1764"/>
        <w:gridCol w:w="1260"/>
        <w:gridCol w:w="1170"/>
        <w:gridCol w:w="1170"/>
        <w:gridCol w:w="1107"/>
        <w:gridCol w:w="1053"/>
        <w:gridCol w:w="1170"/>
        <w:gridCol w:w="1363"/>
        <w:gridCol w:w="1242"/>
        <w:gridCol w:w="1265"/>
      </w:tblGrid>
      <w:tr w14:paraId="411DFD60" w14:textId="77777777" w:rsidTr="4FE94C9D">
        <w:tblPrEx>
          <w:tblW w:w="14215" w:type="dxa"/>
          <w:tblLayout w:type="fixed"/>
          <w:tblLook w:val="04A0"/>
        </w:tblPrEx>
        <w:trPr>
          <w:trHeight w:val="1152"/>
        </w:trPr>
        <w:tc>
          <w:tcPr>
            <w:tcW w:w="1651" w:type="dxa"/>
            <w:tcBorders>
              <w:top w:val="single" w:sz="4" w:space="0" w:color="auto"/>
              <w:left w:val="single" w:sz="4" w:space="0" w:color="auto"/>
              <w:bottom w:val="single" w:sz="4" w:space="0" w:color="auto"/>
              <w:right w:val="single" w:sz="4" w:space="0" w:color="auto"/>
            </w:tcBorders>
            <w:vAlign w:val="center"/>
            <w:hideMark/>
          </w:tcPr>
          <w:p w:rsidR="009564EC" w:rsidRPr="00AE2B3F" w:rsidP="009564EC" w14:paraId="594C2FA1" w14:textId="77777777">
            <w:pPr>
              <w:widowControl/>
              <w:overflowPunct/>
              <w:autoSpaceDE/>
              <w:autoSpaceDN/>
              <w:adjustRightInd/>
              <w:jc w:val="center"/>
              <w:textAlignment w:val="auto"/>
              <w:rPr>
                <w:b/>
                <w:bCs/>
                <w:sz w:val="16"/>
                <w:szCs w:val="16"/>
              </w:rPr>
            </w:pPr>
            <w:r w:rsidRPr="00AE2B3F">
              <w:rPr>
                <w:b/>
                <w:bCs/>
                <w:sz w:val="16"/>
                <w:szCs w:val="16"/>
              </w:rPr>
              <w:t>Regulatory Citation</w:t>
            </w:r>
          </w:p>
        </w:tc>
        <w:tc>
          <w:tcPr>
            <w:tcW w:w="1764" w:type="dxa"/>
            <w:tcBorders>
              <w:top w:val="single" w:sz="4" w:space="0" w:color="auto"/>
              <w:left w:val="nil"/>
              <w:bottom w:val="single" w:sz="4" w:space="0" w:color="auto"/>
              <w:right w:val="single" w:sz="4" w:space="0" w:color="auto"/>
            </w:tcBorders>
            <w:vAlign w:val="center"/>
            <w:hideMark/>
          </w:tcPr>
          <w:p w:rsidR="009564EC" w:rsidRPr="00AE2B3F" w:rsidP="009564EC" w14:paraId="5ACC1438" w14:textId="77777777">
            <w:pPr>
              <w:widowControl/>
              <w:overflowPunct/>
              <w:autoSpaceDE/>
              <w:autoSpaceDN/>
              <w:adjustRightInd/>
              <w:textAlignment w:val="auto"/>
              <w:rPr>
                <w:b/>
                <w:bCs/>
                <w:sz w:val="16"/>
                <w:szCs w:val="16"/>
              </w:rPr>
            </w:pPr>
            <w:r w:rsidRPr="00AE2B3F">
              <w:rPr>
                <w:b/>
                <w:bCs/>
                <w:sz w:val="16"/>
                <w:szCs w:val="16"/>
              </w:rPr>
              <w:t>Description of Activities</w:t>
            </w:r>
          </w:p>
        </w:tc>
        <w:tc>
          <w:tcPr>
            <w:tcW w:w="1260" w:type="dxa"/>
            <w:tcBorders>
              <w:top w:val="single" w:sz="4" w:space="0" w:color="auto"/>
              <w:left w:val="nil"/>
              <w:bottom w:val="single" w:sz="4" w:space="0" w:color="auto"/>
              <w:right w:val="single" w:sz="4" w:space="0" w:color="auto"/>
            </w:tcBorders>
            <w:vAlign w:val="center"/>
            <w:hideMark/>
          </w:tcPr>
          <w:p w:rsidR="009564EC" w:rsidRPr="00AE2B3F" w:rsidP="009564EC" w14:paraId="6230954A" w14:textId="77777777">
            <w:pPr>
              <w:widowControl/>
              <w:overflowPunct/>
              <w:autoSpaceDE/>
              <w:autoSpaceDN/>
              <w:adjustRightInd/>
              <w:jc w:val="center"/>
              <w:textAlignment w:val="auto"/>
              <w:rPr>
                <w:b/>
                <w:bCs/>
                <w:sz w:val="16"/>
                <w:szCs w:val="16"/>
              </w:rPr>
            </w:pPr>
            <w:r w:rsidRPr="00AE2B3F">
              <w:rPr>
                <w:b/>
                <w:bCs/>
                <w:sz w:val="16"/>
                <w:szCs w:val="16"/>
              </w:rPr>
              <w:t xml:space="preserve"> Estimated Number of Respondents </w:t>
            </w:r>
          </w:p>
        </w:tc>
        <w:tc>
          <w:tcPr>
            <w:tcW w:w="1170" w:type="dxa"/>
            <w:tcBorders>
              <w:top w:val="single" w:sz="4" w:space="0" w:color="auto"/>
              <w:left w:val="nil"/>
              <w:bottom w:val="single" w:sz="4" w:space="0" w:color="auto"/>
              <w:right w:val="single" w:sz="4" w:space="0" w:color="auto"/>
            </w:tcBorders>
            <w:vAlign w:val="center"/>
            <w:hideMark/>
          </w:tcPr>
          <w:p w:rsidR="009564EC" w:rsidRPr="00AE2B3F" w:rsidP="009564EC" w14:paraId="7CDC15C4" w14:textId="77777777">
            <w:pPr>
              <w:widowControl/>
              <w:overflowPunct/>
              <w:autoSpaceDE/>
              <w:autoSpaceDN/>
              <w:adjustRightInd/>
              <w:jc w:val="center"/>
              <w:textAlignment w:val="auto"/>
              <w:rPr>
                <w:b/>
                <w:bCs/>
                <w:sz w:val="16"/>
                <w:szCs w:val="16"/>
              </w:rPr>
            </w:pPr>
            <w:r w:rsidRPr="00AE2B3F">
              <w:rPr>
                <w:b/>
                <w:bCs/>
                <w:sz w:val="16"/>
                <w:szCs w:val="16"/>
              </w:rPr>
              <w:t xml:space="preserve"> Frequency of Responses </w:t>
            </w:r>
          </w:p>
        </w:tc>
        <w:tc>
          <w:tcPr>
            <w:tcW w:w="117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9564EC" w:rsidRPr="00AE2B3F" w:rsidP="009564EC" w14:paraId="223BF0E6" w14:textId="77777777">
            <w:pPr>
              <w:widowControl/>
              <w:overflowPunct/>
              <w:autoSpaceDE/>
              <w:autoSpaceDN/>
              <w:adjustRightInd/>
              <w:jc w:val="center"/>
              <w:textAlignment w:val="auto"/>
              <w:rPr>
                <w:b/>
                <w:bCs/>
                <w:sz w:val="16"/>
                <w:szCs w:val="16"/>
              </w:rPr>
            </w:pPr>
            <w:r w:rsidRPr="00AE2B3F">
              <w:rPr>
                <w:b/>
                <w:bCs/>
                <w:sz w:val="16"/>
                <w:szCs w:val="16"/>
              </w:rPr>
              <w:t xml:space="preserve"> Total Annual Responses </w:t>
            </w:r>
          </w:p>
        </w:tc>
        <w:tc>
          <w:tcPr>
            <w:tcW w:w="1107" w:type="dxa"/>
            <w:tcBorders>
              <w:top w:val="single" w:sz="4" w:space="0" w:color="auto"/>
              <w:left w:val="nil"/>
              <w:bottom w:val="single" w:sz="4" w:space="0" w:color="auto"/>
              <w:right w:val="single" w:sz="4" w:space="0" w:color="auto"/>
            </w:tcBorders>
            <w:vAlign w:val="center"/>
            <w:hideMark/>
          </w:tcPr>
          <w:p w:rsidR="009564EC" w:rsidRPr="00AE2B3F" w:rsidP="009564EC" w14:paraId="70956239" w14:textId="77777777">
            <w:pPr>
              <w:widowControl/>
              <w:overflowPunct/>
              <w:autoSpaceDE/>
              <w:autoSpaceDN/>
              <w:adjustRightInd/>
              <w:jc w:val="center"/>
              <w:textAlignment w:val="auto"/>
              <w:rPr>
                <w:b/>
                <w:bCs/>
                <w:sz w:val="16"/>
                <w:szCs w:val="16"/>
              </w:rPr>
            </w:pPr>
            <w:r w:rsidRPr="00AE2B3F">
              <w:rPr>
                <w:b/>
                <w:bCs/>
                <w:sz w:val="16"/>
                <w:szCs w:val="16"/>
              </w:rPr>
              <w:t xml:space="preserve"> Average Burden Hours per Response </w:t>
            </w:r>
          </w:p>
        </w:tc>
        <w:tc>
          <w:tcPr>
            <w:tcW w:w="105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9564EC" w:rsidRPr="00AE2B3F" w:rsidP="009564EC" w14:paraId="2DE6072A" w14:textId="77777777">
            <w:pPr>
              <w:widowControl/>
              <w:overflowPunct/>
              <w:autoSpaceDE/>
              <w:autoSpaceDN/>
              <w:adjustRightInd/>
              <w:jc w:val="center"/>
              <w:textAlignment w:val="auto"/>
              <w:rPr>
                <w:b/>
                <w:bCs/>
                <w:sz w:val="16"/>
                <w:szCs w:val="16"/>
              </w:rPr>
            </w:pPr>
            <w:r w:rsidRPr="00AE2B3F">
              <w:rPr>
                <w:b/>
                <w:bCs/>
                <w:sz w:val="16"/>
                <w:szCs w:val="16"/>
              </w:rPr>
              <w:t xml:space="preserve"> Estimated Total Burden Hours </w:t>
            </w:r>
          </w:p>
        </w:tc>
        <w:tc>
          <w:tcPr>
            <w:tcW w:w="1170" w:type="dxa"/>
            <w:tcBorders>
              <w:top w:val="single" w:sz="4" w:space="0" w:color="auto"/>
              <w:left w:val="nil"/>
              <w:bottom w:val="single" w:sz="4" w:space="0" w:color="auto"/>
              <w:right w:val="single" w:sz="4" w:space="0" w:color="auto"/>
            </w:tcBorders>
            <w:vAlign w:val="center"/>
            <w:hideMark/>
          </w:tcPr>
          <w:p w:rsidR="009564EC" w:rsidRPr="00AE2B3F" w:rsidP="009564EC" w14:paraId="6CADA3CE" w14:textId="77777777">
            <w:pPr>
              <w:widowControl/>
              <w:overflowPunct/>
              <w:autoSpaceDE/>
              <w:autoSpaceDN/>
              <w:adjustRightInd/>
              <w:jc w:val="center"/>
              <w:textAlignment w:val="auto"/>
              <w:rPr>
                <w:b/>
                <w:bCs/>
                <w:i/>
                <w:iCs/>
                <w:sz w:val="16"/>
                <w:szCs w:val="16"/>
              </w:rPr>
            </w:pPr>
            <w:r w:rsidRPr="00AE2B3F">
              <w:rPr>
                <w:b/>
                <w:bCs/>
                <w:i/>
                <w:iCs/>
                <w:sz w:val="16"/>
                <w:szCs w:val="16"/>
              </w:rPr>
              <w:t>Current Burden Hours in OMB # 0584-0043</w:t>
            </w:r>
          </w:p>
        </w:tc>
        <w:tc>
          <w:tcPr>
            <w:tcW w:w="1363" w:type="dxa"/>
            <w:tcBorders>
              <w:top w:val="single" w:sz="4" w:space="0" w:color="auto"/>
              <w:left w:val="nil"/>
              <w:bottom w:val="single" w:sz="4" w:space="0" w:color="auto"/>
              <w:right w:val="single" w:sz="4" w:space="0" w:color="auto"/>
            </w:tcBorders>
            <w:vAlign w:val="center"/>
          </w:tcPr>
          <w:p w:rsidR="009564EC" w:rsidRPr="00AE2B3F" w:rsidP="009564EC" w14:paraId="5C7215F6" w14:textId="5FC8B296">
            <w:pPr>
              <w:widowControl/>
              <w:overflowPunct/>
              <w:autoSpaceDE/>
              <w:autoSpaceDN/>
              <w:adjustRightInd/>
              <w:jc w:val="center"/>
              <w:textAlignment w:val="auto"/>
              <w:rPr>
                <w:b/>
                <w:bCs/>
                <w:sz w:val="16"/>
                <w:szCs w:val="16"/>
              </w:rPr>
            </w:pPr>
            <w:r w:rsidRPr="00AE2B3F">
              <w:rPr>
                <w:b/>
                <w:bCs/>
                <w:sz w:val="16"/>
                <w:szCs w:val="16"/>
              </w:rPr>
              <w:t xml:space="preserve">Estimated Change due to </w:t>
            </w:r>
            <w:r>
              <w:rPr>
                <w:b/>
                <w:bCs/>
                <w:sz w:val="16"/>
                <w:szCs w:val="16"/>
              </w:rPr>
              <w:t>Program Changes</w:t>
            </w:r>
          </w:p>
        </w:tc>
        <w:tc>
          <w:tcPr>
            <w:tcW w:w="1242" w:type="dxa"/>
            <w:tcBorders>
              <w:top w:val="single" w:sz="4" w:space="0" w:color="auto"/>
              <w:left w:val="nil"/>
              <w:bottom w:val="single" w:sz="4" w:space="0" w:color="auto"/>
              <w:right w:val="single" w:sz="4" w:space="0" w:color="auto"/>
            </w:tcBorders>
            <w:vAlign w:val="center"/>
          </w:tcPr>
          <w:p w:rsidR="009564EC" w:rsidRPr="00AE2B3F" w:rsidP="009564EC" w14:paraId="1FC16F96" w14:textId="67B6314D">
            <w:pPr>
              <w:widowControl/>
              <w:overflowPunct/>
              <w:autoSpaceDE/>
              <w:autoSpaceDN/>
              <w:adjustRightInd/>
              <w:jc w:val="center"/>
              <w:textAlignment w:val="auto"/>
              <w:rPr>
                <w:b/>
                <w:bCs/>
                <w:sz w:val="16"/>
                <w:szCs w:val="16"/>
              </w:rPr>
            </w:pPr>
            <w:r w:rsidRPr="00AE2B3F">
              <w:rPr>
                <w:b/>
                <w:bCs/>
                <w:sz w:val="16"/>
                <w:szCs w:val="16"/>
              </w:rPr>
              <w:t>Estimated Change due to Adjustments</w:t>
            </w:r>
          </w:p>
        </w:tc>
        <w:tc>
          <w:tcPr>
            <w:tcW w:w="1265" w:type="dxa"/>
            <w:tcBorders>
              <w:top w:val="single" w:sz="4" w:space="0" w:color="auto"/>
              <w:left w:val="nil"/>
              <w:bottom w:val="single" w:sz="4" w:space="0" w:color="auto"/>
              <w:right w:val="single" w:sz="4" w:space="0" w:color="auto"/>
            </w:tcBorders>
            <w:vAlign w:val="center"/>
          </w:tcPr>
          <w:p w:rsidR="009564EC" w:rsidRPr="00AE2B3F" w:rsidP="009564EC" w14:paraId="5AE29293" w14:textId="6FFB5A48">
            <w:pPr>
              <w:widowControl/>
              <w:overflowPunct/>
              <w:autoSpaceDE/>
              <w:autoSpaceDN/>
              <w:adjustRightInd/>
              <w:jc w:val="center"/>
              <w:textAlignment w:val="auto"/>
              <w:rPr>
                <w:b/>
                <w:bCs/>
                <w:sz w:val="16"/>
                <w:szCs w:val="16"/>
              </w:rPr>
            </w:pPr>
            <w:r w:rsidRPr="00AE2B3F">
              <w:rPr>
                <w:b/>
                <w:bCs/>
                <w:sz w:val="16"/>
                <w:szCs w:val="16"/>
              </w:rPr>
              <w:t>Total Change due to Rulemaking and Adjustments</w:t>
            </w:r>
          </w:p>
        </w:tc>
      </w:tr>
      <w:tr w14:paraId="65C914E1" w14:textId="77777777" w:rsidTr="4FE94C9D">
        <w:tblPrEx>
          <w:tblW w:w="14215" w:type="dxa"/>
          <w:tblLayout w:type="fixed"/>
          <w:tblLook w:val="04A0"/>
        </w:tblPrEx>
        <w:trPr>
          <w:trHeight w:val="300"/>
        </w:trPr>
        <w:tc>
          <w:tcPr>
            <w:tcW w:w="14215" w:type="dxa"/>
            <w:gridSpan w:val="11"/>
            <w:tcBorders>
              <w:top w:val="single" w:sz="4" w:space="0" w:color="auto"/>
              <w:left w:val="single" w:sz="4" w:space="0" w:color="auto"/>
              <w:bottom w:val="single" w:sz="4" w:space="0" w:color="auto"/>
              <w:right w:val="single" w:sz="4" w:space="0" w:color="auto"/>
            </w:tcBorders>
            <w:vAlign w:val="center"/>
            <w:hideMark/>
          </w:tcPr>
          <w:p w:rsidR="00B01B54" w:rsidRPr="00AE2B3F" w:rsidP="009564EC" w14:paraId="04D12019" w14:textId="121FE43F">
            <w:pPr>
              <w:widowControl/>
              <w:overflowPunct/>
              <w:autoSpaceDE/>
              <w:autoSpaceDN/>
              <w:adjustRightInd/>
              <w:jc w:val="center"/>
              <w:textAlignment w:val="auto"/>
              <w:rPr>
                <w:b/>
                <w:bCs/>
                <w:sz w:val="18"/>
                <w:szCs w:val="18"/>
              </w:rPr>
            </w:pPr>
            <w:r w:rsidRPr="00AE2B3F">
              <w:rPr>
                <w:b/>
                <w:bCs/>
                <w:sz w:val="18"/>
                <w:szCs w:val="18"/>
              </w:rPr>
              <w:t>REPORTING BURDEN ESTIMATES</w:t>
            </w:r>
          </w:p>
        </w:tc>
      </w:tr>
      <w:tr w14:paraId="4FB506AE" w14:textId="77777777" w:rsidTr="4FE94C9D">
        <w:tblPrEx>
          <w:tblW w:w="14215" w:type="dxa"/>
          <w:tblLayout w:type="fixed"/>
          <w:tblLook w:val="04A0"/>
        </w:tblPrEx>
        <w:trPr>
          <w:trHeight w:val="300"/>
        </w:trPr>
        <w:tc>
          <w:tcPr>
            <w:tcW w:w="14215" w:type="dxa"/>
            <w:gridSpan w:val="11"/>
            <w:tcBorders>
              <w:top w:val="single" w:sz="4" w:space="0" w:color="auto"/>
              <w:left w:val="single" w:sz="4" w:space="0" w:color="auto"/>
              <w:bottom w:val="single" w:sz="4" w:space="0" w:color="auto"/>
              <w:right w:val="single" w:sz="4" w:space="0" w:color="auto"/>
            </w:tcBorders>
            <w:vAlign w:val="center"/>
            <w:hideMark/>
          </w:tcPr>
          <w:p w:rsidR="00B01B54" w:rsidRPr="00AE2B3F" w:rsidP="009564EC" w14:paraId="319F84C3" w14:textId="11D98323">
            <w:pPr>
              <w:widowControl/>
              <w:overflowPunct/>
              <w:autoSpaceDE/>
              <w:autoSpaceDN/>
              <w:adjustRightInd/>
              <w:jc w:val="center"/>
              <w:textAlignment w:val="auto"/>
              <w:rPr>
                <w:b/>
                <w:bCs/>
                <w:sz w:val="18"/>
                <w:szCs w:val="18"/>
              </w:rPr>
            </w:pPr>
            <w:r w:rsidRPr="4FE94C9D">
              <w:rPr>
                <w:b/>
                <w:bCs/>
                <w:sz w:val="18"/>
                <w:szCs w:val="18"/>
              </w:rPr>
              <w:t>Affected Public:  State and Local Agencies (including Indian Tribal Organizations and U.S. Territories)</w:t>
            </w:r>
          </w:p>
        </w:tc>
      </w:tr>
      <w:tr w14:paraId="6E2A033F" w14:textId="77777777" w:rsidTr="4FE94C9D">
        <w:tblPrEx>
          <w:tblW w:w="14215" w:type="dxa"/>
          <w:tblLayout w:type="fixed"/>
          <w:tblLook w:val="04A0"/>
        </w:tblPrEx>
        <w:trPr>
          <w:trHeight w:val="288"/>
        </w:trPr>
        <w:tc>
          <w:tcPr>
            <w:tcW w:w="1651" w:type="dxa"/>
            <w:tcBorders>
              <w:top w:val="nil"/>
              <w:left w:val="single" w:sz="4" w:space="0" w:color="auto"/>
              <w:bottom w:val="single" w:sz="4" w:space="0" w:color="auto"/>
              <w:right w:val="single" w:sz="4" w:space="0" w:color="auto"/>
            </w:tcBorders>
            <w:vAlign w:val="center"/>
            <w:hideMark/>
          </w:tcPr>
          <w:p w:rsidR="0014536A" w:rsidRPr="00AE2B3F" w:rsidP="0014536A" w14:paraId="6ECE12E1" w14:textId="77777777">
            <w:pPr>
              <w:widowControl/>
              <w:overflowPunct/>
              <w:autoSpaceDE/>
              <w:autoSpaceDN/>
              <w:adjustRightInd/>
              <w:textAlignment w:val="auto"/>
              <w:rPr>
                <w:b/>
                <w:bCs/>
                <w:sz w:val="18"/>
                <w:szCs w:val="18"/>
              </w:rPr>
            </w:pPr>
            <w:r w:rsidRPr="00AE2B3F">
              <w:rPr>
                <w:b/>
                <w:bCs/>
                <w:sz w:val="18"/>
                <w:szCs w:val="18"/>
              </w:rPr>
              <w:t>246.4</w:t>
            </w:r>
          </w:p>
        </w:tc>
        <w:tc>
          <w:tcPr>
            <w:tcW w:w="1764" w:type="dxa"/>
            <w:tcBorders>
              <w:top w:val="nil"/>
              <w:left w:val="nil"/>
              <w:bottom w:val="single" w:sz="4" w:space="0" w:color="auto"/>
              <w:right w:val="single" w:sz="4" w:space="0" w:color="auto"/>
            </w:tcBorders>
            <w:vAlign w:val="center"/>
            <w:hideMark/>
          </w:tcPr>
          <w:p w:rsidR="0014536A" w:rsidRPr="00AE2B3F" w:rsidP="0014536A" w14:paraId="72B7417D" w14:textId="77777777">
            <w:pPr>
              <w:widowControl/>
              <w:overflowPunct/>
              <w:autoSpaceDE/>
              <w:autoSpaceDN/>
              <w:adjustRightInd/>
              <w:textAlignment w:val="auto"/>
              <w:rPr>
                <w:sz w:val="18"/>
                <w:szCs w:val="18"/>
              </w:rPr>
            </w:pPr>
            <w:r w:rsidRPr="00AE2B3F">
              <w:rPr>
                <w:sz w:val="18"/>
                <w:szCs w:val="18"/>
              </w:rPr>
              <w:t>State Plan</w:t>
            </w:r>
          </w:p>
        </w:tc>
        <w:tc>
          <w:tcPr>
            <w:tcW w:w="1260" w:type="dxa"/>
            <w:tcBorders>
              <w:top w:val="nil"/>
              <w:left w:val="nil"/>
              <w:bottom w:val="single" w:sz="4" w:space="0" w:color="auto"/>
              <w:right w:val="single" w:sz="4" w:space="0" w:color="auto"/>
            </w:tcBorders>
            <w:vAlign w:val="center"/>
            <w:hideMark/>
          </w:tcPr>
          <w:p w:rsidR="0014536A" w:rsidRPr="00AE2B3F" w:rsidP="005743D0" w14:paraId="7B584D12" w14:textId="46C885C4">
            <w:pPr>
              <w:widowControl/>
              <w:overflowPunct/>
              <w:autoSpaceDE/>
              <w:autoSpaceDN/>
              <w:adjustRightInd/>
              <w:jc w:val="right"/>
              <w:textAlignment w:val="auto"/>
              <w:rPr>
                <w:sz w:val="18"/>
                <w:szCs w:val="18"/>
              </w:rPr>
            </w:pPr>
            <w:r w:rsidRPr="005743D0">
              <w:rPr>
                <w:sz w:val="18"/>
                <w:szCs w:val="18"/>
              </w:rPr>
              <w:t>88.00</w:t>
            </w:r>
          </w:p>
        </w:tc>
        <w:tc>
          <w:tcPr>
            <w:tcW w:w="1170" w:type="dxa"/>
            <w:tcBorders>
              <w:top w:val="nil"/>
              <w:left w:val="nil"/>
              <w:bottom w:val="single" w:sz="4" w:space="0" w:color="auto"/>
              <w:right w:val="single" w:sz="4" w:space="0" w:color="auto"/>
            </w:tcBorders>
            <w:vAlign w:val="center"/>
            <w:hideMark/>
          </w:tcPr>
          <w:p w:rsidR="0014536A" w:rsidRPr="00AE2B3F" w:rsidP="005743D0" w14:paraId="0591A4B4" w14:textId="19CDF9EC">
            <w:pPr>
              <w:widowControl/>
              <w:overflowPunct/>
              <w:autoSpaceDE/>
              <w:autoSpaceDN/>
              <w:adjustRightInd/>
              <w:jc w:val="right"/>
              <w:textAlignment w:val="auto"/>
              <w:rPr>
                <w:sz w:val="18"/>
                <w:szCs w:val="18"/>
              </w:rPr>
            </w:pPr>
            <w:r w:rsidRPr="005743D0">
              <w:rPr>
                <w:sz w:val="18"/>
                <w:szCs w:val="18"/>
              </w:rPr>
              <w:t>1.00</w:t>
            </w:r>
          </w:p>
        </w:tc>
        <w:tc>
          <w:tcPr>
            <w:tcW w:w="1170" w:type="dxa"/>
            <w:tcBorders>
              <w:top w:val="nil"/>
              <w:left w:val="nil"/>
              <w:bottom w:val="single" w:sz="4" w:space="0" w:color="auto"/>
              <w:right w:val="single" w:sz="4" w:space="0" w:color="auto"/>
            </w:tcBorders>
            <w:shd w:val="clear" w:color="auto" w:fill="F2F2F2" w:themeFill="background1" w:themeFillShade="F2"/>
            <w:vAlign w:val="center"/>
            <w:hideMark/>
          </w:tcPr>
          <w:p w:rsidR="0014536A" w:rsidRPr="00AE2B3F" w:rsidP="005743D0" w14:paraId="3F6835ED" w14:textId="29B6D1D5">
            <w:pPr>
              <w:widowControl/>
              <w:overflowPunct/>
              <w:autoSpaceDE/>
              <w:autoSpaceDN/>
              <w:adjustRightInd/>
              <w:jc w:val="right"/>
              <w:textAlignment w:val="auto"/>
              <w:rPr>
                <w:sz w:val="18"/>
                <w:szCs w:val="18"/>
              </w:rPr>
            </w:pPr>
            <w:r w:rsidRPr="005743D0">
              <w:rPr>
                <w:sz w:val="18"/>
                <w:szCs w:val="18"/>
              </w:rPr>
              <w:t>88.00</w:t>
            </w:r>
          </w:p>
        </w:tc>
        <w:tc>
          <w:tcPr>
            <w:tcW w:w="1107" w:type="dxa"/>
            <w:tcBorders>
              <w:top w:val="nil"/>
              <w:left w:val="nil"/>
              <w:bottom w:val="single" w:sz="4" w:space="0" w:color="auto"/>
              <w:right w:val="single" w:sz="4" w:space="0" w:color="auto"/>
            </w:tcBorders>
            <w:vAlign w:val="center"/>
            <w:hideMark/>
          </w:tcPr>
          <w:p w:rsidR="0014536A" w:rsidRPr="00AE2B3F" w:rsidP="005743D0" w14:paraId="1BE9A934" w14:textId="5DD610B0">
            <w:pPr>
              <w:widowControl/>
              <w:overflowPunct/>
              <w:autoSpaceDE/>
              <w:autoSpaceDN/>
              <w:adjustRightInd/>
              <w:jc w:val="right"/>
              <w:textAlignment w:val="auto"/>
              <w:rPr>
                <w:sz w:val="18"/>
                <w:szCs w:val="18"/>
              </w:rPr>
            </w:pPr>
            <w:r w:rsidRPr="005743D0">
              <w:rPr>
                <w:sz w:val="18"/>
                <w:szCs w:val="18"/>
              </w:rPr>
              <w:t>170.62</w:t>
            </w:r>
          </w:p>
        </w:tc>
        <w:tc>
          <w:tcPr>
            <w:tcW w:w="1053" w:type="dxa"/>
            <w:tcBorders>
              <w:top w:val="nil"/>
              <w:left w:val="nil"/>
              <w:bottom w:val="single" w:sz="4" w:space="0" w:color="auto"/>
              <w:right w:val="single" w:sz="4" w:space="0" w:color="auto"/>
            </w:tcBorders>
            <w:shd w:val="clear" w:color="auto" w:fill="F2F2F2" w:themeFill="background1" w:themeFillShade="F2"/>
            <w:vAlign w:val="center"/>
            <w:hideMark/>
          </w:tcPr>
          <w:p w:rsidR="0014536A" w:rsidRPr="00AE2B3F" w:rsidP="005743D0" w14:paraId="6E0CFD24" w14:textId="0588D991">
            <w:pPr>
              <w:widowControl/>
              <w:overflowPunct/>
              <w:autoSpaceDE/>
              <w:autoSpaceDN/>
              <w:adjustRightInd/>
              <w:jc w:val="right"/>
              <w:textAlignment w:val="auto"/>
              <w:rPr>
                <w:sz w:val="18"/>
                <w:szCs w:val="18"/>
              </w:rPr>
            </w:pPr>
            <w:r w:rsidRPr="005743D0">
              <w:rPr>
                <w:sz w:val="18"/>
                <w:szCs w:val="18"/>
              </w:rPr>
              <w:t>15,014.56</w:t>
            </w:r>
          </w:p>
        </w:tc>
        <w:tc>
          <w:tcPr>
            <w:tcW w:w="1170" w:type="dxa"/>
            <w:tcBorders>
              <w:top w:val="nil"/>
              <w:left w:val="nil"/>
              <w:bottom w:val="single" w:sz="4" w:space="0" w:color="auto"/>
              <w:right w:val="single" w:sz="4" w:space="0" w:color="auto"/>
            </w:tcBorders>
            <w:vAlign w:val="center"/>
            <w:hideMark/>
          </w:tcPr>
          <w:p w:rsidR="0014536A" w:rsidRPr="00DD2920" w:rsidP="005743D0" w14:paraId="03583256" w14:textId="5550BBEB">
            <w:pPr>
              <w:widowControl/>
              <w:overflowPunct/>
              <w:autoSpaceDE/>
              <w:autoSpaceDN/>
              <w:adjustRightInd/>
              <w:jc w:val="right"/>
              <w:textAlignment w:val="auto"/>
              <w:rPr>
                <w:i/>
                <w:iCs/>
                <w:sz w:val="18"/>
                <w:szCs w:val="18"/>
              </w:rPr>
            </w:pPr>
            <w:r w:rsidRPr="00DD2920">
              <w:rPr>
                <w:i/>
                <w:iCs/>
                <w:sz w:val="18"/>
                <w:szCs w:val="18"/>
              </w:rPr>
              <w:t>15,185.18</w:t>
            </w:r>
          </w:p>
        </w:tc>
        <w:tc>
          <w:tcPr>
            <w:tcW w:w="1363" w:type="dxa"/>
            <w:tcBorders>
              <w:top w:val="nil"/>
              <w:left w:val="nil"/>
              <w:bottom w:val="single" w:sz="4" w:space="0" w:color="auto"/>
              <w:right w:val="single" w:sz="4" w:space="0" w:color="auto"/>
            </w:tcBorders>
            <w:vAlign w:val="center"/>
          </w:tcPr>
          <w:p w:rsidR="0014536A" w:rsidRPr="00AE2B3F" w:rsidP="005743D0" w14:paraId="698FC237" w14:textId="1C3E9E35">
            <w:pPr>
              <w:widowControl/>
              <w:overflowPunct/>
              <w:autoSpaceDE/>
              <w:autoSpaceDN/>
              <w:adjustRightInd/>
              <w:jc w:val="right"/>
              <w:textAlignment w:val="auto"/>
              <w:rPr>
                <w:sz w:val="18"/>
                <w:szCs w:val="18"/>
              </w:rPr>
            </w:pPr>
            <w:r w:rsidRPr="005743D0">
              <w:rPr>
                <w:sz w:val="18"/>
                <w:szCs w:val="18"/>
              </w:rPr>
              <w:t>0.00</w:t>
            </w:r>
          </w:p>
        </w:tc>
        <w:tc>
          <w:tcPr>
            <w:tcW w:w="1242" w:type="dxa"/>
            <w:tcBorders>
              <w:top w:val="nil"/>
              <w:left w:val="nil"/>
              <w:bottom w:val="single" w:sz="4" w:space="0" w:color="auto"/>
              <w:right w:val="single" w:sz="4" w:space="0" w:color="auto"/>
            </w:tcBorders>
            <w:vAlign w:val="center"/>
          </w:tcPr>
          <w:p w:rsidR="0014536A" w:rsidRPr="00AE2B3F" w:rsidP="005743D0" w14:paraId="4B1AA1EE" w14:textId="31517515">
            <w:pPr>
              <w:widowControl/>
              <w:overflowPunct/>
              <w:autoSpaceDE/>
              <w:autoSpaceDN/>
              <w:adjustRightInd/>
              <w:jc w:val="right"/>
              <w:textAlignment w:val="auto"/>
              <w:rPr>
                <w:sz w:val="18"/>
                <w:szCs w:val="18"/>
              </w:rPr>
            </w:pPr>
            <w:r w:rsidRPr="005743D0">
              <w:rPr>
                <w:sz w:val="18"/>
                <w:szCs w:val="18"/>
              </w:rPr>
              <w:t>-170.62</w:t>
            </w:r>
          </w:p>
        </w:tc>
        <w:tc>
          <w:tcPr>
            <w:tcW w:w="1265" w:type="dxa"/>
            <w:tcBorders>
              <w:top w:val="nil"/>
              <w:left w:val="nil"/>
              <w:bottom w:val="single" w:sz="4" w:space="0" w:color="auto"/>
              <w:right w:val="single" w:sz="4" w:space="0" w:color="auto"/>
            </w:tcBorders>
            <w:vAlign w:val="center"/>
          </w:tcPr>
          <w:p w:rsidR="0014536A" w:rsidRPr="00AE2B3F" w:rsidP="005743D0" w14:paraId="57C2FB28" w14:textId="4B0C3F38">
            <w:pPr>
              <w:widowControl/>
              <w:overflowPunct/>
              <w:autoSpaceDE/>
              <w:autoSpaceDN/>
              <w:adjustRightInd/>
              <w:jc w:val="right"/>
              <w:textAlignment w:val="auto"/>
              <w:rPr>
                <w:sz w:val="18"/>
                <w:szCs w:val="18"/>
              </w:rPr>
            </w:pPr>
            <w:r w:rsidRPr="005743D0">
              <w:rPr>
                <w:sz w:val="18"/>
                <w:szCs w:val="18"/>
              </w:rPr>
              <w:t>-170.62</w:t>
            </w:r>
          </w:p>
        </w:tc>
      </w:tr>
      <w:tr w14:paraId="1CDE791B" w14:textId="77777777" w:rsidTr="4FE94C9D">
        <w:tblPrEx>
          <w:tblW w:w="14215" w:type="dxa"/>
          <w:tblLayout w:type="fixed"/>
          <w:tblLook w:val="04A0"/>
        </w:tblPrEx>
        <w:trPr>
          <w:trHeight w:val="528"/>
        </w:trPr>
        <w:tc>
          <w:tcPr>
            <w:tcW w:w="1651" w:type="dxa"/>
            <w:tcBorders>
              <w:top w:val="nil"/>
              <w:left w:val="single" w:sz="4" w:space="0" w:color="auto"/>
              <w:bottom w:val="single" w:sz="4" w:space="0" w:color="auto"/>
              <w:right w:val="single" w:sz="4" w:space="0" w:color="auto"/>
            </w:tcBorders>
            <w:vAlign w:val="center"/>
          </w:tcPr>
          <w:p w:rsidR="004650FE" w:rsidRPr="00AE2B3F" w:rsidP="005743D0" w14:paraId="2BB22961" w14:textId="6957B9AE">
            <w:pPr>
              <w:widowControl/>
              <w:overflowPunct/>
              <w:autoSpaceDE/>
              <w:autoSpaceDN/>
              <w:adjustRightInd/>
              <w:textAlignment w:val="auto"/>
              <w:rPr>
                <w:b/>
                <w:bCs/>
                <w:sz w:val="18"/>
                <w:szCs w:val="18"/>
              </w:rPr>
            </w:pPr>
            <w:r w:rsidRPr="005743D0">
              <w:rPr>
                <w:b/>
                <w:bCs/>
                <w:sz w:val="18"/>
                <w:szCs w:val="18"/>
              </w:rPr>
              <w:t>246.12</w:t>
            </w:r>
          </w:p>
        </w:tc>
        <w:tc>
          <w:tcPr>
            <w:tcW w:w="1764" w:type="dxa"/>
            <w:tcBorders>
              <w:top w:val="nil"/>
              <w:left w:val="nil"/>
              <w:bottom w:val="single" w:sz="4" w:space="0" w:color="auto"/>
              <w:right w:val="single" w:sz="4" w:space="0" w:color="auto"/>
            </w:tcBorders>
          </w:tcPr>
          <w:p w:rsidR="004650FE" w:rsidRPr="005743D0" w:rsidP="004650FE" w14:paraId="6CEA29CE" w14:textId="657B335B">
            <w:pPr>
              <w:widowControl/>
              <w:overflowPunct/>
              <w:autoSpaceDE/>
              <w:autoSpaceDN/>
              <w:adjustRightInd/>
              <w:textAlignment w:val="auto"/>
              <w:rPr>
                <w:sz w:val="18"/>
                <w:szCs w:val="18"/>
              </w:rPr>
            </w:pPr>
            <w:r w:rsidRPr="005743D0">
              <w:rPr>
                <w:sz w:val="18"/>
                <w:szCs w:val="18"/>
              </w:rPr>
              <w:t>Implementation of food delivery system changes</w:t>
            </w:r>
          </w:p>
        </w:tc>
        <w:tc>
          <w:tcPr>
            <w:tcW w:w="1260" w:type="dxa"/>
            <w:tcBorders>
              <w:top w:val="nil"/>
              <w:left w:val="nil"/>
              <w:bottom w:val="single" w:sz="4" w:space="0" w:color="auto"/>
              <w:right w:val="single" w:sz="4" w:space="0" w:color="auto"/>
            </w:tcBorders>
            <w:vAlign w:val="center"/>
          </w:tcPr>
          <w:p w:rsidR="004650FE" w:rsidRPr="00AE2B3F" w:rsidP="005743D0" w14:paraId="6E52AD2F" w14:textId="426E2085">
            <w:pPr>
              <w:widowControl/>
              <w:overflowPunct/>
              <w:autoSpaceDE/>
              <w:autoSpaceDN/>
              <w:adjustRightInd/>
              <w:jc w:val="right"/>
              <w:textAlignment w:val="auto"/>
              <w:rPr>
                <w:sz w:val="18"/>
                <w:szCs w:val="18"/>
              </w:rPr>
            </w:pPr>
            <w:r w:rsidRPr="005743D0">
              <w:rPr>
                <w:sz w:val="18"/>
                <w:szCs w:val="18"/>
              </w:rPr>
              <w:t>44.00</w:t>
            </w:r>
          </w:p>
        </w:tc>
        <w:tc>
          <w:tcPr>
            <w:tcW w:w="1170" w:type="dxa"/>
            <w:tcBorders>
              <w:top w:val="nil"/>
              <w:left w:val="nil"/>
              <w:bottom w:val="single" w:sz="4" w:space="0" w:color="auto"/>
              <w:right w:val="single" w:sz="4" w:space="0" w:color="auto"/>
            </w:tcBorders>
            <w:vAlign w:val="center"/>
          </w:tcPr>
          <w:p w:rsidR="004650FE" w:rsidRPr="00AE2B3F" w:rsidP="005743D0" w14:paraId="74CACCE5" w14:textId="15E26ED4">
            <w:pPr>
              <w:widowControl/>
              <w:overflowPunct/>
              <w:autoSpaceDE/>
              <w:autoSpaceDN/>
              <w:adjustRightInd/>
              <w:jc w:val="right"/>
              <w:textAlignment w:val="auto"/>
              <w:rPr>
                <w:sz w:val="18"/>
                <w:szCs w:val="18"/>
              </w:rPr>
            </w:pPr>
            <w:r w:rsidRPr="005743D0">
              <w:rPr>
                <w:sz w:val="18"/>
                <w:szCs w:val="18"/>
              </w:rPr>
              <w:t>1.00</w:t>
            </w:r>
          </w:p>
        </w:tc>
        <w:tc>
          <w:tcPr>
            <w:tcW w:w="1170" w:type="dxa"/>
            <w:tcBorders>
              <w:top w:val="nil"/>
              <w:left w:val="nil"/>
              <w:bottom w:val="single" w:sz="4" w:space="0" w:color="auto"/>
              <w:right w:val="single" w:sz="4" w:space="0" w:color="auto"/>
            </w:tcBorders>
            <w:shd w:val="clear" w:color="auto" w:fill="F2F2F2" w:themeFill="background1" w:themeFillShade="F2"/>
            <w:vAlign w:val="center"/>
          </w:tcPr>
          <w:p w:rsidR="004650FE" w:rsidRPr="00AE2B3F" w:rsidP="005743D0" w14:paraId="232371E4" w14:textId="2AC26CB2">
            <w:pPr>
              <w:widowControl/>
              <w:overflowPunct/>
              <w:autoSpaceDE/>
              <w:autoSpaceDN/>
              <w:adjustRightInd/>
              <w:jc w:val="right"/>
              <w:textAlignment w:val="auto"/>
              <w:rPr>
                <w:sz w:val="18"/>
                <w:szCs w:val="18"/>
              </w:rPr>
            </w:pPr>
            <w:r w:rsidRPr="005743D0">
              <w:rPr>
                <w:sz w:val="18"/>
                <w:szCs w:val="18"/>
              </w:rPr>
              <w:t>44.00</w:t>
            </w:r>
          </w:p>
        </w:tc>
        <w:tc>
          <w:tcPr>
            <w:tcW w:w="1107" w:type="dxa"/>
            <w:tcBorders>
              <w:top w:val="nil"/>
              <w:left w:val="nil"/>
              <w:bottom w:val="single" w:sz="4" w:space="0" w:color="auto"/>
              <w:right w:val="single" w:sz="4" w:space="0" w:color="auto"/>
            </w:tcBorders>
            <w:vAlign w:val="center"/>
          </w:tcPr>
          <w:p w:rsidR="004650FE" w:rsidRPr="00AE2B3F" w:rsidP="005743D0" w14:paraId="21D505AE" w14:textId="7FD0AC8C">
            <w:pPr>
              <w:widowControl/>
              <w:overflowPunct/>
              <w:autoSpaceDE/>
              <w:autoSpaceDN/>
              <w:adjustRightInd/>
              <w:jc w:val="right"/>
              <w:textAlignment w:val="auto"/>
              <w:rPr>
                <w:sz w:val="18"/>
                <w:szCs w:val="18"/>
              </w:rPr>
            </w:pPr>
            <w:r w:rsidRPr="005743D0">
              <w:rPr>
                <w:sz w:val="18"/>
                <w:szCs w:val="18"/>
              </w:rPr>
              <w:t>5.00</w:t>
            </w:r>
          </w:p>
        </w:tc>
        <w:tc>
          <w:tcPr>
            <w:tcW w:w="1053" w:type="dxa"/>
            <w:tcBorders>
              <w:top w:val="nil"/>
              <w:left w:val="nil"/>
              <w:bottom w:val="single" w:sz="4" w:space="0" w:color="auto"/>
              <w:right w:val="single" w:sz="4" w:space="0" w:color="auto"/>
            </w:tcBorders>
            <w:shd w:val="clear" w:color="auto" w:fill="F2F2F2" w:themeFill="background1" w:themeFillShade="F2"/>
            <w:vAlign w:val="center"/>
          </w:tcPr>
          <w:p w:rsidR="004650FE" w:rsidRPr="00AE2B3F" w:rsidP="005743D0" w14:paraId="0447B37D" w14:textId="0378666E">
            <w:pPr>
              <w:widowControl/>
              <w:overflowPunct/>
              <w:autoSpaceDE/>
              <w:autoSpaceDN/>
              <w:adjustRightInd/>
              <w:jc w:val="right"/>
              <w:textAlignment w:val="auto"/>
              <w:rPr>
                <w:sz w:val="18"/>
                <w:szCs w:val="18"/>
              </w:rPr>
            </w:pPr>
            <w:r w:rsidRPr="005743D0">
              <w:rPr>
                <w:sz w:val="18"/>
                <w:szCs w:val="18"/>
              </w:rPr>
              <w:t>220.00</w:t>
            </w:r>
          </w:p>
        </w:tc>
        <w:tc>
          <w:tcPr>
            <w:tcW w:w="1170" w:type="dxa"/>
            <w:tcBorders>
              <w:top w:val="nil"/>
              <w:left w:val="nil"/>
              <w:bottom w:val="single" w:sz="4" w:space="0" w:color="auto"/>
              <w:right w:val="single" w:sz="4" w:space="0" w:color="auto"/>
            </w:tcBorders>
            <w:vAlign w:val="center"/>
          </w:tcPr>
          <w:p w:rsidR="004650FE" w:rsidRPr="00DD2920" w:rsidP="005743D0" w14:paraId="4DBD7CA1" w14:textId="3CFE4F45">
            <w:pPr>
              <w:widowControl/>
              <w:overflowPunct/>
              <w:autoSpaceDE/>
              <w:autoSpaceDN/>
              <w:adjustRightInd/>
              <w:jc w:val="right"/>
              <w:textAlignment w:val="auto"/>
              <w:rPr>
                <w:i/>
                <w:iCs/>
                <w:sz w:val="18"/>
                <w:szCs w:val="18"/>
              </w:rPr>
            </w:pPr>
            <w:r w:rsidRPr="00DD2920">
              <w:rPr>
                <w:i/>
                <w:iCs/>
                <w:sz w:val="18"/>
                <w:szCs w:val="18"/>
              </w:rPr>
              <w:t>0.00</w:t>
            </w:r>
          </w:p>
        </w:tc>
        <w:tc>
          <w:tcPr>
            <w:tcW w:w="1363" w:type="dxa"/>
            <w:tcBorders>
              <w:top w:val="nil"/>
              <w:left w:val="nil"/>
              <w:bottom w:val="single" w:sz="4" w:space="0" w:color="auto"/>
              <w:right w:val="single" w:sz="4" w:space="0" w:color="auto"/>
            </w:tcBorders>
            <w:vAlign w:val="center"/>
          </w:tcPr>
          <w:p w:rsidR="004650FE" w:rsidP="005743D0" w14:paraId="79630B7F" w14:textId="0333E495">
            <w:pPr>
              <w:widowControl/>
              <w:overflowPunct/>
              <w:autoSpaceDE/>
              <w:autoSpaceDN/>
              <w:adjustRightInd/>
              <w:jc w:val="right"/>
              <w:textAlignment w:val="auto"/>
              <w:rPr>
                <w:sz w:val="18"/>
                <w:szCs w:val="18"/>
              </w:rPr>
            </w:pPr>
            <w:r w:rsidRPr="005743D0">
              <w:rPr>
                <w:sz w:val="18"/>
                <w:szCs w:val="18"/>
              </w:rPr>
              <w:t>220.00</w:t>
            </w:r>
          </w:p>
        </w:tc>
        <w:tc>
          <w:tcPr>
            <w:tcW w:w="1242" w:type="dxa"/>
            <w:tcBorders>
              <w:top w:val="nil"/>
              <w:left w:val="nil"/>
              <w:bottom w:val="single" w:sz="4" w:space="0" w:color="auto"/>
              <w:right w:val="single" w:sz="4" w:space="0" w:color="auto"/>
            </w:tcBorders>
            <w:vAlign w:val="center"/>
          </w:tcPr>
          <w:p w:rsidR="004650FE" w:rsidRPr="00AE2B3F" w:rsidP="005743D0" w14:paraId="67BCED43" w14:textId="78D4EBC9">
            <w:pPr>
              <w:widowControl/>
              <w:overflowPunct/>
              <w:autoSpaceDE/>
              <w:autoSpaceDN/>
              <w:adjustRightInd/>
              <w:jc w:val="right"/>
              <w:textAlignment w:val="auto"/>
              <w:rPr>
                <w:sz w:val="18"/>
                <w:szCs w:val="18"/>
              </w:rPr>
            </w:pPr>
            <w:r w:rsidRPr="005743D0">
              <w:rPr>
                <w:sz w:val="18"/>
                <w:szCs w:val="18"/>
              </w:rPr>
              <w:t>0.00</w:t>
            </w:r>
          </w:p>
        </w:tc>
        <w:tc>
          <w:tcPr>
            <w:tcW w:w="1265" w:type="dxa"/>
            <w:tcBorders>
              <w:top w:val="nil"/>
              <w:left w:val="nil"/>
              <w:bottom w:val="single" w:sz="4" w:space="0" w:color="auto"/>
              <w:right w:val="single" w:sz="4" w:space="0" w:color="auto"/>
            </w:tcBorders>
            <w:vAlign w:val="center"/>
          </w:tcPr>
          <w:p w:rsidR="004650FE" w:rsidRPr="00AE2B3F" w:rsidP="005743D0" w14:paraId="55E7135B" w14:textId="1B667F0D">
            <w:pPr>
              <w:widowControl/>
              <w:overflowPunct/>
              <w:autoSpaceDE/>
              <w:autoSpaceDN/>
              <w:adjustRightInd/>
              <w:jc w:val="right"/>
              <w:textAlignment w:val="auto"/>
              <w:rPr>
                <w:sz w:val="18"/>
                <w:szCs w:val="18"/>
              </w:rPr>
            </w:pPr>
            <w:r w:rsidRPr="005743D0">
              <w:rPr>
                <w:sz w:val="18"/>
                <w:szCs w:val="18"/>
              </w:rPr>
              <w:t>220.00</w:t>
            </w:r>
          </w:p>
        </w:tc>
      </w:tr>
      <w:tr w14:paraId="02AC2AB1" w14:textId="77777777" w:rsidTr="4FE94C9D">
        <w:tblPrEx>
          <w:tblW w:w="14215" w:type="dxa"/>
          <w:tblLayout w:type="fixed"/>
          <w:tblLook w:val="04A0"/>
        </w:tblPrEx>
        <w:trPr>
          <w:trHeight w:val="528"/>
        </w:trPr>
        <w:tc>
          <w:tcPr>
            <w:tcW w:w="1651" w:type="dxa"/>
            <w:tcBorders>
              <w:top w:val="nil"/>
              <w:left w:val="single" w:sz="4" w:space="0" w:color="auto"/>
              <w:bottom w:val="single" w:sz="4" w:space="0" w:color="auto"/>
              <w:right w:val="single" w:sz="4" w:space="0" w:color="auto"/>
            </w:tcBorders>
            <w:vAlign w:val="center"/>
            <w:hideMark/>
          </w:tcPr>
          <w:p w:rsidR="004650FE" w:rsidRPr="00AE2B3F" w:rsidP="004650FE" w14:paraId="5CCB804C" w14:textId="77777777">
            <w:pPr>
              <w:widowControl/>
              <w:overflowPunct/>
              <w:autoSpaceDE/>
              <w:autoSpaceDN/>
              <w:adjustRightInd/>
              <w:textAlignment w:val="auto"/>
              <w:rPr>
                <w:b/>
                <w:bCs/>
                <w:sz w:val="18"/>
                <w:szCs w:val="18"/>
              </w:rPr>
            </w:pPr>
            <w:r w:rsidRPr="00AE2B3F">
              <w:rPr>
                <w:b/>
                <w:bCs/>
                <w:sz w:val="18"/>
                <w:szCs w:val="18"/>
              </w:rPr>
              <w:t>246.12(g)(4)(i)</w:t>
            </w:r>
          </w:p>
        </w:tc>
        <w:tc>
          <w:tcPr>
            <w:tcW w:w="1764" w:type="dxa"/>
            <w:tcBorders>
              <w:top w:val="nil"/>
              <w:left w:val="nil"/>
              <w:bottom w:val="single" w:sz="4" w:space="0" w:color="auto"/>
              <w:right w:val="single" w:sz="4" w:space="0" w:color="auto"/>
            </w:tcBorders>
            <w:vAlign w:val="center"/>
            <w:hideMark/>
          </w:tcPr>
          <w:p w:rsidR="004650FE" w:rsidRPr="00AE2B3F" w:rsidP="004650FE" w14:paraId="0605B98E" w14:textId="77777777">
            <w:pPr>
              <w:widowControl/>
              <w:overflowPunct/>
              <w:autoSpaceDE/>
              <w:autoSpaceDN/>
              <w:adjustRightInd/>
              <w:textAlignment w:val="auto"/>
              <w:rPr>
                <w:sz w:val="18"/>
                <w:szCs w:val="18"/>
              </w:rPr>
            </w:pPr>
            <w:r w:rsidRPr="00AE2B3F">
              <w:rPr>
                <w:sz w:val="18"/>
                <w:szCs w:val="18"/>
              </w:rPr>
              <w:t>Vendor food sales data</w:t>
            </w:r>
          </w:p>
        </w:tc>
        <w:tc>
          <w:tcPr>
            <w:tcW w:w="1260" w:type="dxa"/>
            <w:tcBorders>
              <w:top w:val="nil"/>
              <w:left w:val="nil"/>
              <w:bottom w:val="single" w:sz="4" w:space="0" w:color="auto"/>
              <w:right w:val="single" w:sz="4" w:space="0" w:color="auto"/>
            </w:tcBorders>
            <w:vAlign w:val="center"/>
            <w:hideMark/>
          </w:tcPr>
          <w:p w:rsidR="004650FE" w:rsidRPr="00AE2B3F" w:rsidP="005743D0" w14:paraId="24AC3D2D" w14:textId="15B71B79">
            <w:pPr>
              <w:widowControl/>
              <w:overflowPunct/>
              <w:autoSpaceDE/>
              <w:autoSpaceDN/>
              <w:adjustRightInd/>
              <w:jc w:val="right"/>
              <w:textAlignment w:val="auto"/>
              <w:rPr>
                <w:sz w:val="18"/>
                <w:szCs w:val="18"/>
              </w:rPr>
            </w:pPr>
            <w:r w:rsidRPr="005743D0">
              <w:rPr>
                <w:sz w:val="18"/>
                <w:szCs w:val="18"/>
              </w:rPr>
              <w:t>88.00</w:t>
            </w:r>
          </w:p>
        </w:tc>
        <w:tc>
          <w:tcPr>
            <w:tcW w:w="1170" w:type="dxa"/>
            <w:tcBorders>
              <w:top w:val="nil"/>
              <w:left w:val="nil"/>
              <w:bottom w:val="single" w:sz="4" w:space="0" w:color="auto"/>
              <w:right w:val="single" w:sz="4" w:space="0" w:color="auto"/>
            </w:tcBorders>
            <w:vAlign w:val="center"/>
            <w:hideMark/>
          </w:tcPr>
          <w:p w:rsidR="004650FE" w:rsidRPr="00AE2B3F" w:rsidP="005743D0" w14:paraId="7EB3B0D9" w14:textId="748091E1">
            <w:pPr>
              <w:widowControl/>
              <w:overflowPunct/>
              <w:autoSpaceDE/>
              <w:autoSpaceDN/>
              <w:adjustRightInd/>
              <w:jc w:val="right"/>
              <w:textAlignment w:val="auto"/>
              <w:rPr>
                <w:sz w:val="18"/>
                <w:szCs w:val="18"/>
              </w:rPr>
            </w:pPr>
            <w:r w:rsidRPr="005743D0">
              <w:rPr>
                <w:sz w:val="18"/>
                <w:szCs w:val="18"/>
              </w:rPr>
              <w:t>9.20</w:t>
            </w:r>
          </w:p>
        </w:tc>
        <w:tc>
          <w:tcPr>
            <w:tcW w:w="1170" w:type="dxa"/>
            <w:tcBorders>
              <w:top w:val="nil"/>
              <w:left w:val="nil"/>
              <w:bottom w:val="single" w:sz="4" w:space="0" w:color="auto"/>
              <w:right w:val="single" w:sz="4" w:space="0" w:color="auto"/>
            </w:tcBorders>
            <w:shd w:val="clear" w:color="auto" w:fill="F2F2F2" w:themeFill="background1" w:themeFillShade="F2"/>
            <w:vAlign w:val="center"/>
            <w:hideMark/>
          </w:tcPr>
          <w:p w:rsidR="004650FE" w:rsidRPr="00AE2B3F" w:rsidP="005743D0" w14:paraId="4E947C4D" w14:textId="027EA15A">
            <w:pPr>
              <w:widowControl/>
              <w:overflowPunct/>
              <w:autoSpaceDE/>
              <w:autoSpaceDN/>
              <w:adjustRightInd/>
              <w:jc w:val="right"/>
              <w:textAlignment w:val="auto"/>
              <w:rPr>
                <w:sz w:val="18"/>
                <w:szCs w:val="18"/>
              </w:rPr>
            </w:pPr>
            <w:r w:rsidRPr="005743D0">
              <w:rPr>
                <w:sz w:val="18"/>
                <w:szCs w:val="18"/>
              </w:rPr>
              <w:t>809.74</w:t>
            </w:r>
          </w:p>
        </w:tc>
        <w:tc>
          <w:tcPr>
            <w:tcW w:w="1107" w:type="dxa"/>
            <w:tcBorders>
              <w:top w:val="nil"/>
              <w:left w:val="nil"/>
              <w:bottom w:val="single" w:sz="4" w:space="0" w:color="auto"/>
              <w:right w:val="single" w:sz="4" w:space="0" w:color="auto"/>
            </w:tcBorders>
            <w:vAlign w:val="center"/>
            <w:hideMark/>
          </w:tcPr>
          <w:p w:rsidR="004650FE" w:rsidRPr="00AE2B3F" w:rsidP="005743D0" w14:paraId="31717F66" w14:textId="4BD17C27">
            <w:pPr>
              <w:widowControl/>
              <w:overflowPunct/>
              <w:autoSpaceDE/>
              <w:autoSpaceDN/>
              <w:adjustRightInd/>
              <w:jc w:val="right"/>
              <w:textAlignment w:val="auto"/>
              <w:rPr>
                <w:sz w:val="18"/>
                <w:szCs w:val="18"/>
              </w:rPr>
            </w:pPr>
            <w:r w:rsidRPr="005743D0">
              <w:rPr>
                <w:sz w:val="18"/>
                <w:szCs w:val="18"/>
              </w:rPr>
              <w:t>4.00</w:t>
            </w:r>
          </w:p>
        </w:tc>
        <w:tc>
          <w:tcPr>
            <w:tcW w:w="1053" w:type="dxa"/>
            <w:tcBorders>
              <w:top w:val="nil"/>
              <w:left w:val="nil"/>
              <w:bottom w:val="single" w:sz="4" w:space="0" w:color="auto"/>
              <w:right w:val="single" w:sz="4" w:space="0" w:color="auto"/>
            </w:tcBorders>
            <w:shd w:val="clear" w:color="auto" w:fill="F2F2F2" w:themeFill="background1" w:themeFillShade="F2"/>
            <w:vAlign w:val="center"/>
            <w:hideMark/>
          </w:tcPr>
          <w:p w:rsidR="004650FE" w:rsidRPr="00AE2B3F" w:rsidP="005743D0" w14:paraId="6A313555" w14:textId="7E20F667">
            <w:pPr>
              <w:widowControl/>
              <w:overflowPunct/>
              <w:autoSpaceDE/>
              <w:autoSpaceDN/>
              <w:adjustRightInd/>
              <w:jc w:val="right"/>
              <w:textAlignment w:val="auto"/>
              <w:rPr>
                <w:sz w:val="18"/>
                <w:szCs w:val="18"/>
              </w:rPr>
            </w:pPr>
            <w:r w:rsidRPr="005743D0">
              <w:rPr>
                <w:sz w:val="18"/>
                <w:szCs w:val="18"/>
              </w:rPr>
              <w:t>3,238.96</w:t>
            </w:r>
          </w:p>
        </w:tc>
        <w:tc>
          <w:tcPr>
            <w:tcW w:w="1170" w:type="dxa"/>
            <w:tcBorders>
              <w:top w:val="nil"/>
              <w:left w:val="nil"/>
              <w:bottom w:val="single" w:sz="4" w:space="0" w:color="auto"/>
              <w:right w:val="single" w:sz="4" w:space="0" w:color="auto"/>
            </w:tcBorders>
            <w:vAlign w:val="center"/>
            <w:hideMark/>
          </w:tcPr>
          <w:p w:rsidR="004650FE" w:rsidRPr="00DD2920" w:rsidP="005743D0" w14:paraId="7CD7F071" w14:textId="1F29C6DF">
            <w:pPr>
              <w:widowControl/>
              <w:overflowPunct/>
              <w:autoSpaceDE/>
              <w:autoSpaceDN/>
              <w:adjustRightInd/>
              <w:jc w:val="right"/>
              <w:textAlignment w:val="auto"/>
              <w:rPr>
                <w:i/>
                <w:iCs/>
                <w:sz w:val="18"/>
                <w:szCs w:val="18"/>
              </w:rPr>
            </w:pPr>
            <w:r w:rsidRPr="00DD2920">
              <w:rPr>
                <w:i/>
                <w:iCs/>
                <w:sz w:val="18"/>
                <w:szCs w:val="18"/>
              </w:rPr>
              <w:t>3,360.00</w:t>
            </w:r>
          </w:p>
        </w:tc>
        <w:tc>
          <w:tcPr>
            <w:tcW w:w="1363" w:type="dxa"/>
            <w:tcBorders>
              <w:top w:val="nil"/>
              <w:left w:val="nil"/>
              <w:bottom w:val="single" w:sz="4" w:space="0" w:color="auto"/>
              <w:right w:val="single" w:sz="4" w:space="0" w:color="auto"/>
            </w:tcBorders>
            <w:vAlign w:val="center"/>
          </w:tcPr>
          <w:p w:rsidR="004650FE" w:rsidRPr="00AE2B3F" w:rsidP="005743D0" w14:paraId="033014D8" w14:textId="5FC72F4C">
            <w:pPr>
              <w:widowControl/>
              <w:overflowPunct/>
              <w:autoSpaceDE/>
              <w:autoSpaceDN/>
              <w:adjustRightInd/>
              <w:jc w:val="right"/>
              <w:textAlignment w:val="auto"/>
              <w:rPr>
                <w:sz w:val="18"/>
                <w:szCs w:val="18"/>
              </w:rPr>
            </w:pPr>
            <w:r w:rsidRPr="005743D0">
              <w:rPr>
                <w:sz w:val="18"/>
                <w:szCs w:val="18"/>
              </w:rPr>
              <w:t>8.80</w:t>
            </w:r>
          </w:p>
        </w:tc>
        <w:tc>
          <w:tcPr>
            <w:tcW w:w="1242" w:type="dxa"/>
            <w:tcBorders>
              <w:top w:val="nil"/>
              <w:left w:val="nil"/>
              <w:bottom w:val="single" w:sz="4" w:space="0" w:color="auto"/>
              <w:right w:val="single" w:sz="4" w:space="0" w:color="auto"/>
            </w:tcBorders>
            <w:vAlign w:val="center"/>
          </w:tcPr>
          <w:p w:rsidR="004650FE" w:rsidRPr="00AE2B3F" w:rsidP="005743D0" w14:paraId="669C4442" w14:textId="21FB305C">
            <w:pPr>
              <w:widowControl/>
              <w:overflowPunct/>
              <w:autoSpaceDE/>
              <w:autoSpaceDN/>
              <w:adjustRightInd/>
              <w:jc w:val="right"/>
              <w:textAlignment w:val="auto"/>
              <w:rPr>
                <w:sz w:val="18"/>
                <w:szCs w:val="18"/>
              </w:rPr>
            </w:pPr>
            <w:r w:rsidRPr="005743D0">
              <w:rPr>
                <w:sz w:val="18"/>
                <w:szCs w:val="18"/>
              </w:rPr>
              <w:t>-129.84</w:t>
            </w:r>
          </w:p>
        </w:tc>
        <w:tc>
          <w:tcPr>
            <w:tcW w:w="1265" w:type="dxa"/>
            <w:tcBorders>
              <w:top w:val="nil"/>
              <w:left w:val="nil"/>
              <w:bottom w:val="single" w:sz="4" w:space="0" w:color="auto"/>
              <w:right w:val="single" w:sz="4" w:space="0" w:color="auto"/>
            </w:tcBorders>
            <w:vAlign w:val="center"/>
          </w:tcPr>
          <w:p w:rsidR="004650FE" w:rsidRPr="00AE2B3F" w:rsidP="005743D0" w14:paraId="13F3951D" w14:textId="5D2D3D3A">
            <w:pPr>
              <w:widowControl/>
              <w:overflowPunct/>
              <w:autoSpaceDE/>
              <w:autoSpaceDN/>
              <w:adjustRightInd/>
              <w:jc w:val="right"/>
              <w:textAlignment w:val="auto"/>
              <w:rPr>
                <w:sz w:val="18"/>
                <w:szCs w:val="18"/>
              </w:rPr>
            </w:pPr>
            <w:r w:rsidRPr="005743D0">
              <w:rPr>
                <w:sz w:val="18"/>
                <w:szCs w:val="18"/>
              </w:rPr>
              <w:t>-121.04</w:t>
            </w:r>
          </w:p>
        </w:tc>
      </w:tr>
      <w:tr w14:paraId="1297AB73" w14:textId="77777777" w:rsidTr="4FE94C9D">
        <w:tblPrEx>
          <w:tblW w:w="14215" w:type="dxa"/>
          <w:tblLayout w:type="fixed"/>
          <w:tblLook w:val="04A0"/>
        </w:tblPrEx>
        <w:trPr>
          <w:trHeight w:val="528"/>
        </w:trPr>
        <w:tc>
          <w:tcPr>
            <w:tcW w:w="1651" w:type="dxa"/>
            <w:tcBorders>
              <w:top w:val="nil"/>
              <w:left w:val="single" w:sz="4" w:space="0" w:color="auto"/>
              <w:bottom w:val="single" w:sz="4" w:space="0" w:color="auto"/>
              <w:right w:val="single" w:sz="4" w:space="0" w:color="auto"/>
            </w:tcBorders>
            <w:vAlign w:val="center"/>
            <w:hideMark/>
          </w:tcPr>
          <w:p w:rsidR="009564EC" w:rsidRPr="00AE2B3F" w:rsidP="009564EC" w14:paraId="21EE81C6" w14:textId="77777777">
            <w:pPr>
              <w:widowControl/>
              <w:overflowPunct/>
              <w:autoSpaceDE/>
              <w:autoSpaceDN/>
              <w:adjustRightInd/>
              <w:textAlignment w:val="auto"/>
              <w:rPr>
                <w:b/>
                <w:bCs/>
                <w:sz w:val="18"/>
                <w:szCs w:val="18"/>
              </w:rPr>
            </w:pPr>
            <w:r w:rsidRPr="00AE2B3F">
              <w:rPr>
                <w:b/>
                <w:bCs/>
                <w:sz w:val="18"/>
                <w:szCs w:val="18"/>
              </w:rPr>
              <w:t>246.12(g)(4)(ii)(B)</w:t>
            </w:r>
          </w:p>
        </w:tc>
        <w:tc>
          <w:tcPr>
            <w:tcW w:w="1764" w:type="dxa"/>
            <w:tcBorders>
              <w:top w:val="nil"/>
              <w:left w:val="nil"/>
              <w:bottom w:val="single" w:sz="4" w:space="0" w:color="auto"/>
              <w:right w:val="single" w:sz="4" w:space="0" w:color="auto"/>
            </w:tcBorders>
            <w:vAlign w:val="center"/>
            <w:hideMark/>
          </w:tcPr>
          <w:p w:rsidR="009564EC" w:rsidRPr="00AE2B3F" w:rsidP="009564EC" w14:paraId="55F5489F" w14:textId="77777777">
            <w:pPr>
              <w:widowControl/>
              <w:overflowPunct/>
              <w:autoSpaceDE/>
              <w:autoSpaceDN/>
              <w:adjustRightInd/>
              <w:textAlignment w:val="auto"/>
              <w:rPr>
                <w:sz w:val="18"/>
                <w:szCs w:val="18"/>
              </w:rPr>
            </w:pPr>
            <w:r w:rsidRPr="00AE2B3F">
              <w:rPr>
                <w:sz w:val="18"/>
                <w:szCs w:val="18"/>
              </w:rPr>
              <w:t>Vendor shelf prices</w:t>
            </w:r>
          </w:p>
        </w:tc>
        <w:tc>
          <w:tcPr>
            <w:tcW w:w="1260" w:type="dxa"/>
            <w:tcBorders>
              <w:top w:val="nil"/>
              <w:left w:val="nil"/>
              <w:bottom w:val="single" w:sz="4" w:space="0" w:color="auto"/>
              <w:right w:val="single" w:sz="4" w:space="0" w:color="auto"/>
            </w:tcBorders>
            <w:vAlign w:val="center"/>
            <w:hideMark/>
          </w:tcPr>
          <w:p w:rsidR="009564EC" w:rsidRPr="00AE2B3F" w:rsidP="005743D0" w14:paraId="3DEFD560" w14:textId="77777777">
            <w:pPr>
              <w:widowControl/>
              <w:overflowPunct/>
              <w:autoSpaceDE/>
              <w:autoSpaceDN/>
              <w:adjustRightInd/>
              <w:jc w:val="right"/>
              <w:textAlignment w:val="auto"/>
              <w:rPr>
                <w:sz w:val="18"/>
                <w:szCs w:val="18"/>
              </w:rPr>
            </w:pPr>
            <w:r w:rsidRPr="00AE2B3F">
              <w:rPr>
                <w:sz w:val="18"/>
                <w:szCs w:val="18"/>
              </w:rPr>
              <w:t>0.00</w:t>
            </w:r>
          </w:p>
        </w:tc>
        <w:tc>
          <w:tcPr>
            <w:tcW w:w="1170" w:type="dxa"/>
            <w:tcBorders>
              <w:top w:val="nil"/>
              <w:left w:val="nil"/>
              <w:bottom w:val="single" w:sz="4" w:space="0" w:color="auto"/>
              <w:right w:val="single" w:sz="4" w:space="0" w:color="auto"/>
            </w:tcBorders>
            <w:vAlign w:val="center"/>
            <w:hideMark/>
          </w:tcPr>
          <w:p w:rsidR="009564EC" w:rsidRPr="00AE2B3F" w:rsidP="005743D0" w14:paraId="34D9A702" w14:textId="6C183F65">
            <w:pPr>
              <w:widowControl/>
              <w:overflowPunct/>
              <w:autoSpaceDE/>
              <w:autoSpaceDN/>
              <w:adjustRightInd/>
              <w:jc w:val="right"/>
              <w:textAlignment w:val="auto"/>
              <w:rPr>
                <w:sz w:val="18"/>
                <w:szCs w:val="18"/>
              </w:rPr>
            </w:pPr>
            <w:r w:rsidRPr="00AE2B3F">
              <w:rPr>
                <w:sz w:val="18"/>
                <w:szCs w:val="18"/>
              </w:rPr>
              <w:t>0.00</w:t>
            </w:r>
          </w:p>
        </w:tc>
        <w:tc>
          <w:tcPr>
            <w:tcW w:w="1170" w:type="dxa"/>
            <w:tcBorders>
              <w:top w:val="nil"/>
              <w:left w:val="nil"/>
              <w:bottom w:val="single" w:sz="4" w:space="0" w:color="auto"/>
              <w:right w:val="single" w:sz="4" w:space="0" w:color="auto"/>
            </w:tcBorders>
            <w:shd w:val="clear" w:color="auto" w:fill="F2F2F2" w:themeFill="background1" w:themeFillShade="F2"/>
            <w:vAlign w:val="center"/>
            <w:hideMark/>
          </w:tcPr>
          <w:p w:rsidR="009564EC" w:rsidRPr="00AE2B3F" w:rsidP="005743D0" w14:paraId="1CE8B71E" w14:textId="77777777">
            <w:pPr>
              <w:widowControl/>
              <w:overflowPunct/>
              <w:autoSpaceDE/>
              <w:autoSpaceDN/>
              <w:adjustRightInd/>
              <w:jc w:val="right"/>
              <w:textAlignment w:val="auto"/>
              <w:rPr>
                <w:sz w:val="18"/>
                <w:szCs w:val="18"/>
              </w:rPr>
            </w:pPr>
            <w:r w:rsidRPr="00AE2B3F">
              <w:rPr>
                <w:sz w:val="18"/>
                <w:szCs w:val="18"/>
              </w:rPr>
              <w:t>0.00</w:t>
            </w:r>
          </w:p>
        </w:tc>
        <w:tc>
          <w:tcPr>
            <w:tcW w:w="1107" w:type="dxa"/>
            <w:tcBorders>
              <w:top w:val="nil"/>
              <w:left w:val="nil"/>
              <w:bottom w:val="single" w:sz="4" w:space="0" w:color="auto"/>
              <w:right w:val="single" w:sz="4" w:space="0" w:color="auto"/>
            </w:tcBorders>
            <w:vAlign w:val="center"/>
            <w:hideMark/>
          </w:tcPr>
          <w:p w:rsidR="009564EC" w:rsidRPr="00AE2B3F" w:rsidP="005743D0" w14:paraId="26C5C700" w14:textId="77777777">
            <w:pPr>
              <w:widowControl/>
              <w:overflowPunct/>
              <w:autoSpaceDE/>
              <w:autoSpaceDN/>
              <w:adjustRightInd/>
              <w:jc w:val="right"/>
              <w:textAlignment w:val="auto"/>
              <w:rPr>
                <w:sz w:val="18"/>
                <w:szCs w:val="18"/>
              </w:rPr>
            </w:pPr>
            <w:r w:rsidRPr="00AE2B3F">
              <w:rPr>
                <w:sz w:val="18"/>
                <w:szCs w:val="18"/>
              </w:rPr>
              <w:t>2.00</w:t>
            </w:r>
          </w:p>
        </w:tc>
        <w:tc>
          <w:tcPr>
            <w:tcW w:w="1053" w:type="dxa"/>
            <w:tcBorders>
              <w:top w:val="nil"/>
              <w:left w:val="nil"/>
              <w:bottom w:val="single" w:sz="4" w:space="0" w:color="auto"/>
              <w:right w:val="single" w:sz="4" w:space="0" w:color="auto"/>
            </w:tcBorders>
            <w:shd w:val="clear" w:color="auto" w:fill="F2F2F2" w:themeFill="background1" w:themeFillShade="F2"/>
            <w:vAlign w:val="center"/>
            <w:hideMark/>
          </w:tcPr>
          <w:p w:rsidR="009564EC" w:rsidRPr="00AE2B3F" w:rsidP="005743D0" w14:paraId="0C702152" w14:textId="77777777">
            <w:pPr>
              <w:widowControl/>
              <w:overflowPunct/>
              <w:autoSpaceDE/>
              <w:autoSpaceDN/>
              <w:adjustRightInd/>
              <w:jc w:val="right"/>
              <w:textAlignment w:val="auto"/>
              <w:rPr>
                <w:sz w:val="18"/>
                <w:szCs w:val="18"/>
              </w:rPr>
            </w:pPr>
            <w:r w:rsidRPr="00AE2B3F">
              <w:rPr>
                <w:sz w:val="18"/>
                <w:szCs w:val="18"/>
              </w:rPr>
              <w:t>0.00</w:t>
            </w:r>
          </w:p>
        </w:tc>
        <w:tc>
          <w:tcPr>
            <w:tcW w:w="1170" w:type="dxa"/>
            <w:tcBorders>
              <w:top w:val="nil"/>
              <w:left w:val="nil"/>
              <w:bottom w:val="single" w:sz="4" w:space="0" w:color="auto"/>
              <w:right w:val="single" w:sz="4" w:space="0" w:color="auto"/>
            </w:tcBorders>
            <w:vAlign w:val="center"/>
            <w:hideMark/>
          </w:tcPr>
          <w:p w:rsidR="009564EC" w:rsidRPr="00DD2920" w:rsidP="005743D0" w14:paraId="44BB03DB" w14:textId="77777777">
            <w:pPr>
              <w:widowControl/>
              <w:overflowPunct/>
              <w:autoSpaceDE/>
              <w:autoSpaceDN/>
              <w:adjustRightInd/>
              <w:jc w:val="right"/>
              <w:textAlignment w:val="auto"/>
              <w:rPr>
                <w:i/>
                <w:iCs/>
                <w:sz w:val="18"/>
                <w:szCs w:val="18"/>
              </w:rPr>
            </w:pPr>
            <w:r w:rsidRPr="00DD2920">
              <w:rPr>
                <w:i/>
                <w:iCs/>
                <w:sz w:val="18"/>
                <w:szCs w:val="18"/>
              </w:rPr>
              <w:t>149,068.00</w:t>
            </w:r>
          </w:p>
        </w:tc>
        <w:tc>
          <w:tcPr>
            <w:tcW w:w="1363" w:type="dxa"/>
            <w:tcBorders>
              <w:top w:val="nil"/>
              <w:left w:val="nil"/>
              <w:bottom w:val="single" w:sz="4" w:space="0" w:color="auto"/>
              <w:right w:val="single" w:sz="4" w:space="0" w:color="auto"/>
            </w:tcBorders>
            <w:vAlign w:val="center"/>
          </w:tcPr>
          <w:p w:rsidR="009564EC" w:rsidRPr="00AE2B3F" w:rsidP="005743D0" w14:paraId="558FC3D2" w14:textId="0F43186B">
            <w:pPr>
              <w:widowControl/>
              <w:overflowPunct/>
              <w:autoSpaceDE/>
              <w:autoSpaceDN/>
              <w:adjustRightInd/>
              <w:jc w:val="right"/>
              <w:textAlignment w:val="auto"/>
              <w:rPr>
                <w:sz w:val="18"/>
                <w:szCs w:val="18"/>
              </w:rPr>
            </w:pPr>
            <w:r>
              <w:rPr>
                <w:sz w:val="18"/>
                <w:szCs w:val="18"/>
              </w:rPr>
              <w:t>-149,068.00</w:t>
            </w:r>
          </w:p>
        </w:tc>
        <w:tc>
          <w:tcPr>
            <w:tcW w:w="1242" w:type="dxa"/>
            <w:tcBorders>
              <w:top w:val="nil"/>
              <w:left w:val="nil"/>
              <w:bottom w:val="single" w:sz="4" w:space="0" w:color="auto"/>
              <w:right w:val="single" w:sz="4" w:space="0" w:color="auto"/>
            </w:tcBorders>
            <w:vAlign w:val="center"/>
          </w:tcPr>
          <w:p w:rsidR="009564EC" w:rsidRPr="00AE2B3F" w:rsidP="005743D0" w14:paraId="07583246" w14:textId="0D17377D">
            <w:pPr>
              <w:widowControl/>
              <w:overflowPunct/>
              <w:autoSpaceDE/>
              <w:autoSpaceDN/>
              <w:adjustRightInd/>
              <w:jc w:val="right"/>
              <w:textAlignment w:val="auto"/>
              <w:rPr>
                <w:sz w:val="18"/>
                <w:szCs w:val="18"/>
              </w:rPr>
            </w:pPr>
            <w:r w:rsidRPr="00AE2B3F">
              <w:rPr>
                <w:sz w:val="18"/>
                <w:szCs w:val="18"/>
              </w:rPr>
              <w:t>0.00</w:t>
            </w:r>
          </w:p>
        </w:tc>
        <w:tc>
          <w:tcPr>
            <w:tcW w:w="1265" w:type="dxa"/>
            <w:tcBorders>
              <w:top w:val="nil"/>
              <w:left w:val="nil"/>
              <w:bottom w:val="single" w:sz="4" w:space="0" w:color="auto"/>
              <w:right w:val="single" w:sz="4" w:space="0" w:color="auto"/>
            </w:tcBorders>
            <w:vAlign w:val="center"/>
          </w:tcPr>
          <w:p w:rsidR="009564EC" w:rsidRPr="00AE2B3F" w:rsidP="005743D0" w14:paraId="5D8D58E2" w14:textId="076050BF">
            <w:pPr>
              <w:widowControl/>
              <w:overflowPunct/>
              <w:autoSpaceDE/>
              <w:autoSpaceDN/>
              <w:adjustRightInd/>
              <w:jc w:val="right"/>
              <w:textAlignment w:val="auto"/>
              <w:rPr>
                <w:sz w:val="18"/>
                <w:szCs w:val="18"/>
              </w:rPr>
            </w:pPr>
            <w:r w:rsidRPr="00AE2B3F">
              <w:rPr>
                <w:sz w:val="18"/>
                <w:szCs w:val="18"/>
              </w:rPr>
              <w:t>-149,068.00</w:t>
            </w:r>
          </w:p>
        </w:tc>
      </w:tr>
      <w:tr w14:paraId="3DA14AA9" w14:textId="77777777" w:rsidTr="4FE94C9D">
        <w:tblPrEx>
          <w:tblW w:w="14215" w:type="dxa"/>
          <w:tblLayout w:type="fixed"/>
          <w:tblLook w:val="04A0"/>
        </w:tblPrEx>
        <w:trPr>
          <w:trHeight w:val="528"/>
        </w:trPr>
        <w:tc>
          <w:tcPr>
            <w:tcW w:w="1651" w:type="dxa"/>
            <w:tcBorders>
              <w:top w:val="nil"/>
              <w:left w:val="single" w:sz="4" w:space="0" w:color="auto"/>
              <w:bottom w:val="single" w:sz="4" w:space="0" w:color="auto"/>
              <w:right w:val="single" w:sz="4" w:space="0" w:color="auto"/>
            </w:tcBorders>
            <w:vAlign w:val="center"/>
            <w:hideMark/>
          </w:tcPr>
          <w:p w:rsidR="009564EC" w:rsidRPr="00AE2B3F" w:rsidP="009564EC" w14:paraId="5F9909FB" w14:textId="77777777">
            <w:pPr>
              <w:widowControl/>
              <w:overflowPunct/>
              <w:autoSpaceDE/>
              <w:autoSpaceDN/>
              <w:adjustRightInd/>
              <w:textAlignment w:val="auto"/>
              <w:rPr>
                <w:b/>
                <w:bCs/>
                <w:sz w:val="18"/>
                <w:szCs w:val="18"/>
              </w:rPr>
            </w:pPr>
            <w:r w:rsidRPr="00AE2B3F">
              <w:rPr>
                <w:b/>
                <w:bCs/>
                <w:sz w:val="18"/>
                <w:szCs w:val="18"/>
              </w:rPr>
              <w:t>246.12(g)(4)(ii)(B)</w:t>
            </w:r>
          </w:p>
        </w:tc>
        <w:tc>
          <w:tcPr>
            <w:tcW w:w="1764" w:type="dxa"/>
            <w:tcBorders>
              <w:top w:val="nil"/>
              <w:left w:val="nil"/>
              <w:bottom w:val="single" w:sz="4" w:space="0" w:color="auto"/>
              <w:right w:val="single" w:sz="4" w:space="0" w:color="auto"/>
            </w:tcBorders>
            <w:vAlign w:val="center"/>
            <w:hideMark/>
          </w:tcPr>
          <w:p w:rsidR="009564EC" w:rsidRPr="00AE2B3F" w:rsidP="009564EC" w14:paraId="0D20CCA9" w14:textId="77777777">
            <w:pPr>
              <w:widowControl/>
              <w:overflowPunct/>
              <w:autoSpaceDE/>
              <w:autoSpaceDN/>
              <w:adjustRightInd/>
              <w:textAlignment w:val="auto"/>
              <w:rPr>
                <w:sz w:val="18"/>
                <w:szCs w:val="18"/>
              </w:rPr>
            </w:pPr>
            <w:r w:rsidRPr="00AE2B3F">
              <w:rPr>
                <w:sz w:val="18"/>
                <w:szCs w:val="18"/>
              </w:rPr>
              <w:t xml:space="preserve">Vendor shelf prices exemption </w:t>
            </w:r>
          </w:p>
        </w:tc>
        <w:tc>
          <w:tcPr>
            <w:tcW w:w="1260" w:type="dxa"/>
            <w:tcBorders>
              <w:top w:val="nil"/>
              <w:left w:val="nil"/>
              <w:bottom w:val="single" w:sz="4" w:space="0" w:color="auto"/>
              <w:right w:val="single" w:sz="4" w:space="0" w:color="auto"/>
            </w:tcBorders>
            <w:vAlign w:val="center"/>
            <w:hideMark/>
          </w:tcPr>
          <w:p w:rsidR="009564EC" w:rsidRPr="00AE2B3F" w:rsidP="005743D0" w14:paraId="3E582724" w14:textId="77777777">
            <w:pPr>
              <w:widowControl/>
              <w:overflowPunct/>
              <w:autoSpaceDE/>
              <w:autoSpaceDN/>
              <w:adjustRightInd/>
              <w:jc w:val="right"/>
              <w:textAlignment w:val="auto"/>
              <w:rPr>
                <w:sz w:val="18"/>
                <w:szCs w:val="18"/>
              </w:rPr>
            </w:pPr>
            <w:r w:rsidRPr="00AE2B3F">
              <w:rPr>
                <w:sz w:val="18"/>
                <w:szCs w:val="18"/>
              </w:rPr>
              <w:t>0.00</w:t>
            </w:r>
          </w:p>
        </w:tc>
        <w:tc>
          <w:tcPr>
            <w:tcW w:w="1170" w:type="dxa"/>
            <w:tcBorders>
              <w:top w:val="nil"/>
              <w:left w:val="nil"/>
              <w:bottom w:val="single" w:sz="4" w:space="0" w:color="auto"/>
              <w:right w:val="single" w:sz="4" w:space="0" w:color="auto"/>
            </w:tcBorders>
            <w:vAlign w:val="center"/>
            <w:hideMark/>
          </w:tcPr>
          <w:p w:rsidR="009564EC" w:rsidRPr="00AE2B3F" w:rsidP="005743D0" w14:paraId="56E26F50" w14:textId="15AE713E">
            <w:pPr>
              <w:widowControl/>
              <w:overflowPunct/>
              <w:autoSpaceDE/>
              <w:autoSpaceDN/>
              <w:adjustRightInd/>
              <w:jc w:val="right"/>
              <w:textAlignment w:val="auto"/>
              <w:rPr>
                <w:sz w:val="18"/>
                <w:szCs w:val="18"/>
              </w:rPr>
            </w:pPr>
            <w:r w:rsidRPr="00AE2B3F">
              <w:rPr>
                <w:sz w:val="18"/>
                <w:szCs w:val="18"/>
              </w:rPr>
              <w:t>0.00</w:t>
            </w:r>
          </w:p>
        </w:tc>
        <w:tc>
          <w:tcPr>
            <w:tcW w:w="1170" w:type="dxa"/>
            <w:tcBorders>
              <w:top w:val="nil"/>
              <w:left w:val="nil"/>
              <w:bottom w:val="single" w:sz="4" w:space="0" w:color="auto"/>
              <w:right w:val="single" w:sz="4" w:space="0" w:color="auto"/>
            </w:tcBorders>
            <w:shd w:val="clear" w:color="auto" w:fill="F2F2F2" w:themeFill="background1" w:themeFillShade="F2"/>
            <w:vAlign w:val="center"/>
            <w:hideMark/>
          </w:tcPr>
          <w:p w:rsidR="009564EC" w:rsidRPr="00AE2B3F" w:rsidP="005743D0" w14:paraId="47D524BB" w14:textId="77777777">
            <w:pPr>
              <w:widowControl/>
              <w:overflowPunct/>
              <w:autoSpaceDE/>
              <w:autoSpaceDN/>
              <w:adjustRightInd/>
              <w:jc w:val="right"/>
              <w:textAlignment w:val="auto"/>
              <w:rPr>
                <w:sz w:val="18"/>
                <w:szCs w:val="18"/>
              </w:rPr>
            </w:pPr>
            <w:r w:rsidRPr="00AE2B3F">
              <w:rPr>
                <w:sz w:val="18"/>
                <w:szCs w:val="18"/>
              </w:rPr>
              <w:t>0.00</w:t>
            </w:r>
          </w:p>
        </w:tc>
        <w:tc>
          <w:tcPr>
            <w:tcW w:w="1107" w:type="dxa"/>
            <w:tcBorders>
              <w:top w:val="nil"/>
              <w:left w:val="nil"/>
              <w:bottom w:val="single" w:sz="4" w:space="0" w:color="auto"/>
              <w:right w:val="single" w:sz="4" w:space="0" w:color="auto"/>
            </w:tcBorders>
            <w:vAlign w:val="center"/>
            <w:hideMark/>
          </w:tcPr>
          <w:p w:rsidR="009564EC" w:rsidRPr="00AE2B3F" w:rsidP="005743D0" w14:paraId="56EEFD83" w14:textId="77777777">
            <w:pPr>
              <w:widowControl/>
              <w:overflowPunct/>
              <w:autoSpaceDE/>
              <w:autoSpaceDN/>
              <w:adjustRightInd/>
              <w:jc w:val="right"/>
              <w:textAlignment w:val="auto"/>
              <w:rPr>
                <w:sz w:val="18"/>
                <w:szCs w:val="18"/>
              </w:rPr>
            </w:pPr>
            <w:r w:rsidRPr="00AE2B3F">
              <w:rPr>
                <w:sz w:val="18"/>
                <w:szCs w:val="18"/>
              </w:rPr>
              <w:t>8.00</w:t>
            </w:r>
          </w:p>
        </w:tc>
        <w:tc>
          <w:tcPr>
            <w:tcW w:w="1053" w:type="dxa"/>
            <w:tcBorders>
              <w:top w:val="nil"/>
              <w:left w:val="nil"/>
              <w:bottom w:val="single" w:sz="4" w:space="0" w:color="auto"/>
              <w:right w:val="single" w:sz="4" w:space="0" w:color="auto"/>
            </w:tcBorders>
            <w:shd w:val="clear" w:color="auto" w:fill="F2F2F2" w:themeFill="background1" w:themeFillShade="F2"/>
            <w:vAlign w:val="center"/>
            <w:hideMark/>
          </w:tcPr>
          <w:p w:rsidR="009564EC" w:rsidRPr="00AE2B3F" w:rsidP="005743D0" w14:paraId="298073CA" w14:textId="77777777">
            <w:pPr>
              <w:widowControl/>
              <w:overflowPunct/>
              <w:autoSpaceDE/>
              <w:autoSpaceDN/>
              <w:adjustRightInd/>
              <w:jc w:val="right"/>
              <w:textAlignment w:val="auto"/>
              <w:rPr>
                <w:sz w:val="18"/>
                <w:szCs w:val="18"/>
              </w:rPr>
            </w:pPr>
            <w:r w:rsidRPr="00AE2B3F">
              <w:rPr>
                <w:sz w:val="18"/>
                <w:szCs w:val="18"/>
              </w:rPr>
              <w:t>0.00</w:t>
            </w:r>
          </w:p>
        </w:tc>
        <w:tc>
          <w:tcPr>
            <w:tcW w:w="1170" w:type="dxa"/>
            <w:tcBorders>
              <w:top w:val="nil"/>
              <w:left w:val="nil"/>
              <w:bottom w:val="single" w:sz="4" w:space="0" w:color="auto"/>
              <w:right w:val="single" w:sz="4" w:space="0" w:color="auto"/>
            </w:tcBorders>
            <w:vAlign w:val="center"/>
            <w:hideMark/>
          </w:tcPr>
          <w:p w:rsidR="009564EC" w:rsidRPr="00DD2920" w:rsidP="005743D0" w14:paraId="3FE6E71F" w14:textId="77777777">
            <w:pPr>
              <w:widowControl/>
              <w:overflowPunct/>
              <w:autoSpaceDE/>
              <w:autoSpaceDN/>
              <w:adjustRightInd/>
              <w:jc w:val="right"/>
              <w:textAlignment w:val="auto"/>
              <w:rPr>
                <w:i/>
                <w:iCs/>
                <w:sz w:val="18"/>
                <w:szCs w:val="18"/>
              </w:rPr>
            </w:pPr>
            <w:r w:rsidRPr="00DD2920">
              <w:rPr>
                <w:i/>
                <w:iCs/>
                <w:sz w:val="18"/>
                <w:szCs w:val="18"/>
              </w:rPr>
              <w:t>40.00</w:t>
            </w:r>
          </w:p>
        </w:tc>
        <w:tc>
          <w:tcPr>
            <w:tcW w:w="1363" w:type="dxa"/>
            <w:tcBorders>
              <w:top w:val="nil"/>
              <w:left w:val="nil"/>
              <w:bottom w:val="single" w:sz="4" w:space="0" w:color="auto"/>
              <w:right w:val="single" w:sz="4" w:space="0" w:color="auto"/>
            </w:tcBorders>
            <w:vAlign w:val="center"/>
          </w:tcPr>
          <w:p w:rsidR="009564EC" w:rsidRPr="00AE2B3F" w:rsidP="005743D0" w14:paraId="183D68D4" w14:textId="0E15EF87">
            <w:pPr>
              <w:widowControl/>
              <w:overflowPunct/>
              <w:autoSpaceDE/>
              <w:autoSpaceDN/>
              <w:adjustRightInd/>
              <w:jc w:val="right"/>
              <w:textAlignment w:val="auto"/>
              <w:rPr>
                <w:sz w:val="18"/>
                <w:szCs w:val="18"/>
              </w:rPr>
            </w:pPr>
            <w:r>
              <w:rPr>
                <w:sz w:val="18"/>
                <w:szCs w:val="18"/>
              </w:rPr>
              <w:t>-40.00</w:t>
            </w:r>
          </w:p>
        </w:tc>
        <w:tc>
          <w:tcPr>
            <w:tcW w:w="1242" w:type="dxa"/>
            <w:tcBorders>
              <w:top w:val="nil"/>
              <w:left w:val="nil"/>
              <w:bottom w:val="single" w:sz="4" w:space="0" w:color="auto"/>
              <w:right w:val="single" w:sz="4" w:space="0" w:color="auto"/>
            </w:tcBorders>
            <w:vAlign w:val="center"/>
          </w:tcPr>
          <w:p w:rsidR="009564EC" w:rsidRPr="00AE2B3F" w:rsidP="005743D0" w14:paraId="06EB5B52" w14:textId="4EB87C18">
            <w:pPr>
              <w:widowControl/>
              <w:overflowPunct/>
              <w:autoSpaceDE/>
              <w:autoSpaceDN/>
              <w:adjustRightInd/>
              <w:jc w:val="right"/>
              <w:textAlignment w:val="auto"/>
              <w:rPr>
                <w:sz w:val="18"/>
                <w:szCs w:val="18"/>
              </w:rPr>
            </w:pPr>
            <w:r w:rsidRPr="00AE2B3F">
              <w:rPr>
                <w:sz w:val="18"/>
                <w:szCs w:val="18"/>
              </w:rPr>
              <w:t>0.00</w:t>
            </w:r>
          </w:p>
        </w:tc>
        <w:tc>
          <w:tcPr>
            <w:tcW w:w="1265" w:type="dxa"/>
            <w:tcBorders>
              <w:top w:val="nil"/>
              <w:left w:val="nil"/>
              <w:bottom w:val="single" w:sz="4" w:space="0" w:color="auto"/>
              <w:right w:val="single" w:sz="4" w:space="0" w:color="auto"/>
            </w:tcBorders>
            <w:vAlign w:val="center"/>
          </w:tcPr>
          <w:p w:rsidR="009564EC" w:rsidRPr="00AE2B3F" w:rsidP="005743D0" w14:paraId="0E1B0526" w14:textId="15066318">
            <w:pPr>
              <w:widowControl/>
              <w:overflowPunct/>
              <w:autoSpaceDE/>
              <w:autoSpaceDN/>
              <w:adjustRightInd/>
              <w:jc w:val="right"/>
              <w:textAlignment w:val="auto"/>
              <w:rPr>
                <w:sz w:val="18"/>
                <w:szCs w:val="18"/>
              </w:rPr>
            </w:pPr>
            <w:r w:rsidRPr="00AE2B3F">
              <w:rPr>
                <w:sz w:val="18"/>
                <w:szCs w:val="18"/>
              </w:rPr>
              <w:t>-40.00</w:t>
            </w:r>
          </w:p>
        </w:tc>
      </w:tr>
      <w:tr w14:paraId="4F1623CC" w14:textId="77777777" w:rsidTr="4FE94C9D">
        <w:tblPrEx>
          <w:tblW w:w="14215" w:type="dxa"/>
          <w:tblLayout w:type="fixed"/>
          <w:tblLook w:val="04A0"/>
        </w:tblPrEx>
        <w:trPr>
          <w:trHeight w:val="552"/>
        </w:trPr>
        <w:tc>
          <w:tcPr>
            <w:tcW w:w="1651" w:type="dxa"/>
            <w:tcBorders>
              <w:top w:val="nil"/>
              <w:left w:val="single" w:sz="4" w:space="0" w:color="auto"/>
              <w:bottom w:val="single" w:sz="4" w:space="0" w:color="auto"/>
              <w:right w:val="single" w:sz="4" w:space="0" w:color="auto"/>
            </w:tcBorders>
            <w:vAlign w:val="center"/>
            <w:hideMark/>
          </w:tcPr>
          <w:p w:rsidR="004650FE" w:rsidRPr="00AE2B3F" w:rsidP="004650FE" w14:paraId="6FBA16A6" w14:textId="77777777">
            <w:pPr>
              <w:widowControl/>
              <w:overflowPunct/>
              <w:autoSpaceDE/>
              <w:autoSpaceDN/>
              <w:adjustRightInd/>
              <w:textAlignment w:val="auto"/>
              <w:rPr>
                <w:b/>
                <w:bCs/>
                <w:sz w:val="18"/>
                <w:szCs w:val="18"/>
              </w:rPr>
            </w:pPr>
            <w:r w:rsidRPr="00AE2B3F">
              <w:rPr>
                <w:b/>
                <w:bCs/>
                <w:sz w:val="18"/>
                <w:szCs w:val="18"/>
              </w:rPr>
              <w:t>246.12(g)(5)</w:t>
            </w:r>
          </w:p>
        </w:tc>
        <w:tc>
          <w:tcPr>
            <w:tcW w:w="1764" w:type="dxa"/>
            <w:tcBorders>
              <w:top w:val="nil"/>
              <w:left w:val="nil"/>
              <w:bottom w:val="single" w:sz="4" w:space="0" w:color="auto"/>
              <w:right w:val="single" w:sz="4" w:space="0" w:color="auto"/>
            </w:tcBorders>
            <w:vAlign w:val="center"/>
            <w:hideMark/>
          </w:tcPr>
          <w:p w:rsidR="004650FE" w:rsidRPr="00AE2B3F" w:rsidP="004650FE" w14:paraId="5103D5AA" w14:textId="77777777">
            <w:pPr>
              <w:widowControl/>
              <w:overflowPunct/>
              <w:autoSpaceDE/>
              <w:autoSpaceDN/>
              <w:adjustRightInd/>
              <w:textAlignment w:val="auto"/>
              <w:rPr>
                <w:sz w:val="18"/>
                <w:szCs w:val="18"/>
              </w:rPr>
            </w:pPr>
            <w:r w:rsidRPr="00AE2B3F">
              <w:rPr>
                <w:sz w:val="18"/>
                <w:szCs w:val="18"/>
              </w:rPr>
              <w:t>Vendor initial preauthorization visits (onsite)</w:t>
            </w:r>
          </w:p>
        </w:tc>
        <w:tc>
          <w:tcPr>
            <w:tcW w:w="1260" w:type="dxa"/>
            <w:tcBorders>
              <w:top w:val="nil"/>
              <w:left w:val="nil"/>
              <w:bottom w:val="single" w:sz="4" w:space="0" w:color="auto"/>
              <w:right w:val="single" w:sz="4" w:space="0" w:color="auto"/>
            </w:tcBorders>
            <w:vAlign w:val="center"/>
            <w:hideMark/>
          </w:tcPr>
          <w:p w:rsidR="004650FE" w:rsidRPr="00AE2B3F" w:rsidP="005743D0" w14:paraId="1B28C23D" w14:textId="7AB8CDA3">
            <w:pPr>
              <w:widowControl/>
              <w:overflowPunct/>
              <w:autoSpaceDE/>
              <w:autoSpaceDN/>
              <w:adjustRightInd/>
              <w:jc w:val="right"/>
              <w:textAlignment w:val="auto"/>
              <w:rPr>
                <w:sz w:val="18"/>
                <w:szCs w:val="18"/>
              </w:rPr>
            </w:pPr>
            <w:r w:rsidRPr="005743D0">
              <w:rPr>
                <w:sz w:val="18"/>
                <w:szCs w:val="18"/>
              </w:rPr>
              <w:t>88.00</w:t>
            </w:r>
          </w:p>
        </w:tc>
        <w:tc>
          <w:tcPr>
            <w:tcW w:w="1170" w:type="dxa"/>
            <w:tcBorders>
              <w:top w:val="nil"/>
              <w:left w:val="nil"/>
              <w:bottom w:val="single" w:sz="4" w:space="0" w:color="auto"/>
              <w:right w:val="single" w:sz="4" w:space="0" w:color="auto"/>
            </w:tcBorders>
            <w:vAlign w:val="center"/>
            <w:hideMark/>
          </w:tcPr>
          <w:p w:rsidR="004650FE" w:rsidRPr="00AE2B3F" w:rsidP="005743D0" w14:paraId="05B04BB8" w14:textId="6ED0963A">
            <w:pPr>
              <w:widowControl/>
              <w:overflowPunct/>
              <w:autoSpaceDE/>
              <w:autoSpaceDN/>
              <w:adjustRightInd/>
              <w:jc w:val="right"/>
              <w:textAlignment w:val="auto"/>
              <w:rPr>
                <w:sz w:val="18"/>
                <w:szCs w:val="18"/>
              </w:rPr>
            </w:pPr>
            <w:r w:rsidRPr="005743D0">
              <w:rPr>
                <w:sz w:val="18"/>
                <w:szCs w:val="18"/>
              </w:rPr>
              <w:t>17.00</w:t>
            </w:r>
          </w:p>
        </w:tc>
        <w:tc>
          <w:tcPr>
            <w:tcW w:w="1170" w:type="dxa"/>
            <w:tcBorders>
              <w:top w:val="nil"/>
              <w:left w:val="nil"/>
              <w:bottom w:val="single" w:sz="4" w:space="0" w:color="auto"/>
              <w:right w:val="single" w:sz="4" w:space="0" w:color="auto"/>
            </w:tcBorders>
            <w:shd w:val="clear" w:color="auto" w:fill="F2F2F2" w:themeFill="background1" w:themeFillShade="F2"/>
            <w:vAlign w:val="center"/>
            <w:hideMark/>
          </w:tcPr>
          <w:p w:rsidR="004650FE" w:rsidRPr="00AE2B3F" w:rsidP="005743D0" w14:paraId="5755961A" w14:textId="48E831F0">
            <w:pPr>
              <w:widowControl/>
              <w:overflowPunct/>
              <w:autoSpaceDE/>
              <w:autoSpaceDN/>
              <w:adjustRightInd/>
              <w:jc w:val="right"/>
              <w:textAlignment w:val="auto"/>
              <w:rPr>
                <w:sz w:val="18"/>
                <w:szCs w:val="18"/>
              </w:rPr>
            </w:pPr>
            <w:r w:rsidRPr="005743D0">
              <w:rPr>
                <w:sz w:val="18"/>
                <w:szCs w:val="18"/>
              </w:rPr>
              <w:t>1,496.00</w:t>
            </w:r>
          </w:p>
        </w:tc>
        <w:tc>
          <w:tcPr>
            <w:tcW w:w="1107" w:type="dxa"/>
            <w:tcBorders>
              <w:top w:val="nil"/>
              <w:left w:val="nil"/>
              <w:bottom w:val="single" w:sz="4" w:space="0" w:color="auto"/>
              <w:right w:val="single" w:sz="4" w:space="0" w:color="auto"/>
            </w:tcBorders>
            <w:vAlign w:val="center"/>
            <w:hideMark/>
          </w:tcPr>
          <w:p w:rsidR="004650FE" w:rsidRPr="00AE2B3F" w:rsidP="005743D0" w14:paraId="096C4F7F" w14:textId="3C8FF119">
            <w:pPr>
              <w:widowControl/>
              <w:overflowPunct/>
              <w:autoSpaceDE/>
              <w:autoSpaceDN/>
              <w:adjustRightInd/>
              <w:jc w:val="right"/>
              <w:textAlignment w:val="auto"/>
              <w:rPr>
                <w:sz w:val="18"/>
                <w:szCs w:val="18"/>
              </w:rPr>
            </w:pPr>
            <w:r w:rsidRPr="005743D0">
              <w:rPr>
                <w:sz w:val="18"/>
                <w:szCs w:val="18"/>
              </w:rPr>
              <w:t>1.17</w:t>
            </w:r>
          </w:p>
        </w:tc>
        <w:tc>
          <w:tcPr>
            <w:tcW w:w="1053" w:type="dxa"/>
            <w:tcBorders>
              <w:top w:val="nil"/>
              <w:left w:val="nil"/>
              <w:bottom w:val="single" w:sz="4" w:space="0" w:color="auto"/>
              <w:right w:val="single" w:sz="4" w:space="0" w:color="auto"/>
            </w:tcBorders>
            <w:shd w:val="clear" w:color="auto" w:fill="F2F2F2" w:themeFill="background1" w:themeFillShade="F2"/>
            <w:vAlign w:val="center"/>
            <w:hideMark/>
          </w:tcPr>
          <w:p w:rsidR="004650FE" w:rsidRPr="00AE2B3F" w:rsidP="005743D0" w14:paraId="1B326BC5" w14:textId="46EB8032">
            <w:pPr>
              <w:widowControl/>
              <w:overflowPunct/>
              <w:autoSpaceDE/>
              <w:autoSpaceDN/>
              <w:adjustRightInd/>
              <w:jc w:val="right"/>
              <w:textAlignment w:val="auto"/>
              <w:rPr>
                <w:sz w:val="18"/>
                <w:szCs w:val="18"/>
              </w:rPr>
            </w:pPr>
            <w:r w:rsidRPr="005743D0">
              <w:rPr>
                <w:sz w:val="18"/>
                <w:szCs w:val="18"/>
              </w:rPr>
              <w:t>1,750.32</w:t>
            </w:r>
          </w:p>
        </w:tc>
        <w:tc>
          <w:tcPr>
            <w:tcW w:w="1170" w:type="dxa"/>
            <w:tcBorders>
              <w:top w:val="nil"/>
              <w:left w:val="nil"/>
              <w:bottom w:val="single" w:sz="4" w:space="0" w:color="auto"/>
              <w:right w:val="single" w:sz="4" w:space="0" w:color="auto"/>
            </w:tcBorders>
            <w:vAlign w:val="center"/>
            <w:hideMark/>
          </w:tcPr>
          <w:p w:rsidR="004650FE" w:rsidRPr="00DD2920" w:rsidP="005743D0" w14:paraId="785D139E" w14:textId="58E270FD">
            <w:pPr>
              <w:widowControl/>
              <w:overflowPunct/>
              <w:autoSpaceDE/>
              <w:autoSpaceDN/>
              <w:adjustRightInd/>
              <w:jc w:val="right"/>
              <w:textAlignment w:val="auto"/>
              <w:rPr>
                <w:i/>
                <w:iCs/>
                <w:sz w:val="18"/>
                <w:szCs w:val="18"/>
              </w:rPr>
            </w:pPr>
            <w:r w:rsidRPr="00DD2920">
              <w:rPr>
                <w:i/>
                <w:iCs/>
                <w:sz w:val="18"/>
                <w:szCs w:val="18"/>
              </w:rPr>
              <w:t>1,513.00</w:t>
            </w:r>
          </w:p>
        </w:tc>
        <w:tc>
          <w:tcPr>
            <w:tcW w:w="1363" w:type="dxa"/>
            <w:tcBorders>
              <w:top w:val="nil"/>
              <w:left w:val="nil"/>
              <w:bottom w:val="single" w:sz="4" w:space="0" w:color="auto"/>
              <w:right w:val="single" w:sz="4" w:space="0" w:color="auto"/>
            </w:tcBorders>
            <w:vAlign w:val="center"/>
          </w:tcPr>
          <w:p w:rsidR="004650FE" w:rsidRPr="00AE2B3F" w:rsidP="005743D0" w14:paraId="25C6974D" w14:textId="2B93A10D">
            <w:pPr>
              <w:widowControl/>
              <w:overflowPunct/>
              <w:autoSpaceDE/>
              <w:autoSpaceDN/>
              <w:adjustRightInd/>
              <w:jc w:val="right"/>
              <w:textAlignment w:val="auto"/>
              <w:rPr>
                <w:sz w:val="18"/>
                <w:szCs w:val="18"/>
              </w:rPr>
            </w:pPr>
            <w:r w:rsidRPr="005743D0">
              <w:rPr>
                <w:sz w:val="18"/>
                <w:szCs w:val="18"/>
              </w:rPr>
              <w:t>0.00</w:t>
            </w:r>
          </w:p>
        </w:tc>
        <w:tc>
          <w:tcPr>
            <w:tcW w:w="1242" w:type="dxa"/>
            <w:tcBorders>
              <w:top w:val="nil"/>
              <w:left w:val="nil"/>
              <w:bottom w:val="single" w:sz="4" w:space="0" w:color="auto"/>
              <w:right w:val="single" w:sz="4" w:space="0" w:color="auto"/>
            </w:tcBorders>
            <w:vAlign w:val="center"/>
          </w:tcPr>
          <w:p w:rsidR="004650FE" w:rsidRPr="00AE2B3F" w:rsidP="005743D0" w14:paraId="4EA72509" w14:textId="696B2BAF">
            <w:pPr>
              <w:widowControl/>
              <w:overflowPunct/>
              <w:autoSpaceDE/>
              <w:autoSpaceDN/>
              <w:adjustRightInd/>
              <w:jc w:val="right"/>
              <w:textAlignment w:val="auto"/>
              <w:rPr>
                <w:sz w:val="18"/>
                <w:szCs w:val="18"/>
              </w:rPr>
            </w:pPr>
            <w:r w:rsidRPr="005743D0">
              <w:rPr>
                <w:sz w:val="18"/>
                <w:szCs w:val="18"/>
              </w:rPr>
              <w:t>237.32</w:t>
            </w:r>
          </w:p>
        </w:tc>
        <w:tc>
          <w:tcPr>
            <w:tcW w:w="1265" w:type="dxa"/>
            <w:tcBorders>
              <w:top w:val="nil"/>
              <w:left w:val="nil"/>
              <w:bottom w:val="single" w:sz="4" w:space="0" w:color="auto"/>
              <w:right w:val="single" w:sz="4" w:space="0" w:color="auto"/>
            </w:tcBorders>
            <w:vAlign w:val="center"/>
          </w:tcPr>
          <w:p w:rsidR="004650FE" w:rsidRPr="00AE2B3F" w:rsidP="005743D0" w14:paraId="7D44AFB8" w14:textId="3A952D4C">
            <w:pPr>
              <w:widowControl/>
              <w:overflowPunct/>
              <w:autoSpaceDE/>
              <w:autoSpaceDN/>
              <w:adjustRightInd/>
              <w:jc w:val="right"/>
              <w:textAlignment w:val="auto"/>
              <w:rPr>
                <w:sz w:val="18"/>
                <w:szCs w:val="18"/>
              </w:rPr>
            </w:pPr>
            <w:r w:rsidRPr="005743D0">
              <w:rPr>
                <w:sz w:val="18"/>
                <w:szCs w:val="18"/>
              </w:rPr>
              <w:t>237.32</w:t>
            </w:r>
          </w:p>
        </w:tc>
      </w:tr>
      <w:tr w14:paraId="0E717AEE" w14:textId="77777777" w:rsidTr="4FE94C9D">
        <w:tblPrEx>
          <w:tblW w:w="14215" w:type="dxa"/>
          <w:tblLayout w:type="fixed"/>
          <w:tblLook w:val="04A0"/>
        </w:tblPrEx>
        <w:trPr>
          <w:trHeight w:val="552"/>
        </w:trPr>
        <w:tc>
          <w:tcPr>
            <w:tcW w:w="1651" w:type="dxa"/>
            <w:tcBorders>
              <w:top w:val="nil"/>
              <w:left w:val="single" w:sz="4" w:space="0" w:color="auto"/>
              <w:bottom w:val="single" w:sz="4" w:space="0" w:color="auto"/>
              <w:right w:val="single" w:sz="4" w:space="0" w:color="auto"/>
            </w:tcBorders>
            <w:vAlign w:val="center"/>
            <w:hideMark/>
          </w:tcPr>
          <w:p w:rsidR="00EA5076" w:rsidRPr="00AE2B3F" w:rsidP="00EA5076" w14:paraId="1F682FFD" w14:textId="77777777">
            <w:pPr>
              <w:widowControl/>
              <w:overflowPunct/>
              <w:autoSpaceDE/>
              <w:autoSpaceDN/>
              <w:adjustRightInd/>
              <w:textAlignment w:val="auto"/>
              <w:rPr>
                <w:b/>
                <w:bCs/>
                <w:sz w:val="18"/>
                <w:szCs w:val="18"/>
              </w:rPr>
            </w:pPr>
            <w:r w:rsidRPr="00AE2B3F">
              <w:rPr>
                <w:b/>
                <w:bCs/>
                <w:sz w:val="18"/>
                <w:szCs w:val="18"/>
              </w:rPr>
              <w:t>246.12(g)(5)</w:t>
            </w:r>
          </w:p>
        </w:tc>
        <w:tc>
          <w:tcPr>
            <w:tcW w:w="1764" w:type="dxa"/>
            <w:tcBorders>
              <w:top w:val="nil"/>
              <w:left w:val="nil"/>
              <w:bottom w:val="single" w:sz="4" w:space="0" w:color="auto"/>
              <w:right w:val="single" w:sz="4" w:space="0" w:color="auto"/>
            </w:tcBorders>
            <w:vAlign w:val="center"/>
            <w:hideMark/>
          </w:tcPr>
          <w:p w:rsidR="00EA5076" w:rsidRPr="00AE2B3F" w:rsidP="00EA5076" w14:paraId="7B05BF71" w14:textId="77777777">
            <w:pPr>
              <w:widowControl/>
              <w:overflowPunct/>
              <w:autoSpaceDE/>
              <w:autoSpaceDN/>
              <w:adjustRightInd/>
              <w:textAlignment w:val="auto"/>
              <w:rPr>
                <w:sz w:val="18"/>
                <w:szCs w:val="18"/>
              </w:rPr>
            </w:pPr>
            <w:r w:rsidRPr="00AE2B3F">
              <w:rPr>
                <w:sz w:val="18"/>
                <w:szCs w:val="18"/>
              </w:rPr>
              <w:t>Vendor initial preauthorization visits (virtual)</w:t>
            </w:r>
          </w:p>
        </w:tc>
        <w:tc>
          <w:tcPr>
            <w:tcW w:w="1260" w:type="dxa"/>
            <w:tcBorders>
              <w:top w:val="nil"/>
              <w:left w:val="nil"/>
              <w:bottom w:val="single" w:sz="4" w:space="0" w:color="auto"/>
              <w:right w:val="single" w:sz="4" w:space="0" w:color="auto"/>
            </w:tcBorders>
            <w:vAlign w:val="center"/>
            <w:hideMark/>
          </w:tcPr>
          <w:p w:rsidR="00EA5076" w:rsidRPr="00AE2B3F" w:rsidP="005743D0" w14:paraId="268E5DA5" w14:textId="78E1B947">
            <w:pPr>
              <w:widowControl/>
              <w:overflowPunct/>
              <w:autoSpaceDE/>
              <w:autoSpaceDN/>
              <w:adjustRightInd/>
              <w:jc w:val="right"/>
              <w:textAlignment w:val="auto"/>
              <w:rPr>
                <w:sz w:val="18"/>
                <w:szCs w:val="18"/>
              </w:rPr>
            </w:pPr>
            <w:r w:rsidRPr="005743D0">
              <w:rPr>
                <w:sz w:val="18"/>
                <w:szCs w:val="18"/>
              </w:rPr>
              <w:t>44.00</w:t>
            </w:r>
          </w:p>
        </w:tc>
        <w:tc>
          <w:tcPr>
            <w:tcW w:w="1170" w:type="dxa"/>
            <w:tcBorders>
              <w:top w:val="nil"/>
              <w:left w:val="nil"/>
              <w:bottom w:val="single" w:sz="4" w:space="0" w:color="auto"/>
              <w:right w:val="single" w:sz="4" w:space="0" w:color="auto"/>
            </w:tcBorders>
            <w:vAlign w:val="center"/>
            <w:hideMark/>
          </w:tcPr>
          <w:p w:rsidR="00EA5076" w:rsidRPr="00AE2B3F" w:rsidP="005743D0" w14:paraId="3EAB45B4" w14:textId="176515BB">
            <w:pPr>
              <w:widowControl/>
              <w:overflowPunct/>
              <w:autoSpaceDE/>
              <w:autoSpaceDN/>
              <w:adjustRightInd/>
              <w:jc w:val="right"/>
              <w:textAlignment w:val="auto"/>
              <w:rPr>
                <w:sz w:val="18"/>
                <w:szCs w:val="18"/>
              </w:rPr>
            </w:pPr>
            <w:r w:rsidRPr="005743D0">
              <w:rPr>
                <w:sz w:val="18"/>
                <w:szCs w:val="18"/>
              </w:rPr>
              <w:t>2.50</w:t>
            </w:r>
          </w:p>
        </w:tc>
        <w:tc>
          <w:tcPr>
            <w:tcW w:w="1170" w:type="dxa"/>
            <w:tcBorders>
              <w:top w:val="nil"/>
              <w:left w:val="nil"/>
              <w:bottom w:val="single" w:sz="4" w:space="0" w:color="auto"/>
              <w:right w:val="single" w:sz="4" w:space="0" w:color="auto"/>
            </w:tcBorders>
            <w:shd w:val="clear" w:color="auto" w:fill="F2F2F2" w:themeFill="background1" w:themeFillShade="F2"/>
            <w:vAlign w:val="center"/>
            <w:hideMark/>
          </w:tcPr>
          <w:p w:rsidR="00EA5076" w:rsidRPr="00AE2B3F" w:rsidP="005743D0" w14:paraId="4B9DDE29" w14:textId="4E7FF09F">
            <w:pPr>
              <w:widowControl/>
              <w:overflowPunct/>
              <w:autoSpaceDE/>
              <w:autoSpaceDN/>
              <w:adjustRightInd/>
              <w:jc w:val="right"/>
              <w:textAlignment w:val="auto"/>
              <w:rPr>
                <w:sz w:val="18"/>
                <w:szCs w:val="18"/>
              </w:rPr>
            </w:pPr>
            <w:r w:rsidRPr="005743D0">
              <w:rPr>
                <w:sz w:val="18"/>
                <w:szCs w:val="18"/>
              </w:rPr>
              <w:t>110.00</w:t>
            </w:r>
          </w:p>
        </w:tc>
        <w:tc>
          <w:tcPr>
            <w:tcW w:w="1107" w:type="dxa"/>
            <w:tcBorders>
              <w:top w:val="nil"/>
              <w:left w:val="nil"/>
              <w:bottom w:val="single" w:sz="4" w:space="0" w:color="auto"/>
              <w:right w:val="single" w:sz="4" w:space="0" w:color="auto"/>
            </w:tcBorders>
            <w:vAlign w:val="center"/>
            <w:hideMark/>
          </w:tcPr>
          <w:p w:rsidR="00EA5076" w:rsidRPr="00AE2B3F" w:rsidP="005743D0" w14:paraId="0260A796" w14:textId="7D617473">
            <w:pPr>
              <w:widowControl/>
              <w:overflowPunct/>
              <w:autoSpaceDE/>
              <w:autoSpaceDN/>
              <w:adjustRightInd/>
              <w:jc w:val="right"/>
              <w:textAlignment w:val="auto"/>
              <w:rPr>
                <w:sz w:val="18"/>
                <w:szCs w:val="18"/>
              </w:rPr>
            </w:pPr>
            <w:r w:rsidRPr="005743D0">
              <w:rPr>
                <w:sz w:val="18"/>
                <w:szCs w:val="18"/>
              </w:rPr>
              <w:t>0.668</w:t>
            </w:r>
          </w:p>
        </w:tc>
        <w:tc>
          <w:tcPr>
            <w:tcW w:w="1053" w:type="dxa"/>
            <w:tcBorders>
              <w:top w:val="nil"/>
              <w:left w:val="nil"/>
              <w:bottom w:val="single" w:sz="4" w:space="0" w:color="auto"/>
              <w:right w:val="single" w:sz="4" w:space="0" w:color="auto"/>
            </w:tcBorders>
            <w:shd w:val="clear" w:color="auto" w:fill="F2F2F2" w:themeFill="background1" w:themeFillShade="F2"/>
            <w:vAlign w:val="center"/>
            <w:hideMark/>
          </w:tcPr>
          <w:p w:rsidR="00EA5076" w:rsidRPr="00AE2B3F" w:rsidP="005743D0" w14:paraId="5109CD0E" w14:textId="250CA8F0">
            <w:pPr>
              <w:widowControl/>
              <w:overflowPunct/>
              <w:autoSpaceDE/>
              <w:autoSpaceDN/>
              <w:adjustRightInd/>
              <w:jc w:val="right"/>
              <w:textAlignment w:val="auto"/>
              <w:rPr>
                <w:sz w:val="18"/>
                <w:szCs w:val="18"/>
              </w:rPr>
            </w:pPr>
            <w:r w:rsidRPr="005743D0">
              <w:rPr>
                <w:sz w:val="18"/>
                <w:szCs w:val="18"/>
              </w:rPr>
              <w:t>73.48</w:t>
            </w:r>
          </w:p>
        </w:tc>
        <w:tc>
          <w:tcPr>
            <w:tcW w:w="1170" w:type="dxa"/>
            <w:tcBorders>
              <w:top w:val="nil"/>
              <w:left w:val="nil"/>
              <w:bottom w:val="single" w:sz="4" w:space="0" w:color="auto"/>
              <w:right w:val="single" w:sz="4" w:space="0" w:color="auto"/>
            </w:tcBorders>
            <w:vAlign w:val="center"/>
            <w:hideMark/>
          </w:tcPr>
          <w:p w:rsidR="00EA5076" w:rsidRPr="00DD2920" w:rsidP="005743D0" w14:paraId="000C6856" w14:textId="6EFF5EB7">
            <w:pPr>
              <w:widowControl/>
              <w:overflowPunct/>
              <w:autoSpaceDE/>
              <w:autoSpaceDN/>
              <w:adjustRightInd/>
              <w:jc w:val="right"/>
              <w:textAlignment w:val="auto"/>
              <w:rPr>
                <w:i/>
                <w:iCs/>
                <w:sz w:val="18"/>
                <w:szCs w:val="18"/>
              </w:rPr>
            </w:pPr>
            <w:r w:rsidRPr="00DD2920">
              <w:rPr>
                <w:i/>
                <w:iCs/>
                <w:sz w:val="18"/>
                <w:szCs w:val="18"/>
              </w:rPr>
              <w:t>0.00</w:t>
            </w:r>
          </w:p>
        </w:tc>
        <w:tc>
          <w:tcPr>
            <w:tcW w:w="1363" w:type="dxa"/>
            <w:tcBorders>
              <w:top w:val="nil"/>
              <w:left w:val="nil"/>
              <w:bottom w:val="single" w:sz="4" w:space="0" w:color="auto"/>
              <w:right w:val="single" w:sz="4" w:space="0" w:color="auto"/>
            </w:tcBorders>
            <w:vAlign w:val="center"/>
          </w:tcPr>
          <w:p w:rsidR="00EA5076" w:rsidRPr="00AE2B3F" w:rsidP="005743D0" w14:paraId="770B51FA" w14:textId="06BC8C3A">
            <w:pPr>
              <w:widowControl/>
              <w:overflowPunct/>
              <w:autoSpaceDE/>
              <w:autoSpaceDN/>
              <w:adjustRightInd/>
              <w:jc w:val="right"/>
              <w:textAlignment w:val="auto"/>
              <w:rPr>
                <w:sz w:val="18"/>
                <w:szCs w:val="18"/>
              </w:rPr>
            </w:pPr>
            <w:r w:rsidRPr="005743D0">
              <w:rPr>
                <w:sz w:val="18"/>
                <w:szCs w:val="18"/>
              </w:rPr>
              <w:t>73.48</w:t>
            </w:r>
          </w:p>
        </w:tc>
        <w:tc>
          <w:tcPr>
            <w:tcW w:w="1242" w:type="dxa"/>
            <w:tcBorders>
              <w:top w:val="nil"/>
              <w:left w:val="nil"/>
              <w:bottom w:val="single" w:sz="4" w:space="0" w:color="auto"/>
              <w:right w:val="single" w:sz="4" w:space="0" w:color="auto"/>
            </w:tcBorders>
            <w:vAlign w:val="center"/>
          </w:tcPr>
          <w:p w:rsidR="00EA5076" w:rsidRPr="00AE2B3F" w:rsidP="005743D0" w14:paraId="0854E082" w14:textId="2C2268A3">
            <w:pPr>
              <w:widowControl/>
              <w:overflowPunct/>
              <w:autoSpaceDE/>
              <w:autoSpaceDN/>
              <w:adjustRightInd/>
              <w:jc w:val="right"/>
              <w:textAlignment w:val="auto"/>
              <w:rPr>
                <w:sz w:val="18"/>
                <w:szCs w:val="18"/>
              </w:rPr>
            </w:pPr>
            <w:r w:rsidRPr="005743D0">
              <w:rPr>
                <w:sz w:val="18"/>
                <w:szCs w:val="18"/>
              </w:rPr>
              <w:t>0.00</w:t>
            </w:r>
          </w:p>
        </w:tc>
        <w:tc>
          <w:tcPr>
            <w:tcW w:w="1265" w:type="dxa"/>
            <w:tcBorders>
              <w:top w:val="nil"/>
              <w:left w:val="nil"/>
              <w:bottom w:val="single" w:sz="4" w:space="0" w:color="auto"/>
              <w:right w:val="single" w:sz="4" w:space="0" w:color="auto"/>
            </w:tcBorders>
            <w:vAlign w:val="center"/>
          </w:tcPr>
          <w:p w:rsidR="00EA5076" w:rsidRPr="00CD169B" w:rsidP="005743D0" w14:paraId="3B357FB8" w14:textId="5EB50AE6">
            <w:pPr>
              <w:widowControl/>
              <w:overflowPunct/>
              <w:autoSpaceDE/>
              <w:autoSpaceDN/>
              <w:adjustRightInd/>
              <w:jc w:val="right"/>
              <w:textAlignment w:val="auto"/>
              <w:rPr>
                <w:sz w:val="18"/>
                <w:szCs w:val="18"/>
              </w:rPr>
            </w:pPr>
            <w:r w:rsidRPr="005743D0">
              <w:rPr>
                <w:sz w:val="18"/>
                <w:szCs w:val="18"/>
              </w:rPr>
              <w:t>73.48</w:t>
            </w:r>
          </w:p>
        </w:tc>
      </w:tr>
      <w:tr w14:paraId="1C306FD2" w14:textId="77777777" w:rsidTr="4FE94C9D">
        <w:tblPrEx>
          <w:tblW w:w="14215" w:type="dxa"/>
          <w:tblLayout w:type="fixed"/>
          <w:tblLook w:val="04A0"/>
        </w:tblPrEx>
        <w:trPr>
          <w:trHeight w:val="864"/>
        </w:trPr>
        <w:tc>
          <w:tcPr>
            <w:tcW w:w="1651" w:type="dxa"/>
            <w:tcBorders>
              <w:top w:val="nil"/>
              <w:left w:val="single" w:sz="4" w:space="0" w:color="auto"/>
              <w:bottom w:val="single" w:sz="4" w:space="0" w:color="auto"/>
              <w:right w:val="single" w:sz="4" w:space="0" w:color="auto"/>
            </w:tcBorders>
            <w:vAlign w:val="center"/>
            <w:hideMark/>
          </w:tcPr>
          <w:p w:rsidR="00EA5076" w:rsidRPr="00AE2B3F" w:rsidP="00EA5076" w14:paraId="3285C212" w14:textId="77777777">
            <w:pPr>
              <w:widowControl/>
              <w:overflowPunct/>
              <w:autoSpaceDE/>
              <w:autoSpaceDN/>
              <w:adjustRightInd/>
              <w:textAlignment w:val="auto"/>
              <w:rPr>
                <w:b/>
                <w:bCs/>
                <w:sz w:val="18"/>
                <w:szCs w:val="18"/>
              </w:rPr>
            </w:pPr>
            <w:r w:rsidRPr="00AE2B3F">
              <w:rPr>
                <w:b/>
                <w:bCs/>
                <w:sz w:val="18"/>
                <w:szCs w:val="18"/>
              </w:rPr>
              <w:t>246.12(h)</w:t>
            </w:r>
          </w:p>
        </w:tc>
        <w:tc>
          <w:tcPr>
            <w:tcW w:w="1764" w:type="dxa"/>
            <w:tcBorders>
              <w:top w:val="nil"/>
              <w:left w:val="nil"/>
              <w:bottom w:val="single" w:sz="4" w:space="0" w:color="auto"/>
              <w:right w:val="single" w:sz="4" w:space="0" w:color="auto"/>
            </w:tcBorders>
            <w:vAlign w:val="center"/>
            <w:hideMark/>
          </w:tcPr>
          <w:p w:rsidR="00EA5076" w:rsidRPr="00AE2B3F" w:rsidP="00EA5076" w14:paraId="5072FC90" w14:textId="77777777">
            <w:pPr>
              <w:widowControl/>
              <w:overflowPunct/>
              <w:autoSpaceDE/>
              <w:autoSpaceDN/>
              <w:adjustRightInd/>
              <w:textAlignment w:val="auto"/>
              <w:rPr>
                <w:sz w:val="18"/>
                <w:szCs w:val="18"/>
              </w:rPr>
            </w:pPr>
            <w:r w:rsidRPr="00AE2B3F">
              <w:rPr>
                <w:sz w:val="18"/>
                <w:szCs w:val="18"/>
              </w:rPr>
              <w:t xml:space="preserve">Review Vendor applications/agreements </w:t>
            </w:r>
          </w:p>
        </w:tc>
        <w:tc>
          <w:tcPr>
            <w:tcW w:w="1260" w:type="dxa"/>
            <w:tcBorders>
              <w:top w:val="nil"/>
              <w:left w:val="nil"/>
              <w:bottom w:val="single" w:sz="4" w:space="0" w:color="auto"/>
              <w:right w:val="single" w:sz="4" w:space="0" w:color="auto"/>
            </w:tcBorders>
            <w:vAlign w:val="center"/>
            <w:hideMark/>
          </w:tcPr>
          <w:p w:rsidR="00EA5076" w:rsidRPr="00AE2B3F" w:rsidP="005743D0" w14:paraId="664FF9DA" w14:textId="7CAE7284">
            <w:pPr>
              <w:widowControl/>
              <w:overflowPunct/>
              <w:autoSpaceDE/>
              <w:autoSpaceDN/>
              <w:adjustRightInd/>
              <w:jc w:val="right"/>
              <w:textAlignment w:val="auto"/>
              <w:rPr>
                <w:sz w:val="18"/>
                <w:szCs w:val="18"/>
              </w:rPr>
            </w:pPr>
            <w:r w:rsidRPr="005743D0">
              <w:rPr>
                <w:sz w:val="18"/>
                <w:szCs w:val="18"/>
              </w:rPr>
              <w:t>88.00</w:t>
            </w:r>
          </w:p>
        </w:tc>
        <w:tc>
          <w:tcPr>
            <w:tcW w:w="1170" w:type="dxa"/>
            <w:tcBorders>
              <w:top w:val="nil"/>
              <w:left w:val="nil"/>
              <w:bottom w:val="single" w:sz="4" w:space="0" w:color="auto"/>
              <w:right w:val="single" w:sz="4" w:space="0" w:color="auto"/>
            </w:tcBorders>
            <w:vAlign w:val="center"/>
            <w:hideMark/>
          </w:tcPr>
          <w:p w:rsidR="00EA5076" w:rsidRPr="00AE2B3F" w:rsidP="005743D0" w14:paraId="2530FC5C" w14:textId="4B246CBF">
            <w:pPr>
              <w:widowControl/>
              <w:overflowPunct/>
              <w:autoSpaceDE/>
              <w:autoSpaceDN/>
              <w:adjustRightInd/>
              <w:jc w:val="right"/>
              <w:textAlignment w:val="auto"/>
              <w:rPr>
                <w:sz w:val="18"/>
                <w:szCs w:val="18"/>
              </w:rPr>
            </w:pPr>
            <w:r w:rsidRPr="005743D0">
              <w:rPr>
                <w:sz w:val="18"/>
                <w:szCs w:val="18"/>
              </w:rPr>
              <w:t>151.83</w:t>
            </w:r>
          </w:p>
        </w:tc>
        <w:tc>
          <w:tcPr>
            <w:tcW w:w="1170" w:type="dxa"/>
            <w:tcBorders>
              <w:top w:val="nil"/>
              <w:left w:val="nil"/>
              <w:bottom w:val="single" w:sz="4" w:space="0" w:color="auto"/>
              <w:right w:val="single" w:sz="4" w:space="0" w:color="auto"/>
            </w:tcBorders>
            <w:shd w:val="clear" w:color="auto" w:fill="F2F2F2" w:themeFill="background1" w:themeFillShade="F2"/>
            <w:vAlign w:val="center"/>
            <w:hideMark/>
          </w:tcPr>
          <w:p w:rsidR="00EA5076" w:rsidRPr="00AE2B3F" w:rsidP="005743D0" w14:paraId="634E18EE" w14:textId="0D368D05">
            <w:pPr>
              <w:widowControl/>
              <w:overflowPunct/>
              <w:autoSpaceDE/>
              <w:autoSpaceDN/>
              <w:adjustRightInd/>
              <w:jc w:val="right"/>
              <w:textAlignment w:val="auto"/>
              <w:rPr>
                <w:sz w:val="18"/>
                <w:szCs w:val="18"/>
              </w:rPr>
            </w:pPr>
            <w:r w:rsidRPr="005743D0">
              <w:rPr>
                <w:sz w:val="18"/>
                <w:szCs w:val="18"/>
              </w:rPr>
              <w:t>13,360.71</w:t>
            </w:r>
          </w:p>
        </w:tc>
        <w:tc>
          <w:tcPr>
            <w:tcW w:w="1107" w:type="dxa"/>
            <w:tcBorders>
              <w:top w:val="nil"/>
              <w:left w:val="nil"/>
              <w:bottom w:val="single" w:sz="4" w:space="0" w:color="auto"/>
              <w:right w:val="single" w:sz="4" w:space="0" w:color="auto"/>
            </w:tcBorders>
            <w:vAlign w:val="center"/>
            <w:hideMark/>
          </w:tcPr>
          <w:p w:rsidR="00EA5076" w:rsidRPr="00AE2B3F" w:rsidP="005743D0" w14:paraId="461F558D" w14:textId="635549FA">
            <w:pPr>
              <w:widowControl/>
              <w:overflowPunct/>
              <w:autoSpaceDE/>
              <w:autoSpaceDN/>
              <w:adjustRightInd/>
              <w:jc w:val="right"/>
              <w:textAlignment w:val="auto"/>
              <w:rPr>
                <w:sz w:val="18"/>
                <w:szCs w:val="18"/>
              </w:rPr>
            </w:pPr>
            <w:r w:rsidRPr="005743D0">
              <w:rPr>
                <w:sz w:val="18"/>
                <w:szCs w:val="18"/>
              </w:rPr>
              <w:t>2.00</w:t>
            </w:r>
          </w:p>
        </w:tc>
        <w:tc>
          <w:tcPr>
            <w:tcW w:w="1053" w:type="dxa"/>
            <w:tcBorders>
              <w:top w:val="nil"/>
              <w:left w:val="nil"/>
              <w:bottom w:val="single" w:sz="4" w:space="0" w:color="auto"/>
              <w:right w:val="single" w:sz="4" w:space="0" w:color="auto"/>
            </w:tcBorders>
            <w:shd w:val="clear" w:color="auto" w:fill="F2F2F2" w:themeFill="background1" w:themeFillShade="F2"/>
            <w:vAlign w:val="center"/>
            <w:hideMark/>
          </w:tcPr>
          <w:p w:rsidR="00EA5076" w:rsidRPr="00AE2B3F" w:rsidP="005743D0" w14:paraId="3B21DC10" w14:textId="62763BEA">
            <w:pPr>
              <w:widowControl/>
              <w:overflowPunct/>
              <w:autoSpaceDE/>
              <w:autoSpaceDN/>
              <w:adjustRightInd/>
              <w:jc w:val="right"/>
              <w:textAlignment w:val="auto"/>
              <w:rPr>
                <w:sz w:val="18"/>
                <w:szCs w:val="18"/>
              </w:rPr>
            </w:pPr>
            <w:r w:rsidRPr="005743D0">
              <w:rPr>
                <w:sz w:val="18"/>
                <w:szCs w:val="18"/>
              </w:rPr>
              <w:t>26,721.42</w:t>
            </w:r>
          </w:p>
        </w:tc>
        <w:tc>
          <w:tcPr>
            <w:tcW w:w="1170" w:type="dxa"/>
            <w:tcBorders>
              <w:top w:val="nil"/>
              <w:left w:val="nil"/>
              <w:bottom w:val="single" w:sz="4" w:space="0" w:color="auto"/>
              <w:right w:val="single" w:sz="4" w:space="0" w:color="auto"/>
            </w:tcBorders>
            <w:vAlign w:val="center"/>
            <w:hideMark/>
          </w:tcPr>
          <w:p w:rsidR="00EA5076" w:rsidRPr="00DD2920" w:rsidP="005743D0" w14:paraId="1D04237D" w14:textId="5112EBB6">
            <w:pPr>
              <w:widowControl/>
              <w:overflowPunct/>
              <w:autoSpaceDE/>
              <w:autoSpaceDN/>
              <w:adjustRightInd/>
              <w:jc w:val="right"/>
              <w:textAlignment w:val="auto"/>
              <w:rPr>
                <w:i/>
                <w:iCs/>
                <w:sz w:val="18"/>
                <w:szCs w:val="18"/>
              </w:rPr>
            </w:pPr>
            <w:r w:rsidRPr="00DD2920">
              <w:rPr>
                <w:i/>
                <w:iCs/>
                <w:sz w:val="18"/>
                <w:szCs w:val="18"/>
              </w:rPr>
              <w:t>8,215.14</w:t>
            </w:r>
          </w:p>
        </w:tc>
        <w:tc>
          <w:tcPr>
            <w:tcW w:w="1363" w:type="dxa"/>
            <w:tcBorders>
              <w:top w:val="nil"/>
              <w:left w:val="nil"/>
              <w:bottom w:val="single" w:sz="4" w:space="0" w:color="auto"/>
              <w:right w:val="single" w:sz="4" w:space="0" w:color="auto"/>
            </w:tcBorders>
            <w:vAlign w:val="center"/>
          </w:tcPr>
          <w:p w:rsidR="00EA5076" w:rsidRPr="00AE2B3F" w:rsidP="005743D0" w14:paraId="42D22570" w14:textId="480C2B16">
            <w:pPr>
              <w:widowControl/>
              <w:overflowPunct/>
              <w:autoSpaceDE/>
              <w:autoSpaceDN/>
              <w:adjustRightInd/>
              <w:jc w:val="right"/>
              <w:textAlignment w:val="auto"/>
              <w:rPr>
                <w:sz w:val="18"/>
                <w:szCs w:val="18"/>
              </w:rPr>
            </w:pPr>
            <w:r w:rsidRPr="005743D0">
              <w:rPr>
                <w:sz w:val="18"/>
                <w:szCs w:val="18"/>
              </w:rPr>
              <w:t>72.60</w:t>
            </w:r>
          </w:p>
        </w:tc>
        <w:tc>
          <w:tcPr>
            <w:tcW w:w="1242" w:type="dxa"/>
            <w:tcBorders>
              <w:top w:val="nil"/>
              <w:left w:val="nil"/>
              <w:bottom w:val="single" w:sz="4" w:space="0" w:color="auto"/>
              <w:right w:val="single" w:sz="4" w:space="0" w:color="auto"/>
            </w:tcBorders>
            <w:vAlign w:val="center"/>
          </w:tcPr>
          <w:p w:rsidR="00EA5076" w:rsidRPr="00AE2B3F" w:rsidP="005743D0" w14:paraId="12F307EA" w14:textId="51B4E0B9">
            <w:pPr>
              <w:widowControl/>
              <w:overflowPunct/>
              <w:autoSpaceDE/>
              <w:autoSpaceDN/>
              <w:adjustRightInd/>
              <w:jc w:val="right"/>
              <w:textAlignment w:val="auto"/>
              <w:rPr>
                <w:sz w:val="18"/>
                <w:szCs w:val="18"/>
              </w:rPr>
            </w:pPr>
            <w:r w:rsidRPr="005743D0">
              <w:rPr>
                <w:sz w:val="18"/>
                <w:szCs w:val="18"/>
              </w:rPr>
              <w:t>18,433.68</w:t>
            </w:r>
          </w:p>
        </w:tc>
        <w:tc>
          <w:tcPr>
            <w:tcW w:w="1265" w:type="dxa"/>
            <w:tcBorders>
              <w:top w:val="nil"/>
              <w:left w:val="nil"/>
              <w:bottom w:val="single" w:sz="4" w:space="0" w:color="auto"/>
              <w:right w:val="single" w:sz="4" w:space="0" w:color="auto"/>
            </w:tcBorders>
            <w:vAlign w:val="center"/>
          </w:tcPr>
          <w:p w:rsidR="00EA5076" w:rsidRPr="00AE2B3F" w:rsidP="005743D0" w14:paraId="108367C3" w14:textId="59B5DA5D">
            <w:pPr>
              <w:widowControl/>
              <w:overflowPunct/>
              <w:autoSpaceDE/>
              <w:autoSpaceDN/>
              <w:adjustRightInd/>
              <w:jc w:val="right"/>
              <w:textAlignment w:val="auto"/>
              <w:rPr>
                <w:sz w:val="18"/>
                <w:szCs w:val="18"/>
              </w:rPr>
            </w:pPr>
            <w:r w:rsidRPr="005743D0">
              <w:rPr>
                <w:sz w:val="18"/>
                <w:szCs w:val="18"/>
              </w:rPr>
              <w:t>18,506.28</w:t>
            </w:r>
          </w:p>
        </w:tc>
      </w:tr>
      <w:tr w14:paraId="66A2CD80" w14:textId="77777777" w:rsidTr="4FE94C9D">
        <w:tblPrEx>
          <w:tblW w:w="14215" w:type="dxa"/>
          <w:tblLayout w:type="fixed"/>
          <w:tblLook w:val="04A0"/>
        </w:tblPrEx>
        <w:trPr>
          <w:trHeight w:val="528"/>
        </w:trPr>
        <w:tc>
          <w:tcPr>
            <w:tcW w:w="1651" w:type="dxa"/>
            <w:tcBorders>
              <w:top w:val="nil"/>
              <w:left w:val="single" w:sz="4" w:space="0" w:color="auto"/>
              <w:bottom w:val="single" w:sz="4" w:space="0" w:color="auto"/>
              <w:right w:val="single" w:sz="4" w:space="0" w:color="auto"/>
            </w:tcBorders>
            <w:vAlign w:val="center"/>
            <w:hideMark/>
          </w:tcPr>
          <w:p w:rsidR="00EA5076" w:rsidRPr="00AE2B3F" w:rsidP="00EA5076" w14:paraId="093E85D0" w14:textId="77777777">
            <w:pPr>
              <w:widowControl/>
              <w:overflowPunct/>
              <w:autoSpaceDE/>
              <w:autoSpaceDN/>
              <w:adjustRightInd/>
              <w:textAlignment w:val="auto"/>
              <w:rPr>
                <w:b/>
                <w:bCs/>
                <w:sz w:val="18"/>
                <w:szCs w:val="18"/>
              </w:rPr>
            </w:pPr>
            <w:r w:rsidRPr="00AE2B3F">
              <w:rPr>
                <w:b/>
                <w:bCs/>
                <w:sz w:val="18"/>
                <w:szCs w:val="18"/>
              </w:rPr>
              <w:t>246.12(i)(1)</w:t>
            </w:r>
          </w:p>
        </w:tc>
        <w:tc>
          <w:tcPr>
            <w:tcW w:w="1764" w:type="dxa"/>
            <w:tcBorders>
              <w:top w:val="nil"/>
              <w:left w:val="nil"/>
              <w:bottom w:val="single" w:sz="4" w:space="0" w:color="auto"/>
              <w:right w:val="single" w:sz="4" w:space="0" w:color="auto"/>
            </w:tcBorders>
            <w:vAlign w:val="center"/>
            <w:hideMark/>
          </w:tcPr>
          <w:p w:rsidR="00EA5076" w:rsidRPr="00AE2B3F" w:rsidP="00EA5076" w14:paraId="3EA02AB8" w14:textId="77777777">
            <w:pPr>
              <w:widowControl/>
              <w:overflowPunct/>
              <w:autoSpaceDE/>
              <w:autoSpaceDN/>
              <w:adjustRightInd/>
              <w:textAlignment w:val="auto"/>
              <w:rPr>
                <w:sz w:val="18"/>
                <w:szCs w:val="18"/>
              </w:rPr>
            </w:pPr>
            <w:r w:rsidRPr="00AE2B3F">
              <w:rPr>
                <w:sz w:val="18"/>
                <w:szCs w:val="18"/>
              </w:rPr>
              <w:t>Vendor training</w:t>
            </w:r>
          </w:p>
        </w:tc>
        <w:tc>
          <w:tcPr>
            <w:tcW w:w="1260" w:type="dxa"/>
            <w:tcBorders>
              <w:top w:val="nil"/>
              <w:left w:val="nil"/>
              <w:bottom w:val="single" w:sz="4" w:space="0" w:color="auto"/>
              <w:right w:val="single" w:sz="4" w:space="0" w:color="auto"/>
            </w:tcBorders>
            <w:vAlign w:val="center"/>
            <w:hideMark/>
          </w:tcPr>
          <w:p w:rsidR="00EA5076" w:rsidRPr="00AE2B3F" w:rsidP="005743D0" w14:paraId="2193AA7D" w14:textId="22BF2F6F">
            <w:pPr>
              <w:widowControl/>
              <w:overflowPunct/>
              <w:autoSpaceDE/>
              <w:autoSpaceDN/>
              <w:adjustRightInd/>
              <w:jc w:val="right"/>
              <w:textAlignment w:val="auto"/>
              <w:rPr>
                <w:sz w:val="18"/>
                <w:szCs w:val="18"/>
              </w:rPr>
            </w:pPr>
            <w:r w:rsidRPr="005743D0">
              <w:rPr>
                <w:sz w:val="18"/>
                <w:szCs w:val="18"/>
              </w:rPr>
              <w:t>88.00</w:t>
            </w:r>
          </w:p>
        </w:tc>
        <w:tc>
          <w:tcPr>
            <w:tcW w:w="1170" w:type="dxa"/>
            <w:tcBorders>
              <w:top w:val="nil"/>
              <w:left w:val="nil"/>
              <w:bottom w:val="single" w:sz="4" w:space="0" w:color="auto"/>
              <w:right w:val="single" w:sz="4" w:space="0" w:color="auto"/>
            </w:tcBorders>
            <w:vAlign w:val="center"/>
            <w:hideMark/>
          </w:tcPr>
          <w:p w:rsidR="00EA5076" w:rsidRPr="00AE2B3F" w:rsidP="005743D0" w14:paraId="3900487D" w14:textId="1A0B8F99">
            <w:pPr>
              <w:widowControl/>
              <w:overflowPunct/>
              <w:autoSpaceDE/>
              <w:autoSpaceDN/>
              <w:adjustRightInd/>
              <w:jc w:val="right"/>
              <w:textAlignment w:val="auto"/>
              <w:rPr>
                <w:sz w:val="18"/>
                <w:szCs w:val="18"/>
              </w:rPr>
            </w:pPr>
            <w:r w:rsidRPr="005743D0">
              <w:rPr>
                <w:sz w:val="18"/>
                <w:szCs w:val="18"/>
              </w:rPr>
              <w:t>460.08</w:t>
            </w:r>
          </w:p>
        </w:tc>
        <w:tc>
          <w:tcPr>
            <w:tcW w:w="1170" w:type="dxa"/>
            <w:tcBorders>
              <w:top w:val="nil"/>
              <w:left w:val="nil"/>
              <w:bottom w:val="single" w:sz="4" w:space="0" w:color="auto"/>
              <w:right w:val="single" w:sz="4" w:space="0" w:color="auto"/>
            </w:tcBorders>
            <w:shd w:val="clear" w:color="auto" w:fill="F2F2F2" w:themeFill="background1" w:themeFillShade="F2"/>
            <w:vAlign w:val="center"/>
            <w:hideMark/>
          </w:tcPr>
          <w:p w:rsidR="00EA5076" w:rsidRPr="00AE2B3F" w:rsidP="005743D0" w14:paraId="5AE9BD66" w14:textId="0A657D7C">
            <w:pPr>
              <w:widowControl/>
              <w:overflowPunct/>
              <w:autoSpaceDE/>
              <w:autoSpaceDN/>
              <w:adjustRightInd/>
              <w:jc w:val="right"/>
              <w:textAlignment w:val="auto"/>
              <w:rPr>
                <w:sz w:val="18"/>
                <w:szCs w:val="18"/>
              </w:rPr>
            </w:pPr>
            <w:r w:rsidRPr="005743D0">
              <w:rPr>
                <w:sz w:val="18"/>
                <w:szCs w:val="18"/>
              </w:rPr>
              <w:t>40,487.00</w:t>
            </w:r>
          </w:p>
        </w:tc>
        <w:tc>
          <w:tcPr>
            <w:tcW w:w="1107" w:type="dxa"/>
            <w:tcBorders>
              <w:top w:val="nil"/>
              <w:left w:val="nil"/>
              <w:bottom w:val="single" w:sz="4" w:space="0" w:color="auto"/>
              <w:right w:val="single" w:sz="4" w:space="0" w:color="auto"/>
            </w:tcBorders>
            <w:vAlign w:val="center"/>
            <w:hideMark/>
          </w:tcPr>
          <w:p w:rsidR="00EA5076" w:rsidRPr="00AE2B3F" w:rsidP="005743D0" w14:paraId="5413D1AA" w14:textId="0EB5E169">
            <w:pPr>
              <w:widowControl/>
              <w:overflowPunct/>
              <w:autoSpaceDE/>
              <w:autoSpaceDN/>
              <w:adjustRightInd/>
              <w:jc w:val="right"/>
              <w:textAlignment w:val="auto"/>
              <w:rPr>
                <w:sz w:val="18"/>
                <w:szCs w:val="18"/>
              </w:rPr>
            </w:pPr>
            <w:r w:rsidRPr="005743D0">
              <w:rPr>
                <w:sz w:val="18"/>
                <w:szCs w:val="18"/>
              </w:rPr>
              <w:t>2.00</w:t>
            </w:r>
          </w:p>
        </w:tc>
        <w:tc>
          <w:tcPr>
            <w:tcW w:w="1053" w:type="dxa"/>
            <w:tcBorders>
              <w:top w:val="nil"/>
              <w:left w:val="nil"/>
              <w:bottom w:val="single" w:sz="4" w:space="0" w:color="auto"/>
              <w:right w:val="single" w:sz="4" w:space="0" w:color="auto"/>
            </w:tcBorders>
            <w:shd w:val="clear" w:color="auto" w:fill="F2F2F2" w:themeFill="background1" w:themeFillShade="F2"/>
            <w:vAlign w:val="center"/>
            <w:hideMark/>
          </w:tcPr>
          <w:p w:rsidR="00EA5076" w:rsidRPr="00AE2B3F" w:rsidP="005743D0" w14:paraId="175F37E8" w14:textId="4376C4C0">
            <w:pPr>
              <w:widowControl/>
              <w:overflowPunct/>
              <w:autoSpaceDE/>
              <w:autoSpaceDN/>
              <w:adjustRightInd/>
              <w:jc w:val="right"/>
              <w:textAlignment w:val="auto"/>
              <w:rPr>
                <w:sz w:val="18"/>
                <w:szCs w:val="18"/>
              </w:rPr>
            </w:pPr>
            <w:r w:rsidRPr="005743D0">
              <w:rPr>
                <w:sz w:val="18"/>
                <w:szCs w:val="18"/>
              </w:rPr>
              <w:t>80,974.00</w:t>
            </w:r>
          </w:p>
        </w:tc>
        <w:tc>
          <w:tcPr>
            <w:tcW w:w="1170" w:type="dxa"/>
            <w:tcBorders>
              <w:top w:val="nil"/>
              <w:left w:val="nil"/>
              <w:bottom w:val="single" w:sz="4" w:space="0" w:color="auto"/>
              <w:right w:val="single" w:sz="4" w:space="0" w:color="auto"/>
            </w:tcBorders>
            <w:vAlign w:val="center"/>
            <w:hideMark/>
          </w:tcPr>
          <w:p w:rsidR="00EA5076" w:rsidRPr="00DD2920" w:rsidP="005743D0" w14:paraId="3AF08E42" w14:textId="6259B582">
            <w:pPr>
              <w:widowControl/>
              <w:overflowPunct/>
              <w:autoSpaceDE/>
              <w:autoSpaceDN/>
              <w:adjustRightInd/>
              <w:jc w:val="right"/>
              <w:textAlignment w:val="auto"/>
              <w:rPr>
                <w:i/>
                <w:iCs/>
                <w:sz w:val="18"/>
                <w:szCs w:val="18"/>
              </w:rPr>
            </w:pPr>
            <w:r w:rsidRPr="00DD2920">
              <w:rPr>
                <w:i/>
                <w:iCs/>
                <w:sz w:val="18"/>
                <w:szCs w:val="18"/>
              </w:rPr>
              <w:t>74,534.00</w:t>
            </w:r>
          </w:p>
        </w:tc>
        <w:tc>
          <w:tcPr>
            <w:tcW w:w="1363" w:type="dxa"/>
            <w:tcBorders>
              <w:top w:val="nil"/>
              <w:left w:val="nil"/>
              <w:bottom w:val="single" w:sz="4" w:space="0" w:color="auto"/>
              <w:right w:val="single" w:sz="4" w:space="0" w:color="auto"/>
            </w:tcBorders>
            <w:vAlign w:val="center"/>
          </w:tcPr>
          <w:p w:rsidR="00EA5076" w:rsidRPr="00AE2B3F" w:rsidP="005743D0" w14:paraId="398E3EB0" w14:textId="215AA41B">
            <w:pPr>
              <w:widowControl/>
              <w:overflowPunct/>
              <w:autoSpaceDE/>
              <w:autoSpaceDN/>
              <w:adjustRightInd/>
              <w:jc w:val="right"/>
              <w:textAlignment w:val="auto"/>
              <w:rPr>
                <w:sz w:val="18"/>
                <w:szCs w:val="18"/>
              </w:rPr>
            </w:pPr>
            <w:r w:rsidRPr="005743D0">
              <w:rPr>
                <w:sz w:val="18"/>
                <w:szCs w:val="18"/>
              </w:rPr>
              <w:t>220.00</w:t>
            </w:r>
          </w:p>
        </w:tc>
        <w:tc>
          <w:tcPr>
            <w:tcW w:w="1242" w:type="dxa"/>
            <w:tcBorders>
              <w:top w:val="nil"/>
              <w:left w:val="nil"/>
              <w:bottom w:val="single" w:sz="4" w:space="0" w:color="auto"/>
              <w:right w:val="single" w:sz="4" w:space="0" w:color="auto"/>
            </w:tcBorders>
            <w:vAlign w:val="center"/>
          </w:tcPr>
          <w:p w:rsidR="00EA5076" w:rsidRPr="00AE2B3F" w:rsidP="005743D0" w14:paraId="2107AF12" w14:textId="0FBA90EB">
            <w:pPr>
              <w:widowControl/>
              <w:overflowPunct/>
              <w:autoSpaceDE/>
              <w:autoSpaceDN/>
              <w:adjustRightInd/>
              <w:jc w:val="right"/>
              <w:textAlignment w:val="auto"/>
              <w:rPr>
                <w:sz w:val="18"/>
                <w:szCs w:val="18"/>
              </w:rPr>
            </w:pPr>
            <w:r w:rsidRPr="005743D0">
              <w:rPr>
                <w:sz w:val="18"/>
                <w:szCs w:val="18"/>
              </w:rPr>
              <w:t>6,220.00</w:t>
            </w:r>
          </w:p>
        </w:tc>
        <w:tc>
          <w:tcPr>
            <w:tcW w:w="1265" w:type="dxa"/>
            <w:tcBorders>
              <w:top w:val="nil"/>
              <w:left w:val="nil"/>
              <w:bottom w:val="single" w:sz="4" w:space="0" w:color="auto"/>
              <w:right w:val="single" w:sz="4" w:space="0" w:color="auto"/>
            </w:tcBorders>
            <w:vAlign w:val="center"/>
          </w:tcPr>
          <w:p w:rsidR="00EA5076" w:rsidRPr="00AE2B3F" w:rsidP="005743D0" w14:paraId="3ED403CE" w14:textId="14D7CC76">
            <w:pPr>
              <w:widowControl/>
              <w:overflowPunct/>
              <w:autoSpaceDE/>
              <w:autoSpaceDN/>
              <w:adjustRightInd/>
              <w:jc w:val="right"/>
              <w:textAlignment w:val="auto"/>
              <w:rPr>
                <w:sz w:val="18"/>
                <w:szCs w:val="18"/>
              </w:rPr>
            </w:pPr>
            <w:r w:rsidRPr="005743D0">
              <w:rPr>
                <w:sz w:val="18"/>
                <w:szCs w:val="18"/>
              </w:rPr>
              <w:t>6,440.00</w:t>
            </w:r>
          </w:p>
        </w:tc>
      </w:tr>
      <w:tr w14:paraId="30EF1B0A" w14:textId="77777777" w:rsidTr="4FE94C9D">
        <w:tblPrEx>
          <w:tblW w:w="14215" w:type="dxa"/>
          <w:tblLayout w:type="fixed"/>
          <w:tblLook w:val="04A0"/>
        </w:tblPrEx>
        <w:trPr>
          <w:trHeight w:val="528"/>
        </w:trPr>
        <w:tc>
          <w:tcPr>
            <w:tcW w:w="1651" w:type="dxa"/>
            <w:tcBorders>
              <w:top w:val="nil"/>
              <w:left w:val="single" w:sz="4" w:space="0" w:color="auto"/>
              <w:bottom w:val="single" w:sz="4" w:space="0" w:color="auto"/>
              <w:right w:val="single" w:sz="4" w:space="0" w:color="auto"/>
            </w:tcBorders>
            <w:vAlign w:val="center"/>
            <w:hideMark/>
          </w:tcPr>
          <w:p w:rsidR="00EA5076" w:rsidRPr="00CD169B" w:rsidP="00EA5076" w14:paraId="0EB29546" w14:textId="389B2314">
            <w:pPr>
              <w:widowControl/>
              <w:overflowPunct/>
              <w:autoSpaceDE/>
              <w:autoSpaceDN/>
              <w:adjustRightInd/>
              <w:textAlignment w:val="auto"/>
              <w:rPr>
                <w:b/>
                <w:bCs/>
                <w:sz w:val="18"/>
                <w:szCs w:val="18"/>
              </w:rPr>
            </w:pPr>
            <w:r w:rsidRPr="00CD169B">
              <w:rPr>
                <w:b/>
                <w:sz w:val="18"/>
                <w:szCs w:val="18"/>
              </w:rPr>
              <w:t>246.12(j)(2)</w:t>
            </w:r>
          </w:p>
        </w:tc>
        <w:tc>
          <w:tcPr>
            <w:tcW w:w="1764" w:type="dxa"/>
            <w:tcBorders>
              <w:top w:val="nil"/>
              <w:left w:val="nil"/>
              <w:bottom w:val="single" w:sz="4" w:space="0" w:color="auto"/>
              <w:right w:val="single" w:sz="4" w:space="0" w:color="auto"/>
            </w:tcBorders>
            <w:vAlign w:val="center"/>
            <w:hideMark/>
          </w:tcPr>
          <w:p w:rsidR="00EA5076" w:rsidRPr="00AE2B3F" w:rsidP="00EA5076" w14:paraId="741555E0" w14:textId="77777777">
            <w:pPr>
              <w:widowControl/>
              <w:overflowPunct/>
              <w:autoSpaceDE/>
              <w:autoSpaceDN/>
              <w:adjustRightInd/>
              <w:textAlignment w:val="auto"/>
              <w:rPr>
                <w:sz w:val="18"/>
                <w:szCs w:val="18"/>
              </w:rPr>
            </w:pPr>
            <w:r w:rsidRPr="00AE2B3F">
              <w:rPr>
                <w:sz w:val="18"/>
                <w:szCs w:val="18"/>
              </w:rPr>
              <w:t>Routine vendor monitoring (onsite)</w:t>
            </w:r>
          </w:p>
        </w:tc>
        <w:tc>
          <w:tcPr>
            <w:tcW w:w="1260" w:type="dxa"/>
            <w:tcBorders>
              <w:top w:val="nil"/>
              <w:left w:val="nil"/>
              <w:bottom w:val="single" w:sz="4" w:space="0" w:color="auto"/>
              <w:right w:val="single" w:sz="4" w:space="0" w:color="auto"/>
            </w:tcBorders>
            <w:vAlign w:val="center"/>
            <w:hideMark/>
          </w:tcPr>
          <w:p w:rsidR="00EA5076" w:rsidRPr="00AE2B3F" w:rsidP="005743D0" w14:paraId="718C5C19" w14:textId="4C7FB23D">
            <w:pPr>
              <w:widowControl/>
              <w:overflowPunct/>
              <w:autoSpaceDE/>
              <w:autoSpaceDN/>
              <w:adjustRightInd/>
              <w:jc w:val="right"/>
              <w:textAlignment w:val="auto"/>
              <w:rPr>
                <w:sz w:val="18"/>
                <w:szCs w:val="18"/>
              </w:rPr>
            </w:pPr>
            <w:r w:rsidRPr="005743D0">
              <w:rPr>
                <w:sz w:val="18"/>
                <w:szCs w:val="18"/>
              </w:rPr>
              <w:t>88.00</w:t>
            </w:r>
          </w:p>
        </w:tc>
        <w:tc>
          <w:tcPr>
            <w:tcW w:w="1170" w:type="dxa"/>
            <w:tcBorders>
              <w:top w:val="nil"/>
              <w:left w:val="nil"/>
              <w:bottom w:val="single" w:sz="4" w:space="0" w:color="auto"/>
              <w:right w:val="single" w:sz="4" w:space="0" w:color="auto"/>
            </w:tcBorders>
            <w:vAlign w:val="center"/>
            <w:hideMark/>
          </w:tcPr>
          <w:p w:rsidR="00EA5076" w:rsidRPr="00AE2B3F" w:rsidP="005743D0" w14:paraId="30B61050" w14:textId="6D12041E">
            <w:pPr>
              <w:widowControl/>
              <w:overflowPunct/>
              <w:autoSpaceDE/>
              <w:autoSpaceDN/>
              <w:adjustRightInd/>
              <w:jc w:val="right"/>
              <w:textAlignment w:val="auto"/>
              <w:rPr>
                <w:sz w:val="18"/>
                <w:szCs w:val="18"/>
              </w:rPr>
            </w:pPr>
            <w:r w:rsidRPr="005743D0">
              <w:rPr>
                <w:sz w:val="18"/>
                <w:szCs w:val="18"/>
              </w:rPr>
              <w:t>22.94</w:t>
            </w:r>
          </w:p>
        </w:tc>
        <w:tc>
          <w:tcPr>
            <w:tcW w:w="1170" w:type="dxa"/>
            <w:tcBorders>
              <w:top w:val="nil"/>
              <w:left w:val="nil"/>
              <w:bottom w:val="single" w:sz="4" w:space="0" w:color="auto"/>
              <w:right w:val="single" w:sz="4" w:space="0" w:color="auto"/>
            </w:tcBorders>
            <w:shd w:val="clear" w:color="auto" w:fill="F2F2F2" w:themeFill="background1" w:themeFillShade="F2"/>
            <w:vAlign w:val="center"/>
            <w:hideMark/>
          </w:tcPr>
          <w:p w:rsidR="00EA5076" w:rsidRPr="00AE2B3F" w:rsidP="005743D0" w14:paraId="539C8FD3" w14:textId="5A86A9DA">
            <w:pPr>
              <w:widowControl/>
              <w:overflowPunct/>
              <w:autoSpaceDE/>
              <w:autoSpaceDN/>
              <w:adjustRightInd/>
              <w:jc w:val="right"/>
              <w:textAlignment w:val="auto"/>
              <w:rPr>
                <w:sz w:val="18"/>
                <w:szCs w:val="18"/>
              </w:rPr>
            </w:pPr>
            <w:r w:rsidRPr="005743D0">
              <w:rPr>
                <w:sz w:val="18"/>
                <w:szCs w:val="18"/>
              </w:rPr>
              <w:t>2,018.85</w:t>
            </w:r>
          </w:p>
        </w:tc>
        <w:tc>
          <w:tcPr>
            <w:tcW w:w="1107" w:type="dxa"/>
            <w:tcBorders>
              <w:top w:val="nil"/>
              <w:left w:val="nil"/>
              <w:bottom w:val="single" w:sz="4" w:space="0" w:color="auto"/>
              <w:right w:val="single" w:sz="4" w:space="0" w:color="auto"/>
            </w:tcBorders>
            <w:vAlign w:val="center"/>
            <w:hideMark/>
          </w:tcPr>
          <w:p w:rsidR="00EA5076" w:rsidRPr="00AE2B3F" w:rsidP="005743D0" w14:paraId="3846656C" w14:textId="23B694C3">
            <w:pPr>
              <w:widowControl/>
              <w:overflowPunct/>
              <w:autoSpaceDE/>
              <w:autoSpaceDN/>
              <w:adjustRightInd/>
              <w:jc w:val="right"/>
              <w:textAlignment w:val="auto"/>
              <w:rPr>
                <w:sz w:val="18"/>
                <w:szCs w:val="18"/>
              </w:rPr>
            </w:pPr>
            <w:r w:rsidRPr="005743D0">
              <w:rPr>
                <w:sz w:val="18"/>
                <w:szCs w:val="18"/>
              </w:rPr>
              <w:t>1.67</w:t>
            </w:r>
          </w:p>
        </w:tc>
        <w:tc>
          <w:tcPr>
            <w:tcW w:w="1053" w:type="dxa"/>
            <w:tcBorders>
              <w:top w:val="nil"/>
              <w:left w:val="nil"/>
              <w:bottom w:val="single" w:sz="4" w:space="0" w:color="auto"/>
              <w:right w:val="single" w:sz="4" w:space="0" w:color="auto"/>
            </w:tcBorders>
            <w:shd w:val="clear" w:color="auto" w:fill="F2F2F2" w:themeFill="background1" w:themeFillShade="F2"/>
            <w:vAlign w:val="center"/>
            <w:hideMark/>
          </w:tcPr>
          <w:p w:rsidR="00EA5076" w:rsidRPr="00AE2B3F" w:rsidP="005743D0" w14:paraId="7FADBCEB" w14:textId="7520AC23">
            <w:pPr>
              <w:widowControl/>
              <w:overflowPunct/>
              <w:autoSpaceDE/>
              <w:autoSpaceDN/>
              <w:adjustRightInd/>
              <w:jc w:val="right"/>
              <w:textAlignment w:val="auto"/>
              <w:rPr>
                <w:sz w:val="18"/>
                <w:szCs w:val="18"/>
              </w:rPr>
            </w:pPr>
            <w:r w:rsidRPr="005743D0">
              <w:rPr>
                <w:sz w:val="18"/>
                <w:szCs w:val="18"/>
              </w:rPr>
              <w:t>3,371.48</w:t>
            </w:r>
          </w:p>
        </w:tc>
        <w:tc>
          <w:tcPr>
            <w:tcW w:w="1170" w:type="dxa"/>
            <w:tcBorders>
              <w:top w:val="nil"/>
              <w:left w:val="nil"/>
              <w:bottom w:val="single" w:sz="4" w:space="0" w:color="auto"/>
              <w:right w:val="single" w:sz="4" w:space="0" w:color="auto"/>
            </w:tcBorders>
            <w:vAlign w:val="center"/>
            <w:hideMark/>
          </w:tcPr>
          <w:p w:rsidR="00EA5076" w:rsidRPr="00DD2920" w:rsidP="005743D0" w14:paraId="473577A9" w14:textId="29102825">
            <w:pPr>
              <w:widowControl/>
              <w:overflowPunct/>
              <w:autoSpaceDE/>
              <w:autoSpaceDN/>
              <w:adjustRightInd/>
              <w:jc w:val="right"/>
              <w:textAlignment w:val="auto"/>
              <w:rPr>
                <w:i/>
                <w:iCs/>
                <w:sz w:val="18"/>
                <w:szCs w:val="18"/>
              </w:rPr>
            </w:pPr>
            <w:r w:rsidRPr="00DD2920">
              <w:rPr>
                <w:i/>
                <w:iCs/>
                <w:sz w:val="18"/>
                <w:szCs w:val="18"/>
              </w:rPr>
              <w:t>2,485.71</w:t>
            </w:r>
          </w:p>
        </w:tc>
        <w:tc>
          <w:tcPr>
            <w:tcW w:w="1363" w:type="dxa"/>
            <w:tcBorders>
              <w:top w:val="nil"/>
              <w:left w:val="nil"/>
              <w:bottom w:val="single" w:sz="4" w:space="0" w:color="auto"/>
              <w:right w:val="single" w:sz="4" w:space="0" w:color="auto"/>
            </w:tcBorders>
            <w:vAlign w:val="center"/>
          </w:tcPr>
          <w:p w:rsidR="00EA5076" w:rsidRPr="00AE2B3F" w:rsidP="005743D0" w14:paraId="693C64A3" w14:textId="6A56C73D">
            <w:pPr>
              <w:widowControl/>
              <w:overflowPunct/>
              <w:autoSpaceDE/>
              <w:autoSpaceDN/>
              <w:adjustRightInd/>
              <w:jc w:val="right"/>
              <w:textAlignment w:val="auto"/>
              <w:rPr>
                <w:sz w:val="18"/>
                <w:szCs w:val="18"/>
              </w:rPr>
            </w:pPr>
            <w:r w:rsidRPr="005743D0">
              <w:rPr>
                <w:sz w:val="18"/>
                <w:szCs w:val="18"/>
              </w:rPr>
              <w:t>0.00</w:t>
            </w:r>
          </w:p>
        </w:tc>
        <w:tc>
          <w:tcPr>
            <w:tcW w:w="1242" w:type="dxa"/>
            <w:tcBorders>
              <w:top w:val="nil"/>
              <w:left w:val="nil"/>
              <w:bottom w:val="single" w:sz="4" w:space="0" w:color="auto"/>
              <w:right w:val="single" w:sz="4" w:space="0" w:color="auto"/>
            </w:tcBorders>
            <w:vAlign w:val="center"/>
          </w:tcPr>
          <w:p w:rsidR="00EA5076" w:rsidRPr="00AE2B3F" w:rsidP="005743D0" w14:paraId="4CED9DAD" w14:textId="283DD843">
            <w:pPr>
              <w:widowControl/>
              <w:overflowPunct/>
              <w:autoSpaceDE/>
              <w:autoSpaceDN/>
              <w:adjustRightInd/>
              <w:jc w:val="right"/>
              <w:textAlignment w:val="auto"/>
              <w:rPr>
                <w:sz w:val="18"/>
                <w:szCs w:val="18"/>
              </w:rPr>
            </w:pPr>
            <w:r w:rsidRPr="005743D0">
              <w:rPr>
                <w:sz w:val="18"/>
                <w:szCs w:val="18"/>
              </w:rPr>
              <w:t>885.77</w:t>
            </w:r>
          </w:p>
        </w:tc>
        <w:tc>
          <w:tcPr>
            <w:tcW w:w="1265" w:type="dxa"/>
            <w:tcBorders>
              <w:top w:val="nil"/>
              <w:left w:val="nil"/>
              <w:bottom w:val="single" w:sz="4" w:space="0" w:color="auto"/>
              <w:right w:val="single" w:sz="4" w:space="0" w:color="auto"/>
            </w:tcBorders>
            <w:vAlign w:val="center"/>
          </w:tcPr>
          <w:p w:rsidR="00EA5076" w:rsidRPr="00AE2B3F" w:rsidP="005743D0" w14:paraId="52C6D53B" w14:textId="1B770AA4">
            <w:pPr>
              <w:widowControl/>
              <w:overflowPunct/>
              <w:autoSpaceDE/>
              <w:autoSpaceDN/>
              <w:adjustRightInd/>
              <w:jc w:val="right"/>
              <w:textAlignment w:val="auto"/>
              <w:rPr>
                <w:sz w:val="18"/>
                <w:szCs w:val="18"/>
              </w:rPr>
            </w:pPr>
            <w:r w:rsidRPr="005743D0">
              <w:rPr>
                <w:sz w:val="18"/>
                <w:szCs w:val="18"/>
              </w:rPr>
              <w:t>885.77</w:t>
            </w:r>
          </w:p>
        </w:tc>
      </w:tr>
      <w:tr w14:paraId="3FB231ED" w14:textId="77777777" w:rsidTr="4FE94C9D">
        <w:tblPrEx>
          <w:tblW w:w="14215" w:type="dxa"/>
          <w:tblLayout w:type="fixed"/>
          <w:tblLook w:val="04A0"/>
        </w:tblPrEx>
        <w:trPr>
          <w:trHeight w:val="528"/>
        </w:trPr>
        <w:tc>
          <w:tcPr>
            <w:tcW w:w="1651" w:type="dxa"/>
            <w:tcBorders>
              <w:top w:val="nil"/>
              <w:left w:val="single" w:sz="4" w:space="0" w:color="auto"/>
              <w:bottom w:val="single" w:sz="4" w:space="0" w:color="auto"/>
              <w:right w:val="single" w:sz="4" w:space="0" w:color="auto"/>
            </w:tcBorders>
            <w:vAlign w:val="center"/>
            <w:hideMark/>
          </w:tcPr>
          <w:p w:rsidR="005743D0" w:rsidRPr="00CD169B" w:rsidP="005743D0" w14:paraId="5FED29F8" w14:textId="6CD08F82">
            <w:pPr>
              <w:widowControl/>
              <w:overflowPunct/>
              <w:autoSpaceDE/>
              <w:autoSpaceDN/>
              <w:adjustRightInd/>
              <w:textAlignment w:val="auto"/>
              <w:rPr>
                <w:b/>
                <w:bCs/>
                <w:sz w:val="18"/>
                <w:szCs w:val="18"/>
              </w:rPr>
            </w:pPr>
            <w:r w:rsidRPr="00CD169B">
              <w:rPr>
                <w:b/>
                <w:sz w:val="18"/>
                <w:szCs w:val="18"/>
              </w:rPr>
              <w:t>246.12(j)(2)</w:t>
            </w:r>
          </w:p>
        </w:tc>
        <w:tc>
          <w:tcPr>
            <w:tcW w:w="1764" w:type="dxa"/>
            <w:tcBorders>
              <w:top w:val="nil"/>
              <w:left w:val="nil"/>
              <w:bottom w:val="single" w:sz="4" w:space="0" w:color="auto"/>
              <w:right w:val="single" w:sz="4" w:space="0" w:color="auto"/>
            </w:tcBorders>
            <w:vAlign w:val="center"/>
            <w:hideMark/>
          </w:tcPr>
          <w:p w:rsidR="005743D0" w:rsidRPr="00AE2B3F" w:rsidP="005743D0" w14:paraId="286FF90B" w14:textId="77777777">
            <w:pPr>
              <w:widowControl/>
              <w:overflowPunct/>
              <w:autoSpaceDE/>
              <w:autoSpaceDN/>
              <w:adjustRightInd/>
              <w:textAlignment w:val="auto"/>
              <w:rPr>
                <w:sz w:val="18"/>
                <w:szCs w:val="18"/>
              </w:rPr>
            </w:pPr>
            <w:r w:rsidRPr="00AE2B3F">
              <w:rPr>
                <w:sz w:val="18"/>
                <w:szCs w:val="18"/>
              </w:rPr>
              <w:t>Routine vendor monitoring (virtual)</w:t>
            </w:r>
          </w:p>
        </w:tc>
        <w:tc>
          <w:tcPr>
            <w:tcW w:w="1260" w:type="dxa"/>
            <w:tcBorders>
              <w:top w:val="nil"/>
              <w:left w:val="nil"/>
              <w:bottom w:val="single" w:sz="4" w:space="0" w:color="auto"/>
              <w:right w:val="single" w:sz="4" w:space="0" w:color="auto"/>
            </w:tcBorders>
            <w:vAlign w:val="center"/>
            <w:hideMark/>
          </w:tcPr>
          <w:p w:rsidR="005743D0" w:rsidRPr="00AE2B3F" w:rsidP="005743D0" w14:paraId="6AB1EEB0" w14:textId="1E6348FA">
            <w:pPr>
              <w:widowControl/>
              <w:overflowPunct/>
              <w:autoSpaceDE/>
              <w:autoSpaceDN/>
              <w:adjustRightInd/>
              <w:jc w:val="right"/>
              <w:textAlignment w:val="auto"/>
              <w:rPr>
                <w:sz w:val="18"/>
                <w:szCs w:val="18"/>
              </w:rPr>
            </w:pPr>
            <w:r w:rsidRPr="005743D0">
              <w:rPr>
                <w:sz w:val="18"/>
                <w:szCs w:val="18"/>
              </w:rPr>
              <w:t>44.00</w:t>
            </w:r>
          </w:p>
        </w:tc>
        <w:tc>
          <w:tcPr>
            <w:tcW w:w="1170" w:type="dxa"/>
            <w:tcBorders>
              <w:top w:val="nil"/>
              <w:left w:val="nil"/>
              <w:bottom w:val="single" w:sz="4" w:space="0" w:color="auto"/>
              <w:right w:val="single" w:sz="4" w:space="0" w:color="auto"/>
            </w:tcBorders>
            <w:vAlign w:val="center"/>
            <w:hideMark/>
          </w:tcPr>
          <w:p w:rsidR="005743D0" w:rsidRPr="00AE2B3F" w:rsidP="005743D0" w14:paraId="471ED205" w14:textId="4ADDFC72">
            <w:pPr>
              <w:widowControl/>
              <w:overflowPunct/>
              <w:autoSpaceDE/>
              <w:autoSpaceDN/>
              <w:adjustRightInd/>
              <w:jc w:val="right"/>
              <w:textAlignment w:val="auto"/>
              <w:rPr>
                <w:sz w:val="18"/>
                <w:szCs w:val="18"/>
              </w:rPr>
            </w:pPr>
            <w:r w:rsidRPr="005743D0">
              <w:rPr>
                <w:sz w:val="18"/>
                <w:szCs w:val="18"/>
              </w:rPr>
              <w:t>0.13</w:t>
            </w:r>
          </w:p>
        </w:tc>
        <w:tc>
          <w:tcPr>
            <w:tcW w:w="1170" w:type="dxa"/>
            <w:tcBorders>
              <w:top w:val="nil"/>
              <w:left w:val="nil"/>
              <w:bottom w:val="single" w:sz="4" w:space="0" w:color="auto"/>
              <w:right w:val="single" w:sz="4" w:space="0" w:color="auto"/>
            </w:tcBorders>
            <w:shd w:val="clear" w:color="auto" w:fill="F2F2F2" w:themeFill="background1" w:themeFillShade="F2"/>
            <w:vAlign w:val="center"/>
            <w:hideMark/>
          </w:tcPr>
          <w:p w:rsidR="005743D0" w:rsidRPr="00AE2B3F" w:rsidP="005743D0" w14:paraId="046BDBDE" w14:textId="32334B46">
            <w:pPr>
              <w:widowControl/>
              <w:overflowPunct/>
              <w:autoSpaceDE/>
              <w:autoSpaceDN/>
              <w:adjustRightInd/>
              <w:jc w:val="right"/>
              <w:textAlignment w:val="auto"/>
              <w:rPr>
                <w:sz w:val="18"/>
                <w:szCs w:val="18"/>
              </w:rPr>
            </w:pPr>
            <w:r w:rsidRPr="005743D0">
              <w:rPr>
                <w:sz w:val="18"/>
                <w:szCs w:val="18"/>
              </w:rPr>
              <w:t>5.50</w:t>
            </w:r>
          </w:p>
        </w:tc>
        <w:tc>
          <w:tcPr>
            <w:tcW w:w="1107" w:type="dxa"/>
            <w:tcBorders>
              <w:top w:val="nil"/>
              <w:left w:val="nil"/>
              <w:bottom w:val="single" w:sz="4" w:space="0" w:color="auto"/>
              <w:right w:val="single" w:sz="4" w:space="0" w:color="auto"/>
            </w:tcBorders>
            <w:vAlign w:val="center"/>
            <w:hideMark/>
          </w:tcPr>
          <w:p w:rsidR="005743D0" w:rsidRPr="00AE2B3F" w:rsidP="005743D0" w14:paraId="38DE8327" w14:textId="3C105B47">
            <w:pPr>
              <w:widowControl/>
              <w:overflowPunct/>
              <w:autoSpaceDE/>
              <w:autoSpaceDN/>
              <w:adjustRightInd/>
              <w:jc w:val="right"/>
              <w:textAlignment w:val="auto"/>
              <w:rPr>
                <w:sz w:val="18"/>
                <w:szCs w:val="18"/>
              </w:rPr>
            </w:pPr>
            <w:r w:rsidRPr="005743D0">
              <w:rPr>
                <w:sz w:val="18"/>
                <w:szCs w:val="18"/>
              </w:rPr>
              <w:t>1.17</w:t>
            </w:r>
          </w:p>
        </w:tc>
        <w:tc>
          <w:tcPr>
            <w:tcW w:w="1053" w:type="dxa"/>
            <w:tcBorders>
              <w:top w:val="nil"/>
              <w:left w:val="nil"/>
              <w:bottom w:val="single" w:sz="4" w:space="0" w:color="auto"/>
              <w:right w:val="single" w:sz="4" w:space="0" w:color="auto"/>
            </w:tcBorders>
            <w:shd w:val="clear" w:color="auto" w:fill="F2F2F2" w:themeFill="background1" w:themeFillShade="F2"/>
            <w:vAlign w:val="center"/>
            <w:hideMark/>
          </w:tcPr>
          <w:p w:rsidR="005743D0" w:rsidRPr="00AE2B3F" w:rsidP="005743D0" w14:paraId="4B5A4F27" w14:textId="352F6464">
            <w:pPr>
              <w:widowControl/>
              <w:overflowPunct/>
              <w:autoSpaceDE/>
              <w:autoSpaceDN/>
              <w:adjustRightInd/>
              <w:jc w:val="right"/>
              <w:textAlignment w:val="auto"/>
              <w:rPr>
                <w:sz w:val="18"/>
                <w:szCs w:val="18"/>
              </w:rPr>
            </w:pPr>
            <w:r w:rsidRPr="005743D0">
              <w:rPr>
                <w:sz w:val="18"/>
                <w:szCs w:val="18"/>
              </w:rPr>
              <w:t>6.44</w:t>
            </w:r>
          </w:p>
        </w:tc>
        <w:tc>
          <w:tcPr>
            <w:tcW w:w="1170" w:type="dxa"/>
            <w:tcBorders>
              <w:top w:val="nil"/>
              <w:left w:val="nil"/>
              <w:bottom w:val="single" w:sz="4" w:space="0" w:color="auto"/>
              <w:right w:val="single" w:sz="4" w:space="0" w:color="auto"/>
            </w:tcBorders>
            <w:vAlign w:val="center"/>
            <w:hideMark/>
          </w:tcPr>
          <w:p w:rsidR="005743D0" w:rsidRPr="00DD2920" w:rsidP="005743D0" w14:paraId="629B58CB" w14:textId="76B0A5DA">
            <w:pPr>
              <w:widowControl/>
              <w:overflowPunct/>
              <w:autoSpaceDE/>
              <w:autoSpaceDN/>
              <w:adjustRightInd/>
              <w:jc w:val="right"/>
              <w:textAlignment w:val="auto"/>
              <w:rPr>
                <w:i/>
                <w:iCs/>
                <w:sz w:val="18"/>
                <w:szCs w:val="18"/>
              </w:rPr>
            </w:pPr>
            <w:r w:rsidRPr="00DD2920">
              <w:rPr>
                <w:i/>
                <w:iCs/>
                <w:sz w:val="18"/>
                <w:szCs w:val="18"/>
              </w:rPr>
              <w:t>0.00</w:t>
            </w:r>
          </w:p>
        </w:tc>
        <w:tc>
          <w:tcPr>
            <w:tcW w:w="1363" w:type="dxa"/>
            <w:tcBorders>
              <w:top w:val="nil"/>
              <w:left w:val="nil"/>
              <w:bottom w:val="single" w:sz="4" w:space="0" w:color="auto"/>
              <w:right w:val="single" w:sz="4" w:space="0" w:color="auto"/>
            </w:tcBorders>
            <w:vAlign w:val="center"/>
          </w:tcPr>
          <w:p w:rsidR="005743D0" w:rsidRPr="00AE2B3F" w:rsidP="005743D0" w14:paraId="7CAA447A" w14:textId="6CB415F4">
            <w:pPr>
              <w:widowControl/>
              <w:overflowPunct/>
              <w:autoSpaceDE/>
              <w:autoSpaceDN/>
              <w:adjustRightInd/>
              <w:jc w:val="right"/>
              <w:textAlignment w:val="auto"/>
              <w:rPr>
                <w:sz w:val="18"/>
                <w:szCs w:val="18"/>
              </w:rPr>
            </w:pPr>
            <w:r w:rsidRPr="005743D0">
              <w:rPr>
                <w:sz w:val="18"/>
                <w:szCs w:val="18"/>
              </w:rPr>
              <w:t>6.44</w:t>
            </w:r>
          </w:p>
        </w:tc>
        <w:tc>
          <w:tcPr>
            <w:tcW w:w="1242" w:type="dxa"/>
            <w:tcBorders>
              <w:top w:val="nil"/>
              <w:left w:val="nil"/>
              <w:bottom w:val="single" w:sz="4" w:space="0" w:color="auto"/>
              <w:right w:val="single" w:sz="4" w:space="0" w:color="auto"/>
            </w:tcBorders>
            <w:vAlign w:val="center"/>
          </w:tcPr>
          <w:p w:rsidR="005743D0" w:rsidRPr="00AE2B3F" w:rsidP="005743D0" w14:paraId="2B11E945" w14:textId="6EE4D296">
            <w:pPr>
              <w:widowControl/>
              <w:overflowPunct/>
              <w:autoSpaceDE/>
              <w:autoSpaceDN/>
              <w:adjustRightInd/>
              <w:jc w:val="right"/>
              <w:textAlignment w:val="auto"/>
              <w:rPr>
                <w:sz w:val="18"/>
                <w:szCs w:val="18"/>
              </w:rPr>
            </w:pPr>
            <w:r w:rsidRPr="005743D0">
              <w:rPr>
                <w:sz w:val="18"/>
                <w:szCs w:val="18"/>
              </w:rPr>
              <w:t>0.00</w:t>
            </w:r>
          </w:p>
        </w:tc>
        <w:tc>
          <w:tcPr>
            <w:tcW w:w="1265" w:type="dxa"/>
            <w:tcBorders>
              <w:top w:val="nil"/>
              <w:left w:val="nil"/>
              <w:bottom w:val="single" w:sz="4" w:space="0" w:color="auto"/>
              <w:right w:val="single" w:sz="4" w:space="0" w:color="auto"/>
            </w:tcBorders>
            <w:vAlign w:val="center"/>
          </w:tcPr>
          <w:p w:rsidR="005743D0" w:rsidRPr="00AE2B3F" w:rsidP="005743D0" w14:paraId="692EB3BC" w14:textId="344BCE27">
            <w:pPr>
              <w:widowControl/>
              <w:overflowPunct/>
              <w:autoSpaceDE/>
              <w:autoSpaceDN/>
              <w:adjustRightInd/>
              <w:jc w:val="right"/>
              <w:textAlignment w:val="auto"/>
              <w:rPr>
                <w:sz w:val="18"/>
                <w:szCs w:val="18"/>
              </w:rPr>
            </w:pPr>
            <w:r w:rsidRPr="005743D0">
              <w:rPr>
                <w:sz w:val="18"/>
                <w:szCs w:val="18"/>
              </w:rPr>
              <w:t>6.44</w:t>
            </w:r>
          </w:p>
        </w:tc>
      </w:tr>
      <w:tr w14:paraId="4F31FF99" w14:textId="77777777" w:rsidTr="4FE94C9D">
        <w:tblPrEx>
          <w:tblW w:w="14215" w:type="dxa"/>
          <w:tblLayout w:type="fixed"/>
          <w:tblLook w:val="04A0"/>
        </w:tblPrEx>
        <w:trPr>
          <w:trHeight w:val="600"/>
        </w:trPr>
        <w:tc>
          <w:tcPr>
            <w:tcW w:w="1651" w:type="dxa"/>
            <w:tcBorders>
              <w:top w:val="nil"/>
              <w:left w:val="single" w:sz="4" w:space="0" w:color="auto"/>
              <w:bottom w:val="single" w:sz="4" w:space="0" w:color="auto"/>
              <w:right w:val="single" w:sz="4" w:space="0" w:color="auto"/>
            </w:tcBorders>
            <w:vAlign w:val="center"/>
            <w:hideMark/>
          </w:tcPr>
          <w:p w:rsidR="005743D0" w:rsidRPr="00AE2B3F" w:rsidP="005743D0" w14:paraId="323229E4" w14:textId="77777777">
            <w:pPr>
              <w:widowControl/>
              <w:overflowPunct/>
              <w:autoSpaceDE/>
              <w:autoSpaceDN/>
              <w:adjustRightInd/>
              <w:textAlignment w:val="auto"/>
              <w:rPr>
                <w:b/>
                <w:bCs/>
                <w:sz w:val="18"/>
                <w:szCs w:val="18"/>
              </w:rPr>
            </w:pPr>
            <w:r w:rsidRPr="00AE2B3F">
              <w:rPr>
                <w:b/>
                <w:bCs/>
                <w:sz w:val="18"/>
                <w:szCs w:val="18"/>
              </w:rPr>
              <w:t>246.12(j)(4),(6)</w:t>
            </w:r>
          </w:p>
        </w:tc>
        <w:tc>
          <w:tcPr>
            <w:tcW w:w="1764" w:type="dxa"/>
            <w:tcBorders>
              <w:top w:val="nil"/>
              <w:left w:val="nil"/>
              <w:bottom w:val="single" w:sz="4" w:space="0" w:color="auto"/>
              <w:right w:val="single" w:sz="4" w:space="0" w:color="auto"/>
            </w:tcBorders>
            <w:vAlign w:val="center"/>
            <w:hideMark/>
          </w:tcPr>
          <w:p w:rsidR="005743D0" w:rsidRPr="00AE2B3F" w:rsidP="005743D0" w14:paraId="497DCCAB" w14:textId="77777777">
            <w:pPr>
              <w:widowControl/>
              <w:overflowPunct/>
              <w:autoSpaceDE/>
              <w:autoSpaceDN/>
              <w:adjustRightInd/>
              <w:textAlignment w:val="auto"/>
              <w:rPr>
                <w:sz w:val="18"/>
                <w:szCs w:val="18"/>
              </w:rPr>
            </w:pPr>
            <w:r w:rsidRPr="00AE2B3F">
              <w:rPr>
                <w:sz w:val="18"/>
                <w:szCs w:val="18"/>
              </w:rPr>
              <w:t>Vendor compliance investigations (onsite)</w:t>
            </w:r>
          </w:p>
        </w:tc>
        <w:tc>
          <w:tcPr>
            <w:tcW w:w="1260" w:type="dxa"/>
            <w:tcBorders>
              <w:top w:val="nil"/>
              <w:left w:val="nil"/>
              <w:bottom w:val="single" w:sz="4" w:space="0" w:color="auto"/>
              <w:right w:val="single" w:sz="4" w:space="0" w:color="auto"/>
            </w:tcBorders>
            <w:vAlign w:val="center"/>
            <w:hideMark/>
          </w:tcPr>
          <w:p w:rsidR="005743D0" w:rsidRPr="00AE2B3F" w:rsidP="005743D0" w14:paraId="7A21A8D7" w14:textId="27C541F5">
            <w:pPr>
              <w:widowControl/>
              <w:overflowPunct/>
              <w:autoSpaceDE/>
              <w:autoSpaceDN/>
              <w:adjustRightInd/>
              <w:jc w:val="right"/>
              <w:textAlignment w:val="auto"/>
              <w:rPr>
                <w:sz w:val="18"/>
                <w:szCs w:val="18"/>
              </w:rPr>
            </w:pPr>
            <w:r w:rsidRPr="005743D0">
              <w:rPr>
                <w:sz w:val="18"/>
                <w:szCs w:val="18"/>
              </w:rPr>
              <w:t>88.00</w:t>
            </w:r>
          </w:p>
        </w:tc>
        <w:tc>
          <w:tcPr>
            <w:tcW w:w="1170" w:type="dxa"/>
            <w:tcBorders>
              <w:top w:val="nil"/>
              <w:left w:val="nil"/>
              <w:bottom w:val="single" w:sz="4" w:space="0" w:color="auto"/>
              <w:right w:val="single" w:sz="4" w:space="0" w:color="auto"/>
            </w:tcBorders>
            <w:vAlign w:val="center"/>
            <w:hideMark/>
          </w:tcPr>
          <w:p w:rsidR="005743D0" w:rsidRPr="00AE2B3F" w:rsidP="005743D0" w14:paraId="78572F72" w14:textId="76FACD8E">
            <w:pPr>
              <w:widowControl/>
              <w:overflowPunct/>
              <w:autoSpaceDE/>
              <w:autoSpaceDN/>
              <w:adjustRightInd/>
              <w:jc w:val="right"/>
              <w:textAlignment w:val="auto"/>
              <w:rPr>
                <w:sz w:val="18"/>
                <w:szCs w:val="18"/>
              </w:rPr>
            </w:pPr>
            <w:r w:rsidRPr="005743D0">
              <w:rPr>
                <w:sz w:val="18"/>
                <w:szCs w:val="18"/>
              </w:rPr>
              <w:t>22.94</w:t>
            </w:r>
          </w:p>
        </w:tc>
        <w:tc>
          <w:tcPr>
            <w:tcW w:w="1170" w:type="dxa"/>
            <w:tcBorders>
              <w:top w:val="nil"/>
              <w:left w:val="nil"/>
              <w:bottom w:val="single" w:sz="4" w:space="0" w:color="auto"/>
              <w:right w:val="single" w:sz="4" w:space="0" w:color="auto"/>
            </w:tcBorders>
            <w:shd w:val="clear" w:color="auto" w:fill="F2F2F2" w:themeFill="background1" w:themeFillShade="F2"/>
            <w:vAlign w:val="center"/>
            <w:hideMark/>
          </w:tcPr>
          <w:p w:rsidR="005743D0" w:rsidRPr="00AE2B3F" w:rsidP="005743D0" w14:paraId="43C4259F" w14:textId="1490ADA9">
            <w:pPr>
              <w:widowControl/>
              <w:overflowPunct/>
              <w:autoSpaceDE/>
              <w:autoSpaceDN/>
              <w:adjustRightInd/>
              <w:jc w:val="right"/>
              <w:textAlignment w:val="auto"/>
              <w:rPr>
                <w:sz w:val="18"/>
                <w:szCs w:val="18"/>
              </w:rPr>
            </w:pPr>
            <w:r w:rsidRPr="005743D0">
              <w:rPr>
                <w:sz w:val="18"/>
                <w:szCs w:val="18"/>
              </w:rPr>
              <w:t>2,018.85</w:t>
            </w:r>
          </w:p>
        </w:tc>
        <w:tc>
          <w:tcPr>
            <w:tcW w:w="1107" w:type="dxa"/>
            <w:tcBorders>
              <w:top w:val="nil"/>
              <w:left w:val="nil"/>
              <w:bottom w:val="single" w:sz="4" w:space="0" w:color="auto"/>
              <w:right w:val="single" w:sz="4" w:space="0" w:color="auto"/>
            </w:tcBorders>
            <w:vAlign w:val="center"/>
            <w:hideMark/>
          </w:tcPr>
          <w:p w:rsidR="005743D0" w:rsidRPr="00AE2B3F" w:rsidP="005743D0" w14:paraId="56E40C51" w14:textId="61A3C57F">
            <w:pPr>
              <w:widowControl/>
              <w:overflowPunct/>
              <w:autoSpaceDE/>
              <w:autoSpaceDN/>
              <w:adjustRightInd/>
              <w:jc w:val="right"/>
              <w:textAlignment w:val="auto"/>
              <w:rPr>
                <w:sz w:val="18"/>
                <w:szCs w:val="18"/>
              </w:rPr>
            </w:pPr>
            <w:r w:rsidRPr="005743D0">
              <w:rPr>
                <w:sz w:val="18"/>
                <w:szCs w:val="18"/>
              </w:rPr>
              <w:t>5.00</w:t>
            </w:r>
          </w:p>
        </w:tc>
        <w:tc>
          <w:tcPr>
            <w:tcW w:w="1053" w:type="dxa"/>
            <w:tcBorders>
              <w:top w:val="nil"/>
              <w:left w:val="nil"/>
              <w:bottom w:val="single" w:sz="4" w:space="0" w:color="auto"/>
              <w:right w:val="single" w:sz="4" w:space="0" w:color="auto"/>
            </w:tcBorders>
            <w:shd w:val="clear" w:color="auto" w:fill="F2F2F2" w:themeFill="background1" w:themeFillShade="F2"/>
            <w:vAlign w:val="center"/>
            <w:hideMark/>
          </w:tcPr>
          <w:p w:rsidR="005743D0" w:rsidRPr="00AE2B3F" w:rsidP="005743D0" w14:paraId="05B96B2D" w14:textId="1F19A32C">
            <w:pPr>
              <w:widowControl/>
              <w:overflowPunct/>
              <w:autoSpaceDE/>
              <w:autoSpaceDN/>
              <w:adjustRightInd/>
              <w:jc w:val="right"/>
              <w:textAlignment w:val="auto"/>
              <w:rPr>
                <w:sz w:val="18"/>
                <w:szCs w:val="18"/>
              </w:rPr>
            </w:pPr>
            <w:r w:rsidRPr="005743D0">
              <w:rPr>
                <w:sz w:val="18"/>
                <w:szCs w:val="18"/>
              </w:rPr>
              <w:t>10,094.25</w:t>
            </w:r>
          </w:p>
        </w:tc>
        <w:tc>
          <w:tcPr>
            <w:tcW w:w="1170" w:type="dxa"/>
            <w:tcBorders>
              <w:top w:val="nil"/>
              <w:left w:val="nil"/>
              <w:bottom w:val="single" w:sz="4" w:space="0" w:color="auto"/>
              <w:right w:val="single" w:sz="4" w:space="0" w:color="auto"/>
            </w:tcBorders>
            <w:vAlign w:val="center"/>
            <w:hideMark/>
          </w:tcPr>
          <w:p w:rsidR="005743D0" w:rsidRPr="00DD2920" w:rsidP="005743D0" w14:paraId="35515878" w14:textId="6A53F233">
            <w:pPr>
              <w:widowControl/>
              <w:overflowPunct/>
              <w:autoSpaceDE/>
              <w:autoSpaceDN/>
              <w:adjustRightInd/>
              <w:jc w:val="right"/>
              <w:textAlignment w:val="auto"/>
              <w:rPr>
                <w:i/>
                <w:iCs/>
                <w:sz w:val="18"/>
                <w:szCs w:val="18"/>
              </w:rPr>
            </w:pPr>
            <w:r w:rsidRPr="00DD2920">
              <w:rPr>
                <w:i/>
                <w:iCs/>
                <w:sz w:val="18"/>
                <w:szCs w:val="18"/>
              </w:rPr>
              <w:t>4,349.06</w:t>
            </w:r>
          </w:p>
        </w:tc>
        <w:tc>
          <w:tcPr>
            <w:tcW w:w="1363" w:type="dxa"/>
            <w:tcBorders>
              <w:top w:val="nil"/>
              <w:left w:val="nil"/>
              <w:bottom w:val="single" w:sz="4" w:space="0" w:color="auto"/>
              <w:right w:val="single" w:sz="4" w:space="0" w:color="auto"/>
            </w:tcBorders>
            <w:vAlign w:val="center"/>
          </w:tcPr>
          <w:p w:rsidR="005743D0" w:rsidRPr="00AE2B3F" w:rsidP="005743D0" w14:paraId="0CBBB323" w14:textId="7D1504DA">
            <w:pPr>
              <w:widowControl/>
              <w:overflowPunct/>
              <w:autoSpaceDE/>
              <w:autoSpaceDN/>
              <w:adjustRightInd/>
              <w:jc w:val="right"/>
              <w:textAlignment w:val="auto"/>
              <w:rPr>
                <w:sz w:val="18"/>
                <w:szCs w:val="18"/>
              </w:rPr>
            </w:pPr>
            <w:r w:rsidRPr="005743D0">
              <w:rPr>
                <w:sz w:val="18"/>
                <w:szCs w:val="18"/>
              </w:rPr>
              <w:t>0.00</w:t>
            </w:r>
          </w:p>
        </w:tc>
        <w:tc>
          <w:tcPr>
            <w:tcW w:w="1242" w:type="dxa"/>
            <w:tcBorders>
              <w:top w:val="nil"/>
              <w:left w:val="nil"/>
              <w:bottom w:val="single" w:sz="4" w:space="0" w:color="auto"/>
              <w:right w:val="single" w:sz="4" w:space="0" w:color="auto"/>
            </w:tcBorders>
            <w:vAlign w:val="center"/>
          </w:tcPr>
          <w:p w:rsidR="005743D0" w:rsidRPr="00AE2B3F" w:rsidP="005743D0" w14:paraId="17D3FA64" w14:textId="063CE3EB">
            <w:pPr>
              <w:widowControl/>
              <w:overflowPunct/>
              <w:autoSpaceDE/>
              <w:autoSpaceDN/>
              <w:adjustRightInd/>
              <w:jc w:val="right"/>
              <w:textAlignment w:val="auto"/>
              <w:rPr>
                <w:sz w:val="18"/>
                <w:szCs w:val="18"/>
              </w:rPr>
            </w:pPr>
            <w:r w:rsidRPr="005743D0">
              <w:rPr>
                <w:sz w:val="18"/>
                <w:szCs w:val="18"/>
              </w:rPr>
              <w:t>5,745.19</w:t>
            </w:r>
          </w:p>
        </w:tc>
        <w:tc>
          <w:tcPr>
            <w:tcW w:w="1265" w:type="dxa"/>
            <w:tcBorders>
              <w:top w:val="nil"/>
              <w:left w:val="nil"/>
              <w:bottom w:val="single" w:sz="4" w:space="0" w:color="auto"/>
              <w:right w:val="single" w:sz="4" w:space="0" w:color="auto"/>
            </w:tcBorders>
            <w:vAlign w:val="center"/>
          </w:tcPr>
          <w:p w:rsidR="005743D0" w:rsidRPr="00AE2B3F" w:rsidP="005743D0" w14:paraId="3A399C67" w14:textId="7AD32722">
            <w:pPr>
              <w:widowControl/>
              <w:overflowPunct/>
              <w:autoSpaceDE/>
              <w:autoSpaceDN/>
              <w:adjustRightInd/>
              <w:jc w:val="right"/>
              <w:textAlignment w:val="auto"/>
              <w:rPr>
                <w:sz w:val="18"/>
                <w:szCs w:val="18"/>
              </w:rPr>
            </w:pPr>
            <w:r w:rsidRPr="005743D0">
              <w:rPr>
                <w:sz w:val="18"/>
                <w:szCs w:val="18"/>
              </w:rPr>
              <w:t>5,745.19</w:t>
            </w:r>
          </w:p>
        </w:tc>
      </w:tr>
      <w:tr w14:paraId="0FBF5340" w14:textId="77777777" w:rsidTr="4FE94C9D">
        <w:tblPrEx>
          <w:tblW w:w="14215" w:type="dxa"/>
          <w:tblLayout w:type="fixed"/>
          <w:tblLook w:val="04A0"/>
        </w:tblPrEx>
        <w:trPr>
          <w:trHeight w:val="600"/>
        </w:trPr>
        <w:tc>
          <w:tcPr>
            <w:tcW w:w="1651" w:type="dxa"/>
            <w:tcBorders>
              <w:top w:val="nil"/>
              <w:left w:val="single" w:sz="4" w:space="0" w:color="auto"/>
              <w:bottom w:val="single" w:sz="4" w:space="0" w:color="auto"/>
              <w:right w:val="single" w:sz="4" w:space="0" w:color="auto"/>
            </w:tcBorders>
            <w:vAlign w:val="center"/>
            <w:hideMark/>
          </w:tcPr>
          <w:p w:rsidR="005743D0" w:rsidRPr="00AE2B3F" w:rsidP="005743D0" w14:paraId="4C2764CD" w14:textId="77777777">
            <w:pPr>
              <w:widowControl/>
              <w:overflowPunct/>
              <w:autoSpaceDE/>
              <w:autoSpaceDN/>
              <w:adjustRightInd/>
              <w:textAlignment w:val="auto"/>
              <w:rPr>
                <w:b/>
                <w:bCs/>
                <w:sz w:val="18"/>
                <w:szCs w:val="18"/>
              </w:rPr>
            </w:pPr>
            <w:r w:rsidRPr="00AE2B3F">
              <w:rPr>
                <w:b/>
                <w:bCs/>
                <w:sz w:val="18"/>
                <w:szCs w:val="18"/>
              </w:rPr>
              <w:t>246.12(j)(4),(6)</w:t>
            </w:r>
          </w:p>
        </w:tc>
        <w:tc>
          <w:tcPr>
            <w:tcW w:w="1764" w:type="dxa"/>
            <w:tcBorders>
              <w:top w:val="nil"/>
              <w:left w:val="nil"/>
              <w:bottom w:val="single" w:sz="4" w:space="0" w:color="auto"/>
              <w:right w:val="single" w:sz="4" w:space="0" w:color="auto"/>
            </w:tcBorders>
            <w:vAlign w:val="center"/>
            <w:hideMark/>
          </w:tcPr>
          <w:p w:rsidR="005743D0" w:rsidRPr="00AE2B3F" w:rsidP="005743D0" w14:paraId="1E52EC9C" w14:textId="77777777">
            <w:pPr>
              <w:widowControl/>
              <w:overflowPunct/>
              <w:autoSpaceDE/>
              <w:autoSpaceDN/>
              <w:adjustRightInd/>
              <w:textAlignment w:val="auto"/>
              <w:rPr>
                <w:sz w:val="18"/>
                <w:szCs w:val="18"/>
              </w:rPr>
            </w:pPr>
            <w:r w:rsidRPr="00AE2B3F">
              <w:rPr>
                <w:sz w:val="18"/>
                <w:szCs w:val="18"/>
              </w:rPr>
              <w:t>Vendor compliance investigations (virtual)</w:t>
            </w:r>
          </w:p>
        </w:tc>
        <w:tc>
          <w:tcPr>
            <w:tcW w:w="1260" w:type="dxa"/>
            <w:tcBorders>
              <w:top w:val="nil"/>
              <w:left w:val="nil"/>
              <w:bottom w:val="single" w:sz="4" w:space="0" w:color="auto"/>
              <w:right w:val="single" w:sz="4" w:space="0" w:color="auto"/>
            </w:tcBorders>
            <w:vAlign w:val="center"/>
            <w:hideMark/>
          </w:tcPr>
          <w:p w:rsidR="005743D0" w:rsidRPr="00AE2B3F" w:rsidP="005743D0" w14:paraId="6E4BD1DE" w14:textId="0DA2C24D">
            <w:pPr>
              <w:widowControl/>
              <w:overflowPunct/>
              <w:autoSpaceDE/>
              <w:autoSpaceDN/>
              <w:adjustRightInd/>
              <w:jc w:val="right"/>
              <w:textAlignment w:val="auto"/>
              <w:rPr>
                <w:sz w:val="18"/>
                <w:szCs w:val="18"/>
              </w:rPr>
            </w:pPr>
            <w:r w:rsidRPr="005743D0">
              <w:rPr>
                <w:sz w:val="18"/>
                <w:szCs w:val="18"/>
              </w:rPr>
              <w:t>44.00</w:t>
            </w:r>
          </w:p>
        </w:tc>
        <w:tc>
          <w:tcPr>
            <w:tcW w:w="1170" w:type="dxa"/>
            <w:tcBorders>
              <w:top w:val="nil"/>
              <w:left w:val="nil"/>
              <w:bottom w:val="single" w:sz="4" w:space="0" w:color="auto"/>
              <w:right w:val="single" w:sz="4" w:space="0" w:color="auto"/>
            </w:tcBorders>
            <w:vAlign w:val="center"/>
            <w:hideMark/>
          </w:tcPr>
          <w:p w:rsidR="005743D0" w:rsidRPr="00AE2B3F" w:rsidP="005743D0" w14:paraId="6DBF3080" w14:textId="092680F9">
            <w:pPr>
              <w:widowControl/>
              <w:overflowPunct/>
              <w:autoSpaceDE/>
              <w:autoSpaceDN/>
              <w:adjustRightInd/>
              <w:jc w:val="right"/>
              <w:textAlignment w:val="auto"/>
              <w:rPr>
                <w:sz w:val="18"/>
                <w:szCs w:val="18"/>
              </w:rPr>
            </w:pPr>
            <w:r w:rsidRPr="005743D0">
              <w:rPr>
                <w:sz w:val="18"/>
                <w:szCs w:val="18"/>
              </w:rPr>
              <w:t>0.13</w:t>
            </w:r>
          </w:p>
        </w:tc>
        <w:tc>
          <w:tcPr>
            <w:tcW w:w="1170" w:type="dxa"/>
            <w:tcBorders>
              <w:top w:val="nil"/>
              <w:left w:val="nil"/>
              <w:bottom w:val="single" w:sz="4" w:space="0" w:color="auto"/>
              <w:right w:val="single" w:sz="4" w:space="0" w:color="auto"/>
            </w:tcBorders>
            <w:shd w:val="clear" w:color="auto" w:fill="F2F2F2" w:themeFill="background1" w:themeFillShade="F2"/>
            <w:vAlign w:val="center"/>
            <w:hideMark/>
          </w:tcPr>
          <w:p w:rsidR="005743D0" w:rsidRPr="00AE2B3F" w:rsidP="005743D0" w14:paraId="5AB48C45" w14:textId="2D372E14">
            <w:pPr>
              <w:widowControl/>
              <w:overflowPunct/>
              <w:autoSpaceDE/>
              <w:autoSpaceDN/>
              <w:adjustRightInd/>
              <w:jc w:val="right"/>
              <w:textAlignment w:val="auto"/>
              <w:rPr>
                <w:sz w:val="18"/>
                <w:szCs w:val="18"/>
              </w:rPr>
            </w:pPr>
            <w:r w:rsidRPr="005743D0">
              <w:rPr>
                <w:sz w:val="18"/>
                <w:szCs w:val="18"/>
              </w:rPr>
              <w:t>5.50</w:t>
            </w:r>
          </w:p>
        </w:tc>
        <w:tc>
          <w:tcPr>
            <w:tcW w:w="1107" w:type="dxa"/>
            <w:tcBorders>
              <w:top w:val="nil"/>
              <w:left w:val="nil"/>
              <w:bottom w:val="single" w:sz="4" w:space="0" w:color="auto"/>
              <w:right w:val="single" w:sz="4" w:space="0" w:color="auto"/>
            </w:tcBorders>
            <w:vAlign w:val="center"/>
            <w:hideMark/>
          </w:tcPr>
          <w:p w:rsidR="005743D0" w:rsidRPr="00AE2B3F" w:rsidP="005743D0" w14:paraId="5B7610F3" w14:textId="258B3161">
            <w:pPr>
              <w:widowControl/>
              <w:overflowPunct/>
              <w:autoSpaceDE/>
              <w:autoSpaceDN/>
              <w:adjustRightInd/>
              <w:jc w:val="right"/>
              <w:textAlignment w:val="auto"/>
              <w:rPr>
                <w:sz w:val="18"/>
                <w:szCs w:val="18"/>
              </w:rPr>
            </w:pPr>
            <w:r w:rsidRPr="005743D0">
              <w:rPr>
                <w:sz w:val="18"/>
                <w:szCs w:val="18"/>
              </w:rPr>
              <w:t>4.50</w:t>
            </w:r>
          </w:p>
        </w:tc>
        <w:tc>
          <w:tcPr>
            <w:tcW w:w="1053" w:type="dxa"/>
            <w:tcBorders>
              <w:top w:val="nil"/>
              <w:left w:val="nil"/>
              <w:bottom w:val="single" w:sz="4" w:space="0" w:color="auto"/>
              <w:right w:val="single" w:sz="4" w:space="0" w:color="auto"/>
            </w:tcBorders>
            <w:shd w:val="clear" w:color="auto" w:fill="F2F2F2" w:themeFill="background1" w:themeFillShade="F2"/>
            <w:vAlign w:val="center"/>
            <w:hideMark/>
          </w:tcPr>
          <w:p w:rsidR="005743D0" w:rsidRPr="00AE2B3F" w:rsidP="005743D0" w14:paraId="5B752AF8" w14:textId="48A5DA8D">
            <w:pPr>
              <w:widowControl/>
              <w:overflowPunct/>
              <w:autoSpaceDE/>
              <w:autoSpaceDN/>
              <w:adjustRightInd/>
              <w:jc w:val="right"/>
              <w:textAlignment w:val="auto"/>
              <w:rPr>
                <w:sz w:val="18"/>
                <w:szCs w:val="18"/>
              </w:rPr>
            </w:pPr>
            <w:r w:rsidRPr="005743D0">
              <w:rPr>
                <w:sz w:val="18"/>
                <w:szCs w:val="18"/>
              </w:rPr>
              <w:t>24.75</w:t>
            </w:r>
          </w:p>
        </w:tc>
        <w:tc>
          <w:tcPr>
            <w:tcW w:w="1170" w:type="dxa"/>
            <w:tcBorders>
              <w:top w:val="nil"/>
              <w:left w:val="nil"/>
              <w:bottom w:val="single" w:sz="4" w:space="0" w:color="auto"/>
              <w:right w:val="single" w:sz="4" w:space="0" w:color="auto"/>
            </w:tcBorders>
            <w:vAlign w:val="center"/>
            <w:hideMark/>
          </w:tcPr>
          <w:p w:rsidR="005743D0" w:rsidRPr="00DD2920" w:rsidP="005743D0" w14:paraId="38FE4D20" w14:textId="46B6277D">
            <w:pPr>
              <w:widowControl/>
              <w:overflowPunct/>
              <w:autoSpaceDE/>
              <w:autoSpaceDN/>
              <w:adjustRightInd/>
              <w:jc w:val="right"/>
              <w:textAlignment w:val="auto"/>
              <w:rPr>
                <w:i/>
                <w:iCs/>
                <w:sz w:val="18"/>
                <w:szCs w:val="18"/>
              </w:rPr>
            </w:pPr>
            <w:r w:rsidRPr="00DD2920">
              <w:rPr>
                <w:i/>
                <w:iCs/>
                <w:sz w:val="18"/>
                <w:szCs w:val="18"/>
              </w:rPr>
              <w:t>0.00</w:t>
            </w:r>
          </w:p>
        </w:tc>
        <w:tc>
          <w:tcPr>
            <w:tcW w:w="1363" w:type="dxa"/>
            <w:tcBorders>
              <w:top w:val="nil"/>
              <w:left w:val="nil"/>
              <w:bottom w:val="single" w:sz="4" w:space="0" w:color="auto"/>
              <w:right w:val="single" w:sz="4" w:space="0" w:color="auto"/>
            </w:tcBorders>
            <w:vAlign w:val="center"/>
          </w:tcPr>
          <w:p w:rsidR="005743D0" w:rsidRPr="00AE2B3F" w:rsidP="005743D0" w14:paraId="0EE1A716" w14:textId="18FAB889">
            <w:pPr>
              <w:widowControl/>
              <w:overflowPunct/>
              <w:autoSpaceDE/>
              <w:autoSpaceDN/>
              <w:adjustRightInd/>
              <w:jc w:val="right"/>
              <w:textAlignment w:val="auto"/>
              <w:rPr>
                <w:sz w:val="18"/>
                <w:szCs w:val="18"/>
              </w:rPr>
            </w:pPr>
            <w:r w:rsidRPr="005743D0">
              <w:rPr>
                <w:sz w:val="18"/>
                <w:szCs w:val="18"/>
              </w:rPr>
              <w:t>24.75</w:t>
            </w:r>
          </w:p>
        </w:tc>
        <w:tc>
          <w:tcPr>
            <w:tcW w:w="1242" w:type="dxa"/>
            <w:tcBorders>
              <w:top w:val="nil"/>
              <w:left w:val="nil"/>
              <w:bottom w:val="single" w:sz="4" w:space="0" w:color="auto"/>
              <w:right w:val="single" w:sz="4" w:space="0" w:color="auto"/>
            </w:tcBorders>
            <w:vAlign w:val="center"/>
          </w:tcPr>
          <w:p w:rsidR="005743D0" w:rsidRPr="00AE2B3F" w:rsidP="005743D0" w14:paraId="01D39E09" w14:textId="751BF8F8">
            <w:pPr>
              <w:widowControl/>
              <w:overflowPunct/>
              <w:autoSpaceDE/>
              <w:autoSpaceDN/>
              <w:adjustRightInd/>
              <w:jc w:val="right"/>
              <w:textAlignment w:val="auto"/>
              <w:rPr>
                <w:sz w:val="18"/>
                <w:szCs w:val="18"/>
              </w:rPr>
            </w:pPr>
            <w:r w:rsidRPr="005743D0">
              <w:rPr>
                <w:sz w:val="18"/>
                <w:szCs w:val="18"/>
              </w:rPr>
              <w:t>0.00</w:t>
            </w:r>
          </w:p>
        </w:tc>
        <w:tc>
          <w:tcPr>
            <w:tcW w:w="1265" w:type="dxa"/>
            <w:tcBorders>
              <w:top w:val="nil"/>
              <w:left w:val="nil"/>
              <w:bottom w:val="single" w:sz="4" w:space="0" w:color="auto"/>
              <w:right w:val="single" w:sz="4" w:space="0" w:color="auto"/>
            </w:tcBorders>
            <w:vAlign w:val="center"/>
          </w:tcPr>
          <w:p w:rsidR="005743D0" w:rsidRPr="00AE2B3F" w:rsidP="005743D0" w14:paraId="2E6264BC" w14:textId="2D2D100A">
            <w:pPr>
              <w:widowControl/>
              <w:overflowPunct/>
              <w:autoSpaceDE/>
              <w:autoSpaceDN/>
              <w:adjustRightInd/>
              <w:jc w:val="right"/>
              <w:textAlignment w:val="auto"/>
              <w:rPr>
                <w:sz w:val="18"/>
                <w:szCs w:val="18"/>
              </w:rPr>
            </w:pPr>
            <w:r w:rsidRPr="005743D0">
              <w:rPr>
                <w:sz w:val="18"/>
                <w:szCs w:val="18"/>
              </w:rPr>
              <w:t>24.75</w:t>
            </w:r>
          </w:p>
        </w:tc>
      </w:tr>
      <w:tr w14:paraId="1C225E24" w14:textId="77777777" w:rsidTr="4FE94C9D">
        <w:tblPrEx>
          <w:tblW w:w="14215" w:type="dxa"/>
          <w:tblLayout w:type="fixed"/>
          <w:tblLook w:val="04A0"/>
        </w:tblPrEx>
        <w:trPr>
          <w:trHeight w:val="780"/>
        </w:trPr>
        <w:tc>
          <w:tcPr>
            <w:tcW w:w="1651" w:type="dxa"/>
            <w:tcBorders>
              <w:top w:val="nil"/>
              <w:left w:val="single" w:sz="4" w:space="0" w:color="auto"/>
              <w:bottom w:val="single" w:sz="4" w:space="0" w:color="auto"/>
              <w:right w:val="single" w:sz="4" w:space="0" w:color="auto"/>
            </w:tcBorders>
            <w:vAlign w:val="center"/>
            <w:hideMark/>
          </w:tcPr>
          <w:p w:rsidR="005743D0" w:rsidRPr="00AE2B3F" w:rsidP="005743D0" w14:paraId="39E9654A" w14:textId="77777777">
            <w:pPr>
              <w:widowControl/>
              <w:overflowPunct/>
              <w:autoSpaceDE/>
              <w:autoSpaceDN/>
              <w:adjustRightInd/>
              <w:textAlignment w:val="auto"/>
              <w:rPr>
                <w:b/>
                <w:bCs/>
                <w:sz w:val="18"/>
                <w:szCs w:val="18"/>
              </w:rPr>
            </w:pPr>
            <w:r w:rsidRPr="00AE2B3F">
              <w:rPr>
                <w:b/>
                <w:bCs/>
                <w:sz w:val="18"/>
                <w:szCs w:val="18"/>
              </w:rPr>
              <w:t>246.12(bb)(1)</w:t>
            </w:r>
          </w:p>
        </w:tc>
        <w:tc>
          <w:tcPr>
            <w:tcW w:w="1764" w:type="dxa"/>
            <w:tcBorders>
              <w:top w:val="nil"/>
              <w:left w:val="nil"/>
              <w:bottom w:val="single" w:sz="4" w:space="0" w:color="auto"/>
              <w:right w:val="single" w:sz="4" w:space="0" w:color="auto"/>
            </w:tcBorders>
            <w:vAlign w:val="center"/>
            <w:hideMark/>
          </w:tcPr>
          <w:p w:rsidR="005743D0" w:rsidRPr="00AE2B3F" w:rsidP="005743D0" w14:paraId="49DF93B6" w14:textId="77777777">
            <w:pPr>
              <w:widowControl/>
              <w:overflowPunct/>
              <w:autoSpaceDE/>
              <w:autoSpaceDN/>
              <w:adjustRightInd/>
              <w:textAlignment w:val="auto"/>
              <w:rPr>
                <w:sz w:val="18"/>
                <w:szCs w:val="18"/>
              </w:rPr>
            </w:pPr>
            <w:r w:rsidRPr="00AE2B3F">
              <w:rPr>
                <w:sz w:val="18"/>
                <w:szCs w:val="18"/>
              </w:rPr>
              <w:t>System updates to allow online shopping, including return of benefits</w:t>
            </w:r>
          </w:p>
        </w:tc>
        <w:tc>
          <w:tcPr>
            <w:tcW w:w="1260" w:type="dxa"/>
            <w:tcBorders>
              <w:top w:val="nil"/>
              <w:left w:val="nil"/>
              <w:bottom w:val="single" w:sz="4" w:space="0" w:color="auto"/>
              <w:right w:val="single" w:sz="4" w:space="0" w:color="auto"/>
            </w:tcBorders>
            <w:vAlign w:val="center"/>
            <w:hideMark/>
          </w:tcPr>
          <w:p w:rsidR="005743D0" w:rsidRPr="00AE2B3F" w:rsidP="005743D0" w14:paraId="21328011" w14:textId="2382FC44">
            <w:pPr>
              <w:widowControl/>
              <w:overflowPunct/>
              <w:autoSpaceDE/>
              <w:autoSpaceDN/>
              <w:adjustRightInd/>
              <w:jc w:val="right"/>
              <w:textAlignment w:val="auto"/>
              <w:rPr>
                <w:sz w:val="18"/>
                <w:szCs w:val="18"/>
              </w:rPr>
            </w:pPr>
            <w:r w:rsidRPr="005743D0">
              <w:rPr>
                <w:sz w:val="18"/>
                <w:szCs w:val="18"/>
              </w:rPr>
              <w:t>44.00</w:t>
            </w:r>
          </w:p>
        </w:tc>
        <w:tc>
          <w:tcPr>
            <w:tcW w:w="1170" w:type="dxa"/>
            <w:tcBorders>
              <w:top w:val="nil"/>
              <w:left w:val="nil"/>
              <w:bottom w:val="single" w:sz="4" w:space="0" w:color="auto"/>
              <w:right w:val="single" w:sz="4" w:space="0" w:color="auto"/>
            </w:tcBorders>
            <w:vAlign w:val="center"/>
            <w:hideMark/>
          </w:tcPr>
          <w:p w:rsidR="005743D0" w:rsidRPr="00AE2B3F" w:rsidP="005743D0" w14:paraId="2967C293" w14:textId="4093AE72">
            <w:pPr>
              <w:widowControl/>
              <w:overflowPunct/>
              <w:autoSpaceDE/>
              <w:autoSpaceDN/>
              <w:adjustRightInd/>
              <w:jc w:val="right"/>
              <w:textAlignment w:val="auto"/>
              <w:rPr>
                <w:sz w:val="18"/>
                <w:szCs w:val="18"/>
              </w:rPr>
            </w:pPr>
            <w:r w:rsidRPr="005743D0">
              <w:rPr>
                <w:sz w:val="18"/>
                <w:szCs w:val="18"/>
              </w:rPr>
              <w:t>1.00</w:t>
            </w:r>
          </w:p>
        </w:tc>
        <w:tc>
          <w:tcPr>
            <w:tcW w:w="1170" w:type="dxa"/>
            <w:tcBorders>
              <w:top w:val="nil"/>
              <w:left w:val="nil"/>
              <w:bottom w:val="single" w:sz="4" w:space="0" w:color="auto"/>
              <w:right w:val="single" w:sz="4" w:space="0" w:color="auto"/>
            </w:tcBorders>
            <w:shd w:val="clear" w:color="auto" w:fill="F2F2F2" w:themeFill="background1" w:themeFillShade="F2"/>
            <w:vAlign w:val="center"/>
            <w:hideMark/>
          </w:tcPr>
          <w:p w:rsidR="005743D0" w:rsidRPr="00AE2B3F" w:rsidP="005743D0" w14:paraId="0CA0564D" w14:textId="315304FE">
            <w:pPr>
              <w:widowControl/>
              <w:overflowPunct/>
              <w:autoSpaceDE/>
              <w:autoSpaceDN/>
              <w:adjustRightInd/>
              <w:jc w:val="right"/>
              <w:textAlignment w:val="auto"/>
              <w:rPr>
                <w:sz w:val="18"/>
                <w:szCs w:val="18"/>
              </w:rPr>
            </w:pPr>
            <w:r w:rsidRPr="005743D0">
              <w:rPr>
                <w:sz w:val="18"/>
                <w:szCs w:val="18"/>
              </w:rPr>
              <w:t>44.00</w:t>
            </w:r>
          </w:p>
        </w:tc>
        <w:tc>
          <w:tcPr>
            <w:tcW w:w="1107" w:type="dxa"/>
            <w:tcBorders>
              <w:top w:val="nil"/>
              <w:left w:val="nil"/>
              <w:bottom w:val="single" w:sz="4" w:space="0" w:color="auto"/>
              <w:right w:val="single" w:sz="4" w:space="0" w:color="auto"/>
            </w:tcBorders>
            <w:vAlign w:val="center"/>
            <w:hideMark/>
          </w:tcPr>
          <w:p w:rsidR="005743D0" w:rsidRPr="00AE2B3F" w:rsidP="005743D0" w14:paraId="7E1B73BA" w14:textId="20DBEE90">
            <w:pPr>
              <w:widowControl/>
              <w:overflowPunct/>
              <w:autoSpaceDE/>
              <w:autoSpaceDN/>
              <w:adjustRightInd/>
              <w:jc w:val="right"/>
              <w:textAlignment w:val="auto"/>
              <w:rPr>
                <w:sz w:val="18"/>
                <w:szCs w:val="18"/>
              </w:rPr>
            </w:pPr>
            <w:r w:rsidRPr="005743D0">
              <w:rPr>
                <w:sz w:val="18"/>
                <w:szCs w:val="18"/>
              </w:rPr>
              <w:t>50.00</w:t>
            </w:r>
          </w:p>
        </w:tc>
        <w:tc>
          <w:tcPr>
            <w:tcW w:w="1053" w:type="dxa"/>
            <w:tcBorders>
              <w:top w:val="nil"/>
              <w:left w:val="nil"/>
              <w:bottom w:val="single" w:sz="4" w:space="0" w:color="auto"/>
              <w:right w:val="single" w:sz="4" w:space="0" w:color="auto"/>
            </w:tcBorders>
            <w:shd w:val="clear" w:color="auto" w:fill="F2F2F2" w:themeFill="background1" w:themeFillShade="F2"/>
            <w:vAlign w:val="center"/>
            <w:hideMark/>
          </w:tcPr>
          <w:p w:rsidR="005743D0" w:rsidRPr="00AE2B3F" w:rsidP="005743D0" w14:paraId="7E33A9C4" w14:textId="05989072">
            <w:pPr>
              <w:widowControl/>
              <w:overflowPunct/>
              <w:autoSpaceDE/>
              <w:autoSpaceDN/>
              <w:adjustRightInd/>
              <w:jc w:val="right"/>
              <w:textAlignment w:val="auto"/>
              <w:rPr>
                <w:sz w:val="18"/>
                <w:szCs w:val="18"/>
              </w:rPr>
            </w:pPr>
            <w:r w:rsidRPr="005743D0">
              <w:rPr>
                <w:sz w:val="18"/>
                <w:szCs w:val="18"/>
              </w:rPr>
              <w:t>2,200.00</w:t>
            </w:r>
          </w:p>
        </w:tc>
        <w:tc>
          <w:tcPr>
            <w:tcW w:w="1170" w:type="dxa"/>
            <w:tcBorders>
              <w:top w:val="nil"/>
              <w:left w:val="nil"/>
              <w:bottom w:val="single" w:sz="4" w:space="0" w:color="auto"/>
              <w:right w:val="single" w:sz="4" w:space="0" w:color="auto"/>
            </w:tcBorders>
            <w:vAlign w:val="center"/>
            <w:hideMark/>
          </w:tcPr>
          <w:p w:rsidR="005743D0" w:rsidRPr="00DD2920" w:rsidP="005743D0" w14:paraId="1F04C681" w14:textId="70D2A7A1">
            <w:pPr>
              <w:widowControl/>
              <w:overflowPunct/>
              <w:autoSpaceDE/>
              <w:autoSpaceDN/>
              <w:adjustRightInd/>
              <w:jc w:val="right"/>
              <w:textAlignment w:val="auto"/>
              <w:rPr>
                <w:i/>
                <w:iCs/>
                <w:sz w:val="18"/>
                <w:szCs w:val="18"/>
              </w:rPr>
            </w:pPr>
            <w:r w:rsidRPr="00DD2920">
              <w:rPr>
                <w:i/>
                <w:iCs/>
                <w:sz w:val="18"/>
                <w:szCs w:val="18"/>
              </w:rPr>
              <w:t>0.00</w:t>
            </w:r>
          </w:p>
        </w:tc>
        <w:tc>
          <w:tcPr>
            <w:tcW w:w="1363" w:type="dxa"/>
            <w:tcBorders>
              <w:top w:val="nil"/>
              <w:left w:val="nil"/>
              <w:bottom w:val="single" w:sz="4" w:space="0" w:color="auto"/>
              <w:right w:val="single" w:sz="4" w:space="0" w:color="auto"/>
            </w:tcBorders>
            <w:vAlign w:val="center"/>
          </w:tcPr>
          <w:p w:rsidR="005743D0" w:rsidRPr="00AE2B3F" w:rsidP="005743D0" w14:paraId="154017E9" w14:textId="06080618">
            <w:pPr>
              <w:widowControl/>
              <w:overflowPunct/>
              <w:autoSpaceDE/>
              <w:autoSpaceDN/>
              <w:adjustRightInd/>
              <w:jc w:val="right"/>
              <w:textAlignment w:val="auto"/>
              <w:rPr>
                <w:sz w:val="18"/>
                <w:szCs w:val="18"/>
              </w:rPr>
            </w:pPr>
            <w:r w:rsidRPr="005743D0">
              <w:rPr>
                <w:sz w:val="18"/>
                <w:szCs w:val="18"/>
              </w:rPr>
              <w:t>2,200.00</w:t>
            </w:r>
          </w:p>
        </w:tc>
        <w:tc>
          <w:tcPr>
            <w:tcW w:w="1242" w:type="dxa"/>
            <w:tcBorders>
              <w:top w:val="nil"/>
              <w:left w:val="nil"/>
              <w:bottom w:val="single" w:sz="4" w:space="0" w:color="auto"/>
              <w:right w:val="single" w:sz="4" w:space="0" w:color="auto"/>
            </w:tcBorders>
            <w:vAlign w:val="center"/>
          </w:tcPr>
          <w:p w:rsidR="005743D0" w:rsidRPr="00AE2B3F" w:rsidP="005743D0" w14:paraId="56E1FF57" w14:textId="11A63149">
            <w:pPr>
              <w:widowControl/>
              <w:overflowPunct/>
              <w:autoSpaceDE/>
              <w:autoSpaceDN/>
              <w:adjustRightInd/>
              <w:jc w:val="right"/>
              <w:textAlignment w:val="auto"/>
              <w:rPr>
                <w:sz w:val="18"/>
                <w:szCs w:val="18"/>
              </w:rPr>
            </w:pPr>
            <w:r w:rsidRPr="005743D0">
              <w:rPr>
                <w:sz w:val="18"/>
                <w:szCs w:val="18"/>
              </w:rPr>
              <w:t>0.00</w:t>
            </w:r>
          </w:p>
        </w:tc>
        <w:tc>
          <w:tcPr>
            <w:tcW w:w="1265" w:type="dxa"/>
            <w:tcBorders>
              <w:top w:val="nil"/>
              <w:left w:val="nil"/>
              <w:bottom w:val="single" w:sz="4" w:space="0" w:color="auto"/>
              <w:right w:val="single" w:sz="4" w:space="0" w:color="auto"/>
            </w:tcBorders>
            <w:vAlign w:val="center"/>
          </w:tcPr>
          <w:p w:rsidR="005743D0" w:rsidRPr="00AE2B3F" w:rsidP="005743D0" w14:paraId="370D8133" w14:textId="5DDEDEAA">
            <w:pPr>
              <w:widowControl/>
              <w:overflowPunct/>
              <w:autoSpaceDE/>
              <w:autoSpaceDN/>
              <w:adjustRightInd/>
              <w:jc w:val="right"/>
              <w:textAlignment w:val="auto"/>
              <w:rPr>
                <w:sz w:val="18"/>
                <w:szCs w:val="18"/>
              </w:rPr>
            </w:pPr>
            <w:r w:rsidRPr="005743D0">
              <w:rPr>
                <w:sz w:val="18"/>
                <w:szCs w:val="18"/>
              </w:rPr>
              <w:t>2,200.00</w:t>
            </w:r>
          </w:p>
        </w:tc>
      </w:tr>
      <w:tr w14:paraId="0584B752" w14:textId="77777777" w:rsidTr="4FE94C9D">
        <w:tblPrEx>
          <w:tblW w:w="14215" w:type="dxa"/>
          <w:tblLayout w:type="fixed"/>
          <w:tblLook w:val="04A0"/>
        </w:tblPrEx>
        <w:trPr>
          <w:trHeight w:val="552"/>
        </w:trPr>
        <w:tc>
          <w:tcPr>
            <w:tcW w:w="1651" w:type="dxa"/>
            <w:tcBorders>
              <w:top w:val="nil"/>
              <w:left w:val="single" w:sz="4" w:space="0" w:color="auto"/>
              <w:bottom w:val="single" w:sz="4" w:space="0" w:color="auto"/>
              <w:right w:val="single" w:sz="4" w:space="0" w:color="auto"/>
            </w:tcBorders>
            <w:vAlign w:val="center"/>
            <w:hideMark/>
          </w:tcPr>
          <w:p w:rsidR="005743D0" w:rsidRPr="00AE2B3F" w:rsidP="005743D0" w14:paraId="6D825208" w14:textId="77777777">
            <w:pPr>
              <w:widowControl/>
              <w:overflowPunct/>
              <w:autoSpaceDE/>
              <w:autoSpaceDN/>
              <w:adjustRightInd/>
              <w:textAlignment w:val="auto"/>
              <w:rPr>
                <w:b/>
                <w:bCs/>
                <w:sz w:val="18"/>
                <w:szCs w:val="18"/>
              </w:rPr>
            </w:pPr>
            <w:r w:rsidRPr="00AE2B3F">
              <w:rPr>
                <w:b/>
                <w:bCs/>
                <w:sz w:val="18"/>
                <w:szCs w:val="18"/>
              </w:rPr>
              <w:t>246.12(bb)(2)</w:t>
            </w:r>
          </w:p>
        </w:tc>
        <w:tc>
          <w:tcPr>
            <w:tcW w:w="1764" w:type="dxa"/>
            <w:tcBorders>
              <w:top w:val="nil"/>
              <w:left w:val="nil"/>
              <w:bottom w:val="single" w:sz="4" w:space="0" w:color="auto"/>
              <w:right w:val="single" w:sz="4" w:space="0" w:color="auto"/>
            </w:tcBorders>
            <w:vAlign w:val="center"/>
            <w:hideMark/>
          </w:tcPr>
          <w:p w:rsidR="005743D0" w:rsidRPr="00AE2B3F" w:rsidP="005743D0" w14:paraId="3B91FDA2" w14:textId="77777777">
            <w:pPr>
              <w:widowControl/>
              <w:overflowPunct/>
              <w:autoSpaceDE/>
              <w:autoSpaceDN/>
              <w:adjustRightInd/>
              <w:textAlignment w:val="auto"/>
              <w:rPr>
                <w:sz w:val="18"/>
                <w:szCs w:val="18"/>
              </w:rPr>
            </w:pPr>
            <w:r w:rsidRPr="00AE2B3F">
              <w:rPr>
                <w:sz w:val="18"/>
                <w:szCs w:val="18"/>
              </w:rPr>
              <w:t>Transaction authentication policy development</w:t>
            </w:r>
          </w:p>
        </w:tc>
        <w:tc>
          <w:tcPr>
            <w:tcW w:w="1260" w:type="dxa"/>
            <w:tcBorders>
              <w:top w:val="nil"/>
              <w:left w:val="nil"/>
              <w:bottom w:val="single" w:sz="4" w:space="0" w:color="auto"/>
              <w:right w:val="single" w:sz="4" w:space="0" w:color="auto"/>
            </w:tcBorders>
            <w:vAlign w:val="center"/>
            <w:hideMark/>
          </w:tcPr>
          <w:p w:rsidR="005743D0" w:rsidRPr="00AE2B3F" w:rsidP="005743D0" w14:paraId="6ABC0C16" w14:textId="16C42635">
            <w:pPr>
              <w:widowControl/>
              <w:overflowPunct/>
              <w:autoSpaceDE/>
              <w:autoSpaceDN/>
              <w:adjustRightInd/>
              <w:jc w:val="right"/>
              <w:textAlignment w:val="auto"/>
              <w:rPr>
                <w:sz w:val="18"/>
                <w:szCs w:val="18"/>
              </w:rPr>
            </w:pPr>
            <w:r w:rsidRPr="005743D0">
              <w:rPr>
                <w:sz w:val="18"/>
                <w:szCs w:val="18"/>
              </w:rPr>
              <w:t>88.00</w:t>
            </w:r>
          </w:p>
        </w:tc>
        <w:tc>
          <w:tcPr>
            <w:tcW w:w="1170" w:type="dxa"/>
            <w:tcBorders>
              <w:top w:val="nil"/>
              <w:left w:val="nil"/>
              <w:bottom w:val="single" w:sz="4" w:space="0" w:color="auto"/>
              <w:right w:val="single" w:sz="4" w:space="0" w:color="auto"/>
            </w:tcBorders>
            <w:vAlign w:val="center"/>
            <w:hideMark/>
          </w:tcPr>
          <w:p w:rsidR="005743D0" w:rsidRPr="00AE2B3F" w:rsidP="005743D0" w14:paraId="4B2898D5" w14:textId="506011B4">
            <w:pPr>
              <w:widowControl/>
              <w:overflowPunct/>
              <w:autoSpaceDE/>
              <w:autoSpaceDN/>
              <w:adjustRightInd/>
              <w:jc w:val="right"/>
              <w:textAlignment w:val="auto"/>
              <w:rPr>
                <w:sz w:val="18"/>
                <w:szCs w:val="18"/>
              </w:rPr>
            </w:pPr>
            <w:r w:rsidRPr="005743D0">
              <w:rPr>
                <w:sz w:val="18"/>
                <w:szCs w:val="18"/>
              </w:rPr>
              <w:t>1.00</w:t>
            </w:r>
          </w:p>
        </w:tc>
        <w:tc>
          <w:tcPr>
            <w:tcW w:w="1170" w:type="dxa"/>
            <w:tcBorders>
              <w:top w:val="nil"/>
              <w:left w:val="nil"/>
              <w:bottom w:val="single" w:sz="4" w:space="0" w:color="auto"/>
              <w:right w:val="single" w:sz="4" w:space="0" w:color="auto"/>
            </w:tcBorders>
            <w:shd w:val="clear" w:color="auto" w:fill="F2F2F2" w:themeFill="background1" w:themeFillShade="F2"/>
            <w:vAlign w:val="center"/>
            <w:hideMark/>
          </w:tcPr>
          <w:p w:rsidR="005743D0" w:rsidRPr="00AE2B3F" w:rsidP="005743D0" w14:paraId="6F7C1258" w14:textId="5BDD18C4">
            <w:pPr>
              <w:widowControl/>
              <w:overflowPunct/>
              <w:autoSpaceDE/>
              <w:autoSpaceDN/>
              <w:adjustRightInd/>
              <w:jc w:val="right"/>
              <w:textAlignment w:val="auto"/>
              <w:rPr>
                <w:sz w:val="18"/>
                <w:szCs w:val="18"/>
              </w:rPr>
            </w:pPr>
            <w:r w:rsidRPr="005743D0">
              <w:rPr>
                <w:sz w:val="18"/>
                <w:szCs w:val="18"/>
              </w:rPr>
              <w:t>88.00</w:t>
            </w:r>
          </w:p>
        </w:tc>
        <w:tc>
          <w:tcPr>
            <w:tcW w:w="1107" w:type="dxa"/>
            <w:tcBorders>
              <w:top w:val="nil"/>
              <w:left w:val="nil"/>
              <w:bottom w:val="single" w:sz="4" w:space="0" w:color="auto"/>
              <w:right w:val="single" w:sz="4" w:space="0" w:color="auto"/>
            </w:tcBorders>
            <w:vAlign w:val="center"/>
            <w:hideMark/>
          </w:tcPr>
          <w:p w:rsidR="005743D0" w:rsidRPr="00AE2B3F" w:rsidP="005743D0" w14:paraId="05D8BA8D" w14:textId="34D357BA">
            <w:pPr>
              <w:widowControl/>
              <w:overflowPunct/>
              <w:autoSpaceDE/>
              <w:autoSpaceDN/>
              <w:adjustRightInd/>
              <w:jc w:val="right"/>
              <w:textAlignment w:val="auto"/>
              <w:rPr>
                <w:sz w:val="18"/>
                <w:szCs w:val="18"/>
              </w:rPr>
            </w:pPr>
            <w:r w:rsidRPr="005743D0">
              <w:rPr>
                <w:sz w:val="18"/>
                <w:szCs w:val="18"/>
              </w:rPr>
              <w:t>50.00</w:t>
            </w:r>
          </w:p>
        </w:tc>
        <w:tc>
          <w:tcPr>
            <w:tcW w:w="1053" w:type="dxa"/>
            <w:tcBorders>
              <w:top w:val="nil"/>
              <w:left w:val="nil"/>
              <w:bottom w:val="single" w:sz="4" w:space="0" w:color="auto"/>
              <w:right w:val="single" w:sz="4" w:space="0" w:color="auto"/>
            </w:tcBorders>
            <w:shd w:val="clear" w:color="auto" w:fill="F2F2F2" w:themeFill="background1" w:themeFillShade="F2"/>
            <w:vAlign w:val="center"/>
            <w:hideMark/>
          </w:tcPr>
          <w:p w:rsidR="005743D0" w:rsidRPr="00AE2B3F" w:rsidP="005743D0" w14:paraId="66795B02" w14:textId="03CB44F4">
            <w:pPr>
              <w:widowControl/>
              <w:overflowPunct/>
              <w:autoSpaceDE/>
              <w:autoSpaceDN/>
              <w:adjustRightInd/>
              <w:jc w:val="right"/>
              <w:textAlignment w:val="auto"/>
              <w:rPr>
                <w:sz w:val="18"/>
                <w:szCs w:val="18"/>
              </w:rPr>
            </w:pPr>
            <w:r w:rsidRPr="005743D0">
              <w:rPr>
                <w:sz w:val="18"/>
                <w:szCs w:val="18"/>
              </w:rPr>
              <w:t>4,400.00</w:t>
            </w:r>
          </w:p>
        </w:tc>
        <w:tc>
          <w:tcPr>
            <w:tcW w:w="1170" w:type="dxa"/>
            <w:tcBorders>
              <w:top w:val="nil"/>
              <w:left w:val="nil"/>
              <w:bottom w:val="single" w:sz="4" w:space="0" w:color="auto"/>
              <w:right w:val="single" w:sz="4" w:space="0" w:color="auto"/>
            </w:tcBorders>
            <w:vAlign w:val="center"/>
            <w:hideMark/>
          </w:tcPr>
          <w:p w:rsidR="005743D0" w:rsidRPr="00DD2920" w:rsidP="005743D0" w14:paraId="58A546DF" w14:textId="13D064C8">
            <w:pPr>
              <w:widowControl/>
              <w:overflowPunct/>
              <w:autoSpaceDE/>
              <w:autoSpaceDN/>
              <w:adjustRightInd/>
              <w:jc w:val="right"/>
              <w:textAlignment w:val="auto"/>
              <w:rPr>
                <w:i/>
                <w:iCs/>
                <w:sz w:val="18"/>
                <w:szCs w:val="18"/>
              </w:rPr>
            </w:pPr>
            <w:r w:rsidRPr="00DD2920">
              <w:rPr>
                <w:i/>
                <w:iCs/>
                <w:sz w:val="18"/>
                <w:szCs w:val="18"/>
              </w:rPr>
              <w:t>0.00</w:t>
            </w:r>
          </w:p>
        </w:tc>
        <w:tc>
          <w:tcPr>
            <w:tcW w:w="1363" w:type="dxa"/>
            <w:tcBorders>
              <w:top w:val="nil"/>
              <w:left w:val="nil"/>
              <w:bottom w:val="single" w:sz="4" w:space="0" w:color="auto"/>
              <w:right w:val="single" w:sz="4" w:space="0" w:color="auto"/>
            </w:tcBorders>
            <w:vAlign w:val="center"/>
          </w:tcPr>
          <w:p w:rsidR="005743D0" w:rsidRPr="00AE2B3F" w:rsidP="005743D0" w14:paraId="579CCF79" w14:textId="3B54B81C">
            <w:pPr>
              <w:widowControl/>
              <w:overflowPunct/>
              <w:autoSpaceDE/>
              <w:autoSpaceDN/>
              <w:adjustRightInd/>
              <w:jc w:val="right"/>
              <w:textAlignment w:val="auto"/>
              <w:rPr>
                <w:sz w:val="18"/>
                <w:szCs w:val="18"/>
              </w:rPr>
            </w:pPr>
            <w:r w:rsidRPr="005743D0">
              <w:rPr>
                <w:sz w:val="18"/>
                <w:szCs w:val="18"/>
              </w:rPr>
              <w:t>4,400.00</w:t>
            </w:r>
          </w:p>
        </w:tc>
        <w:tc>
          <w:tcPr>
            <w:tcW w:w="1242" w:type="dxa"/>
            <w:tcBorders>
              <w:top w:val="nil"/>
              <w:left w:val="nil"/>
              <w:bottom w:val="single" w:sz="4" w:space="0" w:color="auto"/>
              <w:right w:val="single" w:sz="4" w:space="0" w:color="auto"/>
            </w:tcBorders>
            <w:vAlign w:val="center"/>
          </w:tcPr>
          <w:p w:rsidR="005743D0" w:rsidRPr="00AE2B3F" w:rsidP="005743D0" w14:paraId="35D03577" w14:textId="1402792A">
            <w:pPr>
              <w:widowControl/>
              <w:overflowPunct/>
              <w:autoSpaceDE/>
              <w:autoSpaceDN/>
              <w:adjustRightInd/>
              <w:jc w:val="right"/>
              <w:textAlignment w:val="auto"/>
              <w:rPr>
                <w:sz w:val="18"/>
                <w:szCs w:val="18"/>
              </w:rPr>
            </w:pPr>
            <w:r w:rsidRPr="005743D0">
              <w:rPr>
                <w:sz w:val="18"/>
                <w:szCs w:val="18"/>
              </w:rPr>
              <w:t>0.00</w:t>
            </w:r>
          </w:p>
        </w:tc>
        <w:tc>
          <w:tcPr>
            <w:tcW w:w="1265" w:type="dxa"/>
            <w:tcBorders>
              <w:top w:val="nil"/>
              <w:left w:val="nil"/>
              <w:bottom w:val="single" w:sz="4" w:space="0" w:color="auto"/>
              <w:right w:val="single" w:sz="4" w:space="0" w:color="auto"/>
            </w:tcBorders>
            <w:vAlign w:val="center"/>
          </w:tcPr>
          <w:p w:rsidR="005743D0" w:rsidRPr="00AE2B3F" w:rsidP="005743D0" w14:paraId="0F9FEE46" w14:textId="098B0C3D">
            <w:pPr>
              <w:widowControl/>
              <w:overflowPunct/>
              <w:autoSpaceDE/>
              <w:autoSpaceDN/>
              <w:adjustRightInd/>
              <w:jc w:val="right"/>
              <w:textAlignment w:val="auto"/>
              <w:rPr>
                <w:sz w:val="18"/>
                <w:szCs w:val="18"/>
              </w:rPr>
            </w:pPr>
            <w:r w:rsidRPr="005743D0">
              <w:rPr>
                <w:sz w:val="18"/>
                <w:szCs w:val="18"/>
              </w:rPr>
              <w:t>4,400.00</w:t>
            </w:r>
          </w:p>
        </w:tc>
      </w:tr>
      <w:tr w14:paraId="2FF2E28C" w14:textId="77777777" w:rsidTr="4FE94C9D">
        <w:tblPrEx>
          <w:tblW w:w="14215" w:type="dxa"/>
          <w:tblLayout w:type="fixed"/>
          <w:tblLook w:val="04A0"/>
        </w:tblPrEx>
        <w:trPr>
          <w:trHeight w:val="288"/>
        </w:trPr>
        <w:tc>
          <w:tcPr>
            <w:tcW w:w="1651" w:type="dxa"/>
            <w:tcBorders>
              <w:top w:val="nil"/>
              <w:left w:val="single" w:sz="4" w:space="0" w:color="auto"/>
              <w:bottom w:val="single" w:sz="4" w:space="0" w:color="auto"/>
              <w:right w:val="single" w:sz="4" w:space="0" w:color="auto"/>
            </w:tcBorders>
            <w:vAlign w:val="center"/>
            <w:hideMark/>
          </w:tcPr>
          <w:p w:rsidR="009564EC" w:rsidRPr="00AE2B3F" w:rsidP="009564EC" w14:paraId="4F7967A1" w14:textId="77777777">
            <w:pPr>
              <w:widowControl/>
              <w:overflowPunct/>
              <w:autoSpaceDE/>
              <w:autoSpaceDN/>
              <w:adjustRightInd/>
              <w:textAlignment w:val="auto"/>
              <w:rPr>
                <w:b/>
                <w:bCs/>
                <w:sz w:val="18"/>
                <w:szCs w:val="18"/>
              </w:rPr>
            </w:pPr>
            <w:r w:rsidRPr="00AE2B3F">
              <w:rPr>
                <w:b/>
                <w:bCs/>
                <w:sz w:val="18"/>
                <w:szCs w:val="18"/>
              </w:rPr>
              <w:t>246.14(d)</w:t>
            </w:r>
          </w:p>
        </w:tc>
        <w:tc>
          <w:tcPr>
            <w:tcW w:w="1764" w:type="dxa"/>
            <w:tcBorders>
              <w:top w:val="nil"/>
              <w:left w:val="nil"/>
              <w:bottom w:val="single" w:sz="4" w:space="0" w:color="auto"/>
              <w:right w:val="single" w:sz="4" w:space="0" w:color="auto"/>
            </w:tcBorders>
            <w:vAlign w:val="center"/>
            <w:hideMark/>
          </w:tcPr>
          <w:p w:rsidR="009564EC" w:rsidRPr="00AE2B3F" w:rsidP="009564EC" w14:paraId="7F897715" w14:textId="77777777">
            <w:pPr>
              <w:widowControl/>
              <w:overflowPunct/>
              <w:autoSpaceDE/>
              <w:autoSpaceDN/>
              <w:adjustRightInd/>
              <w:textAlignment w:val="auto"/>
              <w:rPr>
                <w:sz w:val="18"/>
                <w:szCs w:val="18"/>
              </w:rPr>
            </w:pPr>
            <w:r w:rsidRPr="00AE2B3F">
              <w:rPr>
                <w:sz w:val="18"/>
                <w:szCs w:val="18"/>
              </w:rPr>
              <w:t>ADP proposals</w:t>
            </w:r>
          </w:p>
        </w:tc>
        <w:tc>
          <w:tcPr>
            <w:tcW w:w="1260" w:type="dxa"/>
            <w:tcBorders>
              <w:top w:val="nil"/>
              <w:left w:val="nil"/>
              <w:bottom w:val="single" w:sz="4" w:space="0" w:color="auto"/>
              <w:right w:val="single" w:sz="4" w:space="0" w:color="auto"/>
            </w:tcBorders>
            <w:vAlign w:val="center"/>
            <w:hideMark/>
          </w:tcPr>
          <w:p w:rsidR="009564EC" w:rsidRPr="00AE2B3F" w:rsidP="005743D0" w14:paraId="57AA5A89" w14:textId="77777777">
            <w:pPr>
              <w:widowControl/>
              <w:overflowPunct/>
              <w:autoSpaceDE/>
              <w:autoSpaceDN/>
              <w:adjustRightInd/>
              <w:jc w:val="right"/>
              <w:textAlignment w:val="auto"/>
              <w:rPr>
                <w:sz w:val="18"/>
                <w:szCs w:val="18"/>
              </w:rPr>
            </w:pPr>
            <w:r w:rsidRPr="00AE2B3F">
              <w:rPr>
                <w:sz w:val="18"/>
                <w:szCs w:val="18"/>
              </w:rPr>
              <w:t>20.00</w:t>
            </w:r>
          </w:p>
        </w:tc>
        <w:tc>
          <w:tcPr>
            <w:tcW w:w="1170" w:type="dxa"/>
            <w:tcBorders>
              <w:top w:val="nil"/>
              <w:left w:val="nil"/>
              <w:bottom w:val="single" w:sz="4" w:space="0" w:color="auto"/>
              <w:right w:val="single" w:sz="4" w:space="0" w:color="auto"/>
            </w:tcBorders>
            <w:vAlign w:val="center"/>
            <w:hideMark/>
          </w:tcPr>
          <w:p w:rsidR="009564EC" w:rsidRPr="00AE2B3F" w:rsidP="005743D0" w14:paraId="3D6027FD" w14:textId="77777777">
            <w:pPr>
              <w:widowControl/>
              <w:overflowPunct/>
              <w:autoSpaceDE/>
              <w:autoSpaceDN/>
              <w:adjustRightInd/>
              <w:jc w:val="right"/>
              <w:textAlignment w:val="auto"/>
              <w:rPr>
                <w:sz w:val="18"/>
                <w:szCs w:val="18"/>
              </w:rPr>
            </w:pPr>
            <w:r w:rsidRPr="00AE2B3F">
              <w:rPr>
                <w:sz w:val="18"/>
                <w:szCs w:val="18"/>
              </w:rPr>
              <w:t>1.00</w:t>
            </w:r>
          </w:p>
        </w:tc>
        <w:tc>
          <w:tcPr>
            <w:tcW w:w="1170" w:type="dxa"/>
            <w:tcBorders>
              <w:top w:val="nil"/>
              <w:left w:val="nil"/>
              <w:bottom w:val="single" w:sz="4" w:space="0" w:color="auto"/>
              <w:right w:val="single" w:sz="4" w:space="0" w:color="auto"/>
            </w:tcBorders>
            <w:shd w:val="clear" w:color="auto" w:fill="F2F2F2" w:themeFill="background1" w:themeFillShade="F2"/>
            <w:vAlign w:val="center"/>
            <w:hideMark/>
          </w:tcPr>
          <w:p w:rsidR="009564EC" w:rsidRPr="00AE2B3F" w:rsidP="005743D0" w14:paraId="2CEAF62B" w14:textId="77777777">
            <w:pPr>
              <w:widowControl/>
              <w:overflowPunct/>
              <w:autoSpaceDE/>
              <w:autoSpaceDN/>
              <w:adjustRightInd/>
              <w:jc w:val="right"/>
              <w:textAlignment w:val="auto"/>
              <w:rPr>
                <w:sz w:val="18"/>
                <w:szCs w:val="18"/>
              </w:rPr>
            </w:pPr>
            <w:r w:rsidRPr="00AE2B3F">
              <w:rPr>
                <w:sz w:val="18"/>
                <w:szCs w:val="18"/>
              </w:rPr>
              <w:t>20.00</w:t>
            </w:r>
          </w:p>
        </w:tc>
        <w:tc>
          <w:tcPr>
            <w:tcW w:w="1107" w:type="dxa"/>
            <w:tcBorders>
              <w:top w:val="nil"/>
              <w:left w:val="nil"/>
              <w:bottom w:val="single" w:sz="4" w:space="0" w:color="auto"/>
              <w:right w:val="single" w:sz="4" w:space="0" w:color="auto"/>
            </w:tcBorders>
            <w:vAlign w:val="center"/>
            <w:hideMark/>
          </w:tcPr>
          <w:p w:rsidR="009564EC" w:rsidRPr="00AE2B3F" w:rsidP="005743D0" w14:paraId="4CF2A09E" w14:textId="77777777">
            <w:pPr>
              <w:widowControl/>
              <w:overflowPunct/>
              <w:autoSpaceDE/>
              <w:autoSpaceDN/>
              <w:adjustRightInd/>
              <w:jc w:val="right"/>
              <w:textAlignment w:val="auto"/>
              <w:rPr>
                <w:sz w:val="18"/>
                <w:szCs w:val="18"/>
              </w:rPr>
            </w:pPr>
            <w:r w:rsidRPr="00AE2B3F">
              <w:rPr>
                <w:sz w:val="18"/>
                <w:szCs w:val="18"/>
              </w:rPr>
              <w:t>160.00</w:t>
            </w:r>
          </w:p>
        </w:tc>
        <w:tc>
          <w:tcPr>
            <w:tcW w:w="1053" w:type="dxa"/>
            <w:tcBorders>
              <w:top w:val="nil"/>
              <w:left w:val="nil"/>
              <w:bottom w:val="single" w:sz="4" w:space="0" w:color="auto"/>
              <w:right w:val="single" w:sz="4" w:space="0" w:color="auto"/>
            </w:tcBorders>
            <w:shd w:val="clear" w:color="auto" w:fill="F2F2F2" w:themeFill="background1" w:themeFillShade="F2"/>
            <w:vAlign w:val="center"/>
            <w:hideMark/>
          </w:tcPr>
          <w:p w:rsidR="009564EC" w:rsidRPr="00AE2B3F" w:rsidP="005743D0" w14:paraId="1308B4CD" w14:textId="77777777">
            <w:pPr>
              <w:widowControl/>
              <w:overflowPunct/>
              <w:autoSpaceDE/>
              <w:autoSpaceDN/>
              <w:adjustRightInd/>
              <w:jc w:val="right"/>
              <w:textAlignment w:val="auto"/>
              <w:rPr>
                <w:sz w:val="18"/>
                <w:szCs w:val="18"/>
              </w:rPr>
            </w:pPr>
            <w:r w:rsidRPr="00AE2B3F">
              <w:rPr>
                <w:sz w:val="18"/>
                <w:szCs w:val="18"/>
              </w:rPr>
              <w:t>3,200.00</w:t>
            </w:r>
          </w:p>
        </w:tc>
        <w:tc>
          <w:tcPr>
            <w:tcW w:w="1170" w:type="dxa"/>
            <w:tcBorders>
              <w:top w:val="nil"/>
              <w:left w:val="nil"/>
              <w:bottom w:val="single" w:sz="4" w:space="0" w:color="auto"/>
              <w:right w:val="single" w:sz="4" w:space="0" w:color="auto"/>
            </w:tcBorders>
            <w:vAlign w:val="center"/>
            <w:hideMark/>
          </w:tcPr>
          <w:p w:rsidR="009564EC" w:rsidRPr="00DD2920" w:rsidP="005743D0" w14:paraId="500CE96C" w14:textId="77777777">
            <w:pPr>
              <w:widowControl/>
              <w:overflowPunct/>
              <w:autoSpaceDE/>
              <w:autoSpaceDN/>
              <w:adjustRightInd/>
              <w:jc w:val="right"/>
              <w:textAlignment w:val="auto"/>
              <w:rPr>
                <w:i/>
                <w:iCs/>
                <w:sz w:val="18"/>
                <w:szCs w:val="18"/>
              </w:rPr>
            </w:pPr>
            <w:r w:rsidRPr="00DD2920">
              <w:rPr>
                <w:i/>
                <w:iCs/>
                <w:sz w:val="18"/>
                <w:szCs w:val="18"/>
              </w:rPr>
              <w:t>3,200.00</w:t>
            </w:r>
          </w:p>
        </w:tc>
        <w:tc>
          <w:tcPr>
            <w:tcW w:w="1363" w:type="dxa"/>
            <w:tcBorders>
              <w:top w:val="nil"/>
              <w:left w:val="nil"/>
              <w:bottom w:val="single" w:sz="4" w:space="0" w:color="auto"/>
              <w:right w:val="single" w:sz="4" w:space="0" w:color="auto"/>
            </w:tcBorders>
            <w:vAlign w:val="center"/>
          </w:tcPr>
          <w:p w:rsidR="009564EC" w:rsidRPr="00AE2B3F" w:rsidP="005743D0" w14:paraId="1A63C2FB" w14:textId="63D55D06">
            <w:pPr>
              <w:widowControl/>
              <w:overflowPunct/>
              <w:autoSpaceDE/>
              <w:autoSpaceDN/>
              <w:adjustRightInd/>
              <w:jc w:val="right"/>
              <w:textAlignment w:val="auto"/>
              <w:rPr>
                <w:sz w:val="18"/>
                <w:szCs w:val="18"/>
              </w:rPr>
            </w:pPr>
            <w:r>
              <w:rPr>
                <w:sz w:val="18"/>
                <w:szCs w:val="18"/>
              </w:rPr>
              <w:t>0.00</w:t>
            </w:r>
          </w:p>
        </w:tc>
        <w:tc>
          <w:tcPr>
            <w:tcW w:w="1242" w:type="dxa"/>
            <w:tcBorders>
              <w:top w:val="nil"/>
              <w:left w:val="nil"/>
              <w:bottom w:val="single" w:sz="4" w:space="0" w:color="auto"/>
              <w:right w:val="single" w:sz="4" w:space="0" w:color="auto"/>
            </w:tcBorders>
            <w:vAlign w:val="center"/>
          </w:tcPr>
          <w:p w:rsidR="009564EC" w:rsidRPr="00AE2B3F" w:rsidP="005743D0" w14:paraId="003BDC7F" w14:textId="443EDE0D">
            <w:pPr>
              <w:widowControl/>
              <w:overflowPunct/>
              <w:autoSpaceDE/>
              <w:autoSpaceDN/>
              <w:adjustRightInd/>
              <w:jc w:val="right"/>
              <w:textAlignment w:val="auto"/>
              <w:rPr>
                <w:sz w:val="18"/>
                <w:szCs w:val="18"/>
              </w:rPr>
            </w:pPr>
            <w:r w:rsidRPr="00AE2B3F">
              <w:rPr>
                <w:sz w:val="18"/>
                <w:szCs w:val="18"/>
              </w:rPr>
              <w:t>0.00</w:t>
            </w:r>
          </w:p>
        </w:tc>
        <w:tc>
          <w:tcPr>
            <w:tcW w:w="1265" w:type="dxa"/>
            <w:tcBorders>
              <w:top w:val="nil"/>
              <w:left w:val="nil"/>
              <w:bottom w:val="single" w:sz="4" w:space="0" w:color="auto"/>
              <w:right w:val="single" w:sz="4" w:space="0" w:color="auto"/>
            </w:tcBorders>
            <w:vAlign w:val="center"/>
          </w:tcPr>
          <w:p w:rsidR="009564EC" w:rsidRPr="00AE2B3F" w:rsidP="005743D0" w14:paraId="1386A84A" w14:textId="1BC7ECF0">
            <w:pPr>
              <w:widowControl/>
              <w:overflowPunct/>
              <w:autoSpaceDE/>
              <w:autoSpaceDN/>
              <w:adjustRightInd/>
              <w:jc w:val="right"/>
              <w:textAlignment w:val="auto"/>
              <w:rPr>
                <w:sz w:val="18"/>
                <w:szCs w:val="18"/>
              </w:rPr>
            </w:pPr>
            <w:r w:rsidRPr="00AE2B3F">
              <w:rPr>
                <w:sz w:val="18"/>
                <w:szCs w:val="18"/>
              </w:rPr>
              <w:t>0.00</w:t>
            </w:r>
          </w:p>
        </w:tc>
      </w:tr>
      <w:tr w14:paraId="12A1C93A" w14:textId="77777777" w:rsidTr="4FE94C9D">
        <w:tblPrEx>
          <w:tblW w:w="14215" w:type="dxa"/>
          <w:tblLayout w:type="fixed"/>
          <w:tblLook w:val="04A0"/>
        </w:tblPrEx>
        <w:trPr>
          <w:trHeight w:val="276"/>
        </w:trPr>
        <w:tc>
          <w:tcPr>
            <w:tcW w:w="341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970812" w:rsidRPr="00970812" w:rsidP="00970812" w14:paraId="6A078C45" w14:textId="2685E964">
            <w:pPr>
              <w:widowControl/>
              <w:overflowPunct/>
              <w:autoSpaceDE/>
              <w:autoSpaceDN/>
              <w:adjustRightInd/>
              <w:jc w:val="center"/>
              <w:textAlignment w:val="auto"/>
              <w:rPr>
                <w:b/>
                <w:bCs/>
                <w:sz w:val="18"/>
                <w:szCs w:val="18"/>
              </w:rPr>
            </w:pPr>
            <w:r w:rsidRPr="00970812">
              <w:rPr>
                <w:b/>
                <w:bCs/>
                <w:sz w:val="18"/>
                <w:szCs w:val="18"/>
              </w:rPr>
              <w:t>Subtotal Reporting:</w:t>
            </w:r>
          </w:p>
          <w:p w:rsidR="005743D0" w:rsidRPr="00AE2B3F" w:rsidP="00970812" w14:paraId="13E9D788" w14:textId="72CAD2D8">
            <w:pPr>
              <w:widowControl/>
              <w:overflowPunct/>
              <w:autoSpaceDE/>
              <w:autoSpaceDN/>
              <w:adjustRightInd/>
              <w:jc w:val="center"/>
              <w:textAlignment w:val="auto"/>
              <w:rPr>
                <w:b/>
                <w:bCs/>
                <w:sz w:val="18"/>
                <w:szCs w:val="18"/>
              </w:rPr>
            </w:pPr>
            <w:r w:rsidRPr="00970812">
              <w:rPr>
                <w:b/>
                <w:bCs/>
                <w:sz w:val="18"/>
                <w:szCs w:val="18"/>
              </w:rPr>
              <w:t>State and Local Agencies</w:t>
            </w:r>
          </w:p>
        </w:tc>
        <w:tc>
          <w:tcPr>
            <w:tcW w:w="1260" w:type="dxa"/>
            <w:tcBorders>
              <w:top w:val="nil"/>
              <w:left w:val="nil"/>
              <w:bottom w:val="single" w:sz="4" w:space="0" w:color="auto"/>
              <w:right w:val="single" w:sz="4" w:space="0" w:color="auto"/>
            </w:tcBorders>
            <w:shd w:val="clear" w:color="auto" w:fill="D9D9D9" w:themeFill="background1" w:themeFillShade="D9"/>
            <w:vAlign w:val="center"/>
            <w:hideMark/>
          </w:tcPr>
          <w:p w:rsidR="005743D0" w:rsidRPr="005743D0" w:rsidP="005743D0" w14:paraId="0CFE2AB7" w14:textId="1916EFCD">
            <w:pPr>
              <w:widowControl/>
              <w:overflowPunct/>
              <w:autoSpaceDE/>
              <w:autoSpaceDN/>
              <w:adjustRightInd/>
              <w:jc w:val="right"/>
              <w:textAlignment w:val="auto"/>
              <w:rPr>
                <w:b/>
                <w:bCs/>
                <w:sz w:val="18"/>
                <w:szCs w:val="18"/>
              </w:rPr>
            </w:pPr>
            <w:r w:rsidRPr="005743D0">
              <w:rPr>
                <w:b/>
                <w:bCs/>
                <w:sz w:val="18"/>
                <w:szCs w:val="18"/>
              </w:rPr>
              <w:t>88</w:t>
            </w:r>
          </w:p>
        </w:tc>
        <w:tc>
          <w:tcPr>
            <w:tcW w:w="1170" w:type="dxa"/>
            <w:tcBorders>
              <w:top w:val="nil"/>
              <w:left w:val="nil"/>
              <w:bottom w:val="single" w:sz="4" w:space="0" w:color="auto"/>
              <w:right w:val="single" w:sz="4" w:space="0" w:color="auto"/>
            </w:tcBorders>
            <w:shd w:val="clear" w:color="auto" w:fill="D9D9D9" w:themeFill="background1" w:themeFillShade="D9"/>
            <w:vAlign w:val="center"/>
            <w:hideMark/>
          </w:tcPr>
          <w:p w:rsidR="005743D0" w:rsidRPr="005743D0" w:rsidP="005743D0" w14:paraId="0DB96BB3" w14:textId="54D4E267">
            <w:pPr>
              <w:widowControl/>
              <w:overflowPunct/>
              <w:autoSpaceDE/>
              <w:autoSpaceDN/>
              <w:adjustRightInd/>
              <w:jc w:val="right"/>
              <w:textAlignment w:val="auto"/>
              <w:rPr>
                <w:b/>
                <w:bCs/>
                <w:sz w:val="18"/>
                <w:szCs w:val="18"/>
              </w:rPr>
            </w:pPr>
            <w:r w:rsidRPr="005743D0">
              <w:rPr>
                <w:b/>
                <w:bCs/>
                <w:sz w:val="18"/>
                <w:szCs w:val="18"/>
              </w:rPr>
              <w:t>688.59</w:t>
            </w:r>
          </w:p>
        </w:tc>
        <w:tc>
          <w:tcPr>
            <w:tcW w:w="1170" w:type="dxa"/>
            <w:tcBorders>
              <w:top w:val="nil"/>
              <w:left w:val="nil"/>
              <w:bottom w:val="single" w:sz="4" w:space="0" w:color="auto"/>
              <w:right w:val="single" w:sz="4" w:space="0" w:color="auto"/>
            </w:tcBorders>
            <w:shd w:val="clear" w:color="auto" w:fill="D9D9D9" w:themeFill="background1" w:themeFillShade="D9"/>
            <w:vAlign w:val="center"/>
            <w:hideMark/>
          </w:tcPr>
          <w:p w:rsidR="005743D0" w:rsidRPr="005743D0" w:rsidP="005743D0" w14:paraId="1D6574DE" w14:textId="33BE9481">
            <w:pPr>
              <w:widowControl/>
              <w:overflowPunct/>
              <w:autoSpaceDE/>
              <w:autoSpaceDN/>
              <w:adjustRightInd/>
              <w:jc w:val="right"/>
              <w:textAlignment w:val="auto"/>
              <w:rPr>
                <w:b/>
                <w:bCs/>
                <w:sz w:val="18"/>
                <w:szCs w:val="18"/>
              </w:rPr>
            </w:pPr>
            <w:r w:rsidRPr="005743D0">
              <w:rPr>
                <w:b/>
                <w:bCs/>
                <w:sz w:val="18"/>
                <w:szCs w:val="18"/>
              </w:rPr>
              <w:t>60,596</w:t>
            </w:r>
          </w:p>
        </w:tc>
        <w:tc>
          <w:tcPr>
            <w:tcW w:w="1107" w:type="dxa"/>
            <w:tcBorders>
              <w:top w:val="nil"/>
              <w:left w:val="nil"/>
              <w:bottom w:val="single" w:sz="4" w:space="0" w:color="auto"/>
              <w:right w:val="single" w:sz="4" w:space="0" w:color="auto"/>
            </w:tcBorders>
            <w:shd w:val="clear" w:color="auto" w:fill="D9D9D9" w:themeFill="background1" w:themeFillShade="D9"/>
            <w:vAlign w:val="center"/>
            <w:hideMark/>
          </w:tcPr>
          <w:p w:rsidR="005743D0" w:rsidRPr="005743D0" w:rsidP="005743D0" w14:paraId="58411D06" w14:textId="321BF837">
            <w:pPr>
              <w:widowControl/>
              <w:overflowPunct/>
              <w:autoSpaceDE/>
              <w:autoSpaceDN/>
              <w:adjustRightInd/>
              <w:jc w:val="right"/>
              <w:textAlignment w:val="auto"/>
              <w:rPr>
                <w:b/>
                <w:bCs/>
                <w:sz w:val="18"/>
                <w:szCs w:val="18"/>
              </w:rPr>
            </w:pPr>
            <w:r w:rsidRPr="005743D0">
              <w:rPr>
                <w:b/>
                <w:bCs/>
                <w:sz w:val="18"/>
                <w:szCs w:val="18"/>
              </w:rPr>
              <w:t>2.50</w:t>
            </w:r>
          </w:p>
        </w:tc>
        <w:tc>
          <w:tcPr>
            <w:tcW w:w="1053" w:type="dxa"/>
            <w:tcBorders>
              <w:top w:val="nil"/>
              <w:left w:val="nil"/>
              <w:bottom w:val="single" w:sz="4" w:space="0" w:color="auto"/>
              <w:right w:val="single" w:sz="4" w:space="0" w:color="auto"/>
            </w:tcBorders>
            <w:shd w:val="clear" w:color="auto" w:fill="D9D9D9" w:themeFill="background1" w:themeFillShade="D9"/>
            <w:vAlign w:val="center"/>
            <w:hideMark/>
          </w:tcPr>
          <w:p w:rsidR="005743D0" w:rsidRPr="005743D0" w:rsidP="005743D0" w14:paraId="550347BE" w14:textId="47A31FEA">
            <w:pPr>
              <w:widowControl/>
              <w:overflowPunct/>
              <w:autoSpaceDE/>
              <w:autoSpaceDN/>
              <w:adjustRightInd/>
              <w:jc w:val="right"/>
              <w:textAlignment w:val="auto"/>
              <w:rPr>
                <w:b/>
                <w:bCs/>
                <w:sz w:val="18"/>
                <w:szCs w:val="18"/>
              </w:rPr>
            </w:pPr>
            <w:r w:rsidRPr="005743D0">
              <w:rPr>
                <w:b/>
                <w:bCs/>
                <w:sz w:val="18"/>
                <w:szCs w:val="18"/>
              </w:rPr>
              <w:t>151,290</w:t>
            </w:r>
          </w:p>
        </w:tc>
        <w:tc>
          <w:tcPr>
            <w:tcW w:w="1170" w:type="dxa"/>
            <w:tcBorders>
              <w:top w:val="nil"/>
              <w:left w:val="nil"/>
              <w:bottom w:val="single" w:sz="4" w:space="0" w:color="auto"/>
              <w:right w:val="single" w:sz="4" w:space="0" w:color="auto"/>
            </w:tcBorders>
            <w:shd w:val="clear" w:color="auto" w:fill="D9D9D9" w:themeFill="background1" w:themeFillShade="D9"/>
            <w:vAlign w:val="center"/>
            <w:hideMark/>
          </w:tcPr>
          <w:p w:rsidR="005743D0" w:rsidRPr="00DD2920" w:rsidP="005743D0" w14:paraId="79E438AF" w14:textId="1F66BC55">
            <w:pPr>
              <w:widowControl/>
              <w:overflowPunct/>
              <w:autoSpaceDE/>
              <w:autoSpaceDN/>
              <w:adjustRightInd/>
              <w:jc w:val="right"/>
              <w:textAlignment w:val="auto"/>
              <w:rPr>
                <w:b/>
                <w:bCs/>
                <w:i/>
                <w:iCs/>
                <w:sz w:val="18"/>
                <w:szCs w:val="18"/>
              </w:rPr>
            </w:pPr>
            <w:r w:rsidRPr="00DD2920">
              <w:rPr>
                <w:b/>
                <w:bCs/>
                <w:i/>
                <w:iCs/>
                <w:sz w:val="18"/>
                <w:szCs w:val="18"/>
              </w:rPr>
              <w:t>261,950</w:t>
            </w:r>
          </w:p>
        </w:tc>
        <w:tc>
          <w:tcPr>
            <w:tcW w:w="1363" w:type="dxa"/>
            <w:tcBorders>
              <w:top w:val="nil"/>
              <w:left w:val="nil"/>
              <w:bottom w:val="single" w:sz="4" w:space="0" w:color="auto"/>
              <w:right w:val="single" w:sz="4" w:space="0" w:color="auto"/>
            </w:tcBorders>
            <w:shd w:val="clear" w:color="auto" w:fill="D9D9D9" w:themeFill="background1" w:themeFillShade="D9"/>
            <w:vAlign w:val="center"/>
          </w:tcPr>
          <w:p w:rsidR="005743D0" w:rsidRPr="005743D0" w:rsidP="005743D0" w14:paraId="435F8AA9" w14:textId="58CCA283">
            <w:pPr>
              <w:widowControl/>
              <w:overflowPunct/>
              <w:autoSpaceDE/>
              <w:autoSpaceDN/>
              <w:adjustRightInd/>
              <w:jc w:val="right"/>
              <w:textAlignment w:val="auto"/>
              <w:rPr>
                <w:b/>
                <w:bCs/>
                <w:sz w:val="18"/>
                <w:szCs w:val="18"/>
              </w:rPr>
            </w:pPr>
            <w:r w:rsidRPr="005743D0">
              <w:rPr>
                <w:b/>
                <w:bCs/>
                <w:sz w:val="18"/>
                <w:szCs w:val="18"/>
              </w:rPr>
              <w:t>-141,881.94</w:t>
            </w:r>
          </w:p>
        </w:tc>
        <w:tc>
          <w:tcPr>
            <w:tcW w:w="1242" w:type="dxa"/>
            <w:tcBorders>
              <w:top w:val="nil"/>
              <w:left w:val="nil"/>
              <w:bottom w:val="single" w:sz="4" w:space="0" w:color="auto"/>
              <w:right w:val="single" w:sz="4" w:space="0" w:color="auto"/>
            </w:tcBorders>
            <w:shd w:val="clear" w:color="auto" w:fill="D9D9D9" w:themeFill="background1" w:themeFillShade="D9"/>
            <w:vAlign w:val="center"/>
          </w:tcPr>
          <w:p w:rsidR="005743D0" w:rsidRPr="005743D0" w:rsidP="005743D0" w14:paraId="43573D40" w14:textId="5FBCF4FF">
            <w:pPr>
              <w:widowControl/>
              <w:overflowPunct/>
              <w:autoSpaceDE/>
              <w:autoSpaceDN/>
              <w:adjustRightInd/>
              <w:jc w:val="right"/>
              <w:textAlignment w:val="auto"/>
              <w:rPr>
                <w:b/>
                <w:bCs/>
                <w:sz w:val="18"/>
                <w:szCs w:val="18"/>
              </w:rPr>
            </w:pPr>
            <w:r w:rsidRPr="005743D0">
              <w:rPr>
                <w:b/>
                <w:bCs/>
                <w:sz w:val="18"/>
                <w:szCs w:val="18"/>
              </w:rPr>
              <w:t>31,221.50</w:t>
            </w:r>
          </w:p>
        </w:tc>
        <w:tc>
          <w:tcPr>
            <w:tcW w:w="1265" w:type="dxa"/>
            <w:tcBorders>
              <w:top w:val="nil"/>
              <w:left w:val="nil"/>
              <w:bottom w:val="single" w:sz="4" w:space="0" w:color="auto"/>
              <w:right w:val="single" w:sz="4" w:space="0" w:color="auto"/>
            </w:tcBorders>
            <w:shd w:val="clear" w:color="auto" w:fill="D9D9D9" w:themeFill="background1" w:themeFillShade="D9"/>
            <w:vAlign w:val="center"/>
          </w:tcPr>
          <w:p w:rsidR="005743D0" w:rsidRPr="005743D0" w:rsidP="005743D0" w14:paraId="04D5A183" w14:textId="36335B90">
            <w:pPr>
              <w:widowControl/>
              <w:overflowPunct/>
              <w:autoSpaceDE/>
              <w:autoSpaceDN/>
              <w:adjustRightInd/>
              <w:jc w:val="right"/>
              <w:textAlignment w:val="auto"/>
              <w:rPr>
                <w:b/>
                <w:bCs/>
                <w:sz w:val="18"/>
                <w:szCs w:val="18"/>
              </w:rPr>
            </w:pPr>
            <w:r w:rsidRPr="005743D0">
              <w:rPr>
                <w:b/>
                <w:bCs/>
                <w:sz w:val="18"/>
                <w:szCs w:val="18"/>
              </w:rPr>
              <w:t>-110,660.44</w:t>
            </w:r>
          </w:p>
        </w:tc>
      </w:tr>
      <w:tr w14:paraId="0A49A602" w14:textId="77777777" w:rsidTr="4FE94C9D">
        <w:tblPrEx>
          <w:tblW w:w="14215" w:type="dxa"/>
          <w:tblLayout w:type="fixed"/>
          <w:tblLook w:val="04A0"/>
        </w:tblPrEx>
        <w:trPr>
          <w:trHeight w:val="276"/>
        </w:trPr>
        <w:tc>
          <w:tcPr>
            <w:tcW w:w="14215" w:type="dxa"/>
            <w:gridSpan w:val="11"/>
            <w:tcBorders>
              <w:top w:val="single" w:sz="4" w:space="0" w:color="auto"/>
              <w:left w:val="single" w:sz="4" w:space="0" w:color="auto"/>
              <w:bottom w:val="single" w:sz="4" w:space="0" w:color="auto"/>
              <w:right w:val="single" w:sz="4" w:space="0" w:color="auto"/>
            </w:tcBorders>
            <w:vAlign w:val="center"/>
            <w:hideMark/>
          </w:tcPr>
          <w:p w:rsidR="00B01B54" w:rsidRPr="00AE2B3F" w:rsidP="009564EC" w14:paraId="2A333A20" w14:textId="7B30AB79">
            <w:pPr>
              <w:widowControl/>
              <w:overflowPunct/>
              <w:autoSpaceDE/>
              <w:autoSpaceDN/>
              <w:adjustRightInd/>
              <w:jc w:val="center"/>
              <w:textAlignment w:val="auto"/>
              <w:rPr>
                <w:b/>
                <w:bCs/>
                <w:sz w:val="18"/>
                <w:szCs w:val="18"/>
              </w:rPr>
            </w:pPr>
            <w:r w:rsidRPr="00AE2B3F">
              <w:rPr>
                <w:b/>
                <w:bCs/>
                <w:sz w:val="18"/>
                <w:szCs w:val="18"/>
              </w:rPr>
              <w:t>Affected Public: Individuals and Households: Applicants for Program Benefits</w:t>
            </w:r>
          </w:p>
        </w:tc>
      </w:tr>
      <w:tr w14:paraId="0443F088" w14:textId="77777777" w:rsidTr="4FE94C9D">
        <w:tblPrEx>
          <w:tblW w:w="14215" w:type="dxa"/>
          <w:tblLayout w:type="fixed"/>
          <w:tblLook w:val="04A0"/>
        </w:tblPrEx>
        <w:trPr>
          <w:trHeight w:val="1104"/>
        </w:trPr>
        <w:tc>
          <w:tcPr>
            <w:tcW w:w="1651" w:type="dxa"/>
            <w:tcBorders>
              <w:top w:val="nil"/>
              <w:left w:val="single" w:sz="4" w:space="0" w:color="auto"/>
              <w:bottom w:val="single" w:sz="4" w:space="0" w:color="auto"/>
              <w:right w:val="single" w:sz="4" w:space="0" w:color="auto"/>
            </w:tcBorders>
            <w:vAlign w:val="center"/>
            <w:hideMark/>
          </w:tcPr>
          <w:p w:rsidR="001126A5" w:rsidRPr="00AE2B3F" w:rsidP="001126A5" w14:paraId="46726009" w14:textId="77777777">
            <w:pPr>
              <w:widowControl/>
              <w:overflowPunct/>
              <w:autoSpaceDE/>
              <w:autoSpaceDN/>
              <w:adjustRightInd/>
              <w:textAlignment w:val="auto"/>
              <w:rPr>
                <w:b/>
                <w:bCs/>
                <w:sz w:val="18"/>
                <w:szCs w:val="18"/>
              </w:rPr>
            </w:pPr>
            <w:r w:rsidRPr="00AE2B3F">
              <w:rPr>
                <w:b/>
                <w:bCs/>
                <w:sz w:val="18"/>
                <w:szCs w:val="18"/>
              </w:rPr>
              <w:t>246.12(r)(4) &amp; (r)(5)</w:t>
            </w:r>
          </w:p>
        </w:tc>
        <w:tc>
          <w:tcPr>
            <w:tcW w:w="1764" w:type="dxa"/>
            <w:tcBorders>
              <w:top w:val="nil"/>
              <w:left w:val="nil"/>
              <w:bottom w:val="single" w:sz="4" w:space="0" w:color="auto"/>
              <w:right w:val="single" w:sz="4" w:space="0" w:color="auto"/>
            </w:tcBorders>
            <w:vAlign w:val="bottom"/>
            <w:hideMark/>
          </w:tcPr>
          <w:p w:rsidR="001126A5" w:rsidRPr="00AE2B3F" w:rsidP="001126A5" w14:paraId="2CDB13C9" w14:textId="77777777">
            <w:pPr>
              <w:widowControl/>
              <w:overflowPunct/>
              <w:autoSpaceDE/>
              <w:autoSpaceDN/>
              <w:adjustRightInd/>
              <w:textAlignment w:val="auto"/>
              <w:rPr>
                <w:sz w:val="18"/>
                <w:szCs w:val="18"/>
              </w:rPr>
            </w:pPr>
            <w:r w:rsidRPr="00AE2B3F">
              <w:rPr>
                <w:sz w:val="18"/>
                <w:szCs w:val="18"/>
              </w:rPr>
              <w:t>Offline EBT State agencies: Food instrument and cash-value voucher pick up (non-certification clinic visits)</w:t>
            </w:r>
          </w:p>
        </w:tc>
        <w:tc>
          <w:tcPr>
            <w:tcW w:w="1260" w:type="dxa"/>
            <w:tcBorders>
              <w:top w:val="nil"/>
              <w:left w:val="nil"/>
              <w:bottom w:val="single" w:sz="4" w:space="0" w:color="auto"/>
              <w:right w:val="single" w:sz="4" w:space="0" w:color="auto"/>
            </w:tcBorders>
            <w:vAlign w:val="center"/>
            <w:hideMark/>
          </w:tcPr>
          <w:p w:rsidR="001126A5" w:rsidRPr="00AE2B3F" w:rsidP="001126A5" w14:paraId="6B92C9AD" w14:textId="58896FA2">
            <w:pPr>
              <w:widowControl/>
              <w:overflowPunct/>
              <w:autoSpaceDE/>
              <w:autoSpaceDN/>
              <w:adjustRightInd/>
              <w:jc w:val="right"/>
              <w:textAlignment w:val="auto"/>
              <w:rPr>
                <w:sz w:val="18"/>
                <w:szCs w:val="18"/>
              </w:rPr>
            </w:pPr>
            <w:r w:rsidRPr="001126A5">
              <w:rPr>
                <w:sz w:val="18"/>
                <w:szCs w:val="18"/>
              </w:rPr>
              <w:t>304,757.59</w:t>
            </w:r>
          </w:p>
        </w:tc>
        <w:tc>
          <w:tcPr>
            <w:tcW w:w="1170" w:type="dxa"/>
            <w:tcBorders>
              <w:top w:val="nil"/>
              <w:left w:val="nil"/>
              <w:bottom w:val="single" w:sz="4" w:space="0" w:color="auto"/>
              <w:right w:val="single" w:sz="4" w:space="0" w:color="auto"/>
            </w:tcBorders>
            <w:vAlign w:val="center"/>
            <w:hideMark/>
          </w:tcPr>
          <w:p w:rsidR="001126A5" w:rsidRPr="00AE2B3F" w:rsidP="001126A5" w14:paraId="794FF2DF" w14:textId="7CB79135">
            <w:pPr>
              <w:widowControl/>
              <w:overflowPunct/>
              <w:autoSpaceDE/>
              <w:autoSpaceDN/>
              <w:adjustRightInd/>
              <w:jc w:val="right"/>
              <w:textAlignment w:val="auto"/>
              <w:rPr>
                <w:sz w:val="18"/>
                <w:szCs w:val="18"/>
              </w:rPr>
            </w:pPr>
            <w:r w:rsidRPr="001126A5">
              <w:rPr>
                <w:sz w:val="18"/>
                <w:szCs w:val="18"/>
              </w:rPr>
              <w:t>2.63</w:t>
            </w:r>
          </w:p>
        </w:tc>
        <w:tc>
          <w:tcPr>
            <w:tcW w:w="1170" w:type="dxa"/>
            <w:tcBorders>
              <w:top w:val="nil"/>
              <w:left w:val="nil"/>
              <w:bottom w:val="single" w:sz="4" w:space="0" w:color="auto"/>
              <w:right w:val="single" w:sz="4" w:space="0" w:color="auto"/>
            </w:tcBorders>
            <w:shd w:val="clear" w:color="auto" w:fill="F2F2F2" w:themeFill="background1" w:themeFillShade="F2"/>
            <w:vAlign w:val="center"/>
            <w:hideMark/>
          </w:tcPr>
          <w:p w:rsidR="001126A5" w:rsidRPr="00AE2B3F" w:rsidP="001126A5" w14:paraId="0B254D20" w14:textId="0F625869">
            <w:pPr>
              <w:widowControl/>
              <w:overflowPunct/>
              <w:autoSpaceDE/>
              <w:autoSpaceDN/>
              <w:adjustRightInd/>
              <w:jc w:val="right"/>
              <w:textAlignment w:val="auto"/>
              <w:rPr>
                <w:sz w:val="18"/>
                <w:szCs w:val="18"/>
              </w:rPr>
            </w:pPr>
            <w:r w:rsidRPr="001126A5">
              <w:rPr>
                <w:sz w:val="18"/>
                <w:szCs w:val="18"/>
              </w:rPr>
              <w:t>799,988.68</w:t>
            </w:r>
          </w:p>
        </w:tc>
        <w:tc>
          <w:tcPr>
            <w:tcW w:w="1107" w:type="dxa"/>
            <w:tcBorders>
              <w:top w:val="nil"/>
              <w:left w:val="nil"/>
              <w:bottom w:val="single" w:sz="4" w:space="0" w:color="auto"/>
              <w:right w:val="single" w:sz="4" w:space="0" w:color="auto"/>
            </w:tcBorders>
            <w:vAlign w:val="center"/>
            <w:hideMark/>
          </w:tcPr>
          <w:p w:rsidR="001126A5" w:rsidRPr="00AE2B3F" w:rsidP="001126A5" w14:paraId="310C7EB2" w14:textId="4687165B">
            <w:pPr>
              <w:widowControl/>
              <w:overflowPunct/>
              <w:autoSpaceDE/>
              <w:autoSpaceDN/>
              <w:adjustRightInd/>
              <w:jc w:val="right"/>
              <w:textAlignment w:val="auto"/>
              <w:rPr>
                <w:sz w:val="18"/>
                <w:szCs w:val="18"/>
              </w:rPr>
            </w:pPr>
            <w:r w:rsidRPr="001126A5">
              <w:rPr>
                <w:sz w:val="18"/>
                <w:szCs w:val="18"/>
              </w:rPr>
              <w:t>0.50</w:t>
            </w:r>
          </w:p>
        </w:tc>
        <w:tc>
          <w:tcPr>
            <w:tcW w:w="1053" w:type="dxa"/>
            <w:tcBorders>
              <w:top w:val="nil"/>
              <w:left w:val="nil"/>
              <w:bottom w:val="single" w:sz="4" w:space="0" w:color="auto"/>
              <w:right w:val="single" w:sz="4" w:space="0" w:color="auto"/>
            </w:tcBorders>
            <w:shd w:val="clear" w:color="auto" w:fill="F2F2F2" w:themeFill="background1" w:themeFillShade="F2"/>
            <w:vAlign w:val="center"/>
            <w:hideMark/>
          </w:tcPr>
          <w:p w:rsidR="001126A5" w:rsidRPr="00AE2B3F" w:rsidP="001126A5" w14:paraId="476543BD" w14:textId="3EE98AFD">
            <w:pPr>
              <w:widowControl/>
              <w:overflowPunct/>
              <w:autoSpaceDE/>
              <w:autoSpaceDN/>
              <w:adjustRightInd/>
              <w:jc w:val="right"/>
              <w:textAlignment w:val="auto"/>
              <w:rPr>
                <w:sz w:val="18"/>
                <w:szCs w:val="18"/>
              </w:rPr>
            </w:pPr>
            <w:r w:rsidRPr="001126A5">
              <w:rPr>
                <w:sz w:val="18"/>
                <w:szCs w:val="18"/>
              </w:rPr>
              <w:t>399,994.34</w:t>
            </w:r>
          </w:p>
        </w:tc>
        <w:tc>
          <w:tcPr>
            <w:tcW w:w="1170" w:type="dxa"/>
            <w:tcBorders>
              <w:top w:val="nil"/>
              <w:left w:val="nil"/>
              <w:bottom w:val="single" w:sz="4" w:space="0" w:color="auto"/>
              <w:right w:val="single" w:sz="4" w:space="0" w:color="auto"/>
            </w:tcBorders>
            <w:vAlign w:val="center"/>
            <w:hideMark/>
          </w:tcPr>
          <w:p w:rsidR="001126A5" w:rsidRPr="00DD2920" w:rsidP="001126A5" w14:paraId="12E471AB" w14:textId="5A8642E8">
            <w:pPr>
              <w:widowControl/>
              <w:overflowPunct/>
              <w:autoSpaceDE/>
              <w:autoSpaceDN/>
              <w:adjustRightInd/>
              <w:jc w:val="right"/>
              <w:textAlignment w:val="auto"/>
              <w:rPr>
                <w:i/>
                <w:iCs/>
                <w:sz w:val="18"/>
                <w:szCs w:val="18"/>
              </w:rPr>
            </w:pPr>
            <w:r w:rsidRPr="00DD2920">
              <w:rPr>
                <w:i/>
                <w:iCs/>
                <w:sz w:val="18"/>
                <w:szCs w:val="18"/>
              </w:rPr>
              <w:t>894,499.89</w:t>
            </w:r>
          </w:p>
        </w:tc>
        <w:tc>
          <w:tcPr>
            <w:tcW w:w="1363" w:type="dxa"/>
            <w:tcBorders>
              <w:top w:val="nil"/>
              <w:left w:val="nil"/>
              <w:bottom w:val="single" w:sz="4" w:space="0" w:color="auto"/>
              <w:right w:val="single" w:sz="4" w:space="0" w:color="auto"/>
            </w:tcBorders>
            <w:vAlign w:val="center"/>
          </w:tcPr>
          <w:p w:rsidR="001126A5" w:rsidRPr="00AE2B3F" w:rsidP="001126A5" w14:paraId="60E975F3" w14:textId="21987C39">
            <w:pPr>
              <w:widowControl/>
              <w:overflowPunct/>
              <w:autoSpaceDE/>
              <w:autoSpaceDN/>
              <w:adjustRightInd/>
              <w:jc w:val="right"/>
              <w:textAlignment w:val="auto"/>
              <w:rPr>
                <w:sz w:val="18"/>
                <w:szCs w:val="18"/>
              </w:rPr>
            </w:pPr>
            <w:r w:rsidRPr="001126A5">
              <w:rPr>
                <w:sz w:val="18"/>
                <w:szCs w:val="18"/>
              </w:rPr>
              <w:t>-57,142.05</w:t>
            </w:r>
          </w:p>
        </w:tc>
        <w:tc>
          <w:tcPr>
            <w:tcW w:w="1242" w:type="dxa"/>
            <w:tcBorders>
              <w:top w:val="nil"/>
              <w:left w:val="nil"/>
              <w:bottom w:val="single" w:sz="4" w:space="0" w:color="auto"/>
              <w:right w:val="single" w:sz="4" w:space="0" w:color="auto"/>
            </w:tcBorders>
            <w:vAlign w:val="center"/>
          </w:tcPr>
          <w:p w:rsidR="001126A5" w:rsidRPr="00AE2B3F" w:rsidP="001126A5" w14:paraId="775EDA65" w14:textId="26C80F50">
            <w:pPr>
              <w:widowControl/>
              <w:overflowPunct/>
              <w:autoSpaceDE/>
              <w:autoSpaceDN/>
              <w:adjustRightInd/>
              <w:jc w:val="right"/>
              <w:textAlignment w:val="auto"/>
              <w:rPr>
                <w:sz w:val="18"/>
                <w:szCs w:val="18"/>
              </w:rPr>
            </w:pPr>
            <w:r w:rsidRPr="001126A5">
              <w:rPr>
                <w:sz w:val="18"/>
                <w:szCs w:val="18"/>
              </w:rPr>
              <w:t>-437,363.50</w:t>
            </w:r>
          </w:p>
        </w:tc>
        <w:tc>
          <w:tcPr>
            <w:tcW w:w="1265" w:type="dxa"/>
            <w:tcBorders>
              <w:top w:val="nil"/>
              <w:left w:val="nil"/>
              <w:bottom w:val="single" w:sz="4" w:space="0" w:color="auto"/>
              <w:right w:val="single" w:sz="4" w:space="0" w:color="auto"/>
            </w:tcBorders>
            <w:vAlign w:val="center"/>
          </w:tcPr>
          <w:p w:rsidR="001126A5" w:rsidRPr="00AE2B3F" w:rsidP="001126A5" w14:paraId="0CED3CD8" w14:textId="36899684">
            <w:pPr>
              <w:widowControl/>
              <w:overflowPunct/>
              <w:autoSpaceDE/>
              <w:autoSpaceDN/>
              <w:adjustRightInd/>
              <w:jc w:val="right"/>
              <w:textAlignment w:val="auto"/>
              <w:rPr>
                <w:sz w:val="18"/>
                <w:szCs w:val="18"/>
              </w:rPr>
            </w:pPr>
            <w:r w:rsidRPr="001126A5">
              <w:rPr>
                <w:sz w:val="18"/>
                <w:szCs w:val="18"/>
              </w:rPr>
              <w:t>-494,505.55</w:t>
            </w:r>
          </w:p>
        </w:tc>
      </w:tr>
      <w:tr w14:paraId="267E01D5" w14:textId="77777777" w:rsidTr="4FE94C9D">
        <w:tblPrEx>
          <w:tblW w:w="14215" w:type="dxa"/>
          <w:tblLayout w:type="fixed"/>
          <w:tblLook w:val="04A0"/>
        </w:tblPrEx>
        <w:trPr>
          <w:trHeight w:val="1104"/>
        </w:trPr>
        <w:tc>
          <w:tcPr>
            <w:tcW w:w="1651" w:type="dxa"/>
            <w:tcBorders>
              <w:top w:val="nil"/>
              <w:left w:val="single" w:sz="4" w:space="0" w:color="auto"/>
              <w:bottom w:val="single" w:sz="4" w:space="0" w:color="auto"/>
              <w:right w:val="single" w:sz="4" w:space="0" w:color="auto"/>
            </w:tcBorders>
            <w:vAlign w:val="center"/>
            <w:hideMark/>
          </w:tcPr>
          <w:p w:rsidR="001126A5" w:rsidRPr="00AE2B3F" w:rsidP="001126A5" w14:paraId="3D6F3E83" w14:textId="77777777">
            <w:pPr>
              <w:widowControl/>
              <w:overflowPunct/>
              <w:autoSpaceDE/>
              <w:autoSpaceDN/>
              <w:adjustRightInd/>
              <w:textAlignment w:val="auto"/>
              <w:rPr>
                <w:b/>
                <w:bCs/>
                <w:sz w:val="18"/>
                <w:szCs w:val="18"/>
              </w:rPr>
            </w:pPr>
            <w:r w:rsidRPr="00AE2B3F">
              <w:rPr>
                <w:b/>
                <w:bCs/>
                <w:sz w:val="18"/>
                <w:szCs w:val="18"/>
              </w:rPr>
              <w:t>246.12(r)(4) &amp; (r)(5)</w:t>
            </w:r>
          </w:p>
        </w:tc>
        <w:tc>
          <w:tcPr>
            <w:tcW w:w="1764" w:type="dxa"/>
            <w:tcBorders>
              <w:top w:val="nil"/>
              <w:left w:val="nil"/>
              <w:bottom w:val="single" w:sz="4" w:space="0" w:color="auto"/>
              <w:right w:val="single" w:sz="4" w:space="0" w:color="auto"/>
            </w:tcBorders>
            <w:vAlign w:val="bottom"/>
            <w:hideMark/>
          </w:tcPr>
          <w:p w:rsidR="001126A5" w:rsidRPr="00AE2B3F" w:rsidP="001126A5" w14:paraId="6FBE0EC3" w14:textId="77777777">
            <w:pPr>
              <w:widowControl/>
              <w:overflowPunct/>
              <w:autoSpaceDE/>
              <w:autoSpaceDN/>
              <w:adjustRightInd/>
              <w:textAlignment w:val="auto"/>
              <w:rPr>
                <w:sz w:val="18"/>
                <w:szCs w:val="18"/>
              </w:rPr>
            </w:pPr>
            <w:r w:rsidRPr="00AE2B3F">
              <w:rPr>
                <w:sz w:val="18"/>
                <w:szCs w:val="18"/>
              </w:rPr>
              <w:t>Online EBT State agencies: Food instrument and cash-value voucher pick up (non-certification clinic visits)</w:t>
            </w:r>
          </w:p>
        </w:tc>
        <w:tc>
          <w:tcPr>
            <w:tcW w:w="1260" w:type="dxa"/>
            <w:tcBorders>
              <w:top w:val="nil"/>
              <w:left w:val="nil"/>
              <w:bottom w:val="single" w:sz="4" w:space="0" w:color="auto"/>
              <w:right w:val="single" w:sz="4" w:space="0" w:color="auto"/>
            </w:tcBorders>
            <w:vAlign w:val="center"/>
            <w:hideMark/>
          </w:tcPr>
          <w:p w:rsidR="001126A5" w:rsidRPr="00AE2B3F" w:rsidP="001126A5" w14:paraId="6949539C" w14:textId="25411B97">
            <w:pPr>
              <w:widowControl/>
              <w:overflowPunct/>
              <w:autoSpaceDE/>
              <w:autoSpaceDN/>
              <w:adjustRightInd/>
              <w:jc w:val="right"/>
              <w:textAlignment w:val="auto"/>
              <w:rPr>
                <w:sz w:val="18"/>
                <w:szCs w:val="18"/>
              </w:rPr>
            </w:pPr>
            <w:r w:rsidRPr="001126A5">
              <w:rPr>
                <w:sz w:val="18"/>
                <w:szCs w:val="18"/>
              </w:rPr>
              <w:t>3,047,575.91</w:t>
            </w:r>
          </w:p>
        </w:tc>
        <w:tc>
          <w:tcPr>
            <w:tcW w:w="1170" w:type="dxa"/>
            <w:tcBorders>
              <w:top w:val="nil"/>
              <w:left w:val="nil"/>
              <w:bottom w:val="single" w:sz="4" w:space="0" w:color="auto"/>
              <w:right w:val="single" w:sz="4" w:space="0" w:color="auto"/>
            </w:tcBorders>
            <w:vAlign w:val="center"/>
            <w:hideMark/>
          </w:tcPr>
          <w:p w:rsidR="001126A5" w:rsidRPr="00AE2B3F" w:rsidP="001126A5" w14:paraId="3D1982C8" w14:textId="6BF9F670">
            <w:pPr>
              <w:widowControl/>
              <w:overflowPunct/>
              <w:autoSpaceDE/>
              <w:autoSpaceDN/>
              <w:adjustRightInd/>
              <w:jc w:val="right"/>
              <w:textAlignment w:val="auto"/>
              <w:rPr>
                <w:sz w:val="18"/>
                <w:szCs w:val="18"/>
              </w:rPr>
            </w:pPr>
            <w:r w:rsidRPr="001126A5">
              <w:rPr>
                <w:sz w:val="18"/>
                <w:szCs w:val="18"/>
              </w:rPr>
              <w:t>0.00</w:t>
            </w:r>
          </w:p>
        </w:tc>
        <w:tc>
          <w:tcPr>
            <w:tcW w:w="1170" w:type="dxa"/>
            <w:tcBorders>
              <w:top w:val="nil"/>
              <w:left w:val="nil"/>
              <w:bottom w:val="single" w:sz="4" w:space="0" w:color="auto"/>
              <w:right w:val="single" w:sz="4" w:space="0" w:color="auto"/>
            </w:tcBorders>
            <w:shd w:val="clear" w:color="auto" w:fill="F2F2F2" w:themeFill="background1" w:themeFillShade="F2"/>
            <w:vAlign w:val="center"/>
            <w:hideMark/>
          </w:tcPr>
          <w:p w:rsidR="001126A5" w:rsidRPr="00AE2B3F" w:rsidP="001126A5" w14:paraId="16BAF6D8" w14:textId="30414157">
            <w:pPr>
              <w:widowControl/>
              <w:overflowPunct/>
              <w:autoSpaceDE/>
              <w:autoSpaceDN/>
              <w:adjustRightInd/>
              <w:jc w:val="right"/>
              <w:textAlignment w:val="auto"/>
              <w:rPr>
                <w:sz w:val="18"/>
                <w:szCs w:val="18"/>
              </w:rPr>
            </w:pPr>
            <w:r w:rsidRPr="001126A5">
              <w:rPr>
                <w:sz w:val="18"/>
                <w:szCs w:val="18"/>
              </w:rPr>
              <w:t>0.00</w:t>
            </w:r>
          </w:p>
        </w:tc>
        <w:tc>
          <w:tcPr>
            <w:tcW w:w="1107" w:type="dxa"/>
            <w:tcBorders>
              <w:top w:val="nil"/>
              <w:left w:val="nil"/>
              <w:bottom w:val="single" w:sz="4" w:space="0" w:color="auto"/>
              <w:right w:val="single" w:sz="4" w:space="0" w:color="auto"/>
            </w:tcBorders>
            <w:vAlign w:val="center"/>
            <w:hideMark/>
          </w:tcPr>
          <w:p w:rsidR="001126A5" w:rsidRPr="00AE2B3F" w:rsidP="001126A5" w14:paraId="1D9C7B30" w14:textId="05D07FF2">
            <w:pPr>
              <w:widowControl/>
              <w:overflowPunct/>
              <w:autoSpaceDE/>
              <w:autoSpaceDN/>
              <w:adjustRightInd/>
              <w:jc w:val="right"/>
              <w:textAlignment w:val="auto"/>
              <w:rPr>
                <w:sz w:val="18"/>
                <w:szCs w:val="18"/>
              </w:rPr>
            </w:pPr>
            <w:r w:rsidRPr="001126A5">
              <w:rPr>
                <w:sz w:val="18"/>
                <w:szCs w:val="18"/>
              </w:rPr>
              <w:t>0.00</w:t>
            </w:r>
          </w:p>
        </w:tc>
        <w:tc>
          <w:tcPr>
            <w:tcW w:w="1053" w:type="dxa"/>
            <w:tcBorders>
              <w:top w:val="nil"/>
              <w:left w:val="nil"/>
              <w:bottom w:val="single" w:sz="4" w:space="0" w:color="auto"/>
              <w:right w:val="single" w:sz="4" w:space="0" w:color="auto"/>
            </w:tcBorders>
            <w:shd w:val="clear" w:color="auto" w:fill="F2F2F2" w:themeFill="background1" w:themeFillShade="F2"/>
            <w:vAlign w:val="center"/>
            <w:hideMark/>
          </w:tcPr>
          <w:p w:rsidR="001126A5" w:rsidRPr="00AE2B3F" w:rsidP="001126A5" w14:paraId="172E9531" w14:textId="40804D8E">
            <w:pPr>
              <w:widowControl/>
              <w:overflowPunct/>
              <w:autoSpaceDE/>
              <w:autoSpaceDN/>
              <w:adjustRightInd/>
              <w:jc w:val="right"/>
              <w:textAlignment w:val="auto"/>
              <w:rPr>
                <w:sz w:val="18"/>
                <w:szCs w:val="18"/>
              </w:rPr>
            </w:pPr>
            <w:r w:rsidRPr="001126A5">
              <w:rPr>
                <w:sz w:val="18"/>
                <w:szCs w:val="18"/>
              </w:rPr>
              <w:t>0.00</w:t>
            </w:r>
          </w:p>
        </w:tc>
        <w:tc>
          <w:tcPr>
            <w:tcW w:w="1170" w:type="dxa"/>
            <w:tcBorders>
              <w:top w:val="nil"/>
              <w:left w:val="nil"/>
              <w:bottom w:val="single" w:sz="4" w:space="0" w:color="auto"/>
              <w:right w:val="single" w:sz="4" w:space="0" w:color="auto"/>
            </w:tcBorders>
            <w:vAlign w:val="center"/>
            <w:hideMark/>
          </w:tcPr>
          <w:p w:rsidR="001126A5" w:rsidRPr="00DD2920" w:rsidP="001126A5" w14:paraId="711E277A" w14:textId="29F1F55B">
            <w:pPr>
              <w:widowControl/>
              <w:overflowPunct/>
              <w:autoSpaceDE/>
              <w:autoSpaceDN/>
              <w:adjustRightInd/>
              <w:jc w:val="right"/>
              <w:textAlignment w:val="auto"/>
              <w:rPr>
                <w:i/>
                <w:iCs/>
                <w:sz w:val="18"/>
                <w:szCs w:val="18"/>
              </w:rPr>
            </w:pPr>
            <w:r w:rsidRPr="00DD2920">
              <w:rPr>
                <w:i/>
                <w:iCs/>
                <w:sz w:val="18"/>
                <w:szCs w:val="18"/>
              </w:rPr>
              <w:t>1,262,823.37</w:t>
            </w:r>
          </w:p>
        </w:tc>
        <w:tc>
          <w:tcPr>
            <w:tcW w:w="1363" w:type="dxa"/>
            <w:tcBorders>
              <w:top w:val="nil"/>
              <w:left w:val="nil"/>
              <w:bottom w:val="single" w:sz="4" w:space="0" w:color="auto"/>
              <w:right w:val="single" w:sz="4" w:space="0" w:color="auto"/>
            </w:tcBorders>
            <w:vAlign w:val="center"/>
          </w:tcPr>
          <w:p w:rsidR="001126A5" w:rsidRPr="00AE2B3F" w:rsidP="001126A5" w14:paraId="2CDD79BE" w14:textId="701B57A9">
            <w:pPr>
              <w:widowControl/>
              <w:overflowPunct/>
              <w:autoSpaceDE/>
              <w:autoSpaceDN/>
              <w:adjustRightInd/>
              <w:jc w:val="right"/>
              <w:textAlignment w:val="auto"/>
              <w:rPr>
                <w:sz w:val="18"/>
                <w:szCs w:val="18"/>
              </w:rPr>
            </w:pPr>
            <w:r w:rsidRPr="001126A5">
              <w:rPr>
                <w:sz w:val="18"/>
                <w:szCs w:val="18"/>
              </w:rPr>
              <w:t>-1,262,823.37</w:t>
            </w:r>
          </w:p>
        </w:tc>
        <w:tc>
          <w:tcPr>
            <w:tcW w:w="1242" w:type="dxa"/>
            <w:tcBorders>
              <w:top w:val="nil"/>
              <w:left w:val="nil"/>
              <w:bottom w:val="single" w:sz="4" w:space="0" w:color="auto"/>
              <w:right w:val="single" w:sz="4" w:space="0" w:color="auto"/>
            </w:tcBorders>
            <w:vAlign w:val="center"/>
          </w:tcPr>
          <w:p w:rsidR="001126A5" w:rsidRPr="00AE2B3F" w:rsidP="001126A5" w14:paraId="479442C4" w14:textId="7CD93ECC">
            <w:pPr>
              <w:widowControl/>
              <w:overflowPunct/>
              <w:autoSpaceDE/>
              <w:autoSpaceDN/>
              <w:adjustRightInd/>
              <w:jc w:val="right"/>
              <w:textAlignment w:val="auto"/>
              <w:rPr>
                <w:sz w:val="18"/>
                <w:szCs w:val="18"/>
              </w:rPr>
            </w:pPr>
            <w:r w:rsidRPr="001126A5">
              <w:rPr>
                <w:sz w:val="18"/>
                <w:szCs w:val="18"/>
              </w:rPr>
              <w:t>0.00</w:t>
            </w:r>
          </w:p>
        </w:tc>
        <w:tc>
          <w:tcPr>
            <w:tcW w:w="1265" w:type="dxa"/>
            <w:tcBorders>
              <w:top w:val="nil"/>
              <w:left w:val="nil"/>
              <w:bottom w:val="single" w:sz="4" w:space="0" w:color="auto"/>
              <w:right w:val="single" w:sz="4" w:space="0" w:color="auto"/>
            </w:tcBorders>
            <w:vAlign w:val="center"/>
          </w:tcPr>
          <w:p w:rsidR="001126A5" w:rsidRPr="00AE2B3F" w:rsidP="001126A5" w14:paraId="1DD243C1" w14:textId="6DA64648">
            <w:pPr>
              <w:widowControl/>
              <w:overflowPunct/>
              <w:autoSpaceDE/>
              <w:autoSpaceDN/>
              <w:adjustRightInd/>
              <w:jc w:val="right"/>
              <w:textAlignment w:val="auto"/>
              <w:rPr>
                <w:sz w:val="18"/>
                <w:szCs w:val="18"/>
              </w:rPr>
            </w:pPr>
            <w:r w:rsidRPr="001126A5">
              <w:rPr>
                <w:sz w:val="18"/>
                <w:szCs w:val="18"/>
              </w:rPr>
              <w:t>-1,262,823.37</w:t>
            </w:r>
          </w:p>
        </w:tc>
      </w:tr>
      <w:tr w14:paraId="126461D8" w14:textId="77777777" w:rsidTr="4FE94C9D">
        <w:tblPrEx>
          <w:tblW w:w="14215" w:type="dxa"/>
          <w:tblLayout w:type="fixed"/>
          <w:tblLook w:val="04A0"/>
        </w:tblPrEx>
        <w:trPr>
          <w:trHeight w:val="420"/>
        </w:trPr>
        <w:tc>
          <w:tcPr>
            <w:tcW w:w="341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970812" w:rsidP="001126A5" w14:paraId="541AB2AC" w14:textId="77777777">
            <w:pPr>
              <w:widowControl/>
              <w:overflowPunct/>
              <w:autoSpaceDE/>
              <w:autoSpaceDN/>
              <w:adjustRightInd/>
              <w:jc w:val="center"/>
              <w:textAlignment w:val="auto"/>
              <w:rPr>
                <w:b/>
                <w:bCs/>
                <w:sz w:val="18"/>
                <w:szCs w:val="18"/>
              </w:rPr>
            </w:pPr>
            <w:r w:rsidRPr="00AE2B3F">
              <w:rPr>
                <w:b/>
                <w:bCs/>
                <w:sz w:val="18"/>
                <w:szCs w:val="18"/>
              </w:rPr>
              <w:t xml:space="preserve">Subtotal Reporting: </w:t>
            </w:r>
          </w:p>
          <w:p w:rsidR="001126A5" w:rsidRPr="00AE2B3F" w:rsidP="001126A5" w14:paraId="4B18FD21" w14:textId="59BA1DEB">
            <w:pPr>
              <w:widowControl/>
              <w:overflowPunct/>
              <w:autoSpaceDE/>
              <w:autoSpaceDN/>
              <w:adjustRightInd/>
              <w:jc w:val="center"/>
              <w:textAlignment w:val="auto"/>
              <w:rPr>
                <w:b/>
                <w:bCs/>
                <w:sz w:val="18"/>
                <w:szCs w:val="18"/>
              </w:rPr>
            </w:pPr>
            <w:r w:rsidRPr="00AE2B3F">
              <w:rPr>
                <w:b/>
                <w:bCs/>
                <w:sz w:val="18"/>
                <w:szCs w:val="18"/>
              </w:rPr>
              <w:t>Applicants</w:t>
            </w:r>
          </w:p>
        </w:tc>
        <w:tc>
          <w:tcPr>
            <w:tcW w:w="1260" w:type="dxa"/>
            <w:tcBorders>
              <w:top w:val="nil"/>
              <w:left w:val="nil"/>
              <w:bottom w:val="single" w:sz="4" w:space="0" w:color="auto"/>
              <w:right w:val="single" w:sz="4" w:space="0" w:color="auto"/>
            </w:tcBorders>
            <w:shd w:val="clear" w:color="auto" w:fill="D9D9D9" w:themeFill="background1" w:themeFillShade="D9"/>
            <w:vAlign w:val="center"/>
            <w:hideMark/>
          </w:tcPr>
          <w:p w:rsidR="001126A5" w:rsidRPr="001126A5" w:rsidP="001126A5" w14:paraId="18B3B009" w14:textId="11342E26">
            <w:pPr>
              <w:widowControl/>
              <w:overflowPunct/>
              <w:autoSpaceDE/>
              <w:autoSpaceDN/>
              <w:adjustRightInd/>
              <w:jc w:val="right"/>
              <w:textAlignment w:val="auto"/>
              <w:rPr>
                <w:b/>
                <w:bCs/>
                <w:sz w:val="18"/>
                <w:szCs w:val="18"/>
              </w:rPr>
            </w:pPr>
            <w:r w:rsidRPr="001126A5">
              <w:rPr>
                <w:b/>
                <w:bCs/>
                <w:sz w:val="18"/>
                <w:szCs w:val="18"/>
              </w:rPr>
              <w:t>3,352,334</w:t>
            </w:r>
          </w:p>
        </w:tc>
        <w:tc>
          <w:tcPr>
            <w:tcW w:w="1170" w:type="dxa"/>
            <w:tcBorders>
              <w:top w:val="nil"/>
              <w:left w:val="nil"/>
              <w:bottom w:val="single" w:sz="4" w:space="0" w:color="auto"/>
              <w:right w:val="single" w:sz="4" w:space="0" w:color="auto"/>
            </w:tcBorders>
            <w:shd w:val="clear" w:color="auto" w:fill="D9D9D9" w:themeFill="background1" w:themeFillShade="D9"/>
            <w:vAlign w:val="center"/>
            <w:hideMark/>
          </w:tcPr>
          <w:p w:rsidR="001126A5" w:rsidRPr="001126A5" w:rsidP="001126A5" w14:paraId="407502F7" w14:textId="63C38738">
            <w:pPr>
              <w:widowControl/>
              <w:overflowPunct/>
              <w:autoSpaceDE/>
              <w:autoSpaceDN/>
              <w:adjustRightInd/>
              <w:jc w:val="right"/>
              <w:textAlignment w:val="auto"/>
              <w:rPr>
                <w:b/>
                <w:bCs/>
                <w:sz w:val="18"/>
                <w:szCs w:val="18"/>
              </w:rPr>
            </w:pPr>
            <w:r w:rsidRPr="001126A5">
              <w:rPr>
                <w:b/>
                <w:bCs/>
                <w:sz w:val="18"/>
                <w:szCs w:val="18"/>
              </w:rPr>
              <w:t>0.24</w:t>
            </w:r>
          </w:p>
        </w:tc>
        <w:tc>
          <w:tcPr>
            <w:tcW w:w="1170" w:type="dxa"/>
            <w:tcBorders>
              <w:top w:val="nil"/>
              <w:left w:val="nil"/>
              <w:bottom w:val="single" w:sz="4" w:space="0" w:color="auto"/>
              <w:right w:val="single" w:sz="4" w:space="0" w:color="auto"/>
            </w:tcBorders>
            <w:shd w:val="clear" w:color="auto" w:fill="D9D9D9" w:themeFill="background1" w:themeFillShade="D9"/>
            <w:vAlign w:val="center"/>
            <w:hideMark/>
          </w:tcPr>
          <w:p w:rsidR="001126A5" w:rsidRPr="001126A5" w:rsidP="001126A5" w14:paraId="63FF9253" w14:textId="4529287C">
            <w:pPr>
              <w:widowControl/>
              <w:overflowPunct/>
              <w:autoSpaceDE/>
              <w:autoSpaceDN/>
              <w:adjustRightInd/>
              <w:jc w:val="right"/>
              <w:textAlignment w:val="auto"/>
              <w:rPr>
                <w:b/>
                <w:bCs/>
                <w:sz w:val="18"/>
                <w:szCs w:val="18"/>
              </w:rPr>
            </w:pPr>
            <w:r w:rsidRPr="001126A5">
              <w:rPr>
                <w:b/>
                <w:bCs/>
                <w:sz w:val="18"/>
                <w:szCs w:val="18"/>
              </w:rPr>
              <w:t>799,989</w:t>
            </w:r>
          </w:p>
        </w:tc>
        <w:tc>
          <w:tcPr>
            <w:tcW w:w="1107" w:type="dxa"/>
            <w:tcBorders>
              <w:top w:val="nil"/>
              <w:left w:val="nil"/>
              <w:bottom w:val="single" w:sz="4" w:space="0" w:color="auto"/>
              <w:right w:val="single" w:sz="4" w:space="0" w:color="auto"/>
            </w:tcBorders>
            <w:shd w:val="clear" w:color="auto" w:fill="D9D9D9" w:themeFill="background1" w:themeFillShade="D9"/>
            <w:vAlign w:val="center"/>
            <w:hideMark/>
          </w:tcPr>
          <w:p w:rsidR="001126A5" w:rsidRPr="001126A5" w:rsidP="001126A5" w14:paraId="5E9D56C3" w14:textId="2C6A9D9C">
            <w:pPr>
              <w:widowControl/>
              <w:overflowPunct/>
              <w:autoSpaceDE/>
              <w:autoSpaceDN/>
              <w:adjustRightInd/>
              <w:jc w:val="right"/>
              <w:textAlignment w:val="auto"/>
              <w:rPr>
                <w:b/>
                <w:bCs/>
                <w:sz w:val="18"/>
                <w:szCs w:val="18"/>
              </w:rPr>
            </w:pPr>
            <w:r w:rsidRPr="001126A5">
              <w:rPr>
                <w:b/>
                <w:bCs/>
                <w:sz w:val="18"/>
                <w:szCs w:val="18"/>
              </w:rPr>
              <w:t>0.50</w:t>
            </w:r>
          </w:p>
        </w:tc>
        <w:tc>
          <w:tcPr>
            <w:tcW w:w="1053" w:type="dxa"/>
            <w:tcBorders>
              <w:top w:val="nil"/>
              <w:left w:val="nil"/>
              <w:bottom w:val="single" w:sz="4" w:space="0" w:color="auto"/>
              <w:right w:val="single" w:sz="4" w:space="0" w:color="auto"/>
            </w:tcBorders>
            <w:shd w:val="clear" w:color="auto" w:fill="D9D9D9" w:themeFill="background1" w:themeFillShade="D9"/>
            <w:vAlign w:val="center"/>
            <w:hideMark/>
          </w:tcPr>
          <w:p w:rsidR="001126A5" w:rsidRPr="001126A5" w:rsidP="001126A5" w14:paraId="55166429" w14:textId="5DA6E94C">
            <w:pPr>
              <w:widowControl/>
              <w:overflowPunct/>
              <w:autoSpaceDE/>
              <w:autoSpaceDN/>
              <w:adjustRightInd/>
              <w:jc w:val="right"/>
              <w:textAlignment w:val="auto"/>
              <w:rPr>
                <w:b/>
                <w:bCs/>
                <w:sz w:val="18"/>
                <w:szCs w:val="18"/>
              </w:rPr>
            </w:pPr>
            <w:r w:rsidRPr="001126A5">
              <w:rPr>
                <w:b/>
                <w:bCs/>
                <w:sz w:val="18"/>
                <w:szCs w:val="18"/>
              </w:rPr>
              <w:t>399,994</w:t>
            </w:r>
          </w:p>
        </w:tc>
        <w:tc>
          <w:tcPr>
            <w:tcW w:w="1170" w:type="dxa"/>
            <w:tcBorders>
              <w:top w:val="nil"/>
              <w:left w:val="nil"/>
              <w:bottom w:val="single" w:sz="4" w:space="0" w:color="auto"/>
              <w:right w:val="single" w:sz="4" w:space="0" w:color="auto"/>
            </w:tcBorders>
            <w:shd w:val="clear" w:color="auto" w:fill="D9D9D9" w:themeFill="background1" w:themeFillShade="D9"/>
            <w:vAlign w:val="center"/>
            <w:hideMark/>
          </w:tcPr>
          <w:p w:rsidR="001126A5" w:rsidRPr="00DD2920" w:rsidP="001126A5" w14:paraId="570D5342" w14:textId="618E91C6">
            <w:pPr>
              <w:widowControl/>
              <w:overflowPunct/>
              <w:autoSpaceDE/>
              <w:autoSpaceDN/>
              <w:adjustRightInd/>
              <w:jc w:val="right"/>
              <w:textAlignment w:val="auto"/>
              <w:rPr>
                <w:b/>
                <w:bCs/>
                <w:i/>
                <w:iCs/>
                <w:sz w:val="18"/>
                <w:szCs w:val="18"/>
              </w:rPr>
            </w:pPr>
            <w:r w:rsidRPr="00DD2920">
              <w:rPr>
                <w:b/>
                <w:bCs/>
                <w:i/>
                <w:iCs/>
                <w:sz w:val="18"/>
                <w:szCs w:val="18"/>
              </w:rPr>
              <w:t>2,157,323</w:t>
            </w:r>
          </w:p>
        </w:tc>
        <w:tc>
          <w:tcPr>
            <w:tcW w:w="1363" w:type="dxa"/>
            <w:tcBorders>
              <w:top w:val="nil"/>
              <w:left w:val="nil"/>
              <w:bottom w:val="single" w:sz="4" w:space="0" w:color="auto"/>
              <w:right w:val="single" w:sz="4" w:space="0" w:color="auto"/>
            </w:tcBorders>
            <w:shd w:val="clear" w:color="auto" w:fill="D9D9D9" w:themeFill="background1" w:themeFillShade="D9"/>
            <w:vAlign w:val="center"/>
          </w:tcPr>
          <w:p w:rsidR="001126A5" w:rsidRPr="001126A5" w:rsidP="001126A5" w14:paraId="353FE710" w14:textId="0105050F">
            <w:pPr>
              <w:widowControl/>
              <w:overflowPunct/>
              <w:autoSpaceDE/>
              <w:autoSpaceDN/>
              <w:adjustRightInd/>
              <w:jc w:val="right"/>
              <w:textAlignment w:val="auto"/>
              <w:rPr>
                <w:b/>
                <w:bCs/>
                <w:sz w:val="18"/>
                <w:szCs w:val="18"/>
              </w:rPr>
            </w:pPr>
            <w:r w:rsidRPr="001126A5">
              <w:rPr>
                <w:b/>
                <w:bCs/>
                <w:sz w:val="18"/>
                <w:szCs w:val="18"/>
              </w:rPr>
              <w:t>-1,319,965.42</w:t>
            </w:r>
          </w:p>
        </w:tc>
        <w:tc>
          <w:tcPr>
            <w:tcW w:w="1242" w:type="dxa"/>
            <w:tcBorders>
              <w:top w:val="nil"/>
              <w:left w:val="nil"/>
              <w:bottom w:val="single" w:sz="4" w:space="0" w:color="auto"/>
              <w:right w:val="single" w:sz="4" w:space="0" w:color="auto"/>
            </w:tcBorders>
            <w:shd w:val="clear" w:color="auto" w:fill="D9D9D9" w:themeFill="background1" w:themeFillShade="D9"/>
            <w:vAlign w:val="center"/>
          </w:tcPr>
          <w:p w:rsidR="001126A5" w:rsidRPr="001126A5" w:rsidP="001126A5" w14:paraId="6F9033B7" w14:textId="12A1B02F">
            <w:pPr>
              <w:widowControl/>
              <w:overflowPunct/>
              <w:autoSpaceDE/>
              <w:autoSpaceDN/>
              <w:adjustRightInd/>
              <w:jc w:val="right"/>
              <w:textAlignment w:val="auto"/>
              <w:rPr>
                <w:b/>
                <w:bCs/>
                <w:sz w:val="18"/>
                <w:szCs w:val="18"/>
              </w:rPr>
            </w:pPr>
            <w:r w:rsidRPr="001126A5">
              <w:rPr>
                <w:b/>
                <w:bCs/>
                <w:sz w:val="18"/>
                <w:szCs w:val="18"/>
              </w:rPr>
              <w:t>-437,363.50</w:t>
            </w:r>
          </w:p>
        </w:tc>
        <w:tc>
          <w:tcPr>
            <w:tcW w:w="1265" w:type="dxa"/>
            <w:tcBorders>
              <w:top w:val="nil"/>
              <w:left w:val="nil"/>
              <w:bottom w:val="single" w:sz="4" w:space="0" w:color="auto"/>
              <w:right w:val="single" w:sz="4" w:space="0" w:color="auto"/>
            </w:tcBorders>
            <w:shd w:val="clear" w:color="auto" w:fill="D9D9D9" w:themeFill="background1" w:themeFillShade="D9"/>
            <w:vAlign w:val="center"/>
          </w:tcPr>
          <w:p w:rsidR="001126A5" w:rsidRPr="001126A5" w:rsidP="001126A5" w14:paraId="0A1CEAB2" w14:textId="04D4D0B5">
            <w:pPr>
              <w:widowControl/>
              <w:overflowPunct/>
              <w:autoSpaceDE/>
              <w:autoSpaceDN/>
              <w:adjustRightInd/>
              <w:jc w:val="right"/>
              <w:textAlignment w:val="auto"/>
              <w:rPr>
                <w:b/>
                <w:bCs/>
                <w:sz w:val="18"/>
                <w:szCs w:val="18"/>
              </w:rPr>
            </w:pPr>
            <w:r w:rsidRPr="001126A5">
              <w:rPr>
                <w:b/>
                <w:bCs/>
                <w:sz w:val="18"/>
                <w:szCs w:val="18"/>
              </w:rPr>
              <w:t>-1,757,328.92</w:t>
            </w:r>
          </w:p>
        </w:tc>
      </w:tr>
      <w:tr w14:paraId="254A057F" w14:textId="77777777" w:rsidTr="4FE94C9D">
        <w:tblPrEx>
          <w:tblW w:w="14215" w:type="dxa"/>
          <w:tblLayout w:type="fixed"/>
          <w:tblLook w:val="04A0"/>
        </w:tblPrEx>
        <w:trPr>
          <w:trHeight w:val="315"/>
        </w:trPr>
        <w:tc>
          <w:tcPr>
            <w:tcW w:w="14215" w:type="dxa"/>
            <w:gridSpan w:val="11"/>
            <w:tcBorders>
              <w:top w:val="single" w:sz="4" w:space="0" w:color="auto"/>
              <w:left w:val="single" w:sz="4" w:space="0" w:color="auto"/>
              <w:bottom w:val="single" w:sz="4" w:space="0" w:color="auto"/>
              <w:right w:val="single" w:sz="4" w:space="0" w:color="auto"/>
            </w:tcBorders>
            <w:vAlign w:val="center"/>
            <w:hideMark/>
          </w:tcPr>
          <w:p w:rsidR="00B01B54" w:rsidRPr="00AE2B3F" w:rsidP="009564EC" w14:paraId="16DC8794" w14:textId="458D7DCA">
            <w:pPr>
              <w:widowControl/>
              <w:overflowPunct/>
              <w:autoSpaceDE/>
              <w:autoSpaceDN/>
              <w:adjustRightInd/>
              <w:jc w:val="center"/>
              <w:textAlignment w:val="auto"/>
              <w:rPr>
                <w:b/>
                <w:bCs/>
                <w:sz w:val="18"/>
                <w:szCs w:val="18"/>
              </w:rPr>
            </w:pPr>
            <w:r w:rsidRPr="00AE2B3F">
              <w:rPr>
                <w:b/>
                <w:bCs/>
                <w:sz w:val="18"/>
                <w:szCs w:val="18"/>
              </w:rPr>
              <w:t>Affected Public: Business: Retail Vendors (WIC-Authorized Food Stores) and Nonprofit Businesses</w:t>
            </w:r>
          </w:p>
        </w:tc>
      </w:tr>
      <w:tr w14:paraId="7D3C951E" w14:textId="77777777" w:rsidTr="4FE94C9D">
        <w:tblPrEx>
          <w:tblW w:w="14215" w:type="dxa"/>
          <w:tblLayout w:type="fixed"/>
          <w:tblLook w:val="04A0"/>
        </w:tblPrEx>
        <w:trPr>
          <w:trHeight w:val="720"/>
        </w:trPr>
        <w:tc>
          <w:tcPr>
            <w:tcW w:w="1651" w:type="dxa"/>
            <w:tcBorders>
              <w:top w:val="nil"/>
              <w:left w:val="single" w:sz="4" w:space="0" w:color="auto"/>
              <w:bottom w:val="single" w:sz="4" w:space="0" w:color="auto"/>
              <w:right w:val="single" w:sz="4" w:space="0" w:color="auto"/>
            </w:tcBorders>
            <w:vAlign w:val="center"/>
            <w:hideMark/>
          </w:tcPr>
          <w:p w:rsidR="002C04EC" w:rsidRPr="00AE2B3F" w:rsidP="002C04EC" w14:paraId="23C18C9D" w14:textId="77777777">
            <w:pPr>
              <w:widowControl/>
              <w:overflowPunct/>
              <w:autoSpaceDE/>
              <w:autoSpaceDN/>
              <w:adjustRightInd/>
              <w:textAlignment w:val="auto"/>
              <w:rPr>
                <w:b/>
                <w:bCs/>
                <w:sz w:val="18"/>
                <w:szCs w:val="18"/>
              </w:rPr>
            </w:pPr>
            <w:r w:rsidRPr="00AE2B3F">
              <w:rPr>
                <w:b/>
                <w:bCs/>
                <w:sz w:val="18"/>
                <w:szCs w:val="18"/>
              </w:rPr>
              <w:t>246.12(g)(4)(i)</w:t>
            </w:r>
          </w:p>
        </w:tc>
        <w:tc>
          <w:tcPr>
            <w:tcW w:w="1764" w:type="dxa"/>
            <w:tcBorders>
              <w:top w:val="nil"/>
              <w:left w:val="nil"/>
              <w:bottom w:val="single" w:sz="4" w:space="0" w:color="auto"/>
              <w:right w:val="single" w:sz="4" w:space="0" w:color="auto"/>
            </w:tcBorders>
            <w:vAlign w:val="center"/>
            <w:hideMark/>
          </w:tcPr>
          <w:p w:rsidR="002C04EC" w:rsidRPr="00AE2B3F" w:rsidP="002C04EC" w14:paraId="533C34B5" w14:textId="77777777">
            <w:pPr>
              <w:widowControl/>
              <w:overflowPunct/>
              <w:autoSpaceDE/>
              <w:autoSpaceDN/>
              <w:adjustRightInd/>
              <w:textAlignment w:val="auto"/>
              <w:rPr>
                <w:sz w:val="18"/>
                <w:szCs w:val="18"/>
              </w:rPr>
            </w:pPr>
            <w:r w:rsidRPr="00AE2B3F">
              <w:rPr>
                <w:sz w:val="18"/>
                <w:szCs w:val="18"/>
              </w:rPr>
              <w:t>Vendor food sales data for A50s</w:t>
            </w:r>
          </w:p>
        </w:tc>
        <w:tc>
          <w:tcPr>
            <w:tcW w:w="1260" w:type="dxa"/>
            <w:tcBorders>
              <w:top w:val="nil"/>
              <w:left w:val="nil"/>
              <w:bottom w:val="single" w:sz="4" w:space="0" w:color="auto"/>
              <w:right w:val="single" w:sz="4" w:space="0" w:color="auto"/>
            </w:tcBorders>
            <w:vAlign w:val="center"/>
            <w:hideMark/>
          </w:tcPr>
          <w:p w:rsidR="002C04EC" w:rsidRPr="00AE2B3F" w:rsidP="00853817" w14:paraId="47BEDD25" w14:textId="68D7380F">
            <w:pPr>
              <w:widowControl/>
              <w:overflowPunct/>
              <w:autoSpaceDE/>
              <w:autoSpaceDN/>
              <w:adjustRightInd/>
              <w:jc w:val="right"/>
              <w:textAlignment w:val="auto"/>
              <w:rPr>
                <w:sz w:val="18"/>
                <w:szCs w:val="18"/>
              </w:rPr>
            </w:pPr>
            <w:r w:rsidRPr="00853817">
              <w:rPr>
                <w:sz w:val="18"/>
                <w:szCs w:val="18"/>
              </w:rPr>
              <w:t>809.74</w:t>
            </w:r>
          </w:p>
        </w:tc>
        <w:tc>
          <w:tcPr>
            <w:tcW w:w="1170" w:type="dxa"/>
            <w:tcBorders>
              <w:top w:val="nil"/>
              <w:left w:val="nil"/>
              <w:bottom w:val="single" w:sz="4" w:space="0" w:color="auto"/>
              <w:right w:val="single" w:sz="4" w:space="0" w:color="auto"/>
            </w:tcBorders>
            <w:vAlign w:val="center"/>
            <w:hideMark/>
          </w:tcPr>
          <w:p w:rsidR="002C04EC" w:rsidRPr="00AE2B3F" w:rsidP="00853817" w14:paraId="0036A2AC" w14:textId="52EE2CAD">
            <w:pPr>
              <w:widowControl/>
              <w:overflowPunct/>
              <w:autoSpaceDE/>
              <w:autoSpaceDN/>
              <w:adjustRightInd/>
              <w:jc w:val="right"/>
              <w:textAlignment w:val="auto"/>
              <w:rPr>
                <w:sz w:val="18"/>
                <w:szCs w:val="18"/>
              </w:rPr>
            </w:pPr>
            <w:r w:rsidRPr="00853817">
              <w:rPr>
                <w:sz w:val="18"/>
                <w:szCs w:val="18"/>
              </w:rPr>
              <w:t>1.00</w:t>
            </w:r>
          </w:p>
        </w:tc>
        <w:tc>
          <w:tcPr>
            <w:tcW w:w="1170" w:type="dxa"/>
            <w:tcBorders>
              <w:top w:val="nil"/>
              <w:left w:val="nil"/>
              <w:bottom w:val="single" w:sz="4" w:space="0" w:color="auto"/>
              <w:right w:val="single" w:sz="4" w:space="0" w:color="auto"/>
            </w:tcBorders>
            <w:shd w:val="clear" w:color="auto" w:fill="F2F2F2" w:themeFill="background1" w:themeFillShade="F2"/>
            <w:vAlign w:val="center"/>
            <w:hideMark/>
          </w:tcPr>
          <w:p w:rsidR="002C04EC" w:rsidRPr="00AE2B3F" w:rsidP="00853817" w14:paraId="4B0B45E0" w14:textId="5425A2D7">
            <w:pPr>
              <w:widowControl/>
              <w:overflowPunct/>
              <w:autoSpaceDE/>
              <w:autoSpaceDN/>
              <w:adjustRightInd/>
              <w:jc w:val="right"/>
              <w:textAlignment w:val="auto"/>
              <w:rPr>
                <w:sz w:val="18"/>
                <w:szCs w:val="18"/>
              </w:rPr>
            </w:pPr>
            <w:r w:rsidRPr="00853817">
              <w:rPr>
                <w:sz w:val="18"/>
                <w:szCs w:val="18"/>
              </w:rPr>
              <w:t>809.74</w:t>
            </w:r>
          </w:p>
        </w:tc>
        <w:tc>
          <w:tcPr>
            <w:tcW w:w="1107" w:type="dxa"/>
            <w:tcBorders>
              <w:top w:val="nil"/>
              <w:left w:val="nil"/>
              <w:bottom w:val="single" w:sz="4" w:space="0" w:color="auto"/>
              <w:right w:val="single" w:sz="4" w:space="0" w:color="auto"/>
            </w:tcBorders>
            <w:vAlign w:val="center"/>
            <w:hideMark/>
          </w:tcPr>
          <w:p w:rsidR="002C04EC" w:rsidRPr="00AE2B3F" w:rsidP="00853817" w14:paraId="0A846E5B" w14:textId="7C922F13">
            <w:pPr>
              <w:widowControl/>
              <w:overflowPunct/>
              <w:autoSpaceDE/>
              <w:autoSpaceDN/>
              <w:adjustRightInd/>
              <w:jc w:val="right"/>
              <w:textAlignment w:val="auto"/>
              <w:rPr>
                <w:sz w:val="18"/>
                <w:szCs w:val="18"/>
              </w:rPr>
            </w:pPr>
            <w:r w:rsidRPr="00853817">
              <w:rPr>
                <w:sz w:val="18"/>
                <w:szCs w:val="18"/>
              </w:rPr>
              <w:t>2.00</w:t>
            </w:r>
          </w:p>
        </w:tc>
        <w:tc>
          <w:tcPr>
            <w:tcW w:w="1053" w:type="dxa"/>
            <w:tcBorders>
              <w:top w:val="nil"/>
              <w:left w:val="nil"/>
              <w:bottom w:val="single" w:sz="4" w:space="0" w:color="auto"/>
              <w:right w:val="single" w:sz="4" w:space="0" w:color="auto"/>
            </w:tcBorders>
            <w:shd w:val="clear" w:color="auto" w:fill="F2F2F2" w:themeFill="background1" w:themeFillShade="F2"/>
            <w:vAlign w:val="center"/>
            <w:hideMark/>
          </w:tcPr>
          <w:p w:rsidR="002C04EC" w:rsidRPr="00AE2B3F" w:rsidP="00853817" w14:paraId="158A61F7" w14:textId="5A722FE4">
            <w:pPr>
              <w:widowControl/>
              <w:overflowPunct/>
              <w:autoSpaceDE/>
              <w:autoSpaceDN/>
              <w:adjustRightInd/>
              <w:jc w:val="right"/>
              <w:textAlignment w:val="auto"/>
              <w:rPr>
                <w:sz w:val="18"/>
                <w:szCs w:val="18"/>
              </w:rPr>
            </w:pPr>
            <w:r w:rsidRPr="00853817">
              <w:rPr>
                <w:sz w:val="18"/>
                <w:szCs w:val="18"/>
              </w:rPr>
              <w:t>1,619.48</w:t>
            </w:r>
          </w:p>
        </w:tc>
        <w:tc>
          <w:tcPr>
            <w:tcW w:w="1170" w:type="dxa"/>
            <w:tcBorders>
              <w:top w:val="nil"/>
              <w:left w:val="nil"/>
              <w:bottom w:val="single" w:sz="4" w:space="0" w:color="auto"/>
              <w:right w:val="single" w:sz="4" w:space="0" w:color="auto"/>
            </w:tcBorders>
            <w:vAlign w:val="center"/>
            <w:hideMark/>
          </w:tcPr>
          <w:p w:rsidR="002C04EC" w:rsidRPr="00DD2920" w:rsidP="00853817" w14:paraId="78DD1073" w14:textId="74F00294">
            <w:pPr>
              <w:widowControl/>
              <w:overflowPunct/>
              <w:autoSpaceDE/>
              <w:autoSpaceDN/>
              <w:adjustRightInd/>
              <w:jc w:val="right"/>
              <w:textAlignment w:val="auto"/>
              <w:rPr>
                <w:i/>
                <w:iCs/>
                <w:sz w:val="18"/>
                <w:szCs w:val="18"/>
              </w:rPr>
            </w:pPr>
            <w:r w:rsidRPr="00DD2920">
              <w:rPr>
                <w:i/>
                <w:iCs/>
                <w:sz w:val="18"/>
                <w:szCs w:val="18"/>
              </w:rPr>
              <w:t>1,680.00</w:t>
            </w:r>
          </w:p>
        </w:tc>
        <w:tc>
          <w:tcPr>
            <w:tcW w:w="1363" w:type="dxa"/>
            <w:tcBorders>
              <w:top w:val="nil"/>
              <w:left w:val="nil"/>
              <w:bottom w:val="single" w:sz="4" w:space="0" w:color="auto"/>
              <w:right w:val="single" w:sz="4" w:space="0" w:color="auto"/>
            </w:tcBorders>
            <w:noWrap/>
            <w:vAlign w:val="center"/>
          </w:tcPr>
          <w:p w:rsidR="002C04EC" w:rsidRPr="00AE2B3F" w:rsidP="00853817" w14:paraId="53CD162B" w14:textId="31E785F5">
            <w:pPr>
              <w:widowControl/>
              <w:overflowPunct/>
              <w:autoSpaceDE/>
              <w:autoSpaceDN/>
              <w:adjustRightInd/>
              <w:jc w:val="right"/>
              <w:textAlignment w:val="auto"/>
              <w:rPr>
                <w:sz w:val="18"/>
                <w:szCs w:val="18"/>
              </w:rPr>
            </w:pPr>
            <w:r w:rsidRPr="00853817">
              <w:rPr>
                <w:sz w:val="18"/>
                <w:szCs w:val="18"/>
              </w:rPr>
              <w:t>4.40</w:t>
            </w:r>
          </w:p>
        </w:tc>
        <w:tc>
          <w:tcPr>
            <w:tcW w:w="1242" w:type="dxa"/>
            <w:tcBorders>
              <w:top w:val="nil"/>
              <w:left w:val="nil"/>
              <w:bottom w:val="single" w:sz="4" w:space="0" w:color="auto"/>
              <w:right w:val="single" w:sz="4" w:space="0" w:color="auto"/>
            </w:tcBorders>
            <w:vAlign w:val="center"/>
          </w:tcPr>
          <w:p w:rsidR="002C04EC" w:rsidRPr="00AE2B3F" w:rsidP="00853817" w14:paraId="7DD85C57" w14:textId="56EB07C9">
            <w:pPr>
              <w:widowControl/>
              <w:overflowPunct/>
              <w:autoSpaceDE/>
              <w:autoSpaceDN/>
              <w:adjustRightInd/>
              <w:jc w:val="right"/>
              <w:textAlignment w:val="auto"/>
              <w:rPr>
                <w:sz w:val="18"/>
                <w:szCs w:val="18"/>
              </w:rPr>
            </w:pPr>
            <w:r w:rsidRPr="00853817">
              <w:rPr>
                <w:sz w:val="18"/>
                <w:szCs w:val="18"/>
              </w:rPr>
              <w:t>-64.92</w:t>
            </w:r>
          </w:p>
        </w:tc>
        <w:tc>
          <w:tcPr>
            <w:tcW w:w="1265" w:type="dxa"/>
            <w:tcBorders>
              <w:top w:val="nil"/>
              <w:left w:val="nil"/>
              <w:bottom w:val="single" w:sz="4" w:space="0" w:color="auto"/>
              <w:right w:val="single" w:sz="4" w:space="0" w:color="auto"/>
            </w:tcBorders>
            <w:vAlign w:val="center"/>
          </w:tcPr>
          <w:p w:rsidR="002C04EC" w:rsidRPr="00AE2B3F" w:rsidP="00853817" w14:paraId="705B64F2" w14:textId="274E3BD2">
            <w:pPr>
              <w:widowControl/>
              <w:overflowPunct/>
              <w:autoSpaceDE/>
              <w:autoSpaceDN/>
              <w:adjustRightInd/>
              <w:jc w:val="right"/>
              <w:textAlignment w:val="auto"/>
              <w:rPr>
                <w:sz w:val="18"/>
                <w:szCs w:val="18"/>
              </w:rPr>
            </w:pPr>
            <w:r w:rsidRPr="00853817">
              <w:rPr>
                <w:sz w:val="18"/>
                <w:szCs w:val="18"/>
              </w:rPr>
              <w:t>-60.52</w:t>
            </w:r>
          </w:p>
        </w:tc>
      </w:tr>
      <w:tr w14:paraId="65A01CB3" w14:textId="77777777" w:rsidTr="4FE94C9D">
        <w:tblPrEx>
          <w:tblW w:w="14215" w:type="dxa"/>
          <w:tblLayout w:type="fixed"/>
          <w:tblLook w:val="04A0"/>
        </w:tblPrEx>
        <w:trPr>
          <w:trHeight w:val="510"/>
        </w:trPr>
        <w:tc>
          <w:tcPr>
            <w:tcW w:w="1651" w:type="dxa"/>
            <w:tcBorders>
              <w:top w:val="nil"/>
              <w:left w:val="single" w:sz="4" w:space="0" w:color="auto"/>
              <w:bottom w:val="single" w:sz="4" w:space="0" w:color="auto"/>
              <w:right w:val="single" w:sz="4" w:space="0" w:color="auto"/>
            </w:tcBorders>
            <w:vAlign w:val="center"/>
            <w:hideMark/>
          </w:tcPr>
          <w:p w:rsidR="009564EC" w:rsidRPr="00AE2B3F" w:rsidP="009564EC" w14:paraId="18318DD2" w14:textId="77777777">
            <w:pPr>
              <w:widowControl/>
              <w:overflowPunct/>
              <w:autoSpaceDE/>
              <w:autoSpaceDN/>
              <w:adjustRightInd/>
              <w:textAlignment w:val="auto"/>
              <w:rPr>
                <w:b/>
                <w:bCs/>
                <w:sz w:val="18"/>
                <w:szCs w:val="18"/>
              </w:rPr>
            </w:pPr>
            <w:r w:rsidRPr="00AE2B3F">
              <w:rPr>
                <w:b/>
                <w:bCs/>
                <w:sz w:val="18"/>
                <w:szCs w:val="18"/>
              </w:rPr>
              <w:t>246.12(g)(4)(ii)(B)</w:t>
            </w:r>
          </w:p>
        </w:tc>
        <w:tc>
          <w:tcPr>
            <w:tcW w:w="1764" w:type="dxa"/>
            <w:tcBorders>
              <w:top w:val="nil"/>
              <w:left w:val="nil"/>
              <w:bottom w:val="single" w:sz="4" w:space="0" w:color="auto"/>
              <w:right w:val="single" w:sz="4" w:space="0" w:color="auto"/>
            </w:tcBorders>
            <w:vAlign w:val="center"/>
            <w:hideMark/>
          </w:tcPr>
          <w:p w:rsidR="009564EC" w:rsidRPr="00AE2B3F" w:rsidP="009564EC" w14:paraId="401A76BF" w14:textId="77777777">
            <w:pPr>
              <w:widowControl/>
              <w:overflowPunct/>
              <w:autoSpaceDE/>
              <w:autoSpaceDN/>
              <w:adjustRightInd/>
              <w:textAlignment w:val="auto"/>
              <w:rPr>
                <w:sz w:val="18"/>
                <w:szCs w:val="18"/>
              </w:rPr>
            </w:pPr>
            <w:r w:rsidRPr="00AE2B3F">
              <w:rPr>
                <w:sz w:val="18"/>
                <w:szCs w:val="18"/>
              </w:rPr>
              <w:t>Vendor shelf prices</w:t>
            </w:r>
          </w:p>
        </w:tc>
        <w:tc>
          <w:tcPr>
            <w:tcW w:w="1260" w:type="dxa"/>
            <w:tcBorders>
              <w:top w:val="nil"/>
              <w:left w:val="nil"/>
              <w:bottom w:val="single" w:sz="4" w:space="0" w:color="auto"/>
              <w:right w:val="single" w:sz="4" w:space="0" w:color="auto"/>
            </w:tcBorders>
            <w:vAlign w:val="center"/>
            <w:hideMark/>
          </w:tcPr>
          <w:p w:rsidR="009564EC" w:rsidRPr="00AE2B3F" w:rsidP="00853817" w14:paraId="524A65D6" w14:textId="77777777">
            <w:pPr>
              <w:widowControl/>
              <w:overflowPunct/>
              <w:autoSpaceDE/>
              <w:autoSpaceDN/>
              <w:adjustRightInd/>
              <w:jc w:val="right"/>
              <w:textAlignment w:val="auto"/>
              <w:rPr>
                <w:sz w:val="18"/>
                <w:szCs w:val="18"/>
              </w:rPr>
            </w:pPr>
            <w:r w:rsidRPr="00AE2B3F">
              <w:rPr>
                <w:sz w:val="18"/>
                <w:szCs w:val="18"/>
              </w:rPr>
              <w:t>0.00</w:t>
            </w:r>
          </w:p>
        </w:tc>
        <w:tc>
          <w:tcPr>
            <w:tcW w:w="1170" w:type="dxa"/>
            <w:tcBorders>
              <w:top w:val="nil"/>
              <w:left w:val="nil"/>
              <w:bottom w:val="single" w:sz="4" w:space="0" w:color="auto"/>
              <w:right w:val="single" w:sz="4" w:space="0" w:color="auto"/>
            </w:tcBorders>
            <w:vAlign w:val="center"/>
            <w:hideMark/>
          </w:tcPr>
          <w:p w:rsidR="009564EC" w:rsidRPr="00AE2B3F" w:rsidP="00853817" w14:paraId="0B31A487" w14:textId="1C60D03F">
            <w:pPr>
              <w:widowControl/>
              <w:overflowPunct/>
              <w:autoSpaceDE/>
              <w:autoSpaceDN/>
              <w:adjustRightInd/>
              <w:jc w:val="right"/>
              <w:textAlignment w:val="auto"/>
              <w:rPr>
                <w:sz w:val="18"/>
                <w:szCs w:val="18"/>
              </w:rPr>
            </w:pPr>
            <w:r w:rsidRPr="00AE2B3F">
              <w:rPr>
                <w:sz w:val="18"/>
                <w:szCs w:val="18"/>
              </w:rPr>
              <w:t>0.00</w:t>
            </w:r>
          </w:p>
        </w:tc>
        <w:tc>
          <w:tcPr>
            <w:tcW w:w="1170" w:type="dxa"/>
            <w:tcBorders>
              <w:top w:val="nil"/>
              <w:left w:val="nil"/>
              <w:bottom w:val="single" w:sz="4" w:space="0" w:color="auto"/>
              <w:right w:val="single" w:sz="4" w:space="0" w:color="auto"/>
            </w:tcBorders>
            <w:shd w:val="clear" w:color="auto" w:fill="F2F2F2" w:themeFill="background1" w:themeFillShade="F2"/>
            <w:vAlign w:val="center"/>
            <w:hideMark/>
          </w:tcPr>
          <w:p w:rsidR="009564EC" w:rsidRPr="00AE2B3F" w:rsidP="00853817" w14:paraId="0A818419" w14:textId="77777777">
            <w:pPr>
              <w:widowControl/>
              <w:overflowPunct/>
              <w:autoSpaceDE/>
              <w:autoSpaceDN/>
              <w:adjustRightInd/>
              <w:jc w:val="right"/>
              <w:textAlignment w:val="auto"/>
              <w:rPr>
                <w:sz w:val="18"/>
                <w:szCs w:val="18"/>
              </w:rPr>
            </w:pPr>
            <w:r w:rsidRPr="00AE2B3F">
              <w:rPr>
                <w:sz w:val="18"/>
                <w:szCs w:val="18"/>
              </w:rPr>
              <w:t>0.00</w:t>
            </w:r>
          </w:p>
        </w:tc>
        <w:tc>
          <w:tcPr>
            <w:tcW w:w="1107" w:type="dxa"/>
            <w:tcBorders>
              <w:top w:val="nil"/>
              <w:left w:val="nil"/>
              <w:bottom w:val="single" w:sz="4" w:space="0" w:color="auto"/>
              <w:right w:val="single" w:sz="4" w:space="0" w:color="auto"/>
            </w:tcBorders>
            <w:vAlign w:val="center"/>
            <w:hideMark/>
          </w:tcPr>
          <w:p w:rsidR="009564EC" w:rsidRPr="00AE2B3F" w:rsidP="00853817" w14:paraId="25B55746" w14:textId="12E21838">
            <w:pPr>
              <w:widowControl/>
              <w:overflowPunct/>
              <w:autoSpaceDE/>
              <w:autoSpaceDN/>
              <w:adjustRightInd/>
              <w:jc w:val="right"/>
              <w:textAlignment w:val="auto"/>
              <w:rPr>
                <w:sz w:val="18"/>
                <w:szCs w:val="18"/>
              </w:rPr>
            </w:pPr>
            <w:r w:rsidRPr="00AE2B3F">
              <w:rPr>
                <w:sz w:val="18"/>
                <w:szCs w:val="18"/>
              </w:rPr>
              <w:t>0.00</w:t>
            </w:r>
          </w:p>
        </w:tc>
        <w:tc>
          <w:tcPr>
            <w:tcW w:w="1053" w:type="dxa"/>
            <w:tcBorders>
              <w:top w:val="nil"/>
              <w:left w:val="nil"/>
              <w:bottom w:val="single" w:sz="4" w:space="0" w:color="auto"/>
              <w:right w:val="single" w:sz="4" w:space="0" w:color="auto"/>
            </w:tcBorders>
            <w:shd w:val="clear" w:color="auto" w:fill="F2F2F2" w:themeFill="background1" w:themeFillShade="F2"/>
            <w:vAlign w:val="center"/>
            <w:hideMark/>
          </w:tcPr>
          <w:p w:rsidR="009564EC" w:rsidRPr="00AE2B3F" w:rsidP="00853817" w14:paraId="38E1E801" w14:textId="77777777">
            <w:pPr>
              <w:widowControl/>
              <w:overflowPunct/>
              <w:autoSpaceDE/>
              <w:autoSpaceDN/>
              <w:adjustRightInd/>
              <w:jc w:val="right"/>
              <w:textAlignment w:val="auto"/>
              <w:rPr>
                <w:sz w:val="18"/>
                <w:szCs w:val="18"/>
              </w:rPr>
            </w:pPr>
            <w:r w:rsidRPr="00AE2B3F">
              <w:rPr>
                <w:sz w:val="18"/>
                <w:szCs w:val="18"/>
              </w:rPr>
              <w:t>0.00</w:t>
            </w:r>
          </w:p>
        </w:tc>
        <w:tc>
          <w:tcPr>
            <w:tcW w:w="1170" w:type="dxa"/>
            <w:tcBorders>
              <w:top w:val="nil"/>
              <w:left w:val="nil"/>
              <w:bottom w:val="single" w:sz="4" w:space="0" w:color="auto"/>
              <w:right w:val="single" w:sz="4" w:space="0" w:color="auto"/>
            </w:tcBorders>
            <w:vAlign w:val="center"/>
            <w:hideMark/>
          </w:tcPr>
          <w:p w:rsidR="009564EC" w:rsidRPr="00DD2920" w:rsidP="00853817" w14:paraId="4D8E4475" w14:textId="77777777">
            <w:pPr>
              <w:widowControl/>
              <w:overflowPunct/>
              <w:autoSpaceDE/>
              <w:autoSpaceDN/>
              <w:adjustRightInd/>
              <w:jc w:val="right"/>
              <w:textAlignment w:val="auto"/>
              <w:rPr>
                <w:i/>
                <w:iCs/>
                <w:sz w:val="18"/>
                <w:szCs w:val="18"/>
              </w:rPr>
            </w:pPr>
            <w:r w:rsidRPr="00DD2920">
              <w:rPr>
                <w:i/>
                <w:iCs/>
                <w:sz w:val="18"/>
                <w:szCs w:val="18"/>
              </w:rPr>
              <w:t>132,318.79</w:t>
            </w:r>
          </w:p>
        </w:tc>
        <w:tc>
          <w:tcPr>
            <w:tcW w:w="1363" w:type="dxa"/>
            <w:tcBorders>
              <w:top w:val="nil"/>
              <w:left w:val="nil"/>
              <w:bottom w:val="single" w:sz="4" w:space="0" w:color="auto"/>
              <w:right w:val="single" w:sz="4" w:space="0" w:color="auto"/>
            </w:tcBorders>
            <w:noWrap/>
            <w:vAlign w:val="center"/>
          </w:tcPr>
          <w:p w:rsidR="009564EC" w:rsidRPr="00AE2B3F" w:rsidP="00853817" w14:paraId="65E50B07" w14:textId="70AF7B74">
            <w:pPr>
              <w:widowControl/>
              <w:overflowPunct/>
              <w:autoSpaceDE/>
              <w:autoSpaceDN/>
              <w:adjustRightInd/>
              <w:jc w:val="right"/>
              <w:textAlignment w:val="auto"/>
              <w:rPr>
                <w:sz w:val="18"/>
                <w:szCs w:val="18"/>
              </w:rPr>
            </w:pPr>
            <w:r>
              <w:rPr>
                <w:sz w:val="18"/>
                <w:szCs w:val="18"/>
              </w:rPr>
              <w:t>-132,318.79</w:t>
            </w:r>
          </w:p>
        </w:tc>
        <w:tc>
          <w:tcPr>
            <w:tcW w:w="1242" w:type="dxa"/>
            <w:tcBorders>
              <w:top w:val="nil"/>
              <w:left w:val="nil"/>
              <w:bottom w:val="single" w:sz="4" w:space="0" w:color="auto"/>
              <w:right w:val="single" w:sz="4" w:space="0" w:color="auto"/>
            </w:tcBorders>
            <w:vAlign w:val="center"/>
          </w:tcPr>
          <w:p w:rsidR="009564EC" w:rsidRPr="00AE2B3F" w:rsidP="00853817" w14:paraId="1EE4F32C" w14:textId="1702E41A">
            <w:pPr>
              <w:widowControl/>
              <w:overflowPunct/>
              <w:autoSpaceDE/>
              <w:autoSpaceDN/>
              <w:adjustRightInd/>
              <w:jc w:val="right"/>
              <w:textAlignment w:val="auto"/>
              <w:rPr>
                <w:sz w:val="18"/>
                <w:szCs w:val="18"/>
              </w:rPr>
            </w:pPr>
            <w:r w:rsidRPr="00AE2B3F">
              <w:rPr>
                <w:sz w:val="18"/>
                <w:szCs w:val="18"/>
              </w:rPr>
              <w:t>0.00</w:t>
            </w:r>
          </w:p>
        </w:tc>
        <w:tc>
          <w:tcPr>
            <w:tcW w:w="1265" w:type="dxa"/>
            <w:tcBorders>
              <w:top w:val="nil"/>
              <w:left w:val="nil"/>
              <w:bottom w:val="single" w:sz="4" w:space="0" w:color="auto"/>
              <w:right w:val="single" w:sz="4" w:space="0" w:color="auto"/>
            </w:tcBorders>
            <w:vAlign w:val="center"/>
          </w:tcPr>
          <w:p w:rsidR="009564EC" w:rsidRPr="00AE2B3F" w:rsidP="00853817" w14:paraId="50519A7A" w14:textId="5AA38509">
            <w:pPr>
              <w:widowControl/>
              <w:overflowPunct/>
              <w:autoSpaceDE/>
              <w:autoSpaceDN/>
              <w:adjustRightInd/>
              <w:jc w:val="right"/>
              <w:textAlignment w:val="auto"/>
              <w:rPr>
                <w:sz w:val="18"/>
                <w:szCs w:val="18"/>
              </w:rPr>
            </w:pPr>
            <w:r w:rsidRPr="00AE2B3F">
              <w:rPr>
                <w:sz w:val="18"/>
                <w:szCs w:val="18"/>
              </w:rPr>
              <w:t>-132,318.79</w:t>
            </w:r>
          </w:p>
        </w:tc>
      </w:tr>
      <w:tr w14:paraId="35F94294" w14:textId="77777777" w:rsidTr="4FE94C9D">
        <w:tblPrEx>
          <w:tblW w:w="14215" w:type="dxa"/>
          <w:tblLayout w:type="fixed"/>
          <w:tblLook w:val="04A0"/>
        </w:tblPrEx>
        <w:trPr>
          <w:trHeight w:val="510"/>
        </w:trPr>
        <w:tc>
          <w:tcPr>
            <w:tcW w:w="1651" w:type="dxa"/>
            <w:tcBorders>
              <w:top w:val="nil"/>
              <w:left w:val="single" w:sz="4" w:space="0" w:color="auto"/>
              <w:bottom w:val="single" w:sz="4" w:space="0" w:color="auto"/>
              <w:right w:val="single" w:sz="4" w:space="0" w:color="auto"/>
            </w:tcBorders>
            <w:vAlign w:val="center"/>
            <w:hideMark/>
          </w:tcPr>
          <w:p w:rsidR="00853817" w:rsidRPr="00AE2B3F" w:rsidP="00853817" w14:paraId="4A79EBD3" w14:textId="77777777">
            <w:pPr>
              <w:widowControl/>
              <w:overflowPunct/>
              <w:autoSpaceDE/>
              <w:autoSpaceDN/>
              <w:adjustRightInd/>
              <w:textAlignment w:val="auto"/>
              <w:rPr>
                <w:b/>
                <w:bCs/>
                <w:sz w:val="18"/>
                <w:szCs w:val="18"/>
              </w:rPr>
            </w:pPr>
            <w:r w:rsidRPr="00AE2B3F">
              <w:rPr>
                <w:b/>
                <w:bCs/>
                <w:sz w:val="18"/>
                <w:szCs w:val="18"/>
              </w:rPr>
              <w:t>246.12(g)(5)</w:t>
            </w:r>
          </w:p>
        </w:tc>
        <w:tc>
          <w:tcPr>
            <w:tcW w:w="1764" w:type="dxa"/>
            <w:tcBorders>
              <w:top w:val="nil"/>
              <w:left w:val="nil"/>
              <w:bottom w:val="single" w:sz="4" w:space="0" w:color="auto"/>
              <w:right w:val="single" w:sz="4" w:space="0" w:color="auto"/>
            </w:tcBorders>
            <w:vAlign w:val="center"/>
            <w:hideMark/>
          </w:tcPr>
          <w:p w:rsidR="00853817" w:rsidRPr="00AE2B3F" w:rsidP="00853817" w14:paraId="4258CD9A" w14:textId="77777777">
            <w:pPr>
              <w:widowControl/>
              <w:overflowPunct/>
              <w:autoSpaceDE/>
              <w:autoSpaceDN/>
              <w:adjustRightInd/>
              <w:textAlignment w:val="auto"/>
              <w:rPr>
                <w:sz w:val="18"/>
                <w:szCs w:val="18"/>
              </w:rPr>
            </w:pPr>
            <w:r w:rsidRPr="00AE2B3F">
              <w:rPr>
                <w:sz w:val="18"/>
                <w:szCs w:val="18"/>
              </w:rPr>
              <w:t>Vendor initial preauthorization visits</w:t>
            </w:r>
          </w:p>
        </w:tc>
        <w:tc>
          <w:tcPr>
            <w:tcW w:w="1260" w:type="dxa"/>
            <w:tcBorders>
              <w:top w:val="nil"/>
              <w:left w:val="nil"/>
              <w:bottom w:val="single" w:sz="4" w:space="0" w:color="auto"/>
              <w:right w:val="single" w:sz="4" w:space="0" w:color="auto"/>
            </w:tcBorders>
            <w:vAlign w:val="center"/>
            <w:hideMark/>
          </w:tcPr>
          <w:p w:rsidR="00853817" w:rsidRPr="00AE2B3F" w:rsidP="00853817" w14:paraId="63D45F84" w14:textId="5094C54D">
            <w:pPr>
              <w:widowControl/>
              <w:overflowPunct/>
              <w:autoSpaceDE/>
              <w:autoSpaceDN/>
              <w:adjustRightInd/>
              <w:jc w:val="right"/>
              <w:textAlignment w:val="auto"/>
              <w:rPr>
                <w:sz w:val="18"/>
                <w:szCs w:val="18"/>
              </w:rPr>
            </w:pPr>
            <w:r w:rsidRPr="00853817">
              <w:rPr>
                <w:sz w:val="18"/>
                <w:szCs w:val="18"/>
              </w:rPr>
              <w:t>1,606.00</w:t>
            </w:r>
          </w:p>
        </w:tc>
        <w:tc>
          <w:tcPr>
            <w:tcW w:w="1170" w:type="dxa"/>
            <w:tcBorders>
              <w:top w:val="nil"/>
              <w:left w:val="nil"/>
              <w:bottom w:val="single" w:sz="4" w:space="0" w:color="auto"/>
              <w:right w:val="single" w:sz="4" w:space="0" w:color="auto"/>
            </w:tcBorders>
            <w:vAlign w:val="center"/>
            <w:hideMark/>
          </w:tcPr>
          <w:p w:rsidR="00853817" w:rsidRPr="00AE2B3F" w:rsidP="00853817" w14:paraId="65612B3C" w14:textId="778CD682">
            <w:pPr>
              <w:widowControl/>
              <w:overflowPunct/>
              <w:autoSpaceDE/>
              <w:autoSpaceDN/>
              <w:adjustRightInd/>
              <w:jc w:val="right"/>
              <w:textAlignment w:val="auto"/>
              <w:rPr>
                <w:sz w:val="18"/>
                <w:szCs w:val="18"/>
              </w:rPr>
            </w:pPr>
            <w:r w:rsidRPr="00853817">
              <w:rPr>
                <w:sz w:val="18"/>
                <w:szCs w:val="18"/>
              </w:rPr>
              <w:t>1.00</w:t>
            </w:r>
          </w:p>
        </w:tc>
        <w:tc>
          <w:tcPr>
            <w:tcW w:w="1170" w:type="dxa"/>
            <w:tcBorders>
              <w:top w:val="nil"/>
              <w:left w:val="nil"/>
              <w:bottom w:val="single" w:sz="4" w:space="0" w:color="auto"/>
              <w:right w:val="single" w:sz="4" w:space="0" w:color="auto"/>
            </w:tcBorders>
            <w:shd w:val="clear" w:color="auto" w:fill="F2F2F2" w:themeFill="background1" w:themeFillShade="F2"/>
            <w:vAlign w:val="center"/>
            <w:hideMark/>
          </w:tcPr>
          <w:p w:rsidR="00853817" w:rsidRPr="00AE2B3F" w:rsidP="00853817" w14:paraId="5BC4864B" w14:textId="492EBA85">
            <w:pPr>
              <w:widowControl/>
              <w:overflowPunct/>
              <w:autoSpaceDE/>
              <w:autoSpaceDN/>
              <w:adjustRightInd/>
              <w:jc w:val="right"/>
              <w:textAlignment w:val="auto"/>
              <w:rPr>
                <w:sz w:val="18"/>
                <w:szCs w:val="18"/>
              </w:rPr>
            </w:pPr>
            <w:r w:rsidRPr="00853817">
              <w:rPr>
                <w:sz w:val="18"/>
                <w:szCs w:val="18"/>
              </w:rPr>
              <w:t>1,606.00</w:t>
            </w:r>
          </w:p>
        </w:tc>
        <w:tc>
          <w:tcPr>
            <w:tcW w:w="1107" w:type="dxa"/>
            <w:tcBorders>
              <w:top w:val="nil"/>
              <w:left w:val="nil"/>
              <w:bottom w:val="single" w:sz="4" w:space="0" w:color="auto"/>
              <w:right w:val="single" w:sz="4" w:space="0" w:color="auto"/>
            </w:tcBorders>
            <w:vAlign w:val="center"/>
            <w:hideMark/>
          </w:tcPr>
          <w:p w:rsidR="00853817" w:rsidRPr="00CD169B" w:rsidP="00853817" w14:paraId="1D60E1DC" w14:textId="17F65692">
            <w:pPr>
              <w:widowControl/>
              <w:overflowPunct/>
              <w:autoSpaceDE/>
              <w:autoSpaceDN/>
              <w:adjustRightInd/>
              <w:jc w:val="right"/>
              <w:textAlignment w:val="auto"/>
              <w:rPr>
                <w:sz w:val="18"/>
                <w:szCs w:val="18"/>
              </w:rPr>
            </w:pPr>
            <w:r w:rsidRPr="00853817">
              <w:rPr>
                <w:sz w:val="18"/>
                <w:szCs w:val="18"/>
              </w:rPr>
              <w:t>0.668</w:t>
            </w:r>
          </w:p>
        </w:tc>
        <w:tc>
          <w:tcPr>
            <w:tcW w:w="1053" w:type="dxa"/>
            <w:tcBorders>
              <w:top w:val="nil"/>
              <w:left w:val="nil"/>
              <w:bottom w:val="single" w:sz="4" w:space="0" w:color="auto"/>
              <w:right w:val="single" w:sz="4" w:space="0" w:color="auto"/>
            </w:tcBorders>
            <w:shd w:val="clear" w:color="auto" w:fill="F2F2F2" w:themeFill="background1" w:themeFillShade="F2"/>
            <w:vAlign w:val="center"/>
            <w:hideMark/>
          </w:tcPr>
          <w:p w:rsidR="00853817" w:rsidRPr="00CD169B" w:rsidP="00853817" w14:paraId="28C57D01" w14:textId="2DF7A8D1">
            <w:pPr>
              <w:widowControl/>
              <w:overflowPunct/>
              <w:autoSpaceDE/>
              <w:autoSpaceDN/>
              <w:adjustRightInd/>
              <w:jc w:val="right"/>
              <w:textAlignment w:val="auto"/>
              <w:rPr>
                <w:sz w:val="18"/>
                <w:szCs w:val="18"/>
              </w:rPr>
            </w:pPr>
            <w:r w:rsidRPr="00853817">
              <w:rPr>
                <w:sz w:val="18"/>
                <w:szCs w:val="18"/>
              </w:rPr>
              <w:t>1,072.81</w:t>
            </w:r>
          </w:p>
        </w:tc>
        <w:tc>
          <w:tcPr>
            <w:tcW w:w="1170" w:type="dxa"/>
            <w:tcBorders>
              <w:top w:val="nil"/>
              <w:left w:val="nil"/>
              <w:bottom w:val="single" w:sz="4" w:space="0" w:color="auto"/>
              <w:right w:val="single" w:sz="4" w:space="0" w:color="auto"/>
            </w:tcBorders>
            <w:vAlign w:val="center"/>
            <w:hideMark/>
          </w:tcPr>
          <w:p w:rsidR="00853817" w:rsidRPr="00DD2920" w:rsidP="00853817" w14:paraId="3B595F2A" w14:textId="5EAE3044">
            <w:pPr>
              <w:widowControl/>
              <w:overflowPunct/>
              <w:autoSpaceDE/>
              <w:autoSpaceDN/>
              <w:adjustRightInd/>
              <w:jc w:val="right"/>
              <w:textAlignment w:val="auto"/>
              <w:rPr>
                <w:i/>
                <w:iCs/>
                <w:sz w:val="18"/>
                <w:szCs w:val="18"/>
              </w:rPr>
            </w:pPr>
            <w:r w:rsidRPr="00DD2920">
              <w:rPr>
                <w:i/>
                <w:iCs/>
                <w:sz w:val="18"/>
                <w:szCs w:val="18"/>
              </w:rPr>
              <w:t>1,010.68</w:t>
            </w:r>
          </w:p>
        </w:tc>
        <w:tc>
          <w:tcPr>
            <w:tcW w:w="1363" w:type="dxa"/>
            <w:tcBorders>
              <w:top w:val="nil"/>
              <w:left w:val="nil"/>
              <w:bottom w:val="single" w:sz="4" w:space="0" w:color="auto"/>
              <w:right w:val="single" w:sz="4" w:space="0" w:color="auto"/>
            </w:tcBorders>
            <w:noWrap/>
            <w:vAlign w:val="center"/>
          </w:tcPr>
          <w:p w:rsidR="00853817" w:rsidRPr="00CD169B" w:rsidP="00853817" w14:paraId="6EA492E4" w14:textId="04ABC3DE">
            <w:pPr>
              <w:widowControl/>
              <w:overflowPunct/>
              <w:autoSpaceDE/>
              <w:autoSpaceDN/>
              <w:adjustRightInd/>
              <w:jc w:val="right"/>
              <w:textAlignment w:val="auto"/>
              <w:rPr>
                <w:sz w:val="18"/>
                <w:szCs w:val="18"/>
              </w:rPr>
            </w:pPr>
            <w:r w:rsidRPr="00853817">
              <w:rPr>
                <w:sz w:val="18"/>
                <w:szCs w:val="18"/>
              </w:rPr>
              <w:t>73.48</w:t>
            </w:r>
          </w:p>
        </w:tc>
        <w:tc>
          <w:tcPr>
            <w:tcW w:w="1242" w:type="dxa"/>
            <w:tcBorders>
              <w:top w:val="nil"/>
              <w:left w:val="nil"/>
              <w:bottom w:val="single" w:sz="4" w:space="0" w:color="auto"/>
              <w:right w:val="single" w:sz="4" w:space="0" w:color="auto"/>
            </w:tcBorders>
            <w:vAlign w:val="center"/>
          </w:tcPr>
          <w:p w:rsidR="00853817" w:rsidRPr="00CD169B" w:rsidP="00853817" w14:paraId="3AA41D5B" w14:textId="2C6C4B76">
            <w:pPr>
              <w:widowControl/>
              <w:overflowPunct/>
              <w:autoSpaceDE/>
              <w:autoSpaceDN/>
              <w:adjustRightInd/>
              <w:jc w:val="right"/>
              <w:textAlignment w:val="auto"/>
              <w:rPr>
                <w:sz w:val="18"/>
                <w:szCs w:val="18"/>
              </w:rPr>
            </w:pPr>
            <w:r w:rsidRPr="00853817">
              <w:rPr>
                <w:sz w:val="18"/>
                <w:szCs w:val="18"/>
              </w:rPr>
              <w:t>-11.36</w:t>
            </w:r>
          </w:p>
        </w:tc>
        <w:tc>
          <w:tcPr>
            <w:tcW w:w="1265" w:type="dxa"/>
            <w:tcBorders>
              <w:top w:val="nil"/>
              <w:left w:val="nil"/>
              <w:bottom w:val="single" w:sz="4" w:space="0" w:color="auto"/>
              <w:right w:val="single" w:sz="4" w:space="0" w:color="auto"/>
            </w:tcBorders>
            <w:vAlign w:val="center"/>
          </w:tcPr>
          <w:p w:rsidR="00853817" w:rsidRPr="00CD169B" w:rsidP="00853817" w14:paraId="4506EE85" w14:textId="2E0712A5">
            <w:pPr>
              <w:widowControl/>
              <w:overflowPunct/>
              <w:autoSpaceDE/>
              <w:autoSpaceDN/>
              <w:adjustRightInd/>
              <w:jc w:val="right"/>
              <w:textAlignment w:val="auto"/>
              <w:rPr>
                <w:sz w:val="18"/>
                <w:szCs w:val="18"/>
              </w:rPr>
            </w:pPr>
            <w:r w:rsidRPr="00853817">
              <w:rPr>
                <w:sz w:val="18"/>
                <w:szCs w:val="18"/>
              </w:rPr>
              <w:t>62.12</w:t>
            </w:r>
          </w:p>
        </w:tc>
      </w:tr>
      <w:tr w14:paraId="3CE86832" w14:textId="77777777" w:rsidTr="4FE94C9D">
        <w:tblPrEx>
          <w:tblW w:w="14215" w:type="dxa"/>
          <w:tblLayout w:type="fixed"/>
          <w:tblLook w:val="04A0"/>
        </w:tblPrEx>
        <w:trPr>
          <w:trHeight w:val="528"/>
        </w:trPr>
        <w:tc>
          <w:tcPr>
            <w:tcW w:w="1651" w:type="dxa"/>
            <w:tcBorders>
              <w:top w:val="nil"/>
              <w:left w:val="single" w:sz="4" w:space="0" w:color="auto"/>
              <w:bottom w:val="single" w:sz="4" w:space="0" w:color="auto"/>
              <w:right w:val="single" w:sz="4" w:space="0" w:color="auto"/>
            </w:tcBorders>
            <w:vAlign w:val="center"/>
            <w:hideMark/>
          </w:tcPr>
          <w:p w:rsidR="00853817" w:rsidRPr="00AE2B3F" w:rsidP="00853817" w14:paraId="367BEE93" w14:textId="77777777">
            <w:pPr>
              <w:widowControl/>
              <w:overflowPunct/>
              <w:autoSpaceDE/>
              <w:autoSpaceDN/>
              <w:adjustRightInd/>
              <w:textAlignment w:val="auto"/>
              <w:rPr>
                <w:b/>
                <w:bCs/>
                <w:sz w:val="18"/>
                <w:szCs w:val="18"/>
              </w:rPr>
            </w:pPr>
            <w:r w:rsidRPr="00AE2B3F">
              <w:rPr>
                <w:b/>
                <w:bCs/>
                <w:sz w:val="18"/>
                <w:szCs w:val="18"/>
              </w:rPr>
              <w:t>246.12(h)</w:t>
            </w:r>
          </w:p>
        </w:tc>
        <w:tc>
          <w:tcPr>
            <w:tcW w:w="1764" w:type="dxa"/>
            <w:tcBorders>
              <w:top w:val="nil"/>
              <w:left w:val="nil"/>
              <w:bottom w:val="single" w:sz="4" w:space="0" w:color="auto"/>
              <w:right w:val="single" w:sz="4" w:space="0" w:color="auto"/>
            </w:tcBorders>
            <w:vAlign w:val="center"/>
            <w:hideMark/>
          </w:tcPr>
          <w:p w:rsidR="00853817" w:rsidRPr="00AE2B3F" w:rsidP="00853817" w14:paraId="4B7C49D4" w14:textId="77777777">
            <w:pPr>
              <w:widowControl/>
              <w:overflowPunct/>
              <w:autoSpaceDE/>
              <w:autoSpaceDN/>
              <w:adjustRightInd/>
              <w:textAlignment w:val="auto"/>
              <w:rPr>
                <w:sz w:val="18"/>
                <w:szCs w:val="18"/>
              </w:rPr>
            </w:pPr>
            <w:r w:rsidRPr="00AE2B3F">
              <w:rPr>
                <w:sz w:val="18"/>
                <w:szCs w:val="18"/>
              </w:rPr>
              <w:t xml:space="preserve">Vendor applications &amp; Agreements </w:t>
            </w:r>
          </w:p>
        </w:tc>
        <w:tc>
          <w:tcPr>
            <w:tcW w:w="1260" w:type="dxa"/>
            <w:tcBorders>
              <w:top w:val="nil"/>
              <w:left w:val="nil"/>
              <w:bottom w:val="single" w:sz="4" w:space="0" w:color="auto"/>
              <w:right w:val="single" w:sz="4" w:space="0" w:color="auto"/>
            </w:tcBorders>
            <w:vAlign w:val="center"/>
            <w:hideMark/>
          </w:tcPr>
          <w:p w:rsidR="00853817" w:rsidRPr="00AE2B3F" w:rsidP="00853817" w14:paraId="7A292E57" w14:textId="567DAE73">
            <w:pPr>
              <w:widowControl/>
              <w:overflowPunct/>
              <w:autoSpaceDE/>
              <w:autoSpaceDN/>
              <w:adjustRightInd/>
              <w:jc w:val="right"/>
              <w:textAlignment w:val="auto"/>
              <w:rPr>
                <w:sz w:val="18"/>
                <w:szCs w:val="18"/>
              </w:rPr>
            </w:pPr>
            <w:r w:rsidRPr="00853817">
              <w:rPr>
                <w:sz w:val="18"/>
                <w:szCs w:val="18"/>
              </w:rPr>
              <w:t>13,360.71</w:t>
            </w:r>
          </w:p>
        </w:tc>
        <w:tc>
          <w:tcPr>
            <w:tcW w:w="1170" w:type="dxa"/>
            <w:tcBorders>
              <w:top w:val="nil"/>
              <w:left w:val="nil"/>
              <w:bottom w:val="single" w:sz="4" w:space="0" w:color="auto"/>
              <w:right w:val="single" w:sz="4" w:space="0" w:color="auto"/>
            </w:tcBorders>
            <w:vAlign w:val="center"/>
            <w:hideMark/>
          </w:tcPr>
          <w:p w:rsidR="00853817" w:rsidRPr="00AE2B3F" w:rsidP="00853817" w14:paraId="18E3C821" w14:textId="7522552A">
            <w:pPr>
              <w:widowControl/>
              <w:overflowPunct/>
              <w:autoSpaceDE/>
              <w:autoSpaceDN/>
              <w:adjustRightInd/>
              <w:jc w:val="right"/>
              <w:textAlignment w:val="auto"/>
              <w:rPr>
                <w:sz w:val="18"/>
                <w:szCs w:val="18"/>
              </w:rPr>
            </w:pPr>
            <w:r w:rsidRPr="00853817">
              <w:rPr>
                <w:sz w:val="18"/>
                <w:szCs w:val="18"/>
              </w:rPr>
              <w:t>1.00</w:t>
            </w:r>
          </w:p>
        </w:tc>
        <w:tc>
          <w:tcPr>
            <w:tcW w:w="1170" w:type="dxa"/>
            <w:tcBorders>
              <w:top w:val="nil"/>
              <w:left w:val="nil"/>
              <w:bottom w:val="single" w:sz="4" w:space="0" w:color="auto"/>
              <w:right w:val="single" w:sz="4" w:space="0" w:color="auto"/>
            </w:tcBorders>
            <w:shd w:val="clear" w:color="auto" w:fill="F2F2F2" w:themeFill="background1" w:themeFillShade="F2"/>
            <w:vAlign w:val="center"/>
            <w:hideMark/>
          </w:tcPr>
          <w:p w:rsidR="00853817" w:rsidRPr="00AE2B3F" w:rsidP="00853817" w14:paraId="75814BAA" w14:textId="36A0EBB9">
            <w:pPr>
              <w:widowControl/>
              <w:overflowPunct/>
              <w:autoSpaceDE/>
              <w:autoSpaceDN/>
              <w:adjustRightInd/>
              <w:jc w:val="right"/>
              <w:textAlignment w:val="auto"/>
              <w:rPr>
                <w:sz w:val="18"/>
                <w:szCs w:val="18"/>
              </w:rPr>
            </w:pPr>
            <w:r w:rsidRPr="00853817">
              <w:rPr>
                <w:sz w:val="18"/>
                <w:szCs w:val="18"/>
              </w:rPr>
              <w:t>13,360.71</w:t>
            </w:r>
          </w:p>
        </w:tc>
        <w:tc>
          <w:tcPr>
            <w:tcW w:w="1107" w:type="dxa"/>
            <w:tcBorders>
              <w:top w:val="nil"/>
              <w:left w:val="nil"/>
              <w:bottom w:val="single" w:sz="4" w:space="0" w:color="auto"/>
              <w:right w:val="single" w:sz="4" w:space="0" w:color="auto"/>
            </w:tcBorders>
            <w:vAlign w:val="center"/>
            <w:hideMark/>
          </w:tcPr>
          <w:p w:rsidR="00853817" w:rsidRPr="00AE2B3F" w:rsidP="00853817" w14:paraId="7C40A301" w14:textId="178F269C">
            <w:pPr>
              <w:widowControl/>
              <w:overflowPunct/>
              <w:autoSpaceDE/>
              <w:autoSpaceDN/>
              <w:adjustRightInd/>
              <w:jc w:val="right"/>
              <w:textAlignment w:val="auto"/>
              <w:rPr>
                <w:sz w:val="18"/>
                <w:szCs w:val="18"/>
              </w:rPr>
            </w:pPr>
            <w:r w:rsidRPr="00853817">
              <w:rPr>
                <w:sz w:val="18"/>
                <w:szCs w:val="18"/>
              </w:rPr>
              <w:t>1.00</w:t>
            </w:r>
          </w:p>
        </w:tc>
        <w:tc>
          <w:tcPr>
            <w:tcW w:w="1053" w:type="dxa"/>
            <w:tcBorders>
              <w:top w:val="nil"/>
              <w:left w:val="nil"/>
              <w:bottom w:val="single" w:sz="4" w:space="0" w:color="auto"/>
              <w:right w:val="single" w:sz="4" w:space="0" w:color="auto"/>
            </w:tcBorders>
            <w:shd w:val="clear" w:color="auto" w:fill="F2F2F2" w:themeFill="background1" w:themeFillShade="F2"/>
            <w:vAlign w:val="center"/>
            <w:hideMark/>
          </w:tcPr>
          <w:p w:rsidR="00853817" w:rsidRPr="00AE2B3F" w:rsidP="00853817" w14:paraId="56BA4D15" w14:textId="48253D92">
            <w:pPr>
              <w:widowControl/>
              <w:overflowPunct/>
              <w:autoSpaceDE/>
              <w:autoSpaceDN/>
              <w:adjustRightInd/>
              <w:jc w:val="right"/>
              <w:textAlignment w:val="auto"/>
              <w:rPr>
                <w:sz w:val="18"/>
                <w:szCs w:val="18"/>
              </w:rPr>
            </w:pPr>
            <w:r w:rsidRPr="00853817">
              <w:rPr>
                <w:sz w:val="18"/>
                <w:szCs w:val="18"/>
              </w:rPr>
              <w:t>13,360.71</w:t>
            </w:r>
          </w:p>
        </w:tc>
        <w:tc>
          <w:tcPr>
            <w:tcW w:w="1170" w:type="dxa"/>
            <w:tcBorders>
              <w:top w:val="nil"/>
              <w:left w:val="nil"/>
              <w:bottom w:val="single" w:sz="4" w:space="0" w:color="auto"/>
              <w:right w:val="single" w:sz="4" w:space="0" w:color="auto"/>
            </w:tcBorders>
            <w:vAlign w:val="center"/>
            <w:hideMark/>
          </w:tcPr>
          <w:p w:rsidR="00853817" w:rsidRPr="00DD2920" w:rsidP="00853817" w14:paraId="442BF1E0" w14:textId="40044557">
            <w:pPr>
              <w:widowControl/>
              <w:overflowPunct/>
              <w:autoSpaceDE/>
              <w:autoSpaceDN/>
              <w:adjustRightInd/>
              <w:jc w:val="right"/>
              <w:textAlignment w:val="auto"/>
              <w:rPr>
                <w:i/>
                <w:iCs/>
                <w:sz w:val="18"/>
                <w:szCs w:val="18"/>
              </w:rPr>
            </w:pPr>
            <w:r w:rsidRPr="00DD2920">
              <w:rPr>
                <w:i/>
                <w:iCs/>
                <w:sz w:val="18"/>
                <w:szCs w:val="18"/>
              </w:rPr>
              <w:t>12,298.11</w:t>
            </w:r>
          </w:p>
        </w:tc>
        <w:tc>
          <w:tcPr>
            <w:tcW w:w="1363" w:type="dxa"/>
            <w:tcBorders>
              <w:top w:val="nil"/>
              <w:left w:val="nil"/>
              <w:bottom w:val="single" w:sz="4" w:space="0" w:color="auto"/>
              <w:right w:val="single" w:sz="4" w:space="0" w:color="auto"/>
            </w:tcBorders>
            <w:noWrap/>
            <w:vAlign w:val="center"/>
          </w:tcPr>
          <w:p w:rsidR="00853817" w:rsidRPr="00AE2B3F" w:rsidP="00853817" w14:paraId="64EAF0A5" w14:textId="0550169F">
            <w:pPr>
              <w:widowControl/>
              <w:overflowPunct/>
              <w:autoSpaceDE/>
              <w:autoSpaceDN/>
              <w:adjustRightInd/>
              <w:jc w:val="right"/>
              <w:textAlignment w:val="auto"/>
              <w:rPr>
                <w:sz w:val="18"/>
                <w:szCs w:val="18"/>
              </w:rPr>
            </w:pPr>
            <w:r w:rsidRPr="00853817">
              <w:rPr>
                <w:sz w:val="18"/>
                <w:szCs w:val="18"/>
              </w:rPr>
              <w:t>36.30</w:t>
            </w:r>
          </w:p>
        </w:tc>
        <w:tc>
          <w:tcPr>
            <w:tcW w:w="1242" w:type="dxa"/>
            <w:tcBorders>
              <w:top w:val="nil"/>
              <w:left w:val="nil"/>
              <w:bottom w:val="single" w:sz="4" w:space="0" w:color="auto"/>
              <w:right w:val="single" w:sz="4" w:space="0" w:color="auto"/>
            </w:tcBorders>
            <w:vAlign w:val="center"/>
          </w:tcPr>
          <w:p w:rsidR="00853817" w:rsidRPr="00AE2B3F" w:rsidP="00853817" w14:paraId="241ED4B7" w14:textId="5FD00672">
            <w:pPr>
              <w:widowControl/>
              <w:overflowPunct/>
              <w:autoSpaceDE/>
              <w:autoSpaceDN/>
              <w:adjustRightInd/>
              <w:jc w:val="right"/>
              <w:textAlignment w:val="auto"/>
              <w:rPr>
                <w:sz w:val="18"/>
                <w:szCs w:val="18"/>
              </w:rPr>
            </w:pPr>
            <w:r w:rsidRPr="00853817">
              <w:rPr>
                <w:sz w:val="18"/>
                <w:szCs w:val="18"/>
              </w:rPr>
              <w:t>1,026.30</w:t>
            </w:r>
          </w:p>
        </w:tc>
        <w:tc>
          <w:tcPr>
            <w:tcW w:w="1265" w:type="dxa"/>
            <w:tcBorders>
              <w:top w:val="nil"/>
              <w:left w:val="nil"/>
              <w:bottom w:val="single" w:sz="4" w:space="0" w:color="auto"/>
              <w:right w:val="single" w:sz="4" w:space="0" w:color="auto"/>
            </w:tcBorders>
            <w:vAlign w:val="center"/>
          </w:tcPr>
          <w:p w:rsidR="00853817" w:rsidRPr="00AE2B3F" w:rsidP="00853817" w14:paraId="4DD3441A" w14:textId="13AB3292">
            <w:pPr>
              <w:widowControl/>
              <w:overflowPunct/>
              <w:autoSpaceDE/>
              <w:autoSpaceDN/>
              <w:adjustRightInd/>
              <w:jc w:val="right"/>
              <w:textAlignment w:val="auto"/>
              <w:rPr>
                <w:sz w:val="18"/>
                <w:szCs w:val="18"/>
              </w:rPr>
            </w:pPr>
            <w:r w:rsidRPr="00853817">
              <w:rPr>
                <w:sz w:val="18"/>
                <w:szCs w:val="18"/>
              </w:rPr>
              <w:t>1,062.60</w:t>
            </w:r>
          </w:p>
        </w:tc>
      </w:tr>
      <w:tr w14:paraId="79B26929" w14:textId="77777777" w:rsidTr="4FE94C9D">
        <w:tblPrEx>
          <w:tblW w:w="14215" w:type="dxa"/>
          <w:tblLayout w:type="fixed"/>
          <w:tblLook w:val="04A0"/>
        </w:tblPrEx>
        <w:trPr>
          <w:trHeight w:val="660"/>
        </w:trPr>
        <w:tc>
          <w:tcPr>
            <w:tcW w:w="1651" w:type="dxa"/>
            <w:tcBorders>
              <w:top w:val="nil"/>
              <w:left w:val="single" w:sz="4" w:space="0" w:color="auto"/>
              <w:bottom w:val="single" w:sz="4" w:space="0" w:color="auto"/>
              <w:right w:val="single" w:sz="4" w:space="0" w:color="auto"/>
            </w:tcBorders>
            <w:vAlign w:val="center"/>
            <w:hideMark/>
          </w:tcPr>
          <w:p w:rsidR="00853817" w:rsidRPr="00AE2B3F" w:rsidP="00853817" w14:paraId="3AF21C55" w14:textId="77777777">
            <w:pPr>
              <w:widowControl/>
              <w:overflowPunct/>
              <w:autoSpaceDE/>
              <w:autoSpaceDN/>
              <w:adjustRightInd/>
              <w:textAlignment w:val="auto"/>
              <w:rPr>
                <w:b/>
                <w:bCs/>
                <w:sz w:val="18"/>
                <w:szCs w:val="18"/>
              </w:rPr>
            </w:pPr>
            <w:r w:rsidRPr="00AE2B3F">
              <w:rPr>
                <w:b/>
                <w:bCs/>
                <w:sz w:val="18"/>
                <w:szCs w:val="18"/>
              </w:rPr>
              <w:t>246.12(h)(3)(xiii)</w:t>
            </w:r>
          </w:p>
        </w:tc>
        <w:tc>
          <w:tcPr>
            <w:tcW w:w="1764" w:type="dxa"/>
            <w:tcBorders>
              <w:top w:val="nil"/>
              <w:left w:val="nil"/>
              <w:bottom w:val="single" w:sz="4" w:space="0" w:color="auto"/>
              <w:right w:val="single" w:sz="4" w:space="0" w:color="auto"/>
            </w:tcBorders>
            <w:vAlign w:val="center"/>
            <w:hideMark/>
          </w:tcPr>
          <w:p w:rsidR="00853817" w:rsidRPr="00AE2B3F" w:rsidP="00853817" w14:paraId="7535BE5F" w14:textId="77777777">
            <w:pPr>
              <w:widowControl/>
              <w:overflowPunct/>
              <w:autoSpaceDE/>
              <w:autoSpaceDN/>
              <w:adjustRightInd/>
              <w:textAlignment w:val="auto"/>
              <w:rPr>
                <w:sz w:val="18"/>
                <w:szCs w:val="18"/>
              </w:rPr>
            </w:pPr>
            <w:r w:rsidRPr="00AE2B3F">
              <w:rPr>
                <w:sz w:val="18"/>
                <w:szCs w:val="18"/>
              </w:rPr>
              <w:t>Vendor training of staff</w:t>
            </w:r>
          </w:p>
        </w:tc>
        <w:tc>
          <w:tcPr>
            <w:tcW w:w="1260" w:type="dxa"/>
            <w:tcBorders>
              <w:top w:val="nil"/>
              <w:left w:val="nil"/>
              <w:bottom w:val="single" w:sz="4" w:space="0" w:color="auto"/>
              <w:right w:val="single" w:sz="4" w:space="0" w:color="auto"/>
            </w:tcBorders>
            <w:vAlign w:val="center"/>
            <w:hideMark/>
          </w:tcPr>
          <w:p w:rsidR="00853817" w:rsidRPr="00AE2B3F" w:rsidP="00853817" w14:paraId="29D52605" w14:textId="254AA7C6">
            <w:pPr>
              <w:widowControl/>
              <w:overflowPunct/>
              <w:autoSpaceDE/>
              <w:autoSpaceDN/>
              <w:adjustRightInd/>
              <w:jc w:val="right"/>
              <w:textAlignment w:val="auto"/>
              <w:rPr>
                <w:sz w:val="18"/>
                <w:szCs w:val="18"/>
              </w:rPr>
            </w:pPr>
            <w:r w:rsidRPr="00853817">
              <w:rPr>
                <w:sz w:val="18"/>
                <w:szCs w:val="18"/>
              </w:rPr>
              <w:t>40,487.00</w:t>
            </w:r>
          </w:p>
        </w:tc>
        <w:tc>
          <w:tcPr>
            <w:tcW w:w="1170" w:type="dxa"/>
            <w:tcBorders>
              <w:top w:val="nil"/>
              <w:left w:val="nil"/>
              <w:bottom w:val="single" w:sz="4" w:space="0" w:color="auto"/>
              <w:right w:val="single" w:sz="4" w:space="0" w:color="auto"/>
            </w:tcBorders>
            <w:vAlign w:val="center"/>
            <w:hideMark/>
          </w:tcPr>
          <w:p w:rsidR="00853817" w:rsidRPr="00AE2B3F" w:rsidP="00853817" w14:paraId="712049AE" w14:textId="7D73974F">
            <w:pPr>
              <w:widowControl/>
              <w:overflowPunct/>
              <w:autoSpaceDE/>
              <w:autoSpaceDN/>
              <w:adjustRightInd/>
              <w:jc w:val="right"/>
              <w:textAlignment w:val="auto"/>
              <w:rPr>
                <w:sz w:val="18"/>
                <w:szCs w:val="18"/>
              </w:rPr>
            </w:pPr>
            <w:r w:rsidRPr="00853817">
              <w:rPr>
                <w:sz w:val="18"/>
                <w:szCs w:val="18"/>
              </w:rPr>
              <w:t>1.00</w:t>
            </w:r>
          </w:p>
        </w:tc>
        <w:tc>
          <w:tcPr>
            <w:tcW w:w="1170" w:type="dxa"/>
            <w:tcBorders>
              <w:top w:val="nil"/>
              <w:left w:val="nil"/>
              <w:bottom w:val="single" w:sz="4" w:space="0" w:color="auto"/>
              <w:right w:val="single" w:sz="4" w:space="0" w:color="auto"/>
            </w:tcBorders>
            <w:shd w:val="clear" w:color="auto" w:fill="F2F2F2" w:themeFill="background1" w:themeFillShade="F2"/>
            <w:vAlign w:val="center"/>
            <w:hideMark/>
          </w:tcPr>
          <w:p w:rsidR="00853817" w:rsidRPr="00AE2B3F" w:rsidP="00853817" w14:paraId="7EB79D6E" w14:textId="20EBE3BF">
            <w:pPr>
              <w:widowControl/>
              <w:overflowPunct/>
              <w:autoSpaceDE/>
              <w:autoSpaceDN/>
              <w:adjustRightInd/>
              <w:jc w:val="right"/>
              <w:textAlignment w:val="auto"/>
              <w:rPr>
                <w:sz w:val="18"/>
                <w:szCs w:val="18"/>
              </w:rPr>
            </w:pPr>
            <w:r w:rsidRPr="00853817">
              <w:rPr>
                <w:sz w:val="18"/>
                <w:szCs w:val="18"/>
              </w:rPr>
              <w:t>40,487.00</w:t>
            </w:r>
          </w:p>
        </w:tc>
        <w:tc>
          <w:tcPr>
            <w:tcW w:w="1107" w:type="dxa"/>
            <w:tcBorders>
              <w:top w:val="nil"/>
              <w:left w:val="nil"/>
              <w:bottom w:val="single" w:sz="4" w:space="0" w:color="auto"/>
              <w:right w:val="single" w:sz="4" w:space="0" w:color="auto"/>
            </w:tcBorders>
            <w:vAlign w:val="center"/>
            <w:hideMark/>
          </w:tcPr>
          <w:p w:rsidR="00853817" w:rsidRPr="00AE2B3F" w:rsidP="00853817" w14:paraId="651F83AA" w14:textId="4ED8DE6E">
            <w:pPr>
              <w:widowControl/>
              <w:overflowPunct/>
              <w:autoSpaceDE/>
              <w:autoSpaceDN/>
              <w:adjustRightInd/>
              <w:jc w:val="right"/>
              <w:textAlignment w:val="auto"/>
              <w:rPr>
                <w:sz w:val="18"/>
                <w:szCs w:val="18"/>
              </w:rPr>
            </w:pPr>
            <w:r w:rsidRPr="00853817">
              <w:rPr>
                <w:sz w:val="18"/>
                <w:szCs w:val="18"/>
              </w:rPr>
              <w:t>1.00</w:t>
            </w:r>
          </w:p>
        </w:tc>
        <w:tc>
          <w:tcPr>
            <w:tcW w:w="1053" w:type="dxa"/>
            <w:tcBorders>
              <w:top w:val="nil"/>
              <w:left w:val="nil"/>
              <w:bottom w:val="single" w:sz="4" w:space="0" w:color="auto"/>
              <w:right w:val="single" w:sz="4" w:space="0" w:color="auto"/>
            </w:tcBorders>
            <w:shd w:val="clear" w:color="auto" w:fill="F2F2F2" w:themeFill="background1" w:themeFillShade="F2"/>
            <w:vAlign w:val="center"/>
            <w:hideMark/>
          </w:tcPr>
          <w:p w:rsidR="00853817" w:rsidRPr="00AE2B3F" w:rsidP="00853817" w14:paraId="050AF098" w14:textId="631F0DB4">
            <w:pPr>
              <w:widowControl/>
              <w:overflowPunct/>
              <w:autoSpaceDE/>
              <w:autoSpaceDN/>
              <w:adjustRightInd/>
              <w:jc w:val="right"/>
              <w:textAlignment w:val="auto"/>
              <w:rPr>
                <w:sz w:val="18"/>
                <w:szCs w:val="18"/>
              </w:rPr>
            </w:pPr>
            <w:r w:rsidRPr="00853817">
              <w:rPr>
                <w:sz w:val="18"/>
                <w:szCs w:val="18"/>
              </w:rPr>
              <w:t>40,487.00</w:t>
            </w:r>
          </w:p>
        </w:tc>
        <w:tc>
          <w:tcPr>
            <w:tcW w:w="1170" w:type="dxa"/>
            <w:tcBorders>
              <w:top w:val="nil"/>
              <w:left w:val="nil"/>
              <w:bottom w:val="single" w:sz="4" w:space="0" w:color="auto"/>
              <w:right w:val="single" w:sz="4" w:space="0" w:color="auto"/>
            </w:tcBorders>
            <w:vAlign w:val="center"/>
            <w:hideMark/>
          </w:tcPr>
          <w:p w:rsidR="00853817" w:rsidRPr="00DD2920" w:rsidP="00853817" w14:paraId="0FBCB6E9" w14:textId="2B0BCC6E">
            <w:pPr>
              <w:widowControl/>
              <w:overflowPunct/>
              <w:autoSpaceDE/>
              <w:autoSpaceDN/>
              <w:adjustRightInd/>
              <w:jc w:val="right"/>
              <w:textAlignment w:val="auto"/>
              <w:rPr>
                <w:i/>
                <w:iCs/>
                <w:sz w:val="18"/>
                <w:szCs w:val="18"/>
              </w:rPr>
            </w:pPr>
            <w:r w:rsidRPr="00DD2920">
              <w:rPr>
                <w:i/>
                <w:iCs/>
                <w:sz w:val="18"/>
                <w:szCs w:val="18"/>
              </w:rPr>
              <w:t>37,267.00</w:t>
            </w:r>
          </w:p>
        </w:tc>
        <w:tc>
          <w:tcPr>
            <w:tcW w:w="1363" w:type="dxa"/>
            <w:tcBorders>
              <w:top w:val="nil"/>
              <w:left w:val="nil"/>
              <w:bottom w:val="single" w:sz="4" w:space="0" w:color="auto"/>
              <w:right w:val="single" w:sz="4" w:space="0" w:color="auto"/>
            </w:tcBorders>
            <w:noWrap/>
            <w:vAlign w:val="center"/>
          </w:tcPr>
          <w:p w:rsidR="00853817" w:rsidRPr="00AE2B3F" w:rsidP="00853817" w14:paraId="55C1CB41" w14:textId="35C2CAE9">
            <w:pPr>
              <w:widowControl/>
              <w:overflowPunct/>
              <w:autoSpaceDE/>
              <w:autoSpaceDN/>
              <w:adjustRightInd/>
              <w:jc w:val="right"/>
              <w:textAlignment w:val="auto"/>
              <w:rPr>
                <w:sz w:val="18"/>
                <w:szCs w:val="18"/>
              </w:rPr>
            </w:pPr>
            <w:r w:rsidRPr="00853817">
              <w:rPr>
                <w:sz w:val="18"/>
                <w:szCs w:val="18"/>
              </w:rPr>
              <w:t>110.00</w:t>
            </w:r>
          </w:p>
        </w:tc>
        <w:tc>
          <w:tcPr>
            <w:tcW w:w="1242" w:type="dxa"/>
            <w:tcBorders>
              <w:top w:val="nil"/>
              <w:left w:val="nil"/>
              <w:bottom w:val="single" w:sz="4" w:space="0" w:color="auto"/>
              <w:right w:val="single" w:sz="4" w:space="0" w:color="auto"/>
            </w:tcBorders>
            <w:vAlign w:val="center"/>
          </w:tcPr>
          <w:p w:rsidR="00853817" w:rsidRPr="00AE2B3F" w:rsidP="00853817" w14:paraId="069F68D0" w14:textId="44CADEA1">
            <w:pPr>
              <w:widowControl/>
              <w:overflowPunct/>
              <w:autoSpaceDE/>
              <w:autoSpaceDN/>
              <w:adjustRightInd/>
              <w:jc w:val="right"/>
              <w:textAlignment w:val="auto"/>
              <w:rPr>
                <w:sz w:val="18"/>
                <w:szCs w:val="18"/>
              </w:rPr>
            </w:pPr>
            <w:r w:rsidRPr="00853817">
              <w:rPr>
                <w:sz w:val="18"/>
                <w:szCs w:val="18"/>
              </w:rPr>
              <w:t>3,110.00</w:t>
            </w:r>
          </w:p>
        </w:tc>
        <w:tc>
          <w:tcPr>
            <w:tcW w:w="1265" w:type="dxa"/>
            <w:tcBorders>
              <w:top w:val="nil"/>
              <w:left w:val="nil"/>
              <w:bottom w:val="single" w:sz="4" w:space="0" w:color="auto"/>
              <w:right w:val="single" w:sz="4" w:space="0" w:color="auto"/>
            </w:tcBorders>
            <w:vAlign w:val="center"/>
          </w:tcPr>
          <w:p w:rsidR="00853817" w:rsidRPr="00AE2B3F" w:rsidP="00853817" w14:paraId="2C84B221" w14:textId="41912C35">
            <w:pPr>
              <w:widowControl/>
              <w:overflowPunct/>
              <w:autoSpaceDE/>
              <w:autoSpaceDN/>
              <w:adjustRightInd/>
              <w:jc w:val="right"/>
              <w:textAlignment w:val="auto"/>
              <w:rPr>
                <w:sz w:val="18"/>
                <w:szCs w:val="18"/>
              </w:rPr>
            </w:pPr>
            <w:r w:rsidRPr="00853817">
              <w:rPr>
                <w:sz w:val="18"/>
                <w:szCs w:val="18"/>
              </w:rPr>
              <w:t>3,220.00</w:t>
            </w:r>
          </w:p>
        </w:tc>
      </w:tr>
      <w:tr w14:paraId="6BC99059" w14:textId="77777777" w:rsidTr="4FE94C9D">
        <w:tblPrEx>
          <w:tblW w:w="14215" w:type="dxa"/>
          <w:tblLayout w:type="fixed"/>
          <w:tblLook w:val="04A0"/>
        </w:tblPrEx>
        <w:trPr>
          <w:trHeight w:val="528"/>
        </w:trPr>
        <w:tc>
          <w:tcPr>
            <w:tcW w:w="1651" w:type="dxa"/>
            <w:tcBorders>
              <w:top w:val="nil"/>
              <w:left w:val="single" w:sz="4" w:space="0" w:color="auto"/>
              <w:bottom w:val="single" w:sz="4" w:space="0" w:color="auto"/>
              <w:right w:val="single" w:sz="4" w:space="0" w:color="auto"/>
            </w:tcBorders>
            <w:vAlign w:val="center"/>
            <w:hideMark/>
          </w:tcPr>
          <w:p w:rsidR="00853817" w:rsidRPr="00AE2B3F" w:rsidP="00853817" w14:paraId="4C794D8B" w14:textId="77777777">
            <w:pPr>
              <w:widowControl/>
              <w:overflowPunct/>
              <w:autoSpaceDE/>
              <w:autoSpaceDN/>
              <w:adjustRightInd/>
              <w:textAlignment w:val="auto"/>
              <w:rPr>
                <w:b/>
                <w:bCs/>
                <w:sz w:val="18"/>
                <w:szCs w:val="18"/>
              </w:rPr>
            </w:pPr>
            <w:r w:rsidRPr="00AE2B3F">
              <w:rPr>
                <w:b/>
                <w:bCs/>
                <w:sz w:val="18"/>
                <w:szCs w:val="18"/>
              </w:rPr>
              <w:t>246.12(h)(8)(i)</w:t>
            </w:r>
          </w:p>
        </w:tc>
        <w:tc>
          <w:tcPr>
            <w:tcW w:w="1764" w:type="dxa"/>
            <w:tcBorders>
              <w:top w:val="nil"/>
              <w:left w:val="nil"/>
              <w:bottom w:val="single" w:sz="4" w:space="0" w:color="auto"/>
              <w:right w:val="single" w:sz="4" w:space="0" w:color="auto"/>
            </w:tcBorders>
            <w:vAlign w:val="center"/>
            <w:hideMark/>
          </w:tcPr>
          <w:p w:rsidR="00853817" w:rsidRPr="00AE2B3F" w:rsidP="00853817" w14:paraId="64A0ACE1" w14:textId="77777777">
            <w:pPr>
              <w:widowControl/>
              <w:overflowPunct/>
              <w:autoSpaceDE/>
              <w:autoSpaceDN/>
              <w:adjustRightInd/>
              <w:textAlignment w:val="auto"/>
              <w:rPr>
                <w:sz w:val="18"/>
                <w:szCs w:val="18"/>
              </w:rPr>
            </w:pPr>
            <w:r w:rsidRPr="00AE2B3F">
              <w:rPr>
                <w:sz w:val="18"/>
                <w:szCs w:val="18"/>
              </w:rPr>
              <w:t>Vendor incentive items</w:t>
            </w:r>
          </w:p>
        </w:tc>
        <w:tc>
          <w:tcPr>
            <w:tcW w:w="1260" w:type="dxa"/>
            <w:tcBorders>
              <w:top w:val="nil"/>
              <w:left w:val="nil"/>
              <w:bottom w:val="single" w:sz="4" w:space="0" w:color="auto"/>
              <w:right w:val="single" w:sz="4" w:space="0" w:color="auto"/>
            </w:tcBorders>
            <w:vAlign w:val="center"/>
            <w:hideMark/>
          </w:tcPr>
          <w:p w:rsidR="00853817" w:rsidRPr="00AE2B3F" w:rsidP="00853817" w14:paraId="03151659" w14:textId="04AC8909">
            <w:pPr>
              <w:widowControl/>
              <w:overflowPunct/>
              <w:autoSpaceDE/>
              <w:autoSpaceDN/>
              <w:adjustRightInd/>
              <w:jc w:val="right"/>
              <w:textAlignment w:val="auto"/>
              <w:rPr>
                <w:sz w:val="18"/>
                <w:szCs w:val="18"/>
              </w:rPr>
            </w:pPr>
            <w:r w:rsidRPr="00853817">
              <w:rPr>
                <w:sz w:val="18"/>
                <w:szCs w:val="18"/>
              </w:rPr>
              <w:t>359.88</w:t>
            </w:r>
          </w:p>
        </w:tc>
        <w:tc>
          <w:tcPr>
            <w:tcW w:w="1170" w:type="dxa"/>
            <w:tcBorders>
              <w:top w:val="nil"/>
              <w:left w:val="nil"/>
              <w:bottom w:val="single" w:sz="4" w:space="0" w:color="auto"/>
              <w:right w:val="single" w:sz="4" w:space="0" w:color="auto"/>
            </w:tcBorders>
            <w:vAlign w:val="center"/>
            <w:hideMark/>
          </w:tcPr>
          <w:p w:rsidR="00853817" w:rsidRPr="00AE2B3F" w:rsidP="00853817" w14:paraId="5B07094E" w14:textId="67EC1882">
            <w:pPr>
              <w:widowControl/>
              <w:overflowPunct/>
              <w:autoSpaceDE/>
              <w:autoSpaceDN/>
              <w:adjustRightInd/>
              <w:jc w:val="right"/>
              <w:textAlignment w:val="auto"/>
              <w:rPr>
                <w:sz w:val="18"/>
                <w:szCs w:val="18"/>
              </w:rPr>
            </w:pPr>
            <w:r w:rsidRPr="00853817">
              <w:rPr>
                <w:sz w:val="18"/>
                <w:szCs w:val="18"/>
              </w:rPr>
              <w:t>1.00</w:t>
            </w:r>
          </w:p>
        </w:tc>
        <w:tc>
          <w:tcPr>
            <w:tcW w:w="1170" w:type="dxa"/>
            <w:tcBorders>
              <w:top w:val="nil"/>
              <w:left w:val="nil"/>
              <w:bottom w:val="single" w:sz="4" w:space="0" w:color="auto"/>
              <w:right w:val="single" w:sz="4" w:space="0" w:color="auto"/>
            </w:tcBorders>
            <w:shd w:val="clear" w:color="auto" w:fill="F2F2F2" w:themeFill="background1" w:themeFillShade="F2"/>
            <w:vAlign w:val="center"/>
            <w:hideMark/>
          </w:tcPr>
          <w:p w:rsidR="00853817" w:rsidRPr="00AE2B3F" w:rsidP="00853817" w14:paraId="37FCDF4A" w14:textId="45AFC591">
            <w:pPr>
              <w:widowControl/>
              <w:overflowPunct/>
              <w:autoSpaceDE/>
              <w:autoSpaceDN/>
              <w:adjustRightInd/>
              <w:jc w:val="right"/>
              <w:textAlignment w:val="auto"/>
              <w:rPr>
                <w:sz w:val="18"/>
                <w:szCs w:val="18"/>
              </w:rPr>
            </w:pPr>
            <w:r w:rsidRPr="00853817">
              <w:rPr>
                <w:sz w:val="18"/>
                <w:szCs w:val="18"/>
              </w:rPr>
              <w:t>359.88</w:t>
            </w:r>
          </w:p>
        </w:tc>
        <w:tc>
          <w:tcPr>
            <w:tcW w:w="1107" w:type="dxa"/>
            <w:tcBorders>
              <w:top w:val="nil"/>
              <w:left w:val="nil"/>
              <w:bottom w:val="single" w:sz="4" w:space="0" w:color="auto"/>
              <w:right w:val="single" w:sz="4" w:space="0" w:color="auto"/>
            </w:tcBorders>
            <w:vAlign w:val="center"/>
            <w:hideMark/>
          </w:tcPr>
          <w:p w:rsidR="00853817" w:rsidRPr="00AE2B3F" w:rsidP="00853817" w14:paraId="7B0EDE37" w14:textId="7E4ECA33">
            <w:pPr>
              <w:widowControl/>
              <w:overflowPunct/>
              <w:autoSpaceDE/>
              <w:autoSpaceDN/>
              <w:adjustRightInd/>
              <w:jc w:val="right"/>
              <w:textAlignment w:val="auto"/>
              <w:rPr>
                <w:sz w:val="18"/>
                <w:szCs w:val="18"/>
              </w:rPr>
            </w:pPr>
            <w:r w:rsidRPr="00853817">
              <w:rPr>
                <w:sz w:val="18"/>
                <w:szCs w:val="18"/>
              </w:rPr>
              <w:t>1.00</w:t>
            </w:r>
          </w:p>
        </w:tc>
        <w:tc>
          <w:tcPr>
            <w:tcW w:w="1053" w:type="dxa"/>
            <w:tcBorders>
              <w:top w:val="nil"/>
              <w:left w:val="nil"/>
              <w:bottom w:val="single" w:sz="4" w:space="0" w:color="auto"/>
              <w:right w:val="single" w:sz="4" w:space="0" w:color="auto"/>
            </w:tcBorders>
            <w:shd w:val="clear" w:color="auto" w:fill="F2F2F2" w:themeFill="background1" w:themeFillShade="F2"/>
            <w:vAlign w:val="center"/>
            <w:hideMark/>
          </w:tcPr>
          <w:p w:rsidR="00853817" w:rsidRPr="00AE2B3F" w:rsidP="00853817" w14:paraId="046FD700" w14:textId="79E28339">
            <w:pPr>
              <w:widowControl/>
              <w:overflowPunct/>
              <w:autoSpaceDE/>
              <w:autoSpaceDN/>
              <w:adjustRightInd/>
              <w:jc w:val="right"/>
              <w:textAlignment w:val="auto"/>
              <w:rPr>
                <w:sz w:val="18"/>
                <w:szCs w:val="18"/>
              </w:rPr>
            </w:pPr>
            <w:r w:rsidRPr="00853817">
              <w:rPr>
                <w:sz w:val="18"/>
                <w:szCs w:val="18"/>
              </w:rPr>
              <w:t>359.88</w:t>
            </w:r>
          </w:p>
        </w:tc>
        <w:tc>
          <w:tcPr>
            <w:tcW w:w="1170" w:type="dxa"/>
            <w:tcBorders>
              <w:top w:val="nil"/>
              <w:left w:val="nil"/>
              <w:bottom w:val="single" w:sz="4" w:space="0" w:color="auto"/>
              <w:right w:val="single" w:sz="4" w:space="0" w:color="auto"/>
            </w:tcBorders>
            <w:vAlign w:val="center"/>
            <w:hideMark/>
          </w:tcPr>
          <w:p w:rsidR="00853817" w:rsidRPr="00DD2920" w:rsidP="00853817" w14:paraId="5197C795" w14:textId="3219C001">
            <w:pPr>
              <w:widowControl/>
              <w:overflowPunct/>
              <w:autoSpaceDE/>
              <w:autoSpaceDN/>
              <w:adjustRightInd/>
              <w:jc w:val="right"/>
              <w:textAlignment w:val="auto"/>
              <w:rPr>
                <w:i/>
                <w:iCs/>
                <w:sz w:val="18"/>
                <w:szCs w:val="18"/>
              </w:rPr>
            </w:pPr>
            <w:r w:rsidRPr="00DD2920">
              <w:rPr>
                <w:i/>
                <w:iCs/>
                <w:sz w:val="18"/>
                <w:szCs w:val="18"/>
              </w:rPr>
              <w:t>340.00</w:t>
            </w:r>
          </w:p>
        </w:tc>
        <w:tc>
          <w:tcPr>
            <w:tcW w:w="1363" w:type="dxa"/>
            <w:tcBorders>
              <w:top w:val="nil"/>
              <w:left w:val="nil"/>
              <w:bottom w:val="single" w:sz="4" w:space="0" w:color="auto"/>
              <w:right w:val="single" w:sz="4" w:space="0" w:color="auto"/>
            </w:tcBorders>
            <w:noWrap/>
            <w:vAlign w:val="center"/>
          </w:tcPr>
          <w:p w:rsidR="00853817" w:rsidRPr="00AE2B3F" w:rsidP="00853817" w14:paraId="46D07BE4" w14:textId="27C882D3">
            <w:pPr>
              <w:widowControl/>
              <w:overflowPunct/>
              <w:autoSpaceDE/>
              <w:autoSpaceDN/>
              <w:adjustRightInd/>
              <w:jc w:val="right"/>
              <w:textAlignment w:val="auto"/>
              <w:rPr>
                <w:sz w:val="18"/>
                <w:szCs w:val="18"/>
              </w:rPr>
            </w:pPr>
            <w:r w:rsidRPr="00853817">
              <w:rPr>
                <w:sz w:val="18"/>
                <w:szCs w:val="18"/>
              </w:rPr>
              <w:t>0.98</w:t>
            </w:r>
          </w:p>
        </w:tc>
        <w:tc>
          <w:tcPr>
            <w:tcW w:w="1242" w:type="dxa"/>
            <w:tcBorders>
              <w:top w:val="nil"/>
              <w:left w:val="nil"/>
              <w:bottom w:val="single" w:sz="4" w:space="0" w:color="auto"/>
              <w:right w:val="single" w:sz="4" w:space="0" w:color="auto"/>
            </w:tcBorders>
            <w:vAlign w:val="center"/>
          </w:tcPr>
          <w:p w:rsidR="00853817" w:rsidRPr="00AE2B3F" w:rsidP="00853817" w14:paraId="472DAEB9" w14:textId="6B3B590B">
            <w:pPr>
              <w:widowControl/>
              <w:overflowPunct/>
              <w:autoSpaceDE/>
              <w:autoSpaceDN/>
              <w:adjustRightInd/>
              <w:jc w:val="right"/>
              <w:textAlignment w:val="auto"/>
              <w:rPr>
                <w:sz w:val="18"/>
                <w:szCs w:val="18"/>
              </w:rPr>
            </w:pPr>
            <w:r w:rsidRPr="00853817">
              <w:rPr>
                <w:sz w:val="18"/>
                <w:szCs w:val="18"/>
              </w:rPr>
              <w:t>18.91</w:t>
            </w:r>
          </w:p>
        </w:tc>
        <w:tc>
          <w:tcPr>
            <w:tcW w:w="1265" w:type="dxa"/>
            <w:tcBorders>
              <w:top w:val="nil"/>
              <w:left w:val="nil"/>
              <w:bottom w:val="single" w:sz="4" w:space="0" w:color="auto"/>
              <w:right w:val="single" w:sz="4" w:space="0" w:color="auto"/>
            </w:tcBorders>
            <w:vAlign w:val="center"/>
          </w:tcPr>
          <w:p w:rsidR="00853817" w:rsidRPr="00AE2B3F" w:rsidP="00853817" w14:paraId="3E94C154" w14:textId="0F748272">
            <w:pPr>
              <w:widowControl/>
              <w:overflowPunct/>
              <w:autoSpaceDE/>
              <w:autoSpaceDN/>
              <w:adjustRightInd/>
              <w:jc w:val="right"/>
              <w:textAlignment w:val="auto"/>
              <w:rPr>
                <w:sz w:val="18"/>
                <w:szCs w:val="18"/>
              </w:rPr>
            </w:pPr>
            <w:r w:rsidRPr="00853817">
              <w:rPr>
                <w:sz w:val="18"/>
                <w:szCs w:val="18"/>
              </w:rPr>
              <w:t>19.88</w:t>
            </w:r>
          </w:p>
        </w:tc>
      </w:tr>
      <w:tr w14:paraId="58B8D5EE" w14:textId="77777777" w:rsidTr="4FE94C9D">
        <w:tblPrEx>
          <w:tblW w:w="14215" w:type="dxa"/>
          <w:tblLayout w:type="fixed"/>
          <w:tblLook w:val="04A0"/>
        </w:tblPrEx>
        <w:trPr>
          <w:trHeight w:val="528"/>
        </w:trPr>
        <w:tc>
          <w:tcPr>
            <w:tcW w:w="1651" w:type="dxa"/>
            <w:tcBorders>
              <w:top w:val="nil"/>
              <w:left w:val="single" w:sz="4" w:space="0" w:color="auto"/>
              <w:bottom w:val="single" w:sz="4" w:space="0" w:color="auto"/>
              <w:right w:val="single" w:sz="4" w:space="0" w:color="auto"/>
            </w:tcBorders>
            <w:vAlign w:val="center"/>
            <w:hideMark/>
          </w:tcPr>
          <w:p w:rsidR="00853817" w:rsidRPr="00AE2B3F" w:rsidP="00853817" w14:paraId="2EB3A88F" w14:textId="77777777">
            <w:pPr>
              <w:widowControl/>
              <w:overflowPunct/>
              <w:autoSpaceDE/>
              <w:autoSpaceDN/>
              <w:adjustRightInd/>
              <w:textAlignment w:val="auto"/>
              <w:rPr>
                <w:b/>
                <w:bCs/>
                <w:sz w:val="18"/>
                <w:szCs w:val="18"/>
              </w:rPr>
            </w:pPr>
            <w:r w:rsidRPr="00AE2B3F">
              <w:rPr>
                <w:b/>
                <w:bCs/>
                <w:sz w:val="18"/>
                <w:szCs w:val="18"/>
              </w:rPr>
              <w:t>246.12(i)</w:t>
            </w:r>
          </w:p>
        </w:tc>
        <w:tc>
          <w:tcPr>
            <w:tcW w:w="1764" w:type="dxa"/>
            <w:tcBorders>
              <w:top w:val="nil"/>
              <w:left w:val="nil"/>
              <w:bottom w:val="single" w:sz="4" w:space="0" w:color="auto"/>
              <w:right w:val="single" w:sz="4" w:space="0" w:color="auto"/>
            </w:tcBorders>
            <w:vAlign w:val="center"/>
            <w:hideMark/>
          </w:tcPr>
          <w:p w:rsidR="00853817" w:rsidRPr="00AE2B3F" w:rsidP="00853817" w14:paraId="3D56441A" w14:textId="77777777">
            <w:pPr>
              <w:widowControl/>
              <w:overflowPunct/>
              <w:autoSpaceDE/>
              <w:autoSpaceDN/>
              <w:adjustRightInd/>
              <w:textAlignment w:val="auto"/>
              <w:rPr>
                <w:sz w:val="18"/>
                <w:szCs w:val="18"/>
              </w:rPr>
            </w:pPr>
            <w:r w:rsidRPr="00AE2B3F">
              <w:rPr>
                <w:sz w:val="18"/>
                <w:szCs w:val="18"/>
              </w:rPr>
              <w:t>Vendor Training</w:t>
            </w:r>
          </w:p>
        </w:tc>
        <w:tc>
          <w:tcPr>
            <w:tcW w:w="1260" w:type="dxa"/>
            <w:tcBorders>
              <w:top w:val="nil"/>
              <w:left w:val="nil"/>
              <w:bottom w:val="single" w:sz="4" w:space="0" w:color="auto"/>
              <w:right w:val="single" w:sz="4" w:space="0" w:color="auto"/>
            </w:tcBorders>
            <w:vAlign w:val="center"/>
            <w:hideMark/>
          </w:tcPr>
          <w:p w:rsidR="00853817" w:rsidRPr="00AE2B3F" w:rsidP="00853817" w14:paraId="317F5E3B" w14:textId="5804ED3E">
            <w:pPr>
              <w:widowControl/>
              <w:overflowPunct/>
              <w:autoSpaceDE/>
              <w:autoSpaceDN/>
              <w:adjustRightInd/>
              <w:jc w:val="right"/>
              <w:textAlignment w:val="auto"/>
              <w:rPr>
                <w:sz w:val="18"/>
                <w:szCs w:val="18"/>
              </w:rPr>
            </w:pPr>
            <w:r w:rsidRPr="00853817">
              <w:rPr>
                <w:sz w:val="18"/>
                <w:szCs w:val="18"/>
              </w:rPr>
              <w:t>40,487.00</w:t>
            </w:r>
          </w:p>
        </w:tc>
        <w:tc>
          <w:tcPr>
            <w:tcW w:w="1170" w:type="dxa"/>
            <w:tcBorders>
              <w:top w:val="nil"/>
              <w:left w:val="nil"/>
              <w:bottom w:val="single" w:sz="4" w:space="0" w:color="auto"/>
              <w:right w:val="single" w:sz="4" w:space="0" w:color="auto"/>
            </w:tcBorders>
            <w:vAlign w:val="center"/>
            <w:hideMark/>
          </w:tcPr>
          <w:p w:rsidR="00853817" w:rsidRPr="00AE2B3F" w:rsidP="00853817" w14:paraId="7E4ECD87" w14:textId="75C47610">
            <w:pPr>
              <w:widowControl/>
              <w:overflowPunct/>
              <w:autoSpaceDE/>
              <w:autoSpaceDN/>
              <w:adjustRightInd/>
              <w:jc w:val="right"/>
              <w:textAlignment w:val="auto"/>
              <w:rPr>
                <w:sz w:val="18"/>
                <w:szCs w:val="18"/>
              </w:rPr>
            </w:pPr>
            <w:r w:rsidRPr="00853817">
              <w:rPr>
                <w:sz w:val="18"/>
                <w:szCs w:val="18"/>
              </w:rPr>
              <w:t>1.00</w:t>
            </w:r>
          </w:p>
        </w:tc>
        <w:tc>
          <w:tcPr>
            <w:tcW w:w="1170" w:type="dxa"/>
            <w:tcBorders>
              <w:top w:val="nil"/>
              <w:left w:val="nil"/>
              <w:bottom w:val="single" w:sz="4" w:space="0" w:color="auto"/>
              <w:right w:val="single" w:sz="4" w:space="0" w:color="auto"/>
            </w:tcBorders>
            <w:shd w:val="clear" w:color="auto" w:fill="F2F2F2" w:themeFill="background1" w:themeFillShade="F2"/>
            <w:vAlign w:val="center"/>
            <w:hideMark/>
          </w:tcPr>
          <w:p w:rsidR="00853817" w:rsidRPr="00AE2B3F" w:rsidP="00853817" w14:paraId="302FBAEA" w14:textId="028A16B7">
            <w:pPr>
              <w:widowControl/>
              <w:overflowPunct/>
              <w:autoSpaceDE/>
              <w:autoSpaceDN/>
              <w:adjustRightInd/>
              <w:jc w:val="right"/>
              <w:textAlignment w:val="auto"/>
              <w:rPr>
                <w:sz w:val="18"/>
                <w:szCs w:val="18"/>
              </w:rPr>
            </w:pPr>
            <w:r w:rsidRPr="00853817">
              <w:rPr>
                <w:sz w:val="18"/>
                <w:szCs w:val="18"/>
              </w:rPr>
              <w:t>40,487.00</w:t>
            </w:r>
          </w:p>
        </w:tc>
        <w:tc>
          <w:tcPr>
            <w:tcW w:w="1107" w:type="dxa"/>
            <w:tcBorders>
              <w:top w:val="nil"/>
              <w:left w:val="nil"/>
              <w:bottom w:val="single" w:sz="4" w:space="0" w:color="auto"/>
              <w:right w:val="single" w:sz="4" w:space="0" w:color="auto"/>
            </w:tcBorders>
            <w:vAlign w:val="center"/>
            <w:hideMark/>
          </w:tcPr>
          <w:p w:rsidR="00853817" w:rsidRPr="00AE2B3F" w:rsidP="00853817" w14:paraId="32227B0D" w14:textId="4E36D6EC">
            <w:pPr>
              <w:widowControl/>
              <w:overflowPunct/>
              <w:autoSpaceDE/>
              <w:autoSpaceDN/>
              <w:adjustRightInd/>
              <w:jc w:val="right"/>
              <w:textAlignment w:val="auto"/>
              <w:rPr>
                <w:sz w:val="18"/>
                <w:szCs w:val="18"/>
              </w:rPr>
            </w:pPr>
            <w:r w:rsidRPr="00853817">
              <w:rPr>
                <w:sz w:val="18"/>
                <w:szCs w:val="18"/>
              </w:rPr>
              <w:t>2.00</w:t>
            </w:r>
          </w:p>
        </w:tc>
        <w:tc>
          <w:tcPr>
            <w:tcW w:w="1053" w:type="dxa"/>
            <w:tcBorders>
              <w:top w:val="nil"/>
              <w:left w:val="nil"/>
              <w:bottom w:val="single" w:sz="4" w:space="0" w:color="auto"/>
              <w:right w:val="single" w:sz="4" w:space="0" w:color="auto"/>
            </w:tcBorders>
            <w:shd w:val="clear" w:color="auto" w:fill="F2F2F2" w:themeFill="background1" w:themeFillShade="F2"/>
            <w:vAlign w:val="center"/>
            <w:hideMark/>
          </w:tcPr>
          <w:p w:rsidR="00853817" w:rsidRPr="00AE2B3F" w:rsidP="00853817" w14:paraId="6FD7659B" w14:textId="4598A031">
            <w:pPr>
              <w:widowControl/>
              <w:overflowPunct/>
              <w:autoSpaceDE/>
              <w:autoSpaceDN/>
              <w:adjustRightInd/>
              <w:jc w:val="right"/>
              <w:textAlignment w:val="auto"/>
              <w:rPr>
                <w:sz w:val="18"/>
                <w:szCs w:val="18"/>
              </w:rPr>
            </w:pPr>
            <w:r w:rsidRPr="00853817">
              <w:rPr>
                <w:sz w:val="18"/>
                <w:szCs w:val="18"/>
              </w:rPr>
              <w:t>80,974.00</w:t>
            </w:r>
          </w:p>
        </w:tc>
        <w:tc>
          <w:tcPr>
            <w:tcW w:w="1170" w:type="dxa"/>
            <w:tcBorders>
              <w:top w:val="nil"/>
              <w:left w:val="nil"/>
              <w:bottom w:val="single" w:sz="4" w:space="0" w:color="auto"/>
              <w:right w:val="single" w:sz="4" w:space="0" w:color="auto"/>
            </w:tcBorders>
            <w:vAlign w:val="center"/>
            <w:hideMark/>
          </w:tcPr>
          <w:p w:rsidR="00853817" w:rsidRPr="00DD2920" w:rsidP="00853817" w14:paraId="3561DAE1" w14:textId="33491DB1">
            <w:pPr>
              <w:widowControl/>
              <w:overflowPunct/>
              <w:autoSpaceDE/>
              <w:autoSpaceDN/>
              <w:adjustRightInd/>
              <w:jc w:val="right"/>
              <w:textAlignment w:val="auto"/>
              <w:rPr>
                <w:i/>
                <w:iCs/>
                <w:sz w:val="18"/>
                <w:szCs w:val="18"/>
              </w:rPr>
            </w:pPr>
            <w:r w:rsidRPr="00DD2920">
              <w:rPr>
                <w:i/>
                <w:iCs/>
                <w:sz w:val="18"/>
                <w:szCs w:val="18"/>
              </w:rPr>
              <w:t>74,534.00</w:t>
            </w:r>
          </w:p>
        </w:tc>
        <w:tc>
          <w:tcPr>
            <w:tcW w:w="1363" w:type="dxa"/>
            <w:tcBorders>
              <w:top w:val="nil"/>
              <w:left w:val="nil"/>
              <w:bottom w:val="single" w:sz="4" w:space="0" w:color="auto"/>
              <w:right w:val="single" w:sz="4" w:space="0" w:color="auto"/>
            </w:tcBorders>
            <w:noWrap/>
            <w:vAlign w:val="center"/>
          </w:tcPr>
          <w:p w:rsidR="00853817" w:rsidRPr="00AE2B3F" w:rsidP="00853817" w14:paraId="0616AF0D" w14:textId="699A46E5">
            <w:pPr>
              <w:widowControl/>
              <w:overflowPunct/>
              <w:autoSpaceDE/>
              <w:autoSpaceDN/>
              <w:adjustRightInd/>
              <w:jc w:val="right"/>
              <w:textAlignment w:val="auto"/>
              <w:rPr>
                <w:sz w:val="18"/>
                <w:szCs w:val="18"/>
              </w:rPr>
            </w:pPr>
            <w:r w:rsidRPr="00853817">
              <w:rPr>
                <w:sz w:val="18"/>
                <w:szCs w:val="18"/>
              </w:rPr>
              <w:t>220.00</w:t>
            </w:r>
          </w:p>
        </w:tc>
        <w:tc>
          <w:tcPr>
            <w:tcW w:w="1242" w:type="dxa"/>
            <w:tcBorders>
              <w:top w:val="nil"/>
              <w:left w:val="nil"/>
              <w:bottom w:val="single" w:sz="4" w:space="0" w:color="auto"/>
              <w:right w:val="single" w:sz="4" w:space="0" w:color="auto"/>
            </w:tcBorders>
            <w:vAlign w:val="center"/>
          </w:tcPr>
          <w:p w:rsidR="00853817" w:rsidRPr="00AE2B3F" w:rsidP="00853817" w14:paraId="2F4639E0" w14:textId="05AC421E">
            <w:pPr>
              <w:widowControl/>
              <w:overflowPunct/>
              <w:autoSpaceDE/>
              <w:autoSpaceDN/>
              <w:adjustRightInd/>
              <w:jc w:val="right"/>
              <w:textAlignment w:val="auto"/>
              <w:rPr>
                <w:sz w:val="18"/>
                <w:szCs w:val="18"/>
              </w:rPr>
            </w:pPr>
            <w:r w:rsidRPr="00853817">
              <w:rPr>
                <w:sz w:val="18"/>
                <w:szCs w:val="18"/>
              </w:rPr>
              <w:t>6,220.00</w:t>
            </w:r>
          </w:p>
        </w:tc>
        <w:tc>
          <w:tcPr>
            <w:tcW w:w="1265" w:type="dxa"/>
            <w:tcBorders>
              <w:top w:val="nil"/>
              <w:left w:val="nil"/>
              <w:bottom w:val="single" w:sz="4" w:space="0" w:color="auto"/>
              <w:right w:val="single" w:sz="4" w:space="0" w:color="auto"/>
            </w:tcBorders>
            <w:vAlign w:val="center"/>
          </w:tcPr>
          <w:p w:rsidR="00853817" w:rsidRPr="00AE2B3F" w:rsidP="00853817" w14:paraId="34270A09" w14:textId="36C1F905">
            <w:pPr>
              <w:widowControl/>
              <w:overflowPunct/>
              <w:autoSpaceDE/>
              <w:autoSpaceDN/>
              <w:adjustRightInd/>
              <w:jc w:val="right"/>
              <w:textAlignment w:val="auto"/>
              <w:rPr>
                <w:sz w:val="18"/>
                <w:szCs w:val="18"/>
              </w:rPr>
            </w:pPr>
            <w:r w:rsidRPr="00853817">
              <w:rPr>
                <w:sz w:val="18"/>
                <w:szCs w:val="18"/>
              </w:rPr>
              <w:t>6,440.00</w:t>
            </w:r>
          </w:p>
        </w:tc>
      </w:tr>
      <w:tr w14:paraId="6F7BC76D" w14:textId="77777777" w:rsidTr="4FE94C9D">
        <w:tblPrEx>
          <w:tblW w:w="14215" w:type="dxa"/>
          <w:tblLayout w:type="fixed"/>
          <w:tblLook w:val="04A0"/>
        </w:tblPrEx>
        <w:trPr>
          <w:trHeight w:val="828"/>
        </w:trPr>
        <w:tc>
          <w:tcPr>
            <w:tcW w:w="1651" w:type="dxa"/>
            <w:tcBorders>
              <w:top w:val="nil"/>
              <w:left w:val="single" w:sz="4" w:space="0" w:color="auto"/>
              <w:bottom w:val="single" w:sz="4" w:space="0" w:color="auto"/>
              <w:right w:val="single" w:sz="4" w:space="0" w:color="auto"/>
            </w:tcBorders>
            <w:vAlign w:val="center"/>
            <w:hideMark/>
          </w:tcPr>
          <w:p w:rsidR="00853817" w:rsidRPr="00AE2B3F" w:rsidP="00853817" w14:paraId="45F4036C" w14:textId="77777777">
            <w:pPr>
              <w:widowControl/>
              <w:overflowPunct/>
              <w:autoSpaceDE/>
              <w:autoSpaceDN/>
              <w:adjustRightInd/>
              <w:textAlignment w:val="auto"/>
              <w:rPr>
                <w:b/>
                <w:bCs/>
                <w:sz w:val="18"/>
                <w:szCs w:val="18"/>
              </w:rPr>
            </w:pPr>
            <w:r w:rsidRPr="00AE2B3F">
              <w:rPr>
                <w:b/>
                <w:bCs/>
                <w:sz w:val="18"/>
                <w:szCs w:val="18"/>
              </w:rPr>
              <w:t>246.12(bb)(1)</w:t>
            </w:r>
          </w:p>
        </w:tc>
        <w:tc>
          <w:tcPr>
            <w:tcW w:w="1764" w:type="dxa"/>
            <w:tcBorders>
              <w:top w:val="nil"/>
              <w:left w:val="nil"/>
              <w:bottom w:val="single" w:sz="4" w:space="0" w:color="auto"/>
              <w:right w:val="single" w:sz="4" w:space="0" w:color="auto"/>
            </w:tcBorders>
            <w:vAlign w:val="center"/>
            <w:hideMark/>
          </w:tcPr>
          <w:p w:rsidR="00853817" w:rsidRPr="00AE2B3F" w:rsidP="00853817" w14:paraId="3D3418A8" w14:textId="77777777">
            <w:pPr>
              <w:widowControl/>
              <w:overflowPunct/>
              <w:autoSpaceDE/>
              <w:autoSpaceDN/>
              <w:adjustRightInd/>
              <w:textAlignment w:val="auto"/>
              <w:rPr>
                <w:sz w:val="18"/>
                <w:szCs w:val="18"/>
              </w:rPr>
            </w:pPr>
            <w:r w:rsidRPr="00AE2B3F">
              <w:rPr>
                <w:sz w:val="18"/>
                <w:szCs w:val="18"/>
              </w:rPr>
              <w:t>System updates to allow online shopping, including return of benefits</w:t>
            </w:r>
          </w:p>
        </w:tc>
        <w:tc>
          <w:tcPr>
            <w:tcW w:w="1260" w:type="dxa"/>
            <w:tcBorders>
              <w:top w:val="nil"/>
              <w:left w:val="nil"/>
              <w:bottom w:val="single" w:sz="4" w:space="0" w:color="auto"/>
              <w:right w:val="single" w:sz="4" w:space="0" w:color="auto"/>
            </w:tcBorders>
            <w:vAlign w:val="center"/>
            <w:hideMark/>
          </w:tcPr>
          <w:p w:rsidR="00853817" w:rsidRPr="00AE2B3F" w:rsidP="00853817" w14:paraId="12A2B761" w14:textId="403172C0">
            <w:pPr>
              <w:widowControl/>
              <w:overflowPunct/>
              <w:autoSpaceDE/>
              <w:autoSpaceDN/>
              <w:adjustRightInd/>
              <w:jc w:val="right"/>
              <w:textAlignment w:val="auto"/>
              <w:rPr>
                <w:sz w:val="18"/>
                <w:szCs w:val="18"/>
              </w:rPr>
            </w:pPr>
            <w:r w:rsidRPr="00853817">
              <w:rPr>
                <w:sz w:val="18"/>
                <w:szCs w:val="18"/>
              </w:rPr>
              <w:t>110.00</w:t>
            </w:r>
          </w:p>
        </w:tc>
        <w:tc>
          <w:tcPr>
            <w:tcW w:w="1170" w:type="dxa"/>
            <w:tcBorders>
              <w:top w:val="nil"/>
              <w:left w:val="nil"/>
              <w:bottom w:val="single" w:sz="4" w:space="0" w:color="auto"/>
              <w:right w:val="single" w:sz="4" w:space="0" w:color="auto"/>
            </w:tcBorders>
            <w:vAlign w:val="center"/>
            <w:hideMark/>
          </w:tcPr>
          <w:p w:rsidR="00853817" w:rsidRPr="00AE2B3F" w:rsidP="00853817" w14:paraId="0761CF9F" w14:textId="4F578724">
            <w:pPr>
              <w:widowControl/>
              <w:overflowPunct/>
              <w:autoSpaceDE/>
              <w:autoSpaceDN/>
              <w:adjustRightInd/>
              <w:jc w:val="right"/>
              <w:textAlignment w:val="auto"/>
              <w:rPr>
                <w:sz w:val="18"/>
                <w:szCs w:val="18"/>
              </w:rPr>
            </w:pPr>
            <w:r w:rsidRPr="00853817">
              <w:rPr>
                <w:sz w:val="18"/>
                <w:szCs w:val="18"/>
              </w:rPr>
              <w:t>1.00</w:t>
            </w:r>
          </w:p>
        </w:tc>
        <w:tc>
          <w:tcPr>
            <w:tcW w:w="1170" w:type="dxa"/>
            <w:tcBorders>
              <w:top w:val="nil"/>
              <w:left w:val="nil"/>
              <w:bottom w:val="single" w:sz="4" w:space="0" w:color="auto"/>
              <w:right w:val="single" w:sz="4" w:space="0" w:color="auto"/>
            </w:tcBorders>
            <w:shd w:val="clear" w:color="auto" w:fill="F2F2F2" w:themeFill="background1" w:themeFillShade="F2"/>
            <w:vAlign w:val="center"/>
            <w:hideMark/>
          </w:tcPr>
          <w:p w:rsidR="00853817" w:rsidRPr="00AE2B3F" w:rsidP="00853817" w14:paraId="4E66AFE6" w14:textId="611103B1">
            <w:pPr>
              <w:widowControl/>
              <w:overflowPunct/>
              <w:autoSpaceDE/>
              <w:autoSpaceDN/>
              <w:adjustRightInd/>
              <w:jc w:val="right"/>
              <w:textAlignment w:val="auto"/>
              <w:rPr>
                <w:sz w:val="18"/>
                <w:szCs w:val="18"/>
              </w:rPr>
            </w:pPr>
            <w:r w:rsidRPr="00853817">
              <w:rPr>
                <w:sz w:val="18"/>
                <w:szCs w:val="18"/>
              </w:rPr>
              <w:t>110.00</w:t>
            </w:r>
          </w:p>
        </w:tc>
        <w:tc>
          <w:tcPr>
            <w:tcW w:w="1107" w:type="dxa"/>
            <w:tcBorders>
              <w:top w:val="nil"/>
              <w:left w:val="nil"/>
              <w:bottom w:val="single" w:sz="4" w:space="0" w:color="auto"/>
              <w:right w:val="single" w:sz="4" w:space="0" w:color="auto"/>
            </w:tcBorders>
            <w:vAlign w:val="center"/>
            <w:hideMark/>
          </w:tcPr>
          <w:p w:rsidR="00853817" w:rsidRPr="00AE2B3F" w:rsidP="00853817" w14:paraId="5476D9AE" w14:textId="1C511829">
            <w:pPr>
              <w:widowControl/>
              <w:overflowPunct/>
              <w:autoSpaceDE/>
              <w:autoSpaceDN/>
              <w:adjustRightInd/>
              <w:jc w:val="right"/>
              <w:textAlignment w:val="auto"/>
              <w:rPr>
                <w:sz w:val="18"/>
                <w:szCs w:val="18"/>
              </w:rPr>
            </w:pPr>
            <w:r w:rsidRPr="00853817">
              <w:rPr>
                <w:sz w:val="18"/>
                <w:szCs w:val="18"/>
              </w:rPr>
              <w:t>50.00</w:t>
            </w:r>
          </w:p>
        </w:tc>
        <w:tc>
          <w:tcPr>
            <w:tcW w:w="1053" w:type="dxa"/>
            <w:tcBorders>
              <w:top w:val="nil"/>
              <w:left w:val="nil"/>
              <w:bottom w:val="single" w:sz="4" w:space="0" w:color="auto"/>
              <w:right w:val="single" w:sz="4" w:space="0" w:color="auto"/>
            </w:tcBorders>
            <w:shd w:val="clear" w:color="auto" w:fill="F2F2F2" w:themeFill="background1" w:themeFillShade="F2"/>
            <w:vAlign w:val="center"/>
            <w:hideMark/>
          </w:tcPr>
          <w:p w:rsidR="00853817" w:rsidRPr="00AE2B3F" w:rsidP="00853817" w14:paraId="6E89BADB" w14:textId="605A70F3">
            <w:pPr>
              <w:widowControl/>
              <w:overflowPunct/>
              <w:autoSpaceDE/>
              <w:autoSpaceDN/>
              <w:adjustRightInd/>
              <w:jc w:val="right"/>
              <w:textAlignment w:val="auto"/>
              <w:rPr>
                <w:sz w:val="18"/>
                <w:szCs w:val="18"/>
              </w:rPr>
            </w:pPr>
            <w:r w:rsidRPr="00853817">
              <w:rPr>
                <w:sz w:val="18"/>
                <w:szCs w:val="18"/>
              </w:rPr>
              <w:t>5,500.00</w:t>
            </w:r>
          </w:p>
        </w:tc>
        <w:tc>
          <w:tcPr>
            <w:tcW w:w="1170" w:type="dxa"/>
            <w:tcBorders>
              <w:top w:val="nil"/>
              <w:left w:val="nil"/>
              <w:bottom w:val="single" w:sz="4" w:space="0" w:color="auto"/>
              <w:right w:val="single" w:sz="4" w:space="0" w:color="auto"/>
            </w:tcBorders>
            <w:vAlign w:val="center"/>
            <w:hideMark/>
          </w:tcPr>
          <w:p w:rsidR="00853817" w:rsidRPr="00DD2920" w:rsidP="00853817" w14:paraId="34D24AD0" w14:textId="7BE3C6BC">
            <w:pPr>
              <w:widowControl/>
              <w:overflowPunct/>
              <w:autoSpaceDE/>
              <w:autoSpaceDN/>
              <w:adjustRightInd/>
              <w:jc w:val="right"/>
              <w:textAlignment w:val="auto"/>
              <w:rPr>
                <w:i/>
                <w:iCs/>
                <w:sz w:val="18"/>
                <w:szCs w:val="18"/>
              </w:rPr>
            </w:pPr>
            <w:r w:rsidRPr="00DD2920">
              <w:rPr>
                <w:i/>
                <w:iCs/>
                <w:sz w:val="18"/>
                <w:szCs w:val="18"/>
              </w:rPr>
              <w:t>0.00</w:t>
            </w:r>
          </w:p>
        </w:tc>
        <w:tc>
          <w:tcPr>
            <w:tcW w:w="1363" w:type="dxa"/>
            <w:tcBorders>
              <w:top w:val="nil"/>
              <w:left w:val="nil"/>
              <w:bottom w:val="single" w:sz="4" w:space="0" w:color="auto"/>
              <w:right w:val="single" w:sz="4" w:space="0" w:color="auto"/>
            </w:tcBorders>
            <w:noWrap/>
            <w:vAlign w:val="center"/>
          </w:tcPr>
          <w:p w:rsidR="00853817" w:rsidRPr="00AE2B3F" w:rsidP="00853817" w14:paraId="028CCCBB" w14:textId="4FE039E6">
            <w:pPr>
              <w:widowControl/>
              <w:overflowPunct/>
              <w:autoSpaceDE/>
              <w:autoSpaceDN/>
              <w:adjustRightInd/>
              <w:jc w:val="right"/>
              <w:textAlignment w:val="auto"/>
              <w:rPr>
                <w:sz w:val="18"/>
                <w:szCs w:val="18"/>
              </w:rPr>
            </w:pPr>
            <w:r w:rsidRPr="00853817">
              <w:rPr>
                <w:sz w:val="18"/>
                <w:szCs w:val="18"/>
              </w:rPr>
              <w:t>5,500.00</w:t>
            </w:r>
          </w:p>
        </w:tc>
        <w:tc>
          <w:tcPr>
            <w:tcW w:w="1242" w:type="dxa"/>
            <w:tcBorders>
              <w:top w:val="nil"/>
              <w:left w:val="nil"/>
              <w:bottom w:val="single" w:sz="4" w:space="0" w:color="auto"/>
              <w:right w:val="single" w:sz="4" w:space="0" w:color="auto"/>
            </w:tcBorders>
            <w:vAlign w:val="center"/>
          </w:tcPr>
          <w:p w:rsidR="00853817" w:rsidRPr="00AE2B3F" w:rsidP="00853817" w14:paraId="6E96DA21" w14:textId="02E01083">
            <w:pPr>
              <w:widowControl/>
              <w:overflowPunct/>
              <w:autoSpaceDE/>
              <w:autoSpaceDN/>
              <w:adjustRightInd/>
              <w:jc w:val="right"/>
              <w:textAlignment w:val="auto"/>
              <w:rPr>
                <w:sz w:val="18"/>
                <w:szCs w:val="18"/>
              </w:rPr>
            </w:pPr>
            <w:r w:rsidRPr="00853817">
              <w:rPr>
                <w:sz w:val="18"/>
                <w:szCs w:val="18"/>
              </w:rPr>
              <w:t>0.00</w:t>
            </w:r>
          </w:p>
        </w:tc>
        <w:tc>
          <w:tcPr>
            <w:tcW w:w="1265" w:type="dxa"/>
            <w:tcBorders>
              <w:top w:val="nil"/>
              <w:left w:val="nil"/>
              <w:bottom w:val="single" w:sz="4" w:space="0" w:color="auto"/>
              <w:right w:val="single" w:sz="4" w:space="0" w:color="auto"/>
            </w:tcBorders>
            <w:vAlign w:val="center"/>
          </w:tcPr>
          <w:p w:rsidR="00853817" w:rsidRPr="00AE2B3F" w:rsidP="00853817" w14:paraId="2C3B06AC" w14:textId="7D0879F5">
            <w:pPr>
              <w:widowControl/>
              <w:overflowPunct/>
              <w:autoSpaceDE/>
              <w:autoSpaceDN/>
              <w:adjustRightInd/>
              <w:jc w:val="right"/>
              <w:textAlignment w:val="auto"/>
              <w:rPr>
                <w:sz w:val="18"/>
                <w:szCs w:val="18"/>
              </w:rPr>
            </w:pPr>
            <w:r w:rsidRPr="00853817">
              <w:rPr>
                <w:sz w:val="18"/>
                <w:szCs w:val="18"/>
              </w:rPr>
              <w:t>5,500.00</w:t>
            </w:r>
          </w:p>
        </w:tc>
      </w:tr>
      <w:tr w14:paraId="0E1E645E" w14:textId="77777777" w:rsidTr="4FE94C9D">
        <w:tblPrEx>
          <w:tblW w:w="14215" w:type="dxa"/>
          <w:tblLayout w:type="fixed"/>
          <w:tblLook w:val="04A0"/>
        </w:tblPrEx>
        <w:trPr>
          <w:trHeight w:val="276"/>
        </w:trPr>
        <w:tc>
          <w:tcPr>
            <w:tcW w:w="341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970812" w:rsidP="00853817" w14:paraId="03DFC689" w14:textId="77777777">
            <w:pPr>
              <w:widowControl/>
              <w:overflowPunct/>
              <w:autoSpaceDE/>
              <w:autoSpaceDN/>
              <w:adjustRightInd/>
              <w:jc w:val="center"/>
              <w:textAlignment w:val="auto"/>
              <w:rPr>
                <w:b/>
                <w:bCs/>
                <w:sz w:val="18"/>
                <w:szCs w:val="18"/>
              </w:rPr>
            </w:pPr>
            <w:r w:rsidRPr="00AE2B3F">
              <w:rPr>
                <w:b/>
                <w:bCs/>
                <w:sz w:val="18"/>
                <w:szCs w:val="18"/>
              </w:rPr>
              <w:t xml:space="preserve">Subtotal Reporting: </w:t>
            </w:r>
          </w:p>
          <w:p w:rsidR="00853817" w:rsidRPr="00AE2B3F" w:rsidP="00853817" w14:paraId="7A9EA3B8" w14:textId="59A0AB7D">
            <w:pPr>
              <w:widowControl/>
              <w:overflowPunct/>
              <w:autoSpaceDE/>
              <w:autoSpaceDN/>
              <w:adjustRightInd/>
              <w:jc w:val="center"/>
              <w:textAlignment w:val="auto"/>
              <w:rPr>
                <w:b/>
                <w:bCs/>
                <w:sz w:val="18"/>
                <w:szCs w:val="18"/>
              </w:rPr>
            </w:pPr>
            <w:r w:rsidRPr="00AE2B3F">
              <w:rPr>
                <w:b/>
                <w:bCs/>
                <w:sz w:val="18"/>
                <w:szCs w:val="18"/>
              </w:rPr>
              <w:t>Businesses</w:t>
            </w:r>
          </w:p>
        </w:tc>
        <w:tc>
          <w:tcPr>
            <w:tcW w:w="1260" w:type="dxa"/>
            <w:tcBorders>
              <w:top w:val="nil"/>
              <w:left w:val="nil"/>
              <w:bottom w:val="single" w:sz="4" w:space="0" w:color="auto"/>
              <w:right w:val="single" w:sz="4" w:space="0" w:color="auto"/>
            </w:tcBorders>
            <w:shd w:val="clear" w:color="auto" w:fill="D9D9D9" w:themeFill="background1" w:themeFillShade="D9"/>
            <w:vAlign w:val="center"/>
            <w:hideMark/>
          </w:tcPr>
          <w:p w:rsidR="00853817" w:rsidRPr="00853817" w:rsidP="00853817" w14:paraId="32FBC540" w14:textId="31D63F43">
            <w:pPr>
              <w:widowControl/>
              <w:overflowPunct/>
              <w:autoSpaceDE/>
              <w:autoSpaceDN/>
              <w:adjustRightInd/>
              <w:jc w:val="right"/>
              <w:textAlignment w:val="auto"/>
              <w:rPr>
                <w:b/>
                <w:bCs/>
                <w:sz w:val="18"/>
                <w:szCs w:val="18"/>
              </w:rPr>
            </w:pPr>
            <w:r w:rsidRPr="00853817">
              <w:rPr>
                <w:b/>
                <w:bCs/>
                <w:sz w:val="18"/>
                <w:szCs w:val="18"/>
              </w:rPr>
              <w:t>40,487</w:t>
            </w:r>
          </w:p>
        </w:tc>
        <w:tc>
          <w:tcPr>
            <w:tcW w:w="1170" w:type="dxa"/>
            <w:tcBorders>
              <w:top w:val="nil"/>
              <w:left w:val="nil"/>
              <w:bottom w:val="single" w:sz="4" w:space="0" w:color="auto"/>
              <w:right w:val="single" w:sz="4" w:space="0" w:color="auto"/>
            </w:tcBorders>
            <w:shd w:val="clear" w:color="auto" w:fill="D9D9D9" w:themeFill="background1" w:themeFillShade="D9"/>
            <w:vAlign w:val="center"/>
            <w:hideMark/>
          </w:tcPr>
          <w:p w:rsidR="00853817" w:rsidRPr="00853817" w:rsidP="00853817" w14:paraId="7FCB0861" w14:textId="08DABB99">
            <w:pPr>
              <w:widowControl/>
              <w:overflowPunct/>
              <w:autoSpaceDE/>
              <w:autoSpaceDN/>
              <w:adjustRightInd/>
              <w:jc w:val="right"/>
              <w:textAlignment w:val="auto"/>
              <w:rPr>
                <w:b/>
                <w:bCs/>
                <w:sz w:val="18"/>
                <w:szCs w:val="18"/>
              </w:rPr>
            </w:pPr>
            <w:r w:rsidRPr="00853817">
              <w:rPr>
                <w:b/>
                <w:bCs/>
                <w:sz w:val="18"/>
                <w:szCs w:val="18"/>
              </w:rPr>
              <w:t>2.40</w:t>
            </w:r>
          </w:p>
        </w:tc>
        <w:tc>
          <w:tcPr>
            <w:tcW w:w="1170" w:type="dxa"/>
            <w:tcBorders>
              <w:top w:val="nil"/>
              <w:left w:val="nil"/>
              <w:bottom w:val="single" w:sz="4" w:space="0" w:color="auto"/>
              <w:right w:val="single" w:sz="4" w:space="0" w:color="auto"/>
            </w:tcBorders>
            <w:shd w:val="clear" w:color="auto" w:fill="D9D9D9" w:themeFill="background1" w:themeFillShade="D9"/>
            <w:vAlign w:val="center"/>
            <w:hideMark/>
          </w:tcPr>
          <w:p w:rsidR="00853817" w:rsidRPr="00853817" w:rsidP="00853817" w14:paraId="2B0D732A" w14:textId="626754D7">
            <w:pPr>
              <w:widowControl/>
              <w:overflowPunct/>
              <w:autoSpaceDE/>
              <w:autoSpaceDN/>
              <w:adjustRightInd/>
              <w:jc w:val="right"/>
              <w:textAlignment w:val="auto"/>
              <w:rPr>
                <w:b/>
                <w:bCs/>
                <w:sz w:val="18"/>
                <w:szCs w:val="18"/>
              </w:rPr>
            </w:pPr>
            <w:r w:rsidRPr="00853817">
              <w:rPr>
                <w:b/>
                <w:bCs/>
                <w:sz w:val="18"/>
                <w:szCs w:val="18"/>
              </w:rPr>
              <w:t>97,220</w:t>
            </w:r>
          </w:p>
        </w:tc>
        <w:tc>
          <w:tcPr>
            <w:tcW w:w="1107" w:type="dxa"/>
            <w:tcBorders>
              <w:top w:val="nil"/>
              <w:left w:val="nil"/>
              <w:bottom w:val="single" w:sz="4" w:space="0" w:color="auto"/>
              <w:right w:val="single" w:sz="4" w:space="0" w:color="auto"/>
            </w:tcBorders>
            <w:shd w:val="clear" w:color="auto" w:fill="D9D9D9" w:themeFill="background1" w:themeFillShade="D9"/>
            <w:vAlign w:val="center"/>
            <w:hideMark/>
          </w:tcPr>
          <w:p w:rsidR="00853817" w:rsidRPr="00853817" w:rsidP="00853817" w14:paraId="3E07EAE6" w14:textId="0C9560C0">
            <w:pPr>
              <w:widowControl/>
              <w:overflowPunct/>
              <w:autoSpaceDE/>
              <w:autoSpaceDN/>
              <w:adjustRightInd/>
              <w:jc w:val="right"/>
              <w:textAlignment w:val="auto"/>
              <w:rPr>
                <w:b/>
                <w:bCs/>
                <w:sz w:val="18"/>
                <w:szCs w:val="18"/>
              </w:rPr>
            </w:pPr>
            <w:r w:rsidRPr="00853817">
              <w:rPr>
                <w:b/>
                <w:bCs/>
                <w:sz w:val="18"/>
                <w:szCs w:val="18"/>
              </w:rPr>
              <w:t>1.47</w:t>
            </w:r>
          </w:p>
        </w:tc>
        <w:tc>
          <w:tcPr>
            <w:tcW w:w="1053" w:type="dxa"/>
            <w:tcBorders>
              <w:top w:val="nil"/>
              <w:left w:val="nil"/>
              <w:bottom w:val="single" w:sz="4" w:space="0" w:color="auto"/>
              <w:right w:val="single" w:sz="4" w:space="0" w:color="auto"/>
            </w:tcBorders>
            <w:shd w:val="clear" w:color="auto" w:fill="D9D9D9" w:themeFill="background1" w:themeFillShade="D9"/>
            <w:vAlign w:val="center"/>
            <w:hideMark/>
          </w:tcPr>
          <w:p w:rsidR="00853817" w:rsidRPr="00853817" w:rsidP="00853817" w14:paraId="50CB4ED3" w14:textId="3614C076">
            <w:pPr>
              <w:widowControl/>
              <w:overflowPunct/>
              <w:autoSpaceDE/>
              <w:autoSpaceDN/>
              <w:adjustRightInd/>
              <w:jc w:val="right"/>
              <w:textAlignment w:val="auto"/>
              <w:rPr>
                <w:b/>
                <w:bCs/>
                <w:sz w:val="18"/>
                <w:szCs w:val="18"/>
              </w:rPr>
            </w:pPr>
            <w:r w:rsidRPr="00853817">
              <w:rPr>
                <w:b/>
                <w:bCs/>
                <w:sz w:val="18"/>
                <w:szCs w:val="18"/>
              </w:rPr>
              <w:t>143,374</w:t>
            </w:r>
          </w:p>
        </w:tc>
        <w:tc>
          <w:tcPr>
            <w:tcW w:w="1170" w:type="dxa"/>
            <w:tcBorders>
              <w:top w:val="nil"/>
              <w:left w:val="nil"/>
              <w:bottom w:val="single" w:sz="4" w:space="0" w:color="auto"/>
              <w:right w:val="single" w:sz="4" w:space="0" w:color="auto"/>
            </w:tcBorders>
            <w:shd w:val="clear" w:color="auto" w:fill="D9D9D9" w:themeFill="background1" w:themeFillShade="D9"/>
            <w:vAlign w:val="center"/>
            <w:hideMark/>
          </w:tcPr>
          <w:p w:rsidR="00853817" w:rsidRPr="00DD2920" w:rsidP="00853817" w14:paraId="229BC341" w14:textId="53FF0CED">
            <w:pPr>
              <w:widowControl/>
              <w:overflowPunct/>
              <w:autoSpaceDE/>
              <w:autoSpaceDN/>
              <w:adjustRightInd/>
              <w:jc w:val="right"/>
              <w:textAlignment w:val="auto"/>
              <w:rPr>
                <w:b/>
                <w:bCs/>
                <w:i/>
                <w:iCs/>
                <w:sz w:val="18"/>
                <w:szCs w:val="18"/>
              </w:rPr>
            </w:pPr>
            <w:r w:rsidRPr="00DD2920">
              <w:rPr>
                <w:b/>
                <w:bCs/>
                <w:i/>
                <w:iCs/>
                <w:sz w:val="18"/>
                <w:szCs w:val="18"/>
              </w:rPr>
              <w:t>259,449</w:t>
            </w:r>
          </w:p>
        </w:tc>
        <w:tc>
          <w:tcPr>
            <w:tcW w:w="1363" w:type="dxa"/>
            <w:tcBorders>
              <w:top w:val="nil"/>
              <w:left w:val="nil"/>
              <w:bottom w:val="single" w:sz="4" w:space="0" w:color="auto"/>
              <w:right w:val="single" w:sz="4" w:space="0" w:color="auto"/>
            </w:tcBorders>
            <w:shd w:val="clear" w:color="auto" w:fill="D9D9D9" w:themeFill="background1" w:themeFillShade="D9"/>
            <w:vAlign w:val="center"/>
          </w:tcPr>
          <w:p w:rsidR="00853817" w:rsidRPr="00853817" w:rsidP="00853817" w14:paraId="4C9E5CD8" w14:textId="45FEE64F">
            <w:pPr>
              <w:widowControl/>
              <w:overflowPunct/>
              <w:autoSpaceDE/>
              <w:autoSpaceDN/>
              <w:adjustRightInd/>
              <w:jc w:val="right"/>
              <w:textAlignment w:val="auto"/>
              <w:rPr>
                <w:b/>
                <w:bCs/>
                <w:sz w:val="18"/>
                <w:szCs w:val="18"/>
              </w:rPr>
            </w:pPr>
            <w:r w:rsidRPr="00853817">
              <w:rPr>
                <w:b/>
                <w:bCs/>
                <w:sz w:val="18"/>
                <w:szCs w:val="18"/>
              </w:rPr>
              <w:t>-126,373.63</w:t>
            </w:r>
          </w:p>
        </w:tc>
        <w:tc>
          <w:tcPr>
            <w:tcW w:w="1242" w:type="dxa"/>
            <w:tcBorders>
              <w:top w:val="nil"/>
              <w:left w:val="nil"/>
              <w:bottom w:val="single" w:sz="4" w:space="0" w:color="auto"/>
              <w:right w:val="single" w:sz="4" w:space="0" w:color="auto"/>
            </w:tcBorders>
            <w:shd w:val="clear" w:color="auto" w:fill="D9D9D9" w:themeFill="background1" w:themeFillShade="D9"/>
            <w:vAlign w:val="center"/>
          </w:tcPr>
          <w:p w:rsidR="00853817" w:rsidRPr="00853817" w:rsidP="00853817" w14:paraId="725CA834" w14:textId="1FCA84F7">
            <w:pPr>
              <w:widowControl/>
              <w:overflowPunct/>
              <w:autoSpaceDE/>
              <w:autoSpaceDN/>
              <w:adjustRightInd/>
              <w:jc w:val="right"/>
              <w:textAlignment w:val="auto"/>
              <w:rPr>
                <w:b/>
                <w:bCs/>
                <w:sz w:val="18"/>
                <w:szCs w:val="18"/>
              </w:rPr>
            </w:pPr>
            <w:r w:rsidRPr="00853817">
              <w:rPr>
                <w:b/>
                <w:bCs/>
                <w:sz w:val="18"/>
                <w:szCs w:val="18"/>
              </w:rPr>
              <w:t>10,298.93</w:t>
            </w:r>
          </w:p>
        </w:tc>
        <w:tc>
          <w:tcPr>
            <w:tcW w:w="1265" w:type="dxa"/>
            <w:tcBorders>
              <w:top w:val="nil"/>
              <w:left w:val="nil"/>
              <w:bottom w:val="single" w:sz="4" w:space="0" w:color="auto"/>
              <w:right w:val="single" w:sz="4" w:space="0" w:color="auto"/>
            </w:tcBorders>
            <w:shd w:val="clear" w:color="auto" w:fill="D9D9D9" w:themeFill="background1" w:themeFillShade="D9"/>
            <w:vAlign w:val="center"/>
          </w:tcPr>
          <w:p w:rsidR="00853817" w:rsidRPr="00853817" w:rsidP="00853817" w14:paraId="67ADB5A5" w14:textId="06801C86">
            <w:pPr>
              <w:widowControl/>
              <w:overflowPunct/>
              <w:autoSpaceDE/>
              <w:autoSpaceDN/>
              <w:adjustRightInd/>
              <w:jc w:val="right"/>
              <w:textAlignment w:val="auto"/>
              <w:rPr>
                <w:b/>
                <w:bCs/>
                <w:sz w:val="18"/>
                <w:szCs w:val="18"/>
              </w:rPr>
            </w:pPr>
            <w:r w:rsidRPr="00853817">
              <w:rPr>
                <w:b/>
                <w:bCs/>
                <w:sz w:val="18"/>
                <w:szCs w:val="18"/>
              </w:rPr>
              <w:t>-116,074.70</w:t>
            </w:r>
          </w:p>
        </w:tc>
      </w:tr>
      <w:tr w14:paraId="135EDB6F" w14:textId="77777777" w:rsidTr="4FE94C9D">
        <w:tblPrEx>
          <w:tblW w:w="14215" w:type="dxa"/>
          <w:tblLayout w:type="fixed"/>
          <w:tblLook w:val="04A0"/>
        </w:tblPrEx>
        <w:trPr>
          <w:trHeight w:val="276"/>
        </w:trPr>
        <w:tc>
          <w:tcPr>
            <w:tcW w:w="341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970812" w:rsidP="00853817" w14:paraId="79C63CE3" w14:textId="77777777">
            <w:pPr>
              <w:widowControl/>
              <w:overflowPunct/>
              <w:autoSpaceDE/>
              <w:autoSpaceDN/>
              <w:adjustRightInd/>
              <w:jc w:val="center"/>
              <w:textAlignment w:val="auto"/>
              <w:rPr>
                <w:b/>
                <w:bCs/>
                <w:sz w:val="18"/>
                <w:szCs w:val="18"/>
              </w:rPr>
            </w:pPr>
            <w:r w:rsidRPr="00AE2B3F">
              <w:rPr>
                <w:b/>
                <w:bCs/>
                <w:sz w:val="18"/>
                <w:szCs w:val="18"/>
              </w:rPr>
              <w:t xml:space="preserve">GRAND SUBTOTAL: </w:t>
            </w:r>
          </w:p>
          <w:p w:rsidR="00853817" w:rsidRPr="00AE2B3F" w:rsidP="00853817" w14:paraId="3EFD336E" w14:textId="52ED6EF3">
            <w:pPr>
              <w:widowControl/>
              <w:overflowPunct/>
              <w:autoSpaceDE/>
              <w:autoSpaceDN/>
              <w:adjustRightInd/>
              <w:jc w:val="center"/>
              <w:textAlignment w:val="auto"/>
              <w:rPr>
                <w:b/>
                <w:bCs/>
                <w:sz w:val="18"/>
                <w:szCs w:val="18"/>
              </w:rPr>
            </w:pPr>
            <w:r w:rsidRPr="00AE2B3F">
              <w:rPr>
                <w:b/>
                <w:bCs/>
                <w:sz w:val="18"/>
                <w:szCs w:val="18"/>
              </w:rPr>
              <w:t>REPORTING</w:t>
            </w:r>
          </w:p>
        </w:tc>
        <w:tc>
          <w:tcPr>
            <w:tcW w:w="1260" w:type="dxa"/>
            <w:tcBorders>
              <w:top w:val="nil"/>
              <w:left w:val="nil"/>
              <w:bottom w:val="single" w:sz="4" w:space="0" w:color="auto"/>
              <w:right w:val="single" w:sz="4" w:space="0" w:color="auto"/>
            </w:tcBorders>
            <w:shd w:val="clear" w:color="auto" w:fill="D9D9D9" w:themeFill="background1" w:themeFillShade="D9"/>
            <w:vAlign w:val="center"/>
            <w:hideMark/>
          </w:tcPr>
          <w:p w:rsidR="00853817" w:rsidRPr="00853817" w:rsidP="00853817" w14:paraId="12AACF2B" w14:textId="42C023B4">
            <w:pPr>
              <w:widowControl/>
              <w:overflowPunct/>
              <w:autoSpaceDE/>
              <w:autoSpaceDN/>
              <w:adjustRightInd/>
              <w:jc w:val="right"/>
              <w:textAlignment w:val="auto"/>
              <w:rPr>
                <w:b/>
                <w:bCs/>
                <w:sz w:val="18"/>
                <w:szCs w:val="18"/>
              </w:rPr>
            </w:pPr>
            <w:r w:rsidRPr="00853817">
              <w:rPr>
                <w:b/>
                <w:bCs/>
                <w:sz w:val="18"/>
                <w:szCs w:val="18"/>
              </w:rPr>
              <w:t>3,392,909</w:t>
            </w:r>
          </w:p>
        </w:tc>
        <w:tc>
          <w:tcPr>
            <w:tcW w:w="1170" w:type="dxa"/>
            <w:tcBorders>
              <w:top w:val="nil"/>
              <w:left w:val="nil"/>
              <w:bottom w:val="single" w:sz="4" w:space="0" w:color="auto"/>
              <w:right w:val="single" w:sz="4" w:space="0" w:color="auto"/>
            </w:tcBorders>
            <w:shd w:val="clear" w:color="auto" w:fill="D9D9D9" w:themeFill="background1" w:themeFillShade="D9"/>
            <w:vAlign w:val="center"/>
            <w:hideMark/>
          </w:tcPr>
          <w:p w:rsidR="00853817" w:rsidRPr="00853817" w:rsidP="00853817" w14:paraId="3DDA4DAF" w14:textId="5B00047E">
            <w:pPr>
              <w:widowControl/>
              <w:overflowPunct/>
              <w:autoSpaceDE/>
              <w:autoSpaceDN/>
              <w:adjustRightInd/>
              <w:jc w:val="right"/>
              <w:textAlignment w:val="auto"/>
              <w:rPr>
                <w:b/>
                <w:bCs/>
                <w:sz w:val="18"/>
                <w:szCs w:val="18"/>
              </w:rPr>
            </w:pPr>
            <w:r w:rsidRPr="00853817">
              <w:rPr>
                <w:b/>
                <w:bCs/>
                <w:sz w:val="18"/>
                <w:szCs w:val="18"/>
              </w:rPr>
              <w:t>0.28</w:t>
            </w:r>
          </w:p>
        </w:tc>
        <w:tc>
          <w:tcPr>
            <w:tcW w:w="1170" w:type="dxa"/>
            <w:tcBorders>
              <w:top w:val="nil"/>
              <w:left w:val="nil"/>
              <w:bottom w:val="single" w:sz="4" w:space="0" w:color="auto"/>
              <w:right w:val="single" w:sz="4" w:space="0" w:color="auto"/>
            </w:tcBorders>
            <w:shd w:val="clear" w:color="auto" w:fill="D9D9D9" w:themeFill="background1" w:themeFillShade="D9"/>
            <w:vAlign w:val="center"/>
            <w:hideMark/>
          </w:tcPr>
          <w:p w:rsidR="00853817" w:rsidRPr="00853817" w:rsidP="00853817" w14:paraId="7AE2FABA" w14:textId="3644B6F0">
            <w:pPr>
              <w:widowControl/>
              <w:overflowPunct/>
              <w:autoSpaceDE/>
              <w:autoSpaceDN/>
              <w:adjustRightInd/>
              <w:jc w:val="right"/>
              <w:textAlignment w:val="auto"/>
              <w:rPr>
                <w:b/>
                <w:bCs/>
                <w:sz w:val="18"/>
                <w:szCs w:val="18"/>
              </w:rPr>
            </w:pPr>
            <w:r w:rsidRPr="00853817">
              <w:rPr>
                <w:b/>
                <w:bCs/>
                <w:sz w:val="18"/>
                <w:szCs w:val="18"/>
              </w:rPr>
              <w:t>957,805</w:t>
            </w:r>
          </w:p>
        </w:tc>
        <w:tc>
          <w:tcPr>
            <w:tcW w:w="1107" w:type="dxa"/>
            <w:tcBorders>
              <w:top w:val="nil"/>
              <w:left w:val="nil"/>
              <w:bottom w:val="single" w:sz="4" w:space="0" w:color="auto"/>
              <w:right w:val="single" w:sz="4" w:space="0" w:color="auto"/>
            </w:tcBorders>
            <w:shd w:val="clear" w:color="auto" w:fill="D9D9D9" w:themeFill="background1" w:themeFillShade="D9"/>
            <w:vAlign w:val="center"/>
            <w:hideMark/>
          </w:tcPr>
          <w:p w:rsidR="00853817" w:rsidRPr="00853817" w:rsidP="00853817" w14:paraId="70B9AEB3" w14:textId="686F08CD">
            <w:pPr>
              <w:widowControl/>
              <w:overflowPunct/>
              <w:autoSpaceDE/>
              <w:autoSpaceDN/>
              <w:adjustRightInd/>
              <w:jc w:val="right"/>
              <w:textAlignment w:val="auto"/>
              <w:rPr>
                <w:b/>
                <w:bCs/>
                <w:sz w:val="18"/>
                <w:szCs w:val="18"/>
              </w:rPr>
            </w:pPr>
            <w:r w:rsidRPr="00853817">
              <w:rPr>
                <w:b/>
                <w:bCs/>
                <w:sz w:val="18"/>
                <w:szCs w:val="18"/>
              </w:rPr>
              <w:t>0.73</w:t>
            </w:r>
          </w:p>
        </w:tc>
        <w:tc>
          <w:tcPr>
            <w:tcW w:w="1053" w:type="dxa"/>
            <w:tcBorders>
              <w:top w:val="nil"/>
              <w:left w:val="nil"/>
              <w:bottom w:val="single" w:sz="4" w:space="0" w:color="auto"/>
              <w:right w:val="single" w:sz="4" w:space="0" w:color="auto"/>
            </w:tcBorders>
            <w:shd w:val="clear" w:color="auto" w:fill="D9D9D9" w:themeFill="background1" w:themeFillShade="D9"/>
            <w:vAlign w:val="center"/>
            <w:hideMark/>
          </w:tcPr>
          <w:p w:rsidR="00853817" w:rsidRPr="00853817" w:rsidP="00853817" w14:paraId="1E6FF00E" w14:textId="02F70D4F">
            <w:pPr>
              <w:widowControl/>
              <w:overflowPunct/>
              <w:autoSpaceDE/>
              <w:autoSpaceDN/>
              <w:adjustRightInd/>
              <w:jc w:val="right"/>
              <w:textAlignment w:val="auto"/>
              <w:rPr>
                <w:b/>
                <w:bCs/>
                <w:sz w:val="18"/>
                <w:szCs w:val="18"/>
              </w:rPr>
            </w:pPr>
            <w:r w:rsidRPr="00853817">
              <w:rPr>
                <w:b/>
                <w:bCs/>
                <w:sz w:val="18"/>
                <w:szCs w:val="18"/>
              </w:rPr>
              <w:t>694,658</w:t>
            </w:r>
          </w:p>
        </w:tc>
        <w:tc>
          <w:tcPr>
            <w:tcW w:w="1170" w:type="dxa"/>
            <w:tcBorders>
              <w:top w:val="nil"/>
              <w:left w:val="nil"/>
              <w:bottom w:val="single" w:sz="4" w:space="0" w:color="auto"/>
              <w:right w:val="single" w:sz="4" w:space="0" w:color="auto"/>
            </w:tcBorders>
            <w:shd w:val="clear" w:color="auto" w:fill="D9D9D9" w:themeFill="background1" w:themeFillShade="D9"/>
            <w:vAlign w:val="center"/>
            <w:hideMark/>
          </w:tcPr>
          <w:p w:rsidR="00853817" w:rsidRPr="00DD2920" w:rsidP="00853817" w14:paraId="475919A2" w14:textId="4B3C8656">
            <w:pPr>
              <w:widowControl/>
              <w:overflowPunct/>
              <w:autoSpaceDE/>
              <w:autoSpaceDN/>
              <w:adjustRightInd/>
              <w:jc w:val="right"/>
              <w:textAlignment w:val="auto"/>
              <w:rPr>
                <w:b/>
                <w:bCs/>
                <w:i/>
                <w:iCs/>
                <w:sz w:val="18"/>
                <w:szCs w:val="18"/>
              </w:rPr>
            </w:pPr>
            <w:r w:rsidRPr="00DD2920">
              <w:rPr>
                <w:b/>
                <w:bCs/>
                <w:i/>
                <w:iCs/>
                <w:sz w:val="18"/>
                <w:szCs w:val="18"/>
              </w:rPr>
              <w:t>2,678,722</w:t>
            </w:r>
          </w:p>
        </w:tc>
        <w:tc>
          <w:tcPr>
            <w:tcW w:w="1363" w:type="dxa"/>
            <w:tcBorders>
              <w:top w:val="nil"/>
              <w:left w:val="nil"/>
              <w:bottom w:val="single" w:sz="4" w:space="0" w:color="auto"/>
              <w:right w:val="single" w:sz="4" w:space="0" w:color="auto"/>
            </w:tcBorders>
            <w:shd w:val="clear" w:color="auto" w:fill="D9D9D9" w:themeFill="background1" w:themeFillShade="D9"/>
            <w:vAlign w:val="center"/>
          </w:tcPr>
          <w:p w:rsidR="00853817" w:rsidRPr="00853817" w:rsidP="00853817" w14:paraId="40393FCE" w14:textId="3891A189">
            <w:pPr>
              <w:widowControl/>
              <w:overflowPunct/>
              <w:autoSpaceDE/>
              <w:autoSpaceDN/>
              <w:adjustRightInd/>
              <w:jc w:val="right"/>
              <w:textAlignment w:val="auto"/>
              <w:rPr>
                <w:b/>
                <w:bCs/>
                <w:sz w:val="18"/>
                <w:szCs w:val="18"/>
              </w:rPr>
            </w:pPr>
            <w:r w:rsidRPr="00853817">
              <w:rPr>
                <w:b/>
                <w:bCs/>
                <w:sz w:val="18"/>
                <w:szCs w:val="18"/>
              </w:rPr>
              <w:t>-1,588,221</w:t>
            </w:r>
          </w:p>
        </w:tc>
        <w:tc>
          <w:tcPr>
            <w:tcW w:w="1242" w:type="dxa"/>
            <w:tcBorders>
              <w:top w:val="nil"/>
              <w:left w:val="nil"/>
              <w:bottom w:val="single" w:sz="4" w:space="0" w:color="auto"/>
              <w:right w:val="single" w:sz="4" w:space="0" w:color="auto"/>
            </w:tcBorders>
            <w:shd w:val="clear" w:color="auto" w:fill="D9D9D9" w:themeFill="background1" w:themeFillShade="D9"/>
            <w:vAlign w:val="center"/>
          </w:tcPr>
          <w:p w:rsidR="00853817" w:rsidRPr="00853817" w:rsidP="00853817" w14:paraId="6F51A783" w14:textId="4E61B21A">
            <w:pPr>
              <w:widowControl/>
              <w:overflowPunct/>
              <w:autoSpaceDE/>
              <w:autoSpaceDN/>
              <w:adjustRightInd/>
              <w:jc w:val="right"/>
              <w:textAlignment w:val="auto"/>
              <w:rPr>
                <w:b/>
                <w:bCs/>
                <w:sz w:val="18"/>
                <w:szCs w:val="18"/>
              </w:rPr>
            </w:pPr>
            <w:r w:rsidRPr="00853817">
              <w:rPr>
                <w:b/>
                <w:bCs/>
                <w:sz w:val="18"/>
                <w:szCs w:val="18"/>
              </w:rPr>
              <w:t>-395,843</w:t>
            </w:r>
          </w:p>
        </w:tc>
        <w:tc>
          <w:tcPr>
            <w:tcW w:w="1265" w:type="dxa"/>
            <w:tcBorders>
              <w:top w:val="nil"/>
              <w:left w:val="nil"/>
              <w:bottom w:val="single" w:sz="4" w:space="0" w:color="auto"/>
              <w:right w:val="single" w:sz="4" w:space="0" w:color="auto"/>
            </w:tcBorders>
            <w:shd w:val="clear" w:color="auto" w:fill="D9D9D9" w:themeFill="background1" w:themeFillShade="D9"/>
            <w:vAlign w:val="center"/>
          </w:tcPr>
          <w:p w:rsidR="00853817" w:rsidRPr="00853817" w:rsidP="00853817" w14:paraId="2A943916" w14:textId="5CA9B2E6">
            <w:pPr>
              <w:widowControl/>
              <w:overflowPunct/>
              <w:autoSpaceDE/>
              <w:autoSpaceDN/>
              <w:adjustRightInd/>
              <w:jc w:val="right"/>
              <w:textAlignment w:val="auto"/>
              <w:rPr>
                <w:b/>
                <w:bCs/>
                <w:sz w:val="18"/>
                <w:szCs w:val="18"/>
              </w:rPr>
            </w:pPr>
            <w:r w:rsidRPr="00853817">
              <w:rPr>
                <w:b/>
                <w:bCs/>
                <w:sz w:val="18"/>
                <w:szCs w:val="18"/>
              </w:rPr>
              <w:t>-1,984,064</w:t>
            </w:r>
          </w:p>
        </w:tc>
      </w:tr>
      <w:tr w14:paraId="45EF6B62" w14:textId="77777777" w:rsidTr="4FE94C9D">
        <w:tblPrEx>
          <w:tblW w:w="14215" w:type="dxa"/>
          <w:tblLayout w:type="fixed"/>
          <w:tblLook w:val="04A0"/>
        </w:tblPrEx>
        <w:trPr>
          <w:trHeight w:val="350"/>
        </w:trPr>
        <w:tc>
          <w:tcPr>
            <w:tcW w:w="14215" w:type="dxa"/>
            <w:gridSpan w:val="11"/>
            <w:tcBorders>
              <w:top w:val="single" w:sz="4" w:space="0" w:color="auto"/>
              <w:left w:val="single" w:sz="4" w:space="0" w:color="auto"/>
              <w:bottom w:val="single" w:sz="4" w:space="0" w:color="auto"/>
              <w:right w:val="single" w:sz="4" w:space="0" w:color="auto"/>
            </w:tcBorders>
            <w:vAlign w:val="center"/>
            <w:hideMark/>
          </w:tcPr>
          <w:p w:rsidR="00B01B54" w:rsidRPr="00AE2B3F" w:rsidP="00B01B54" w14:paraId="72FBEE3C" w14:textId="25AED34C">
            <w:pPr>
              <w:widowControl/>
              <w:overflowPunct/>
              <w:autoSpaceDE/>
              <w:autoSpaceDN/>
              <w:adjustRightInd/>
              <w:jc w:val="center"/>
              <w:textAlignment w:val="auto"/>
              <w:rPr>
                <w:b/>
                <w:bCs/>
                <w:sz w:val="18"/>
                <w:szCs w:val="18"/>
              </w:rPr>
            </w:pPr>
            <w:r w:rsidRPr="00AE2B3F">
              <w:rPr>
                <w:b/>
                <w:bCs/>
                <w:sz w:val="18"/>
                <w:szCs w:val="18"/>
              </w:rPr>
              <w:t>RECORDKEEPING BURDEN ESTIMATES</w:t>
            </w:r>
          </w:p>
        </w:tc>
      </w:tr>
      <w:tr w14:paraId="67327848" w14:textId="77777777" w:rsidTr="4FE94C9D">
        <w:tblPrEx>
          <w:tblW w:w="14215" w:type="dxa"/>
          <w:tblLayout w:type="fixed"/>
          <w:tblLook w:val="04A0"/>
        </w:tblPrEx>
        <w:trPr>
          <w:trHeight w:val="350"/>
        </w:trPr>
        <w:tc>
          <w:tcPr>
            <w:tcW w:w="14215" w:type="dxa"/>
            <w:gridSpan w:val="11"/>
            <w:tcBorders>
              <w:top w:val="single" w:sz="4" w:space="0" w:color="auto"/>
              <w:left w:val="single" w:sz="4" w:space="0" w:color="auto"/>
              <w:bottom w:val="single" w:sz="4" w:space="0" w:color="auto"/>
              <w:right w:val="single" w:sz="4" w:space="0" w:color="auto"/>
            </w:tcBorders>
            <w:vAlign w:val="center"/>
            <w:hideMark/>
          </w:tcPr>
          <w:p w:rsidR="00B01B54" w:rsidRPr="00AE2B3F" w:rsidP="00B01B54" w14:paraId="09D90F74" w14:textId="6912547C">
            <w:pPr>
              <w:widowControl/>
              <w:overflowPunct/>
              <w:autoSpaceDE/>
              <w:autoSpaceDN/>
              <w:adjustRightInd/>
              <w:jc w:val="center"/>
              <w:textAlignment w:val="auto"/>
              <w:rPr>
                <w:b/>
                <w:bCs/>
                <w:sz w:val="18"/>
                <w:szCs w:val="18"/>
              </w:rPr>
            </w:pPr>
            <w:r w:rsidRPr="4FE94C9D">
              <w:rPr>
                <w:b/>
                <w:bCs/>
                <w:sz w:val="18"/>
                <w:szCs w:val="18"/>
              </w:rPr>
              <w:t>Affected Public: State and Local Agencies (including Indian Tribal Organizations and U.S. Territories)</w:t>
            </w:r>
          </w:p>
        </w:tc>
      </w:tr>
      <w:tr w14:paraId="6F4A8BFB" w14:textId="77777777" w:rsidTr="4FE94C9D">
        <w:tblPrEx>
          <w:tblW w:w="14215" w:type="dxa"/>
          <w:tblLayout w:type="fixed"/>
          <w:tblLook w:val="04A0"/>
        </w:tblPrEx>
        <w:trPr>
          <w:trHeight w:val="528"/>
        </w:trPr>
        <w:tc>
          <w:tcPr>
            <w:tcW w:w="1651" w:type="dxa"/>
            <w:tcBorders>
              <w:top w:val="nil"/>
              <w:left w:val="single" w:sz="4" w:space="0" w:color="auto"/>
              <w:bottom w:val="single" w:sz="4" w:space="0" w:color="auto"/>
              <w:right w:val="single" w:sz="4" w:space="0" w:color="auto"/>
            </w:tcBorders>
            <w:vAlign w:val="center"/>
            <w:hideMark/>
          </w:tcPr>
          <w:p w:rsidR="00B01B54" w:rsidRPr="00AE2B3F" w:rsidP="00B01B54" w14:paraId="163D4344" w14:textId="77777777">
            <w:pPr>
              <w:widowControl/>
              <w:overflowPunct/>
              <w:autoSpaceDE/>
              <w:autoSpaceDN/>
              <w:adjustRightInd/>
              <w:textAlignment w:val="auto"/>
              <w:rPr>
                <w:b/>
                <w:bCs/>
                <w:sz w:val="18"/>
                <w:szCs w:val="18"/>
              </w:rPr>
            </w:pPr>
            <w:r w:rsidRPr="00AE2B3F">
              <w:rPr>
                <w:b/>
                <w:bCs/>
                <w:sz w:val="18"/>
                <w:szCs w:val="18"/>
              </w:rPr>
              <w:t>246.12(h)(1)(i)</w:t>
            </w:r>
          </w:p>
        </w:tc>
        <w:tc>
          <w:tcPr>
            <w:tcW w:w="1764" w:type="dxa"/>
            <w:tcBorders>
              <w:top w:val="nil"/>
              <w:left w:val="nil"/>
              <w:bottom w:val="single" w:sz="4" w:space="0" w:color="auto"/>
              <w:right w:val="single" w:sz="4" w:space="0" w:color="auto"/>
            </w:tcBorders>
            <w:vAlign w:val="center"/>
            <w:hideMark/>
          </w:tcPr>
          <w:p w:rsidR="00B01B54" w:rsidRPr="00AE2B3F" w:rsidP="00B01B54" w14:paraId="474A4AC4" w14:textId="77777777">
            <w:pPr>
              <w:widowControl/>
              <w:overflowPunct/>
              <w:autoSpaceDE/>
              <w:autoSpaceDN/>
              <w:adjustRightInd/>
              <w:textAlignment w:val="auto"/>
              <w:rPr>
                <w:sz w:val="18"/>
                <w:szCs w:val="18"/>
              </w:rPr>
            </w:pPr>
            <w:r w:rsidRPr="00AE2B3F">
              <w:rPr>
                <w:sz w:val="18"/>
                <w:szCs w:val="18"/>
              </w:rPr>
              <w:t xml:space="preserve">Vendor applications &amp; Agreements </w:t>
            </w:r>
          </w:p>
        </w:tc>
        <w:tc>
          <w:tcPr>
            <w:tcW w:w="1260" w:type="dxa"/>
            <w:tcBorders>
              <w:top w:val="nil"/>
              <w:left w:val="nil"/>
              <w:bottom w:val="single" w:sz="4" w:space="0" w:color="auto"/>
              <w:right w:val="single" w:sz="4" w:space="0" w:color="auto"/>
            </w:tcBorders>
            <w:vAlign w:val="center"/>
            <w:hideMark/>
          </w:tcPr>
          <w:p w:rsidR="00B01B54" w:rsidRPr="00AE2B3F" w:rsidP="00B01B54" w14:paraId="08230A7D" w14:textId="76E83236">
            <w:pPr>
              <w:widowControl/>
              <w:overflowPunct/>
              <w:autoSpaceDE/>
              <w:autoSpaceDN/>
              <w:adjustRightInd/>
              <w:jc w:val="right"/>
              <w:textAlignment w:val="auto"/>
              <w:rPr>
                <w:sz w:val="18"/>
                <w:szCs w:val="18"/>
              </w:rPr>
            </w:pPr>
            <w:r w:rsidRPr="00B01B54">
              <w:rPr>
                <w:sz w:val="18"/>
                <w:szCs w:val="18"/>
              </w:rPr>
              <w:t>88.00</w:t>
            </w:r>
          </w:p>
        </w:tc>
        <w:tc>
          <w:tcPr>
            <w:tcW w:w="1170" w:type="dxa"/>
            <w:tcBorders>
              <w:top w:val="nil"/>
              <w:left w:val="nil"/>
              <w:bottom w:val="single" w:sz="4" w:space="0" w:color="auto"/>
              <w:right w:val="single" w:sz="4" w:space="0" w:color="auto"/>
            </w:tcBorders>
            <w:vAlign w:val="center"/>
            <w:hideMark/>
          </w:tcPr>
          <w:p w:rsidR="00B01B54" w:rsidRPr="00AE2B3F" w:rsidP="00B01B54" w14:paraId="43560340" w14:textId="54475A9E">
            <w:pPr>
              <w:widowControl/>
              <w:overflowPunct/>
              <w:autoSpaceDE/>
              <w:autoSpaceDN/>
              <w:adjustRightInd/>
              <w:jc w:val="right"/>
              <w:textAlignment w:val="auto"/>
              <w:rPr>
                <w:sz w:val="18"/>
                <w:szCs w:val="18"/>
              </w:rPr>
            </w:pPr>
            <w:r w:rsidRPr="00B01B54">
              <w:rPr>
                <w:sz w:val="18"/>
                <w:szCs w:val="18"/>
              </w:rPr>
              <w:t>151.83</w:t>
            </w:r>
          </w:p>
        </w:tc>
        <w:tc>
          <w:tcPr>
            <w:tcW w:w="1170" w:type="dxa"/>
            <w:tcBorders>
              <w:top w:val="nil"/>
              <w:left w:val="nil"/>
              <w:bottom w:val="single" w:sz="4" w:space="0" w:color="auto"/>
              <w:right w:val="single" w:sz="4" w:space="0" w:color="auto"/>
            </w:tcBorders>
            <w:shd w:val="clear" w:color="auto" w:fill="F2F2F2" w:themeFill="background1" w:themeFillShade="F2"/>
            <w:vAlign w:val="center"/>
            <w:hideMark/>
          </w:tcPr>
          <w:p w:rsidR="00B01B54" w:rsidRPr="00AE2B3F" w:rsidP="00B01B54" w14:paraId="55C77DAC" w14:textId="695A857E">
            <w:pPr>
              <w:widowControl/>
              <w:overflowPunct/>
              <w:autoSpaceDE/>
              <w:autoSpaceDN/>
              <w:adjustRightInd/>
              <w:jc w:val="right"/>
              <w:textAlignment w:val="auto"/>
              <w:rPr>
                <w:sz w:val="18"/>
                <w:szCs w:val="18"/>
              </w:rPr>
            </w:pPr>
            <w:r w:rsidRPr="00B01B54">
              <w:rPr>
                <w:sz w:val="18"/>
                <w:szCs w:val="18"/>
              </w:rPr>
              <w:t>13,360.71</w:t>
            </w:r>
          </w:p>
        </w:tc>
        <w:tc>
          <w:tcPr>
            <w:tcW w:w="1107" w:type="dxa"/>
            <w:tcBorders>
              <w:top w:val="nil"/>
              <w:left w:val="nil"/>
              <w:bottom w:val="single" w:sz="4" w:space="0" w:color="auto"/>
              <w:right w:val="single" w:sz="4" w:space="0" w:color="auto"/>
            </w:tcBorders>
            <w:vAlign w:val="center"/>
            <w:hideMark/>
          </w:tcPr>
          <w:p w:rsidR="00B01B54" w:rsidRPr="00AE2B3F" w:rsidP="00B01B54" w14:paraId="612D1E00" w14:textId="2260FCD7">
            <w:pPr>
              <w:widowControl/>
              <w:overflowPunct/>
              <w:autoSpaceDE/>
              <w:autoSpaceDN/>
              <w:adjustRightInd/>
              <w:jc w:val="right"/>
              <w:textAlignment w:val="auto"/>
              <w:rPr>
                <w:sz w:val="18"/>
                <w:szCs w:val="18"/>
              </w:rPr>
            </w:pPr>
            <w:r w:rsidRPr="00B01B54">
              <w:rPr>
                <w:sz w:val="18"/>
                <w:szCs w:val="18"/>
              </w:rPr>
              <w:t>1.00</w:t>
            </w:r>
          </w:p>
        </w:tc>
        <w:tc>
          <w:tcPr>
            <w:tcW w:w="1053" w:type="dxa"/>
            <w:tcBorders>
              <w:top w:val="nil"/>
              <w:left w:val="nil"/>
              <w:bottom w:val="single" w:sz="4" w:space="0" w:color="auto"/>
              <w:right w:val="single" w:sz="4" w:space="0" w:color="auto"/>
            </w:tcBorders>
            <w:shd w:val="clear" w:color="auto" w:fill="F2F2F2" w:themeFill="background1" w:themeFillShade="F2"/>
            <w:vAlign w:val="center"/>
            <w:hideMark/>
          </w:tcPr>
          <w:p w:rsidR="00B01B54" w:rsidRPr="00AE2B3F" w:rsidP="00B01B54" w14:paraId="1AE4E322" w14:textId="0AF108A3">
            <w:pPr>
              <w:widowControl/>
              <w:overflowPunct/>
              <w:autoSpaceDE/>
              <w:autoSpaceDN/>
              <w:adjustRightInd/>
              <w:jc w:val="right"/>
              <w:textAlignment w:val="auto"/>
              <w:rPr>
                <w:sz w:val="18"/>
                <w:szCs w:val="18"/>
              </w:rPr>
            </w:pPr>
            <w:r w:rsidRPr="00B01B54">
              <w:rPr>
                <w:sz w:val="18"/>
                <w:szCs w:val="18"/>
              </w:rPr>
              <w:t>13,360.71</w:t>
            </w:r>
          </w:p>
        </w:tc>
        <w:tc>
          <w:tcPr>
            <w:tcW w:w="1170" w:type="dxa"/>
            <w:tcBorders>
              <w:top w:val="nil"/>
              <w:left w:val="nil"/>
              <w:bottom w:val="single" w:sz="4" w:space="0" w:color="auto"/>
              <w:right w:val="single" w:sz="4" w:space="0" w:color="auto"/>
            </w:tcBorders>
            <w:vAlign w:val="center"/>
            <w:hideMark/>
          </w:tcPr>
          <w:p w:rsidR="00B01B54" w:rsidRPr="00DD2920" w:rsidP="00B01B54" w14:paraId="59EA4FDD" w14:textId="238063D8">
            <w:pPr>
              <w:widowControl/>
              <w:overflowPunct/>
              <w:autoSpaceDE/>
              <w:autoSpaceDN/>
              <w:adjustRightInd/>
              <w:jc w:val="right"/>
              <w:textAlignment w:val="auto"/>
              <w:rPr>
                <w:i/>
                <w:iCs/>
                <w:sz w:val="18"/>
                <w:szCs w:val="18"/>
              </w:rPr>
            </w:pPr>
            <w:r w:rsidRPr="00DD2920">
              <w:rPr>
                <w:i/>
                <w:iCs/>
                <w:sz w:val="18"/>
                <w:szCs w:val="18"/>
              </w:rPr>
              <w:t>12,298.11</w:t>
            </w:r>
          </w:p>
        </w:tc>
        <w:tc>
          <w:tcPr>
            <w:tcW w:w="1363" w:type="dxa"/>
            <w:tcBorders>
              <w:top w:val="nil"/>
              <w:left w:val="nil"/>
              <w:bottom w:val="single" w:sz="4" w:space="0" w:color="auto"/>
              <w:right w:val="single" w:sz="4" w:space="0" w:color="auto"/>
            </w:tcBorders>
            <w:vAlign w:val="center"/>
          </w:tcPr>
          <w:p w:rsidR="00B01B54" w:rsidRPr="00AE2B3F" w:rsidP="00B01B54" w14:paraId="0D06BA30" w14:textId="559A70AF">
            <w:pPr>
              <w:widowControl/>
              <w:overflowPunct/>
              <w:autoSpaceDE/>
              <w:autoSpaceDN/>
              <w:adjustRightInd/>
              <w:jc w:val="right"/>
              <w:textAlignment w:val="auto"/>
              <w:rPr>
                <w:sz w:val="18"/>
                <w:szCs w:val="18"/>
              </w:rPr>
            </w:pPr>
            <w:r w:rsidRPr="00B01B54">
              <w:rPr>
                <w:sz w:val="18"/>
                <w:szCs w:val="18"/>
              </w:rPr>
              <w:t>36.30</w:t>
            </w:r>
          </w:p>
        </w:tc>
        <w:tc>
          <w:tcPr>
            <w:tcW w:w="1242" w:type="dxa"/>
            <w:tcBorders>
              <w:top w:val="nil"/>
              <w:left w:val="nil"/>
              <w:bottom w:val="single" w:sz="4" w:space="0" w:color="auto"/>
              <w:right w:val="single" w:sz="4" w:space="0" w:color="auto"/>
            </w:tcBorders>
            <w:vAlign w:val="center"/>
          </w:tcPr>
          <w:p w:rsidR="00B01B54" w:rsidRPr="00AE2B3F" w:rsidP="00B01B54" w14:paraId="5621824D" w14:textId="08195B07">
            <w:pPr>
              <w:widowControl/>
              <w:overflowPunct/>
              <w:autoSpaceDE/>
              <w:autoSpaceDN/>
              <w:adjustRightInd/>
              <w:jc w:val="right"/>
              <w:textAlignment w:val="auto"/>
              <w:rPr>
                <w:sz w:val="18"/>
                <w:szCs w:val="18"/>
              </w:rPr>
            </w:pPr>
            <w:r w:rsidRPr="00B01B54">
              <w:rPr>
                <w:sz w:val="18"/>
                <w:szCs w:val="18"/>
              </w:rPr>
              <w:t>1,026.30</w:t>
            </w:r>
          </w:p>
        </w:tc>
        <w:tc>
          <w:tcPr>
            <w:tcW w:w="1265" w:type="dxa"/>
            <w:tcBorders>
              <w:top w:val="nil"/>
              <w:left w:val="nil"/>
              <w:bottom w:val="single" w:sz="4" w:space="0" w:color="auto"/>
              <w:right w:val="single" w:sz="4" w:space="0" w:color="auto"/>
            </w:tcBorders>
            <w:vAlign w:val="center"/>
          </w:tcPr>
          <w:p w:rsidR="00B01B54" w:rsidRPr="00AE2B3F" w:rsidP="00B01B54" w14:paraId="5E90AD05" w14:textId="4BCC629A">
            <w:pPr>
              <w:widowControl/>
              <w:overflowPunct/>
              <w:autoSpaceDE/>
              <w:autoSpaceDN/>
              <w:adjustRightInd/>
              <w:jc w:val="right"/>
              <w:textAlignment w:val="auto"/>
              <w:rPr>
                <w:sz w:val="18"/>
                <w:szCs w:val="18"/>
              </w:rPr>
            </w:pPr>
            <w:r w:rsidRPr="00B01B54">
              <w:rPr>
                <w:sz w:val="18"/>
                <w:szCs w:val="18"/>
              </w:rPr>
              <w:t>1,062.60</w:t>
            </w:r>
          </w:p>
        </w:tc>
      </w:tr>
      <w:tr w14:paraId="36F3ED76" w14:textId="77777777" w:rsidTr="4FE94C9D">
        <w:tblPrEx>
          <w:tblW w:w="14215" w:type="dxa"/>
          <w:tblLayout w:type="fixed"/>
          <w:tblLook w:val="04A0"/>
        </w:tblPrEx>
        <w:trPr>
          <w:trHeight w:val="576"/>
        </w:trPr>
        <w:tc>
          <w:tcPr>
            <w:tcW w:w="1651" w:type="dxa"/>
            <w:tcBorders>
              <w:top w:val="nil"/>
              <w:left w:val="single" w:sz="4" w:space="0" w:color="auto"/>
              <w:bottom w:val="single" w:sz="4" w:space="0" w:color="auto"/>
              <w:right w:val="single" w:sz="4" w:space="0" w:color="auto"/>
            </w:tcBorders>
            <w:vAlign w:val="center"/>
            <w:hideMark/>
          </w:tcPr>
          <w:p w:rsidR="00B01B54" w:rsidRPr="00AE2B3F" w:rsidP="00CD4E0F" w14:paraId="19E8FCFE" w14:textId="77777777">
            <w:pPr>
              <w:widowControl/>
              <w:overflowPunct/>
              <w:autoSpaceDE/>
              <w:autoSpaceDN/>
              <w:adjustRightInd/>
              <w:textAlignment w:val="auto"/>
              <w:rPr>
                <w:b/>
                <w:bCs/>
                <w:sz w:val="18"/>
                <w:szCs w:val="18"/>
              </w:rPr>
            </w:pPr>
            <w:r w:rsidRPr="00AE2B3F">
              <w:rPr>
                <w:b/>
                <w:bCs/>
                <w:sz w:val="18"/>
                <w:szCs w:val="18"/>
              </w:rPr>
              <w:t>246.12(h)(8)(i)</w:t>
            </w:r>
          </w:p>
        </w:tc>
        <w:tc>
          <w:tcPr>
            <w:tcW w:w="1764" w:type="dxa"/>
            <w:tcBorders>
              <w:top w:val="nil"/>
              <w:left w:val="nil"/>
              <w:bottom w:val="single" w:sz="4" w:space="0" w:color="auto"/>
              <w:right w:val="single" w:sz="4" w:space="0" w:color="auto"/>
            </w:tcBorders>
            <w:vAlign w:val="center"/>
            <w:hideMark/>
          </w:tcPr>
          <w:p w:rsidR="00B01B54" w:rsidRPr="00AE2B3F" w:rsidP="00CD4E0F" w14:paraId="1A3E69D4" w14:textId="77777777">
            <w:pPr>
              <w:widowControl/>
              <w:overflowPunct/>
              <w:autoSpaceDE/>
              <w:autoSpaceDN/>
              <w:adjustRightInd/>
              <w:textAlignment w:val="auto"/>
              <w:rPr>
                <w:sz w:val="18"/>
                <w:szCs w:val="18"/>
              </w:rPr>
            </w:pPr>
            <w:r w:rsidRPr="00AE2B3F">
              <w:rPr>
                <w:sz w:val="18"/>
                <w:szCs w:val="18"/>
              </w:rPr>
              <w:t>Vendor incentive items</w:t>
            </w:r>
          </w:p>
        </w:tc>
        <w:tc>
          <w:tcPr>
            <w:tcW w:w="1260" w:type="dxa"/>
            <w:tcBorders>
              <w:top w:val="nil"/>
              <w:left w:val="nil"/>
              <w:bottom w:val="single" w:sz="4" w:space="0" w:color="auto"/>
              <w:right w:val="single" w:sz="4" w:space="0" w:color="auto"/>
            </w:tcBorders>
            <w:vAlign w:val="center"/>
            <w:hideMark/>
          </w:tcPr>
          <w:p w:rsidR="00B01B54" w:rsidRPr="00AE2B3F" w:rsidP="00CD4E0F" w14:paraId="676E9D6A" w14:textId="41410EBC">
            <w:pPr>
              <w:widowControl/>
              <w:overflowPunct/>
              <w:autoSpaceDE/>
              <w:autoSpaceDN/>
              <w:adjustRightInd/>
              <w:jc w:val="right"/>
              <w:textAlignment w:val="auto"/>
              <w:rPr>
                <w:sz w:val="18"/>
                <w:szCs w:val="18"/>
              </w:rPr>
            </w:pPr>
            <w:r w:rsidRPr="00B01B54">
              <w:rPr>
                <w:sz w:val="18"/>
                <w:szCs w:val="18"/>
              </w:rPr>
              <w:t>4.00</w:t>
            </w:r>
          </w:p>
        </w:tc>
        <w:tc>
          <w:tcPr>
            <w:tcW w:w="1170" w:type="dxa"/>
            <w:tcBorders>
              <w:top w:val="nil"/>
              <w:left w:val="nil"/>
              <w:bottom w:val="single" w:sz="4" w:space="0" w:color="auto"/>
              <w:right w:val="single" w:sz="4" w:space="0" w:color="auto"/>
            </w:tcBorders>
            <w:vAlign w:val="center"/>
            <w:hideMark/>
          </w:tcPr>
          <w:p w:rsidR="00B01B54" w:rsidRPr="00AE2B3F" w:rsidP="00CD4E0F" w14:paraId="1999DC94" w14:textId="218C552D">
            <w:pPr>
              <w:widowControl/>
              <w:overflowPunct/>
              <w:autoSpaceDE/>
              <w:autoSpaceDN/>
              <w:adjustRightInd/>
              <w:jc w:val="right"/>
              <w:textAlignment w:val="auto"/>
              <w:rPr>
                <w:sz w:val="18"/>
                <w:szCs w:val="18"/>
              </w:rPr>
            </w:pPr>
            <w:r w:rsidRPr="00B01B54">
              <w:rPr>
                <w:sz w:val="18"/>
                <w:szCs w:val="18"/>
              </w:rPr>
              <w:t>89.97</w:t>
            </w:r>
          </w:p>
        </w:tc>
        <w:tc>
          <w:tcPr>
            <w:tcW w:w="1170" w:type="dxa"/>
            <w:tcBorders>
              <w:top w:val="nil"/>
              <w:left w:val="nil"/>
              <w:bottom w:val="single" w:sz="4" w:space="0" w:color="auto"/>
              <w:right w:val="single" w:sz="4" w:space="0" w:color="auto"/>
            </w:tcBorders>
            <w:shd w:val="clear" w:color="auto" w:fill="F2F2F2" w:themeFill="background1" w:themeFillShade="F2"/>
            <w:vAlign w:val="center"/>
            <w:hideMark/>
          </w:tcPr>
          <w:p w:rsidR="00B01B54" w:rsidRPr="00AE2B3F" w:rsidP="00CD4E0F" w14:paraId="3EAFD0EA" w14:textId="4225F500">
            <w:pPr>
              <w:widowControl/>
              <w:overflowPunct/>
              <w:autoSpaceDE/>
              <w:autoSpaceDN/>
              <w:adjustRightInd/>
              <w:jc w:val="right"/>
              <w:textAlignment w:val="auto"/>
              <w:rPr>
                <w:sz w:val="18"/>
                <w:szCs w:val="18"/>
              </w:rPr>
            </w:pPr>
            <w:r w:rsidRPr="00B01B54">
              <w:rPr>
                <w:sz w:val="18"/>
                <w:szCs w:val="18"/>
              </w:rPr>
              <w:t>359.88</w:t>
            </w:r>
          </w:p>
        </w:tc>
        <w:tc>
          <w:tcPr>
            <w:tcW w:w="1107" w:type="dxa"/>
            <w:tcBorders>
              <w:top w:val="nil"/>
              <w:left w:val="nil"/>
              <w:bottom w:val="single" w:sz="4" w:space="0" w:color="auto"/>
              <w:right w:val="single" w:sz="4" w:space="0" w:color="auto"/>
            </w:tcBorders>
            <w:vAlign w:val="center"/>
            <w:hideMark/>
          </w:tcPr>
          <w:p w:rsidR="00B01B54" w:rsidRPr="00AE2B3F" w:rsidP="00CD4E0F" w14:paraId="79EE6EDB" w14:textId="0BE01CDD">
            <w:pPr>
              <w:widowControl/>
              <w:overflowPunct/>
              <w:autoSpaceDE/>
              <w:autoSpaceDN/>
              <w:adjustRightInd/>
              <w:jc w:val="right"/>
              <w:textAlignment w:val="auto"/>
              <w:rPr>
                <w:sz w:val="18"/>
                <w:szCs w:val="18"/>
              </w:rPr>
            </w:pPr>
            <w:r w:rsidRPr="00B01B54">
              <w:rPr>
                <w:sz w:val="18"/>
                <w:szCs w:val="18"/>
              </w:rPr>
              <w:t>1.00</w:t>
            </w:r>
          </w:p>
        </w:tc>
        <w:tc>
          <w:tcPr>
            <w:tcW w:w="1053" w:type="dxa"/>
            <w:tcBorders>
              <w:top w:val="nil"/>
              <w:left w:val="nil"/>
              <w:bottom w:val="single" w:sz="4" w:space="0" w:color="auto"/>
              <w:right w:val="single" w:sz="4" w:space="0" w:color="auto"/>
            </w:tcBorders>
            <w:shd w:val="clear" w:color="auto" w:fill="F2F2F2" w:themeFill="background1" w:themeFillShade="F2"/>
            <w:vAlign w:val="center"/>
            <w:hideMark/>
          </w:tcPr>
          <w:p w:rsidR="00B01B54" w:rsidRPr="00AE2B3F" w:rsidP="00CD4E0F" w14:paraId="4B1FBD32" w14:textId="35E695D2">
            <w:pPr>
              <w:widowControl/>
              <w:overflowPunct/>
              <w:autoSpaceDE/>
              <w:autoSpaceDN/>
              <w:adjustRightInd/>
              <w:jc w:val="right"/>
              <w:textAlignment w:val="auto"/>
              <w:rPr>
                <w:sz w:val="18"/>
                <w:szCs w:val="18"/>
              </w:rPr>
            </w:pPr>
            <w:r w:rsidRPr="00B01B54">
              <w:rPr>
                <w:sz w:val="18"/>
                <w:szCs w:val="18"/>
              </w:rPr>
              <w:t>359.88</w:t>
            </w:r>
          </w:p>
        </w:tc>
        <w:tc>
          <w:tcPr>
            <w:tcW w:w="1170" w:type="dxa"/>
            <w:tcBorders>
              <w:top w:val="nil"/>
              <w:left w:val="nil"/>
              <w:bottom w:val="single" w:sz="4" w:space="0" w:color="auto"/>
              <w:right w:val="single" w:sz="4" w:space="0" w:color="auto"/>
            </w:tcBorders>
            <w:vAlign w:val="center"/>
            <w:hideMark/>
          </w:tcPr>
          <w:p w:rsidR="00B01B54" w:rsidRPr="00DD2920" w:rsidP="00CD4E0F" w14:paraId="1BAA07E6" w14:textId="49C87642">
            <w:pPr>
              <w:widowControl/>
              <w:overflowPunct/>
              <w:autoSpaceDE/>
              <w:autoSpaceDN/>
              <w:adjustRightInd/>
              <w:jc w:val="right"/>
              <w:textAlignment w:val="auto"/>
              <w:rPr>
                <w:i/>
                <w:iCs/>
                <w:sz w:val="18"/>
                <w:szCs w:val="18"/>
              </w:rPr>
            </w:pPr>
            <w:r w:rsidRPr="00DD2920">
              <w:rPr>
                <w:i/>
                <w:iCs/>
                <w:sz w:val="18"/>
                <w:szCs w:val="18"/>
              </w:rPr>
              <w:t>389.20</w:t>
            </w:r>
          </w:p>
        </w:tc>
        <w:tc>
          <w:tcPr>
            <w:tcW w:w="1363" w:type="dxa"/>
            <w:tcBorders>
              <w:top w:val="nil"/>
              <w:left w:val="nil"/>
              <w:bottom w:val="single" w:sz="4" w:space="0" w:color="auto"/>
              <w:right w:val="single" w:sz="4" w:space="0" w:color="auto"/>
            </w:tcBorders>
            <w:vAlign w:val="center"/>
          </w:tcPr>
          <w:p w:rsidR="00B01B54" w:rsidRPr="00AE2B3F" w:rsidP="00CD4E0F" w14:paraId="64FDC923" w14:textId="6EF4FAF0">
            <w:pPr>
              <w:widowControl/>
              <w:overflowPunct/>
              <w:autoSpaceDE/>
              <w:autoSpaceDN/>
              <w:adjustRightInd/>
              <w:jc w:val="right"/>
              <w:textAlignment w:val="auto"/>
              <w:rPr>
                <w:sz w:val="18"/>
                <w:szCs w:val="18"/>
              </w:rPr>
            </w:pPr>
            <w:r w:rsidRPr="00B01B54">
              <w:rPr>
                <w:sz w:val="18"/>
                <w:szCs w:val="18"/>
              </w:rPr>
              <w:t>0.98</w:t>
            </w:r>
          </w:p>
        </w:tc>
        <w:tc>
          <w:tcPr>
            <w:tcW w:w="1242" w:type="dxa"/>
            <w:tcBorders>
              <w:top w:val="nil"/>
              <w:left w:val="nil"/>
              <w:bottom w:val="single" w:sz="4" w:space="0" w:color="auto"/>
              <w:right w:val="single" w:sz="4" w:space="0" w:color="auto"/>
            </w:tcBorders>
            <w:vAlign w:val="center"/>
          </w:tcPr>
          <w:p w:rsidR="00B01B54" w:rsidRPr="00AE2B3F" w:rsidP="00CD4E0F" w14:paraId="771A2199" w14:textId="5B041B5E">
            <w:pPr>
              <w:widowControl/>
              <w:overflowPunct/>
              <w:autoSpaceDE/>
              <w:autoSpaceDN/>
              <w:adjustRightInd/>
              <w:jc w:val="right"/>
              <w:textAlignment w:val="auto"/>
              <w:rPr>
                <w:sz w:val="18"/>
                <w:szCs w:val="18"/>
              </w:rPr>
            </w:pPr>
            <w:r w:rsidRPr="00B01B54">
              <w:rPr>
                <w:sz w:val="18"/>
                <w:szCs w:val="18"/>
              </w:rPr>
              <w:t>-30.29</w:t>
            </w:r>
          </w:p>
        </w:tc>
        <w:tc>
          <w:tcPr>
            <w:tcW w:w="1265" w:type="dxa"/>
            <w:tcBorders>
              <w:top w:val="nil"/>
              <w:left w:val="nil"/>
              <w:bottom w:val="single" w:sz="4" w:space="0" w:color="auto"/>
              <w:right w:val="single" w:sz="4" w:space="0" w:color="auto"/>
            </w:tcBorders>
            <w:vAlign w:val="center"/>
          </w:tcPr>
          <w:p w:rsidR="00B01B54" w:rsidRPr="00AE2B3F" w:rsidP="00CD4E0F" w14:paraId="4087DB46" w14:textId="3CB7C7AC">
            <w:pPr>
              <w:widowControl/>
              <w:overflowPunct/>
              <w:autoSpaceDE/>
              <w:autoSpaceDN/>
              <w:adjustRightInd/>
              <w:jc w:val="right"/>
              <w:textAlignment w:val="auto"/>
              <w:rPr>
                <w:sz w:val="18"/>
                <w:szCs w:val="18"/>
              </w:rPr>
            </w:pPr>
            <w:r w:rsidRPr="00B01B54">
              <w:rPr>
                <w:sz w:val="18"/>
                <w:szCs w:val="18"/>
              </w:rPr>
              <w:t>-29.32</w:t>
            </w:r>
          </w:p>
        </w:tc>
      </w:tr>
      <w:tr w14:paraId="483E183F" w14:textId="77777777" w:rsidTr="4FE94C9D">
        <w:tblPrEx>
          <w:tblW w:w="14215" w:type="dxa"/>
          <w:tblLayout w:type="fixed"/>
          <w:tblLook w:val="04A0"/>
        </w:tblPrEx>
        <w:trPr>
          <w:trHeight w:val="576"/>
        </w:trPr>
        <w:tc>
          <w:tcPr>
            <w:tcW w:w="1651" w:type="dxa"/>
            <w:tcBorders>
              <w:top w:val="nil"/>
              <w:left w:val="single" w:sz="4" w:space="0" w:color="auto"/>
              <w:bottom w:val="single" w:sz="4" w:space="0" w:color="auto"/>
              <w:right w:val="single" w:sz="4" w:space="0" w:color="auto"/>
            </w:tcBorders>
            <w:vAlign w:val="center"/>
            <w:hideMark/>
          </w:tcPr>
          <w:p w:rsidR="00B01B54" w:rsidRPr="00AE2B3F" w:rsidP="00CD4E0F" w14:paraId="46E9AA53" w14:textId="77777777">
            <w:pPr>
              <w:widowControl/>
              <w:overflowPunct/>
              <w:autoSpaceDE/>
              <w:autoSpaceDN/>
              <w:adjustRightInd/>
              <w:textAlignment w:val="auto"/>
              <w:rPr>
                <w:b/>
                <w:bCs/>
                <w:sz w:val="18"/>
                <w:szCs w:val="18"/>
              </w:rPr>
            </w:pPr>
            <w:r w:rsidRPr="00AE2B3F">
              <w:rPr>
                <w:b/>
                <w:bCs/>
                <w:sz w:val="18"/>
                <w:szCs w:val="18"/>
              </w:rPr>
              <w:t>246.12(j)(6)</w:t>
            </w:r>
          </w:p>
        </w:tc>
        <w:tc>
          <w:tcPr>
            <w:tcW w:w="1764" w:type="dxa"/>
            <w:tcBorders>
              <w:top w:val="nil"/>
              <w:left w:val="nil"/>
              <w:bottom w:val="single" w:sz="4" w:space="0" w:color="auto"/>
              <w:right w:val="single" w:sz="4" w:space="0" w:color="auto"/>
            </w:tcBorders>
            <w:vAlign w:val="center"/>
            <w:hideMark/>
          </w:tcPr>
          <w:p w:rsidR="00B01B54" w:rsidRPr="00AE2B3F" w:rsidP="00CD4E0F" w14:paraId="0D37FF8F" w14:textId="77777777">
            <w:pPr>
              <w:widowControl/>
              <w:overflowPunct/>
              <w:autoSpaceDE/>
              <w:autoSpaceDN/>
              <w:adjustRightInd/>
              <w:textAlignment w:val="auto"/>
              <w:rPr>
                <w:sz w:val="18"/>
                <w:szCs w:val="18"/>
              </w:rPr>
            </w:pPr>
            <w:r w:rsidRPr="00AE2B3F">
              <w:rPr>
                <w:sz w:val="18"/>
                <w:szCs w:val="18"/>
              </w:rPr>
              <w:t>Routine vendor monitoring</w:t>
            </w:r>
          </w:p>
        </w:tc>
        <w:tc>
          <w:tcPr>
            <w:tcW w:w="1260" w:type="dxa"/>
            <w:tcBorders>
              <w:top w:val="nil"/>
              <w:left w:val="nil"/>
              <w:bottom w:val="single" w:sz="4" w:space="0" w:color="auto"/>
              <w:right w:val="single" w:sz="4" w:space="0" w:color="auto"/>
            </w:tcBorders>
            <w:vAlign w:val="center"/>
            <w:hideMark/>
          </w:tcPr>
          <w:p w:rsidR="00B01B54" w:rsidRPr="00AE2B3F" w:rsidP="00CD4E0F" w14:paraId="3853B66A" w14:textId="5029B027">
            <w:pPr>
              <w:widowControl/>
              <w:overflowPunct/>
              <w:autoSpaceDE/>
              <w:autoSpaceDN/>
              <w:adjustRightInd/>
              <w:jc w:val="right"/>
              <w:textAlignment w:val="auto"/>
              <w:rPr>
                <w:sz w:val="18"/>
                <w:szCs w:val="18"/>
              </w:rPr>
            </w:pPr>
            <w:r w:rsidRPr="00B01B54">
              <w:rPr>
                <w:sz w:val="18"/>
                <w:szCs w:val="18"/>
              </w:rPr>
              <w:t>88.00</w:t>
            </w:r>
          </w:p>
        </w:tc>
        <w:tc>
          <w:tcPr>
            <w:tcW w:w="1170" w:type="dxa"/>
            <w:tcBorders>
              <w:top w:val="nil"/>
              <w:left w:val="nil"/>
              <w:bottom w:val="single" w:sz="4" w:space="0" w:color="auto"/>
              <w:right w:val="single" w:sz="4" w:space="0" w:color="auto"/>
            </w:tcBorders>
            <w:vAlign w:val="center"/>
            <w:hideMark/>
          </w:tcPr>
          <w:p w:rsidR="00B01B54" w:rsidRPr="00AE2B3F" w:rsidP="00CD4E0F" w14:paraId="7E89D373" w14:textId="5F430AA6">
            <w:pPr>
              <w:widowControl/>
              <w:overflowPunct/>
              <w:autoSpaceDE/>
              <w:autoSpaceDN/>
              <w:adjustRightInd/>
              <w:jc w:val="right"/>
              <w:textAlignment w:val="auto"/>
              <w:rPr>
                <w:sz w:val="18"/>
                <w:szCs w:val="18"/>
              </w:rPr>
            </w:pPr>
            <w:r w:rsidRPr="00B01B54">
              <w:rPr>
                <w:sz w:val="18"/>
                <w:szCs w:val="18"/>
              </w:rPr>
              <w:t>23.00</w:t>
            </w:r>
          </w:p>
        </w:tc>
        <w:tc>
          <w:tcPr>
            <w:tcW w:w="1170" w:type="dxa"/>
            <w:tcBorders>
              <w:top w:val="nil"/>
              <w:left w:val="nil"/>
              <w:bottom w:val="single" w:sz="4" w:space="0" w:color="auto"/>
              <w:right w:val="single" w:sz="4" w:space="0" w:color="auto"/>
            </w:tcBorders>
            <w:shd w:val="clear" w:color="auto" w:fill="F2F2F2" w:themeFill="background1" w:themeFillShade="F2"/>
            <w:vAlign w:val="center"/>
            <w:hideMark/>
          </w:tcPr>
          <w:p w:rsidR="00B01B54" w:rsidRPr="00AE2B3F" w:rsidP="00CD4E0F" w14:paraId="0881E5E8" w14:textId="39A3A58C">
            <w:pPr>
              <w:widowControl/>
              <w:overflowPunct/>
              <w:autoSpaceDE/>
              <w:autoSpaceDN/>
              <w:adjustRightInd/>
              <w:jc w:val="right"/>
              <w:textAlignment w:val="auto"/>
              <w:rPr>
                <w:sz w:val="18"/>
                <w:szCs w:val="18"/>
              </w:rPr>
            </w:pPr>
            <w:r w:rsidRPr="00B01B54">
              <w:rPr>
                <w:sz w:val="18"/>
                <w:szCs w:val="18"/>
              </w:rPr>
              <w:t>2,024.35</w:t>
            </w:r>
          </w:p>
        </w:tc>
        <w:tc>
          <w:tcPr>
            <w:tcW w:w="1107" w:type="dxa"/>
            <w:tcBorders>
              <w:top w:val="nil"/>
              <w:left w:val="nil"/>
              <w:bottom w:val="single" w:sz="4" w:space="0" w:color="auto"/>
              <w:right w:val="single" w:sz="4" w:space="0" w:color="auto"/>
            </w:tcBorders>
            <w:vAlign w:val="center"/>
            <w:hideMark/>
          </w:tcPr>
          <w:p w:rsidR="00B01B54" w:rsidRPr="00AE2B3F" w:rsidP="00CD4E0F" w14:paraId="7A5DA3F5" w14:textId="1FE13315">
            <w:pPr>
              <w:widowControl/>
              <w:overflowPunct/>
              <w:autoSpaceDE/>
              <w:autoSpaceDN/>
              <w:adjustRightInd/>
              <w:jc w:val="right"/>
              <w:textAlignment w:val="auto"/>
              <w:rPr>
                <w:sz w:val="18"/>
                <w:szCs w:val="18"/>
              </w:rPr>
            </w:pPr>
            <w:r w:rsidRPr="00B01B54">
              <w:rPr>
                <w:sz w:val="18"/>
                <w:szCs w:val="18"/>
              </w:rPr>
              <w:t>0.50</w:t>
            </w:r>
          </w:p>
        </w:tc>
        <w:tc>
          <w:tcPr>
            <w:tcW w:w="1053" w:type="dxa"/>
            <w:tcBorders>
              <w:top w:val="nil"/>
              <w:left w:val="nil"/>
              <w:bottom w:val="single" w:sz="4" w:space="0" w:color="auto"/>
              <w:right w:val="single" w:sz="4" w:space="0" w:color="auto"/>
            </w:tcBorders>
            <w:shd w:val="clear" w:color="auto" w:fill="F2F2F2" w:themeFill="background1" w:themeFillShade="F2"/>
            <w:vAlign w:val="center"/>
            <w:hideMark/>
          </w:tcPr>
          <w:p w:rsidR="00B01B54" w:rsidRPr="00AE2B3F" w:rsidP="00CD4E0F" w14:paraId="7567F46C" w14:textId="0F3B9D2A">
            <w:pPr>
              <w:widowControl/>
              <w:overflowPunct/>
              <w:autoSpaceDE/>
              <w:autoSpaceDN/>
              <w:adjustRightInd/>
              <w:jc w:val="right"/>
              <w:textAlignment w:val="auto"/>
              <w:rPr>
                <w:sz w:val="18"/>
                <w:szCs w:val="18"/>
              </w:rPr>
            </w:pPr>
            <w:r w:rsidRPr="00B01B54">
              <w:rPr>
                <w:sz w:val="18"/>
                <w:szCs w:val="18"/>
              </w:rPr>
              <w:t>1,012.18</w:t>
            </w:r>
          </w:p>
        </w:tc>
        <w:tc>
          <w:tcPr>
            <w:tcW w:w="1170" w:type="dxa"/>
            <w:tcBorders>
              <w:top w:val="nil"/>
              <w:left w:val="nil"/>
              <w:bottom w:val="single" w:sz="4" w:space="0" w:color="auto"/>
              <w:right w:val="single" w:sz="4" w:space="0" w:color="auto"/>
            </w:tcBorders>
            <w:vAlign w:val="center"/>
            <w:hideMark/>
          </w:tcPr>
          <w:p w:rsidR="00B01B54" w:rsidRPr="00DD2920" w:rsidP="00CD4E0F" w14:paraId="3018CE58" w14:textId="190A444B">
            <w:pPr>
              <w:widowControl/>
              <w:overflowPunct/>
              <w:autoSpaceDE/>
              <w:autoSpaceDN/>
              <w:adjustRightInd/>
              <w:jc w:val="right"/>
              <w:textAlignment w:val="auto"/>
              <w:rPr>
                <w:i/>
                <w:iCs/>
                <w:sz w:val="18"/>
                <w:szCs w:val="18"/>
              </w:rPr>
            </w:pPr>
            <w:r w:rsidRPr="00DD2920">
              <w:rPr>
                <w:i/>
                <w:iCs/>
                <w:sz w:val="18"/>
                <w:szCs w:val="18"/>
              </w:rPr>
              <w:t>931.68</w:t>
            </w:r>
          </w:p>
        </w:tc>
        <w:tc>
          <w:tcPr>
            <w:tcW w:w="1363" w:type="dxa"/>
            <w:tcBorders>
              <w:top w:val="nil"/>
              <w:left w:val="nil"/>
              <w:bottom w:val="single" w:sz="4" w:space="0" w:color="auto"/>
              <w:right w:val="single" w:sz="4" w:space="0" w:color="auto"/>
            </w:tcBorders>
            <w:vAlign w:val="center"/>
          </w:tcPr>
          <w:p w:rsidR="00B01B54" w:rsidRPr="00AE2B3F" w:rsidP="00CD4E0F" w14:paraId="42B0CA3B" w14:textId="3271C426">
            <w:pPr>
              <w:widowControl/>
              <w:overflowPunct/>
              <w:autoSpaceDE/>
              <w:autoSpaceDN/>
              <w:adjustRightInd/>
              <w:jc w:val="right"/>
              <w:textAlignment w:val="auto"/>
              <w:rPr>
                <w:sz w:val="18"/>
                <w:szCs w:val="18"/>
              </w:rPr>
            </w:pPr>
            <w:r w:rsidRPr="00B01B54">
              <w:rPr>
                <w:sz w:val="18"/>
                <w:szCs w:val="18"/>
              </w:rPr>
              <w:t>2.75</w:t>
            </w:r>
          </w:p>
        </w:tc>
        <w:tc>
          <w:tcPr>
            <w:tcW w:w="1242" w:type="dxa"/>
            <w:tcBorders>
              <w:top w:val="nil"/>
              <w:left w:val="nil"/>
              <w:bottom w:val="single" w:sz="4" w:space="0" w:color="auto"/>
              <w:right w:val="single" w:sz="4" w:space="0" w:color="auto"/>
            </w:tcBorders>
            <w:vAlign w:val="center"/>
          </w:tcPr>
          <w:p w:rsidR="00B01B54" w:rsidRPr="00AE2B3F" w:rsidP="00CD4E0F" w14:paraId="134AFF1F" w14:textId="6592C966">
            <w:pPr>
              <w:widowControl/>
              <w:overflowPunct/>
              <w:autoSpaceDE/>
              <w:autoSpaceDN/>
              <w:adjustRightInd/>
              <w:jc w:val="right"/>
              <w:textAlignment w:val="auto"/>
              <w:rPr>
                <w:sz w:val="18"/>
                <w:szCs w:val="18"/>
              </w:rPr>
            </w:pPr>
            <w:r w:rsidRPr="00B01B54">
              <w:rPr>
                <w:sz w:val="18"/>
                <w:szCs w:val="18"/>
              </w:rPr>
              <w:t>77.75</w:t>
            </w:r>
          </w:p>
        </w:tc>
        <w:tc>
          <w:tcPr>
            <w:tcW w:w="1265" w:type="dxa"/>
            <w:tcBorders>
              <w:top w:val="nil"/>
              <w:left w:val="nil"/>
              <w:bottom w:val="single" w:sz="4" w:space="0" w:color="auto"/>
              <w:right w:val="single" w:sz="4" w:space="0" w:color="auto"/>
            </w:tcBorders>
            <w:vAlign w:val="center"/>
          </w:tcPr>
          <w:p w:rsidR="00B01B54" w:rsidRPr="00AE2B3F" w:rsidP="00CD4E0F" w14:paraId="3F29F8E4" w14:textId="37B30F8B">
            <w:pPr>
              <w:widowControl/>
              <w:overflowPunct/>
              <w:autoSpaceDE/>
              <w:autoSpaceDN/>
              <w:adjustRightInd/>
              <w:jc w:val="right"/>
              <w:textAlignment w:val="auto"/>
              <w:rPr>
                <w:sz w:val="18"/>
                <w:szCs w:val="18"/>
              </w:rPr>
            </w:pPr>
            <w:r w:rsidRPr="00B01B54">
              <w:rPr>
                <w:sz w:val="18"/>
                <w:szCs w:val="18"/>
              </w:rPr>
              <w:t>80.50</w:t>
            </w:r>
          </w:p>
        </w:tc>
      </w:tr>
      <w:tr w14:paraId="3249AD06" w14:textId="77777777" w:rsidTr="4FE94C9D">
        <w:tblPrEx>
          <w:tblW w:w="14215" w:type="dxa"/>
          <w:tblLayout w:type="fixed"/>
          <w:tblLook w:val="04A0"/>
        </w:tblPrEx>
        <w:trPr>
          <w:trHeight w:val="576"/>
        </w:trPr>
        <w:tc>
          <w:tcPr>
            <w:tcW w:w="1651" w:type="dxa"/>
            <w:tcBorders>
              <w:top w:val="nil"/>
              <w:left w:val="single" w:sz="4" w:space="0" w:color="auto"/>
              <w:bottom w:val="single" w:sz="4" w:space="0" w:color="auto"/>
              <w:right w:val="single" w:sz="4" w:space="0" w:color="auto"/>
            </w:tcBorders>
            <w:vAlign w:val="center"/>
            <w:hideMark/>
          </w:tcPr>
          <w:p w:rsidR="00B01B54" w:rsidRPr="00AE2B3F" w:rsidP="00CD4E0F" w14:paraId="1135056D" w14:textId="77777777">
            <w:pPr>
              <w:widowControl/>
              <w:overflowPunct/>
              <w:autoSpaceDE/>
              <w:autoSpaceDN/>
              <w:adjustRightInd/>
              <w:textAlignment w:val="auto"/>
              <w:rPr>
                <w:b/>
                <w:bCs/>
                <w:sz w:val="18"/>
                <w:szCs w:val="18"/>
              </w:rPr>
            </w:pPr>
            <w:r w:rsidRPr="00AE2B3F">
              <w:rPr>
                <w:b/>
                <w:bCs/>
                <w:sz w:val="18"/>
                <w:szCs w:val="18"/>
              </w:rPr>
              <w:t>246.12(j)(6)(ii)</w:t>
            </w:r>
          </w:p>
        </w:tc>
        <w:tc>
          <w:tcPr>
            <w:tcW w:w="1764" w:type="dxa"/>
            <w:tcBorders>
              <w:top w:val="nil"/>
              <w:left w:val="nil"/>
              <w:bottom w:val="single" w:sz="4" w:space="0" w:color="auto"/>
              <w:right w:val="single" w:sz="4" w:space="0" w:color="auto"/>
            </w:tcBorders>
            <w:vAlign w:val="center"/>
            <w:hideMark/>
          </w:tcPr>
          <w:p w:rsidR="00B01B54" w:rsidRPr="00AE2B3F" w:rsidP="00CD4E0F" w14:paraId="3A1DE696" w14:textId="77777777">
            <w:pPr>
              <w:widowControl/>
              <w:overflowPunct/>
              <w:autoSpaceDE/>
              <w:autoSpaceDN/>
              <w:adjustRightInd/>
              <w:textAlignment w:val="auto"/>
              <w:rPr>
                <w:sz w:val="18"/>
                <w:szCs w:val="18"/>
              </w:rPr>
            </w:pPr>
            <w:r w:rsidRPr="00AE2B3F">
              <w:rPr>
                <w:sz w:val="18"/>
                <w:szCs w:val="18"/>
              </w:rPr>
              <w:t>Vendor compliance Investigations</w:t>
            </w:r>
          </w:p>
        </w:tc>
        <w:tc>
          <w:tcPr>
            <w:tcW w:w="1260" w:type="dxa"/>
            <w:tcBorders>
              <w:top w:val="nil"/>
              <w:left w:val="nil"/>
              <w:bottom w:val="single" w:sz="4" w:space="0" w:color="auto"/>
              <w:right w:val="single" w:sz="4" w:space="0" w:color="auto"/>
            </w:tcBorders>
            <w:vAlign w:val="center"/>
            <w:hideMark/>
          </w:tcPr>
          <w:p w:rsidR="00B01B54" w:rsidRPr="00AE2B3F" w:rsidP="00CD4E0F" w14:paraId="2823E6FB" w14:textId="03E9BFAD">
            <w:pPr>
              <w:widowControl/>
              <w:overflowPunct/>
              <w:autoSpaceDE/>
              <w:autoSpaceDN/>
              <w:adjustRightInd/>
              <w:jc w:val="right"/>
              <w:textAlignment w:val="auto"/>
              <w:rPr>
                <w:sz w:val="18"/>
                <w:szCs w:val="18"/>
              </w:rPr>
            </w:pPr>
            <w:r w:rsidRPr="00B01B54">
              <w:rPr>
                <w:sz w:val="18"/>
                <w:szCs w:val="18"/>
              </w:rPr>
              <w:t>88.00</w:t>
            </w:r>
          </w:p>
        </w:tc>
        <w:tc>
          <w:tcPr>
            <w:tcW w:w="1170" w:type="dxa"/>
            <w:tcBorders>
              <w:top w:val="nil"/>
              <w:left w:val="nil"/>
              <w:bottom w:val="single" w:sz="4" w:space="0" w:color="auto"/>
              <w:right w:val="single" w:sz="4" w:space="0" w:color="auto"/>
            </w:tcBorders>
            <w:vAlign w:val="center"/>
            <w:hideMark/>
          </w:tcPr>
          <w:p w:rsidR="00B01B54" w:rsidRPr="00AE2B3F" w:rsidP="00CD4E0F" w14:paraId="0460E089" w14:textId="541D9502">
            <w:pPr>
              <w:widowControl/>
              <w:overflowPunct/>
              <w:autoSpaceDE/>
              <w:autoSpaceDN/>
              <w:adjustRightInd/>
              <w:jc w:val="right"/>
              <w:textAlignment w:val="auto"/>
              <w:rPr>
                <w:sz w:val="18"/>
                <w:szCs w:val="18"/>
              </w:rPr>
            </w:pPr>
            <w:r w:rsidRPr="00B01B54">
              <w:rPr>
                <w:sz w:val="18"/>
                <w:szCs w:val="18"/>
              </w:rPr>
              <w:t>23.00</w:t>
            </w:r>
          </w:p>
        </w:tc>
        <w:tc>
          <w:tcPr>
            <w:tcW w:w="1170" w:type="dxa"/>
            <w:tcBorders>
              <w:top w:val="nil"/>
              <w:left w:val="nil"/>
              <w:bottom w:val="single" w:sz="4" w:space="0" w:color="auto"/>
              <w:right w:val="single" w:sz="4" w:space="0" w:color="auto"/>
            </w:tcBorders>
            <w:shd w:val="clear" w:color="auto" w:fill="F2F2F2" w:themeFill="background1" w:themeFillShade="F2"/>
            <w:vAlign w:val="center"/>
            <w:hideMark/>
          </w:tcPr>
          <w:p w:rsidR="00B01B54" w:rsidRPr="00AE2B3F" w:rsidP="00CD4E0F" w14:paraId="1392A7D6" w14:textId="268C7CE3">
            <w:pPr>
              <w:widowControl/>
              <w:overflowPunct/>
              <w:autoSpaceDE/>
              <w:autoSpaceDN/>
              <w:adjustRightInd/>
              <w:jc w:val="right"/>
              <w:textAlignment w:val="auto"/>
              <w:rPr>
                <w:sz w:val="18"/>
                <w:szCs w:val="18"/>
              </w:rPr>
            </w:pPr>
            <w:r w:rsidRPr="00B01B54">
              <w:rPr>
                <w:sz w:val="18"/>
                <w:szCs w:val="18"/>
              </w:rPr>
              <w:t>2,024.35</w:t>
            </w:r>
          </w:p>
        </w:tc>
        <w:tc>
          <w:tcPr>
            <w:tcW w:w="1107" w:type="dxa"/>
            <w:tcBorders>
              <w:top w:val="nil"/>
              <w:left w:val="nil"/>
              <w:bottom w:val="single" w:sz="4" w:space="0" w:color="auto"/>
              <w:right w:val="single" w:sz="4" w:space="0" w:color="auto"/>
            </w:tcBorders>
            <w:vAlign w:val="center"/>
            <w:hideMark/>
          </w:tcPr>
          <w:p w:rsidR="00B01B54" w:rsidRPr="00AE2B3F" w:rsidP="00CD4E0F" w14:paraId="7C3D7BD4" w14:textId="7601222A">
            <w:pPr>
              <w:widowControl/>
              <w:overflowPunct/>
              <w:autoSpaceDE/>
              <w:autoSpaceDN/>
              <w:adjustRightInd/>
              <w:jc w:val="right"/>
              <w:textAlignment w:val="auto"/>
              <w:rPr>
                <w:sz w:val="18"/>
                <w:szCs w:val="18"/>
              </w:rPr>
            </w:pPr>
            <w:r w:rsidRPr="00B01B54">
              <w:rPr>
                <w:sz w:val="18"/>
                <w:szCs w:val="18"/>
              </w:rPr>
              <w:t>2.00</w:t>
            </w:r>
          </w:p>
        </w:tc>
        <w:tc>
          <w:tcPr>
            <w:tcW w:w="1053" w:type="dxa"/>
            <w:tcBorders>
              <w:top w:val="nil"/>
              <w:left w:val="nil"/>
              <w:bottom w:val="single" w:sz="4" w:space="0" w:color="auto"/>
              <w:right w:val="single" w:sz="4" w:space="0" w:color="auto"/>
            </w:tcBorders>
            <w:shd w:val="clear" w:color="auto" w:fill="F2F2F2" w:themeFill="background1" w:themeFillShade="F2"/>
            <w:vAlign w:val="center"/>
            <w:hideMark/>
          </w:tcPr>
          <w:p w:rsidR="00B01B54" w:rsidRPr="00AE2B3F" w:rsidP="00CD4E0F" w14:paraId="5DC471F8" w14:textId="5A655DEF">
            <w:pPr>
              <w:widowControl/>
              <w:overflowPunct/>
              <w:autoSpaceDE/>
              <w:autoSpaceDN/>
              <w:adjustRightInd/>
              <w:jc w:val="right"/>
              <w:textAlignment w:val="auto"/>
              <w:rPr>
                <w:sz w:val="18"/>
                <w:szCs w:val="18"/>
              </w:rPr>
            </w:pPr>
            <w:r w:rsidRPr="00B01B54">
              <w:rPr>
                <w:sz w:val="18"/>
                <w:szCs w:val="18"/>
              </w:rPr>
              <w:t>4,048.70</w:t>
            </w:r>
          </w:p>
        </w:tc>
        <w:tc>
          <w:tcPr>
            <w:tcW w:w="1170" w:type="dxa"/>
            <w:tcBorders>
              <w:top w:val="nil"/>
              <w:left w:val="nil"/>
              <w:bottom w:val="single" w:sz="4" w:space="0" w:color="auto"/>
              <w:right w:val="single" w:sz="4" w:space="0" w:color="auto"/>
            </w:tcBorders>
            <w:vAlign w:val="center"/>
            <w:hideMark/>
          </w:tcPr>
          <w:p w:rsidR="00B01B54" w:rsidRPr="00DD2920" w:rsidP="00CD4E0F" w14:paraId="54551DF8" w14:textId="38A3ED20">
            <w:pPr>
              <w:widowControl/>
              <w:overflowPunct/>
              <w:autoSpaceDE/>
              <w:autoSpaceDN/>
              <w:adjustRightInd/>
              <w:jc w:val="right"/>
              <w:textAlignment w:val="auto"/>
              <w:rPr>
                <w:i/>
                <w:iCs/>
                <w:sz w:val="18"/>
                <w:szCs w:val="18"/>
              </w:rPr>
            </w:pPr>
            <w:r w:rsidRPr="00DD2920">
              <w:rPr>
                <w:i/>
                <w:iCs/>
                <w:sz w:val="18"/>
                <w:szCs w:val="18"/>
              </w:rPr>
              <w:t>3,726.70</w:t>
            </w:r>
          </w:p>
        </w:tc>
        <w:tc>
          <w:tcPr>
            <w:tcW w:w="1363" w:type="dxa"/>
            <w:tcBorders>
              <w:top w:val="nil"/>
              <w:left w:val="nil"/>
              <w:bottom w:val="single" w:sz="4" w:space="0" w:color="auto"/>
              <w:right w:val="single" w:sz="4" w:space="0" w:color="auto"/>
            </w:tcBorders>
            <w:vAlign w:val="center"/>
          </w:tcPr>
          <w:p w:rsidR="00B01B54" w:rsidRPr="00AE2B3F" w:rsidP="00CD4E0F" w14:paraId="606B9BFE" w14:textId="0BAE8B0A">
            <w:pPr>
              <w:widowControl/>
              <w:overflowPunct/>
              <w:autoSpaceDE/>
              <w:autoSpaceDN/>
              <w:adjustRightInd/>
              <w:jc w:val="right"/>
              <w:textAlignment w:val="auto"/>
              <w:rPr>
                <w:sz w:val="18"/>
                <w:szCs w:val="18"/>
              </w:rPr>
            </w:pPr>
            <w:r w:rsidRPr="00B01B54">
              <w:rPr>
                <w:sz w:val="18"/>
                <w:szCs w:val="18"/>
              </w:rPr>
              <w:t>11.00</w:t>
            </w:r>
          </w:p>
        </w:tc>
        <w:tc>
          <w:tcPr>
            <w:tcW w:w="1242" w:type="dxa"/>
            <w:tcBorders>
              <w:top w:val="nil"/>
              <w:left w:val="nil"/>
              <w:bottom w:val="single" w:sz="4" w:space="0" w:color="auto"/>
              <w:right w:val="single" w:sz="4" w:space="0" w:color="auto"/>
            </w:tcBorders>
            <w:vAlign w:val="center"/>
          </w:tcPr>
          <w:p w:rsidR="00B01B54" w:rsidRPr="00AE2B3F" w:rsidP="00CD4E0F" w14:paraId="1B4C4481" w14:textId="265B6DD8">
            <w:pPr>
              <w:widowControl/>
              <w:overflowPunct/>
              <w:autoSpaceDE/>
              <w:autoSpaceDN/>
              <w:adjustRightInd/>
              <w:jc w:val="right"/>
              <w:textAlignment w:val="auto"/>
              <w:rPr>
                <w:sz w:val="18"/>
                <w:szCs w:val="18"/>
              </w:rPr>
            </w:pPr>
            <w:r w:rsidRPr="00B01B54">
              <w:rPr>
                <w:sz w:val="18"/>
                <w:szCs w:val="18"/>
              </w:rPr>
              <w:t>311.00</w:t>
            </w:r>
          </w:p>
        </w:tc>
        <w:tc>
          <w:tcPr>
            <w:tcW w:w="1265" w:type="dxa"/>
            <w:tcBorders>
              <w:top w:val="nil"/>
              <w:left w:val="nil"/>
              <w:bottom w:val="single" w:sz="4" w:space="0" w:color="auto"/>
              <w:right w:val="single" w:sz="4" w:space="0" w:color="auto"/>
            </w:tcBorders>
            <w:vAlign w:val="center"/>
          </w:tcPr>
          <w:p w:rsidR="00B01B54" w:rsidRPr="00AE2B3F" w:rsidP="00CD4E0F" w14:paraId="57ECCB8C" w14:textId="480E1B5D">
            <w:pPr>
              <w:widowControl/>
              <w:overflowPunct/>
              <w:autoSpaceDE/>
              <w:autoSpaceDN/>
              <w:adjustRightInd/>
              <w:jc w:val="right"/>
              <w:textAlignment w:val="auto"/>
              <w:rPr>
                <w:sz w:val="18"/>
                <w:szCs w:val="18"/>
              </w:rPr>
            </w:pPr>
            <w:r w:rsidRPr="00B01B54">
              <w:rPr>
                <w:sz w:val="18"/>
                <w:szCs w:val="18"/>
              </w:rPr>
              <w:t>322.00</w:t>
            </w:r>
          </w:p>
        </w:tc>
      </w:tr>
      <w:tr w14:paraId="4C68962D" w14:textId="77777777" w:rsidTr="4FE94C9D">
        <w:tblPrEx>
          <w:tblW w:w="14215" w:type="dxa"/>
          <w:tblLayout w:type="fixed"/>
          <w:tblLook w:val="04A0"/>
        </w:tblPrEx>
        <w:trPr>
          <w:trHeight w:val="432"/>
        </w:trPr>
        <w:tc>
          <w:tcPr>
            <w:tcW w:w="1651" w:type="dxa"/>
            <w:tcBorders>
              <w:top w:val="nil"/>
              <w:left w:val="single" w:sz="4" w:space="0" w:color="auto"/>
              <w:bottom w:val="single" w:sz="4" w:space="0" w:color="auto"/>
              <w:right w:val="single" w:sz="4" w:space="0" w:color="auto"/>
            </w:tcBorders>
            <w:vAlign w:val="center"/>
            <w:hideMark/>
          </w:tcPr>
          <w:p w:rsidR="00B01B54" w:rsidRPr="00AE2B3F" w:rsidP="00CD4E0F" w14:paraId="4F7F9FFD" w14:textId="77777777">
            <w:pPr>
              <w:widowControl/>
              <w:overflowPunct/>
              <w:autoSpaceDE/>
              <w:autoSpaceDN/>
              <w:adjustRightInd/>
              <w:textAlignment w:val="auto"/>
              <w:rPr>
                <w:b/>
                <w:bCs/>
                <w:sz w:val="18"/>
                <w:szCs w:val="18"/>
              </w:rPr>
            </w:pPr>
            <w:r w:rsidRPr="00AE2B3F">
              <w:rPr>
                <w:b/>
                <w:bCs/>
                <w:sz w:val="18"/>
                <w:szCs w:val="18"/>
              </w:rPr>
              <w:t>246.12(l)(3)</w:t>
            </w:r>
          </w:p>
        </w:tc>
        <w:tc>
          <w:tcPr>
            <w:tcW w:w="1764" w:type="dxa"/>
            <w:tcBorders>
              <w:top w:val="nil"/>
              <w:left w:val="nil"/>
              <w:bottom w:val="single" w:sz="4" w:space="0" w:color="auto"/>
              <w:right w:val="single" w:sz="4" w:space="0" w:color="auto"/>
            </w:tcBorders>
            <w:vAlign w:val="center"/>
            <w:hideMark/>
          </w:tcPr>
          <w:p w:rsidR="00B01B54" w:rsidRPr="00AE2B3F" w:rsidP="00CD4E0F" w14:paraId="6E297A75" w14:textId="77777777">
            <w:pPr>
              <w:widowControl/>
              <w:overflowPunct/>
              <w:autoSpaceDE/>
              <w:autoSpaceDN/>
              <w:adjustRightInd/>
              <w:textAlignment w:val="auto"/>
              <w:rPr>
                <w:sz w:val="18"/>
                <w:szCs w:val="18"/>
              </w:rPr>
            </w:pPr>
            <w:r w:rsidRPr="00AE2B3F">
              <w:rPr>
                <w:sz w:val="18"/>
                <w:szCs w:val="18"/>
              </w:rPr>
              <w:t>Vendor notice of violations</w:t>
            </w:r>
          </w:p>
        </w:tc>
        <w:tc>
          <w:tcPr>
            <w:tcW w:w="1260" w:type="dxa"/>
            <w:tcBorders>
              <w:top w:val="nil"/>
              <w:left w:val="nil"/>
              <w:bottom w:val="single" w:sz="4" w:space="0" w:color="auto"/>
              <w:right w:val="single" w:sz="4" w:space="0" w:color="auto"/>
            </w:tcBorders>
            <w:vAlign w:val="center"/>
            <w:hideMark/>
          </w:tcPr>
          <w:p w:rsidR="00B01B54" w:rsidRPr="00AE2B3F" w:rsidP="00CD4E0F" w14:paraId="484BDAA2" w14:textId="2D50553B">
            <w:pPr>
              <w:widowControl/>
              <w:overflowPunct/>
              <w:autoSpaceDE/>
              <w:autoSpaceDN/>
              <w:adjustRightInd/>
              <w:jc w:val="right"/>
              <w:textAlignment w:val="auto"/>
              <w:rPr>
                <w:sz w:val="18"/>
                <w:szCs w:val="18"/>
              </w:rPr>
            </w:pPr>
            <w:r w:rsidRPr="00B01B54">
              <w:rPr>
                <w:sz w:val="18"/>
                <w:szCs w:val="18"/>
              </w:rPr>
              <w:t>88.00</w:t>
            </w:r>
          </w:p>
        </w:tc>
        <w:tc>
          <w:tcPr>
            <w:tcW w:w="1170" w:type="dxa"/>
            <w:tcBorders>
              <w:top w:val="nil"/>
              <w:left w:val="nil"/>
              <w:bottom w:val="single" w:sz="4" w:space="0" w:color="auto"/>
              <w:right w:val="single" w:sz="4" w:space="0" w:color="auto"/>
            </w:tcBorders>
            <w:vAlign w:val="center"/>
            <w:hideMark/>
          </w:tcPr>
          <w:p w:rsidR="00B01B54" w:rsidRPr="00AE2B3F" w:rsidP="00CD4E0F" w14:paraId="210F43B5" w14:textId="420A2FD4">
            <w:pPr>
              <w:widowControl/>
              <w:overflowPunct/>
              <w:autoSpaceDE/>
              <w:autoSpaceDN/>
              <w:adjustRightInd/>
              <w:jc w:val="right"/>
              <w:textAlignment w:val="auto"/>
              <w:rPr>
                <w:sz w:val="18"/>
                <w:szCs w:val="18"/>
              </w:rPr>
            </w:pPr>
            <w:r w:rsidRPr="00B01B54">
              <w:rPr>
                <w:sz w:val="18"/>
                <w:szCs w:val="18"/>
              </w:rPr>
              <w:t>12.88</w:t>
            </w:r>
          </w:p>
        </w:tc>
        <w:tc>
          <w:tcPr>
            <w:tcW w:w="1170" w:type="dxa"/>
            <w:tcBorders>
              <w:top w:val="nil"/>
              <w:left w:val="nil"/>
              <w:bottom w:val="single" w:sz="4" w:space="0" w:color="auto"/>
              <w:right w:val="single" w:sz="4" w:space="0" w:color="auto"/>
            </w:tcBorders>
            <w:shd w:val="clear" w:color="auto" w:fill="F2F2F2" w:themeFill="background1" w:themeFillShade="F2"/>
            <w:vAlign w:val="center"/>
            <w:hideMark/>
          </w:tcPr>
          <w:p w:rsidR="00B01B54" w:rsidRPr="00AE2B3F" w:rsidP="00CD4E0F" w14:paraId="61A53BD6" w14:textId="29C01CB9">
            <w:pPr>
              <w:widowControl/>
              <w:overflowPunct/>
              <w:autoSpaceDE/>
              <w:autoSpaceDN/>
              <w:adjustRightInd/>
              <w:jc w:val="right"/>
              <w:textAlignment w:val="auto"/>
              <w:rPr>
                <w:sz w:val="18"/>
                <w:szCs w:val="18"/>
              </w:rPr>
            </w:pPr>
            <w:r w:rsidRPr="00B01B54">
              <w:rPr>
                <w:sz w:val="18"/>
                <w:szCs w:val="18"/>
              </w:rPr>
              <w:t>1,133.64</w:t>
            </w:r>
          </w:p>
        </w:tc>
        <w:tc>
          <w:tcPr>
            <w:tcW w:w="1107" w:type="dxa"/>
            <w:tcBorders>
              <w:top w:val="nil"/>
              <w:left w:val="nil"/>
              <w:bottom w:val="single" w:sz="4" w:space="0" w:color="auto"/>
              <w:right w:val="single" w:sz="4" w:space="0" w:color="auto"/>
            </w:tcBorders>
            <w:vAlign w:val="center"/>
            <w:hideMark/>
          </w:tcPr>
          <w:p w:rsidR="00B01B54" w:rsidRPr="00AE2B3F" w:rsidP="00CD4E0F" w14:paraId="1AF56CB7" w14:textId="06A17632">
            <w:pPr>
              <w:widowControl/>
              <w:overflowPunct/>
              <w:autoSpaceDE/>
              <w:autoSpaceDN/>
              <w:adjustRightInd/>
              <w:jc w:val="right"/>
              <w:textAlignment w:val="auto"/>
              <w:rPr>
                <w:sz w:val="18"/>
                <w:szCs w:val="18"/>
              </w:rPr>
            </w:pPr>
            <w:r w:rsidRPr="00B01B54">
              <w:rPr>
                <w:sz w:val="18"/>
                <w:szCs w:val="18"/>
              </w:rPr>
              <w:t>1.00</w:t>
            </w:r>
          </w:p>
        </w:tc>
        <w:tc>
          <w:tcPr>
            <w:tcW w:w="1053" w:type="dxa"/>
            <w:tcBorders>
              <w:top w:val="nil"/>
              <w:left w:val="nil"/>
              <w:bottom w:val="single" w:sz="4" w:space="0" w:color="auto"/>
              <w:right w:val="single" w:sz="4" w:space="0" w:color="auto"/>
            </w:tcBorders>
            <w:shd w:val="clear" w:color="auto" w:fill="F2F2F2" w:themeFill="background1" w:themeFillShade="F2"/>
            <w:vAlign w:val="center"/>
            <w:hideMark/>
          </w:tcPr>
          <w:p w:rsidR="00B01B54" w:rsidRPr="00AE2B3F" w:rsidP="00CD4E0F" w14:paraId="54587881" w14:textId="2FB1227B">
            <w:pPr>
              <w:widowControl/>
              <w:overflowPunct/>
              <w:autoSpaceDE/>
              <w:autoSpaceDN/>
              <w:adjustRightInd/>
              <w:jc w:val="right"/>
              <w:textAlignment w:val="auto"/>
              <w:rPr>
                <w:sz w:val="18"/>
                <w:szCs w:val="18"/>
              </w:rPr>
            </w:pPr>
            <w:r w:rsidRPr="00B01B54">
              <w:rPr>
                <w:sz w:val="18"/>
                <w:szCs w:val="18"/>
              </w:rPr>
              <w:t>1,133.64</w:t>
            </w:r>
          </w:p>
        </w:tc>
        <w:tc>
          <w:tcPr>
            <w:tcW w:w="1170" w:type="dxa"/>
            <w:tcBorders>
              <w:top w:val="nil"/>
              <w:left w:val="nil"/>
              <w:bottom w:val="single" w:sz="4" w:space="0" w:color="auto"/>
              <w:right w:val="single" w:sz="4" w:space="0" w:color="auto"/>
            </w:tcBorders>
            <w:vAlign w:val="center"/>
            <w:hideMark/>
          </w:tcPr>
          <w:p w:rsidR="00B01B54" w:rsidRPr="00DD2920" w:rsidP="00CD4E0F" w14:paraId="6113C667" w14:textId="3A6BC533">
            <w:pPr>
              <w:widowControl/>
              <w:overflowPunct/>
              <w:autoSpaceDE/>
              <w:autoSpaceDN/>
              <w:adjustRightInd/>
              <w:jc w:val="right"/>
              <w:textAlignment w:val="auto"/>
              <w:rPr>
                <w:i/>
                <w:iCs/>
                <w:sz w:val="18"/>
                <w:szCs w:val="18"/>
              </w:rPr>
            </w:pPr>
            <w:r w:rsidRPr="00DD2920">
              <w:rPr>
                <w:i/>
                <w:iCs/>
                <w:sz w:val="18"/>
                <w:szCs w:val="18"/>
              </w:rPr>
              <w:t>1,048.00</w:t>
            </w:r>
          </w:p>
        </w:tc>
        <w:tc>
          <w:tcPr>
            <w:tcW w:w="1363" w:type="dxa"/>
            <w:tcBorders>
              <w:top w:val="nil"/>
              <w:left w:val="nil"/>
              <w:bottom w:val="single" w:sz="4" w:space="0" w:color="auto"/>
              <w:right w:val="single" w:sz="4" w:space="0" w:color="auto"/>
            </w:tcBorders>
            <w:vAlign w:val="center"/>
          </w:tcPr>
          <w:p w:rsidR="00B01B54" w:rsidRPr="00AE2B3F" w:rsidP="00CD4E0F" w14:paraId="4EAF3994" w14:textId="1472F601">
            <w:pPr>
              <w:widowControl/>
              <w:overflowPunct/>
              <w:autoSpaceDE/>
              <w:autoSpaceDN/>
              <w:adjustRightInd/>
              <w:jc w:val="right"/>
              <w:textAlignment w:val="auto"/>
              <w:rPr>
                <w:sz w:val="18"/>
                <w:szCs w:val="18"/>
              </w:rPr>
            </w:pPr>
            <w:r w:rsidRPr="00B01B54">
              <w:rPr>
                <w:sz w:val="18"/>
                <w:szCs w:val="18"/>
              </w:rPr>
              <w:t>3.08</w:t>
            </w:r>
          </w:p>
        </w:tc>
        <w:tc>
          <w:tcPr>
            <w:tcW w:w="1242" w:type="dxa"/>
            <w:tcBorders>
              <w:top w:val="nil"/>
              <w:left w:val="nil"/>
              <w:bottom w:val="single" w:sz="4" w:space="0" w:color="auto"/>
              <w:right w:val="single" w:sz="4" w:space="0" w:color="auto"/>
            </w:tcBorders>
            <w:vAlign w:val="center"/>
          </w:tcPr>
          <w:p w:rsidR="00B01B54" w:rsidRPr="00AE2B3F" w:rsidP="00CD4E0F" w14:paraId="3340CCA4" w14:textId="4707123E">
            <w:pPr>
              <w:widowControl/>
              <w:overflowPunct/>
              <w:autoSpaceDE/>
              <w:autoSpaceDN/>
              <w:adjustRightInd/>
              <w:jc w:val="right"/>
              <w:textAlignment w:val="auto"/>
              <w:rPr>
                <w:sz w:val="18"/>
                <w:szCs w:val="18"/>
              </w:rPr>
            </w:pPr>
            <w:r w:rsidRPr="00B01B54">
              <w:rPr>
                <w:sz w:val="18"/>
                <w:szCs w:val="18"/>
              </w:rPr>
              <w:t>82.56</w:t>
            </w:r>
          </w:p>
        </w:tc>
        <w:tc>
          <w:tcPr>
            <w:tcW w:w="1265" w:type="dxa"/>
            <w:tcBorders>
              <w:top w:val="nil"/>
              <w:left w:val="nil"/>
              <w:bottom w:val="single" w:sz="4" w:space="0" w:color="auto"/>
              <w:right w:val="single" w:sz="4" w:space="0" w:color="auto"/>
            </w:tcBorders>
            <w:vAlign w:val="center"/>
          </w:tcPr>
          <w:p w:rsidR="00B01B54" w:rsidRPr="00AE2B3F" w:rsidP="00CD4E0F" w14:paraId="57F77C4E" w14:textId="4E71A9B2">
            <w:pPr>
              <w:widowControl/>
              <w:overflowPunct/>
              <w:autoSpaceDE/>
              <w:autoSpaceDN/>
              <w:adjustRightInd/>
              <w:jc w:val="right"/>
              <w:textAlignment w:val="auto"/>
              <w:rPr>
                <w:sz w:val="18"/>
                <w:szCs w:val="18"/>
              </w:rPr>
            </w:pPr>
            <w:r w:rsidRPr="00B01B54">
              <w:rPr>
                <w:sz w:val="18"/>
                <w:szCs w:val="18"/>
              </w:rPr>
              <w:t>85.64</w:t>
            </w:r>
          </w:p>
        </w:tc>
      </w:tr>
      <w:tr w14:paraId="1C061F37" w14:textId="77777777" w:rsidTr="4FE94C9D">
        <w:tblPrEx>
          <w:tblW w:w="14215" w:type="dxa"/>
          <w:tblLayout w:type="fixed"/>
          <w:tblLook w:val="04A0"/>
        </w:tblPrEx>
        <w:trPr>
          <w:trHeight w:val="330"/>
        </w:trPr>
        <w:tc>
          <w:tcPr>
            <w:tcW w:w="341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970812" w:rsidP="00970812" w14:paraId="3C12C68B" w14:textId="7D3B8B35">
            <w:pPr>
              <w:widowControl/>
              <w:overflowPunct/>
              <w:autoSpaceDE/>
              <w:autoSpaceDN/>
              <w:adjustRightInd/>
              <w:jc w:val="center"/>
              <w:textAlignment w:val="auto"/>
              <w:rPr>
                <w:b/>
                <w:bCs/>
                <w:sz w:val="18"/>
                <w:szCs w:val="18"/>
              </w:rPr>
            </w:pPr>
            <w:r w:rsidRPr="00AE2B3F">
              <w:rPr>
                <w:b/>
                <w:bCs/>
                <w:sz w:val="18"/>
                <w:szCs w:val="18"/>
              </w:rPr>
              <w:t>Subtotal Recordkeeping:</w:t>
            </w:r>
          </w:p>
          <w:p w:rsidR="00B01B54" w:rsidRPr="00AE2B3F" w:rsidP="00970812" w14:paraId="63560E05" w14:textId="7810EAF6">
            <w:pPr>
              <w:widowControl/>
              <w:overflowPunct/>
              <w:autoSpaceDE/>
              <w:autoSpaceDN/>
              <w:adjustRightInd/>
              <w:jc w:val="center"/>
              <w:textAlignment w:val="auto"/>
              <w:rPr>
                <w:b/>
                <w:bCs/>
                <w:sz w:val="18"/>
                <w:szCs w:val="18"/>
              </w:rPr>
            </w:pPr>
            <w:r w:rsidRPr="00AE2B3F">
              <w:rPr>
                <w:b/>
                <w:bCs/>
                <w:sz w:val="18"/>
                <w:szCs w:val="18"/>
              </w:rPr>
              <w:t>State and Local Agencies</w:t>
            </w:r>
          </w:p>
        </w:tc>
        <w:tc>
          <w:tcPr>
            <w:tcW w:w="1260" w:type="dxa"/>
            <w:tcBorders>
              <w:top w:val="nil"/>
              <w:left w:val="nil"/>
              <w:bottom w:val="single" w:sz="4" w:space="0" w:color="auto"/>
              <w:right w:val="single" w:sz="4" w:space="0" w:color="auto"/>
            </w:tcBorders>
            <w:shd w:val="clear" w:color="auto" w:fill="D9D9D9" w:themeFill="background1" w:themeFillShade="D9"/>
            <w:vAlign w:val="center"/>
            <w:hideMark/>
          </w:tcPr>
          <w:p w:rsidR="00B01B54" w:rsidRPr="00B01B54" w:rsidP="00B01B54" w14:paraId="7764AF34" w14:textId="4B22400E">
            <w:pPr>
              <w:widowControl/>
              <w:overflowPunct/>
              <w:autoSpaceDE/>
              <w:autoSpaceDN/>
              <w:adjustRightInd/>
              <w:jc w:val="right"/>
              <w:textAlignment w:val="auto"/>
              <w:rPr>
                <w:b/>
                <w:bCs/>
                <w:sz w:val="18"/>
                <w:szCs w:val="18"/>
              </w:rPr>
            </w:pPr>
            <w:r w:rsidRPr="00B01B54">
              <w:rPr>
                <w:b/>
                <w:bCs/>
                <w:sz w:val="18"/>
                <w:szCs w:val="18"/>
              </w:rPr>
              <w:t>88</w:t>
            </w:r>
          </w:p>
        </w:tc>
        <w:tc>
          <w:tcPr>
            <w:tcW w:w="1170" w:type="dxa"/>
            <w:tcBorders>
              <w:top w:val="nil"/>
              <w:left w:val="nil"/>
              <w:bottom w:val="single" w:sz="4" w:space="0" w:color="auto"/>
              <w:right w:val="single" w:sz="4" w:space="0" w:color="auto"/>
            </w:tcBorders>
            <w:shd w:val="clear" w:color="auto" w:fill="D9D9D9" w:themeFill="background1" w:themeFillShade="D9"/>
            <w:vAlign w:val="center"/>
            <w:hideMark/>
          </w:tcPr>
          <w:p w:rsidR="00B01B54" w:rsidRPr="00B01B54" w:rsidP="00B01B54" w14:paraId="6CA2527A" w14:textId="5E51AD25">
            <w:pPr>
              <w:widowControl/>
              <w:overflowPunct/>
              <w:autoSpaceDE/>
              <w:autoSpaceDN/>
              <w:adjustRightInd/>
              <w:jc w:val="right"/>
              <w:textAlignment w:val="auto"/>
              <w:rPr>
                <w:b/>
                <w:bCs/>
                <w:sz w:val="18"/>
                <w:szCs w:val="18"/>
              </w:rPr>
            </w:pPr>
            <w:r w:rsidRPr="00B01B54">
              <w:rPr>
                <w:b/>
                <w:bCs/>
                <w:sz w:val="18"/>
                <w:szCs w:val="18"/>
              </w:rPr>
              <w:t>214.81</w:t>
            </w:r>
          </w:p>
        </w:tc>
        <w:tc>
          <w:tcPr>
            <w:tcW w:w="1170" w:type="dxa"/>
            <w:tcBorders>
              <w:top w:val="nil"/>
              <w:left w:val="nil"/>
              <w:bottom w:val="single" w:sz="4" w:space="0" w:color="auto"/>
              <w:right w:val="single" w:sz="4" w:space="0" w:color="auto"/>
            </w:tcBorders>
            <w:shd w:val="clear" w:color="auto" w:fill="D9D9D9" w:themeFill="background1" w:themeFillShade="D9"/>
            <w:vAlign w:val="center"/>
            <w:hideMark/>
          </w:tcPr>
          <w:p w:rsidR="00B01B54" w:rsidRPr="00B01B54" w:rsidP="00B01B54" w14:paraId="2A430470" w14:textId="022974D7">
            <w:pPr>
              <w:widowControl/>
              <w:overflowPunct/>
              <w:autoSpaceDE/>
              <w:autoSpaceDN/>
              <w:adjustRightInd/>
              <w:jc w:val="right"/>
              <w:textAlignment w:val="auto"/>
              <w:rPr>
                <w:b/>
                <w:bCs/>
                <w:sz w:val="18"/>
                <w:szCs w:val="18"/>
              </w:rPr>
            </w:pPr>
            <w:r w:rsidRPr="00B01B54">
              <w:rPr>
                <w:b/>
                <w:bCs/>
                <w:sz w:val="18"/>
                <w:szCs w:val="18"/>
              </w:rPr>
              <w:t>18,903</w:t>
            </w:r>
          </w:p>
        </w:tc>
        <w:tc>
          <w:tcPr>
            <w:tcW w:w="1107" w:type="dxa"/>
            <w:tcBorders>
              <w:top w:val="nil"/>
              <w:left w:val="nil"/>
              <w:bottom w:val="single" w:sz="4" w:space="0" w:color="auto"/>
              <w:right w:val="single" w:sz="4" w:space="0" w:color="auto"/>
            </w:tcBorders>
            <w:shd w:val="clear" w:color="auto" w:fill="D9D9D9" w:themeFill="background1" w:themeFillShade="D9"/>
            <w:vAlign w:val="center"/>
            <w:hideMark/>
          </w:tcPr>
          <w:p w:rsidR="00B01B54" w:rsidRPr="00B01B54" w:rsidP="00B01B54" w14:paraId="680E08BD" w14:textId="0D3B726E">
            <w:pPr>
              <w:widowControl/>
              <w:overflowPunct/>
              <w:autoSpaceDE/>
              <w:autoSpaceDN/>
              <w:adjustRightInd/>
              <w:jc w:val="right"/>
              <w:textAlignment w:val="auto"/>
              <w:rPr>
                <w:b/>
                <w:bCs/>
                <w:sz w:val="18"/>
                <w:szCs w:val="18"/>
              </w:rPr>
            </w:pPr>
            <w:r w:rsidRPr="00B01B54">
              <w:rPr>
                <w:b/>
                <w:bCs/>
                <w:sz w:val="18"/>
                <w:szCs w:val="18"/>
              </w:rPr>
              <w:t>1.05</w:t>
            </w:r>
          </w:p>
        </w:tc>
        <w:tc>
          <w:tcPr>
            <w:tcW w:w="1053" w:type="dxa"/>
            <w:tcBorders>
              <w:top w:val="nil"/>
              <w:left w:val="nil"/>
              <w:bottom w:val="single" w:sz="4" w:space="0" w:color="auto"/>
              <w:right w:val="single" w:sz="4" w:space="0" w:color="auto"/>
            </w:tcBorders>
            <w:shd w:val="clear" w:color="auto" w:fill="D9D9D9" w:themeFill="background1" w:themeFillShade="D9"/>
            <w:vAlign w:val="center"/>
            <w:hideMark/>
          </w:tcPr>
          <w:p w:rsidR="00B01B54" w:rsidRPr="00B01B54" w:rsidP="00B01B54" w14:paraId="7D722282" w14:textId="7557E3A4">
            <w:pPr>
              <w:widowControl/>
              <w:overflowPunct/>
              <w:autoSpaceDE/>
              <w:autoSpaceDN/>
              <w:adjustRightInd/>
              <w:jc w:val="right"/>
              <w:textAlignment w:val="auto"/>
              <w:rPr>
                <w:b/>
                <w:bCs/>
                <w:sz w:val="18"/>
                <w:szCs w:val="18"/>
              </w:rPr>
            </w:pPr>
            <w:r w:rsidRPr="00B01B54">
              <w:rPr>
                <w:b/>
                <w:bCs/>
                <w:sz w:val="18"/>
                <w:szCs w:val="18"/>
              </w:rPr>
              <w:t>19,915</w:t>
            </w:r>
          </w:p>
        </w:tc>
        <w:tc>
          <w:tcPr>
            <w:tcW w:w="1170" w:type="dxa"/>
            <w:tcBorders>
              <w:top w:val="nil"/>
              <w:left w:val="nil"/>
              <w:bottom w:val="single" w:sz="4" w:space="0" w:color="auto"/>
              <w:right w:val="single" w:sz="4" w:space="0" w:color="auto"/>
            </w:tcBorders>
            <w:shd w:val="clear" w:color="auto" w:fill="D9D9D9" w:themeFill="background1" w:themeFillShade="D9"/>
            <w:vAlign w:val="center"/>
            <w:hideMark/>
          </w:tcPr>
          <w:p w:rsidR="00B01B54" w:rsidRPr="00DD2920" w:rsidP="00B01B54" w14:paraId="1EA2CBFE" w14:textId="13923BC7">
            <w:pPr>
              <w:widowControl/>
              <w:overflowPunct/>
              <w:autoSpaceDE/>
              <w:autoSpaceDN/>
              <w:adjustRightInd/>
              <w:jc w:val="right"/>
              <w:textAlignment w:val="auto"/>
              <w:rPr>
                <w:b/>
                <w:bCs/>
                <w:i/>
                <w:iCs/>
                <w:sz w:val="18"/>
                <w:szCs w:val="18"/>
              </w:rPr>
            </w:pPr>
            <w:r w:rsidRPr="00DD2920">
              <w:rPr>
                <w:b/>
                <w:bCs/>
                <w:i/>
                <w:iCs/>
                <w:sz w:val="18"/>
                <w:szCs w:val="18"/>
              </w:rPr>
              <w:t>18,39</w:t>
            </w:r>
            <w:r w:rsidR="00D422D6">
              <w:rPr>
                <w:b/>
                <w:bCs/>
                <w:i/>
                <w:iCs/>
                <w:sz w:val="18"/>
                <w:szCs w:val="18"/>
              </w:rPr>
              <w:t>4</w:t>
            </w:r>
          </w:p>
        </w:tc>
        <w:tc>
          <w:tcPr>
            <w:tcW w:w="1363" w:type="dxa"/>
            <w:tcBorders>
              <w:top w:val="nil"/>
              <w:left w:val="nil"/>
              <w:bottom w:val="single" w:sz="4" w:space="0" w:color="auto"/>
              <w:right w:val="single" w:sz="4" w:space="0" w:color="auto"/>
            </w:tcBorders>
            <w:shd w:val="clear" w:color="auto" w:fill="D9D9D9" w:themeFill="background1" w:themeFillShade="D9"/>
            <w:vAlign w:val="center"/>
          </w:tcPr>
          <w:p w:rsidR="00B01B54" w:rsidRPr="00B01B54" w:rsidP="00B01B54" w14:paraId="66787F00" w14:textId="1C6FE41C">
            <w:pPr>
              <w:widowControl/>
              <w:overflowPunct/>
              <w:autoSpaceDE/>
              <w:autoSpaceDN/>
              <w:adjustRightInd/>
              <w:jc w:val="right"/>
              <w:textAlignment w:val="auto"/>
              <w:rPr>
                <w:b/>
                <w:bCs/>
                <w:sz w:val="18"/>
                <w:szCs w:val="18"/>
              </w:rPr>
            </w:pPr>
            <w:r w:rsidRPr="00B01B54">
              <w:rPr>
                <w:b/>
                <w:bCs/>
                <w:sz w:val="18"/>
                <w:szCs w:val="18"/>
              </w:rPr>
              <w:t>54.11</w:t>
            </w:r>
          </w:p>
        </w:tc>
        <w:tc>
          <w:tcPr>
            <w:tcW w:w="1242" w:type="dxa"/>
            <w:tcBorders>
              <w:top w:val="nil"/>
              <w:left w:val="nil"/>
              <w:bottom w:val="single" w:sz="4" w:space="0" w:color="auto"/>
              <w:right w:val="single" w:sz="4" w:space="0" w:color="auto"/>
            </w:tcBorders>
            <w:shd w:val="clear" w:color="auto" w:fill="D9D9D9" w:themeFill="background1" w:themeFillShade="D9"/>
            <w:vAlign w:val="center"/>
          </w:tcPr>
          <w:p w:rsidR="00B01B54" w:rsidRPr="00B01B54" w:rsidP="00B01B54" w14:paraId="37AD17E4" w14:textId="178B701E">
            <w:pPr>
              <w:widowControl/>
              <w:overflowPunct/>
              <w:autoSpaceDE/>
              <w:autoSpaceDN/>
              <w:adjustRightInd/>
              <w:jc w:val="right"/>
              <w:textAlignment w:val="auto"/>
              <w:rPr>
                <w:b/>
                <w:bCs/>
                <w:sz w:val="18"/>
                <w:szCs w:val="18"/>
              </w:rPr>
            </w:pPr>
            <w:r w:rsidRPr="00B01B54">
              <w:rPr>
                <w:b/>
                <w:bCs/>
                <w:sz w:val="18"/>
                <w:szCs w:val="18"/>
              </w:rPr>
              <w:t>1,467.31</w:t>
            </w:r>
          </w:p>
        </w:tc>
        <w:tc>
          <w:tcPr>
            <w:tcW w:w="1265" w:type="dxa"/>
            <w:tcBorders>
              <w:top w:val="nil"/>
              <w:left w:val="nil"/>
              <w:bottom w:val="single" w:sz="4" w:space="0" w:color="auto"/>
              <w:right w:val="single" w:sz="4" w:space="0" w:color="auto"/>
            </w:tcBorders>
            <w:shd w:val="clear" w:color="auto" w:fill="D9D9D9" w:themeFill="background1" w:themeFillShade="D9"/>
            <w:vAlign w:val="center"/>
          </w:tcPr>
          <w:p w:rsidR="00B01B54" w:rsidRPr="00B01B54" w:rsidP="00B01B54" w14:paraId="067A4718" w14:textId="5AC9461D">
            <w:pPr>
              <w:widowControl/>
              <w:overflowPunct/>
              <w:autoSpaceDE/>
              <w:autoSpaceDN/>
              <w:adjustRightInd/>
              <w:jc w:val="right"/>
              <w:textAlignment w:val="auto"/>
              <w:rPr>
                <w:b/>
                <w:bCs/>
                <w:sz w:val="18"/>
                <w:szCs w:val="18"/>
              </w:rPr>
            </w:pPr>
            <w:r w:rsidRPr="00B01B54">
              <w:rPr>
                <w:b/>
                <w:bCs/>
                <w:sz w:val="18"/>
                <w:szCs w:val="18"/>
              </w:rPr>
              <w:t>1,521.42</w:t>
            </w:r>
          </w:p>
        </w:tc>
      </w:tr>
      <w:tr w14:paraId="7B864545" w14:textId="77777777" w:rsidTr="4FE94C9D">
        <w:tblPrEx>
          <w:tblW w:w="14215" w:type="dxa"/>
          <w:tblLayout w:type="fixed"/>
          <w:tblLook w:val="04A0"/>
        </w:tblPrEx>
        <w:trPr>
          <w:trHeight w:val="330"/>
        </w:trPr>
        <w:tc>
          <w:tcPr>
            <w:tcW w:w="12950" w:type="dxa"/>
            <w:gridSpan w:val="10"/>
            <w:tcBorders>
              <w:top w:val="single" w:sz="4" w:space="0" w:color="auto"/>
              <w:left w:val="single" w:sz="4" w:space="0" w:color="auto"/>
              <w:bottom w:val="single" w:sz="4" w:space="0" w:color="auto"/>
              <w:right w:val="single" w:sz="4" w:space="0" w:color="auto"/>
            </w:tcBorders>
            <w:noWrap/>
            <w:vAlign w:val="center"/>
            <w:hideMark/>
          </w:tcPr>
          <w:p w:rsidR="009564EC" w:rsidRPr="00AE2B3F" w:rsidP="009564EC" w14:paraId="31E83D00" w14:textId="1BE481B0">
            <w:pPr>
              <w:widowControl/>
              <w:overflowPunct/>
              <w:autoSpaceDE/>
              <w:autoSpaceDN/>
              <w:adjustRightInd/>
              <w:jc w:val="center"/>
              <w:textAlignment w:val="auto"/>
              <w:rPr>
                <w:b/>
                <w:bCs/>
                <w:sz w:val="18"/>
                <w:szCs w:val="18"/>
              </w:rPr>
            </w:pPr>
            <w:r w:rsidRPr="00AE2B3F">
              <w:rPr>
                <w:b/>
                <w:bCs/>
                <w:sz w:val="18"/>
                <w:szCs w:val="18"/>
              </w:rPr>
              <w:t>Affected Public: Business: Retail Vendors (WIC-Authorized Food Stores) and Nonprofit Businesses</w:t>
            </w:r>
          </w:p>
        </w:tc>
        <w:tc>
          <w:tcPr>
            <w:tcW w:w="1265" w:type="dxa"/>
            <w:tcBorders>
              <w:top w:val="single" w:sz="4" w:space="0" w:color="auto"/>
              <w:left w:val="single" w:sz="4" w:space="0" w:color="auto"/>
              <w:bottom w:val="single" w:sz="4" w:space="0" w:color="auto"/>
              <w:right w:val="single" w:sz="4" w:space="0" w:color="auto"/>
            </w:tcBorders>
          </w:tcPr>
          <w:p w:rsidR="009564EC" w:rsidRPr="00AE2B3F" w:rsidP="009564EC" w14:paraId="3578EF6F" w14:textId="77777777">
            <w:pPr>
              <w:widowControl/>
              <w:overflowPunct/>
              <w:autoSpaceDE/>
              <w:autoSpaceDN/>
              <w:adjustRightInd/>
              <w:jc w:val="center"/>
              <w:textAlignment w:val="auto"/>
              <w:rPr>
                <w:b/>
                <w:bCs/>
                <w:sz w:val="18"/>
                <w:szCs w:val="18"/>
              </w:rPr>
            </w:pPr>
          </w:p>
        </w:tc>
      </w:tr>
      <w:tr w14:paraId="14DD9039" w14:textId="77777777" w:rsidTr="4FE94C9D">
        <w:tblPrEx>
          <w:tblW w:w="14215" w:type="dxa"/>
          <w:tblLayout w:type="fixed"/>
          <w:tblLook w:val="04A0"/>
        </w:tblPrEx>
        <w:trPr>
          <w:trHeight w:val="576"/>
        </w:trPr>
        <w:tc>
          <w:tcPr>
            <w:tcW w:w="1651" w:type="dxa"/>
            <w:tcBorders>
              <w:top w:val="nil"/>
              <w:left w:val="single" w:sz="4" w:space="0" w:color="auto"/>
              <w:bottom w:val="single" w:sz="4" w:space="0" w:color="auto"/>
              <w:right w:val="single" w:sz="4" w:space="0" w:color="auto"/>
            </w:tcBorders>
            <w:vAlign w:val="center"/>
            <w:hideMark/>
          </w:tcPr>
          <w:p w:rsidR="00B01B54" w:rsidRPr="00AE2B3F" w:rsidP="00B01B54" w14:paraId="691C6100" w14:textId="77777777">
            <w:pPr>
              <w:widowControl/>
              <w:overflowPunct/>
              <w:autoSpaceDE/>
              <w:autoSpaceDN/>
              <w:adjustRightInd/>
              <w:textAlignment w:val="auto"/>
              <w:rPr>
                <w:b/>
                <w:bCs/>
                <w:sz w:val="18"/>
                <w:szCs w:val="18"/>
              </w:rPr>
            </w:pPr>
            <w:r w:rsidRPr="00AE2B3F">
              <w:rPr>
                <w:b/>
                <w:bCs/>
                <w:sz w:val="18"/>
                <w:szCs w:val="18"/>
              </w:rPr>
              <w:t>246.12(h)(3)(xvi)</w:t>
            </w:r>
          </w:p>
        </w:tc>
        <w:tc>
          <w:tcPr>
            <w:tcW w:w="1764" w:type="dxa"/>
            <w:tcBorders>
              <w:top w:val="nil"/>
              <w:left w:val="nil"/>
              <w:bottom w:val="single" w:sz="4" w:space="0" w:color="auto"/>
              <w:right w:val="single" w:sz="4" w:space="0" w:color="auto"/>
            </w:tcBorders>
            <w:vAlign w:val="center"/>
            <w:hideMark/>
          </w:tcPr>
          <w:p w:rsidR="00B01B54" w:rsidRPr="00AE2B3F" w:rsidP="00B01B54" w14:paraId="00C21D70" w14:textId="77777777">
            <w:pPr>
              <w:widowControl/>
              <w:overflowPunct/>
              <w:autoSpaceDE/>
              <w:autoSpaceDN/>
              <w:adjustRightInd/>
              <w:textAlignment w:val="auto"/>
              <w:rPr>
                <w:sz w:val="18"/>
                <w:szCs w:val="18"/>
              </w:rPr>
            </w:pPr>
            <w:r w:rsidRPr="00AE2B3F">
              <w:rPr>
                <w:sz w:val="18"/>
                <w:szCs w:val="18"/>
              </w:rPr>
              <w:t>Vendor Inventory Records</w:t>
            </w:r>
          </w:p>
        </w:tc>
        <w:tc>
          <w:tcPr>
            <w:tcW w:w="1260" w:type="dxa"/>
            <w:tcBorders>
              <w:top w:val="nil"/>
              <w:left w:val="nil"/>
              <w:bottom w:val="single" w:sz="4" w:space="0" w:color="auto"/>
              <w:right w:val="single" w:sz="4" w:space="0" w:color="auto"/>
            </w:tcBorders>
            <w:vAlign w:val="center"/>
            <w:hideMark/>
          </w:tcPr>
          <w:p w:rsidR="00B01B54" w:rsidRPr="00AE2B3F" w:rsidP="00B01B54" w14:paraId="31EFFC66" w14:textId="49158D55">
            <w:pPr>
              <w:widowControl/>
              <w:overflowPunct/>
              <w:autoSpaceDE/>
              <w:autoSpaceDN/>
              <w:adjustRightInd/>
              <w:jc w:val="right"/>
              <w:textAlignment w:val="auto"/>
              <w:rPr>
                <w:sz w:val="18"/>
                <w:szCs w:val="18"/>
              </w:rPr>
            </w:pPr>
            <w:r w:rsidRPr="00B01B54">
              <w:rPr>
                <w:sz w:val="18"/>
                <w:szCs w:val="18"/>
              </w:rPr>
              <w:t>40,487.00</w:t>
            </w:r>
          </w:p>
        </w:tc>
        <w:tc>
          <w:tcPr>
            <w:tcW w:w="1170" w:type="dxa"/>
            <w:tcBorders>
              <w:top w:val="nil"/>
              <w:left w:val="nil"/>
              <w:bottom w:val="single" w:sz="4" w:space="0" w:color="auto"/>
              <w:right w:val="single" w:sz="4" w:space="0" w:color="auto"/>
            </w:tcBorders>
            <w:vAlign w:val="center"/>
            <w:hideMark/>
          </w:tcPr>
          <w:p w:rsidR="00B01B54" w:rsidRPr="00AE2B3F" w:rsidP="00B01B54" w14:paraId="5EB29D0F" w14:textId="6F30AB41">
            <w:pPr>
              <w:widowControl/>
              <w:overflowPunct/>
              <w:autoSpaceDE/>
              <w:autoSpaceDN/>
              <w:adjustRightInd/>
              <w:jc w:val="right"/>
              <w:textAlignment w:val="auto"/>
              <w:rPr>
                <w:sz w:val="18"/>
                <w:szCs w:val="18"/>
              </w:rPr>
            </w:pPr>
            <w:r w:rsidRPr="00B01B54">
              <w:rPr>
                <w:sz w:val="18"/>
                <w:szCs w:val="18"/>
              </w:rPr>
              <w:t>1.00</w:t>
            </w:r>
          </w:p>
        </w:tc>
        <w:tc>
          <w:tcPr>
            <w:tcW w:w="1170" w:type="dxa"/>
            <w:tcBorders>
              <w:top w:val="nil"/>
              <w:left w:val="nil"/>
              <w:bottom w:val="single" w:sz="4" w:space="0" w:color="auto"/>
              <w:right w:val="single" w:sz="4" w:space="0" w:color="auto"/>
            </w:tcBorders>
            <w:shd w:val="clear" w:color="auto" w:fill="F2F2F2" w:themeFill="background1" w:themeFillShade="F2"/>
            <w:vAlign w:val="center"/>
            <w:hideMark/>
          </w:tcPr>
          <w:p w:rsidR="00B01B54" w:rsidRPr="00AE2B3F" w:rsidP="00B01B54" w14:paraId="05404326" w14:textId="53E86372">
            <w:pPr>
              <w:widowControl/>
              <w:overflowPunct/>
              <w:autoSpaceDE/>
              <w:autoSpaceDN/>
              <w:adjustRightInd/>
              <w:jc w:val="right"/>
              <w:textAlignment w:val="auto"/>
              <w:rPr>
                <w:sz w:val="18"/>
                <w:szCs w:val="18"/>
              </w:rPr>
            </w:pPr>
            <w:r w:rsidRPr="00B01B54">
              <w:rPr>
                <w:sz w:val="18"/>
                <w:szCs w:val="18"/>
              </w:rPr>
              <w:t>40,487.00</w:t>
            </w:r>
          </w:p>
        </w:tc>
        <w:tc>
          <w:tcPr>
            <w:tcW w:w="1107" w:type="dxa"/>
            <w:tcBorders>
              <w:top w:val="nil"/>
              <w:left w:val="nil"/>
              <w:bottom w:val="single" w:sz="4" w:space="0" w:color="auto"/>
              <w:right w:val="single" w:sz="4" w:space="0" w:color="auto"/>
            </w:tcBorders>
            <w:vAlign w:val="center"/>
            <w:hideMark/>
          </w:tcPr>
          <w:p w:rsidR="00B01B54" w:rsidRPr="00AE2B3F" w:rsidP="00B01B54" w14:paraId="0D5CB9D0" w14:textId="4E409185">
            <w:pPr>
              <w:widowControl/>
              <w:overflowPunct/>
              <w:autoSpaceDE/>
              <w:autoSpaceDN/>
              <w:adjustRightInd/>
              <w:jc w:val="right"/>
              <w:textAlignment w:val="auto"/>
              <w:rPr>
                <w:sz w:val="18"/>
                <w:szCs w:val="18"/>
              </w:rPr>
            </w:pPr>
            <w:r w:rsidRPr="00B01B54">
              <w:rPr>
                <w:sz w:val="18"/>
                <w:szCs w:val="18"/>
              </w:rPr>
              <w:t>0.17</w:t>
            </w:r>
          </w:p>
        </w:tc>
        <w:tc>
          <w:tcPr>
            <w:tcW w:w="1053" w:type="dxa"/>
            <w:tcBorders>
              <w:top w:val="nil"/>
              <w:left w:val="nil"/>
              <w:bottom w:val="single" w:sz="4" w:space="0" w:color="auto"/>
              <w:right w:val="single" w:sz="4" w:space="0" w:color="auto"/>
            </w:tcBorders>
            <w:shd w:val="clear" w:color="auto" w:fill="F2F2F2" w:themeFill="background1" w:themeFillShade="F2"/>
            <w:vAlign w:val="center"/>
            <w:hideMark/>
          </w:tcPr>
          <w:p w:rsidR="00B01B54" w:rsidRPr="00AE2B3F" w:rsidP="00B01B54" w14:paraId="39510C19" w14:textId="78C92349">
            <w:pPr>
              <w:widowControl/>
              <w:overflowPunct/>
              <w:autoSpaceDE/>
              <w:autoSpaceDN/>
              <w:adjustRightInd/>
              <w:jc w:val="right"/>
              <w:textAlignment w:val="auto"/>
              <w:rPr>
                <w:sz w:val="18"/>
                <w:szCs w:val="18"/>
              </w:rPr>
            </w:pPr>
            <w:r w:rsidRPr="00B01B54">
              <w:rPr>
                <w:sz w:val="18"/>
                <w:szCs w:val="18"/>
              </w:rPr>
              <w:t>6,761.33</w:t>
            </w:r>
          </w:p>
        </w:tc>
        <w:tc>
          <w:tcPr>
            <w:tcW w:w="1170" w:type="dxa"/>
            <w:tcBorders>
              <w:top w:val="nil"/>
              <w:left w:val="nil"/>
              <w:bottom w:val="single" w:sz="4" w:space="0" w:color="auto"/>
              <w:right w:val="single" w:sz="4" w:space="0" w:color="auto"/>
            </w:tcBorders>
            <w:vAlign w:val="center"/>
            <w:hideMark/>
          </w:tcPr>
          <w:p w:rsidR="00B01B54" w:rsidRPr="00D422D6" w:rsidP="00B01B54" w14:paraId="7549E303" w14:textId="6D7F449E">
            <w:pPr>
              <w:widowControl/>
              <w:overflowPunct/>
              <w:autoSpaceDE/>
              <w:autoSpaceDN/>
              <w:adjustRightInd/>
              <w:jc w:val="right"/>
              <w:textAlignment w:val="auto"/>
              <w:rPr>
                <w:i/>
                <w:iCs/>
                <w:sz w:val="18"/>
                <w:szCs w:val="18"/>
              </w:rPr>
            </w:pPr>
            <w:r w:rsidRPr="00D422D6">
              <w:rPr>
                <w:i/>
                <w:iCs/>
                <w:sz w:val="18"/>
                <w:szCs w:val="18"/>
              </w:rPr>
              <w:t>6,223.59</w:t>
            </w:r>
          </w:p>
        </w:tc>
        <w:tc>
          <w:tcPr>
            <w:tcW w:w="1363" w:type="dxa"/>
            <w:tcBorders>
              <w:top w:val="nil"/>
              <w:left w:val="nil"/>
              <w:bottom w:val="single" w:sz="4" w:space="0" w:color="auto"/>
              <w:right w:val="single" w:sz="4" w:space="0" w:color="auto"/>
            </w:tcBorders>
            <w:vAlign w:val="center"/>
          </w:tcPr>
          <w:p w:rsidR="00B01B54" w:rsidRPr="00AE2B3F" w:rsidP="00B01B54" w14:paraId="2E96D251" w14:textId="232EED2C">
            <w:pPr>
              <w:widowControl/>
              <w:overflowPunct/>
              <w:autoSpaceDE/>
              <w:autoSpaceDN/>
              <w:adjustRightInd/>
              <w:jc w:val="right"/>
              <w:textAlignment w:val="auto"/>
              <w:rPr>
                <w:sz w:val="18"/>
                <w:szCs w:val="18"/>
              </w:rPr>
            </w:pPr>
            <w:r w:rsidRPr="00B01B54">
              <w:rPr>
                <w:sz w:val="18"/>
                <w:szCs w:val="18"/>
              </w:rPr>
              <w:t>18.37</w:t>
            </w:r>
          </w:p>
        </w:tc>
        <w:tc>
          <w:tcPr>
            <w:tcW w:w="1242" w:type="dxa"/>
            <w:tcBorders>
              <w:top w:val="nil"/>
              <w:left w:val="nil"/>
              <w:bottom w:val="single" w:sz="4" w:space="0" w:color="auto"/>
              <w:right w:val="single" w:sz="4" w:space="0" w:color="auto"/>
            </w:tcBorders>
            <w:vAlign w:val="center"/>
          </w:tcPr>
          <w:p w:rsidR="00B01B54" w:rsidRPr="00AE2B3F" w:rsidP="00B01B54" w14:paraId="6B0F3A60" w14:textId="3BB2F9CC">
            <w:pPr>
              <w:widowControl/>
              <w:overflowPunct/>
              <w:autoSpaceDE/>
              <w:autoSpaceDN/>
              <w:adjustRightInd/>
              <w:jc w:val="right"/>
              <w:textAlignment w:val="auto"/>
              <w:rPr>
                <w:sz w:val="18"/>
                <w:szCs w:val="18"/>
              </w:rPr>
            </w:pPr>
            <w:r w:rsidRPr="00B01B54">
              <w:rPr>
                <w:sz w:val="18"/>
                <w:szCs w:val="18"/>
              </w:rPr>
              <w:t>519.37</w:t>
            </w:r>
          </w:p>
        </w:tc>
        <w:tc>
          <w:tcPr>
            <w:tcW w:w="1265" w:type="dxa"/>
            <w:tcBorders>
              <w:top w:val="nil"/>
              <w:left w:val="nil"/>
              <w:bottom w:val="single" w:sz="4" w:space="0" w:color="auto"/>
              <w:right w:val="single" w:sz="4" w:space="0" w:color="auto"/>
            </w:tcBorders>
            <w:vAlign w:val="center"/>
          </w:tcPr>
          <w:p w:rsidR="00B01B54" w:rsidRPr="00AE2B3F" w:rsidP="00B01B54" w14:paraId="423F639F" w14:textId="2A79E050">
            <w:pPr>
              <w:widowControl/>
              <w:overflowPunct/>
              <w:autoSpaceDE/>
              <w:autoSpaceDN/>
              <w:adjustRightInd/>
              <w:jc w:val="right"/>
              <w:textAlignment w:val="auto"/>
              <w:rPr>
                <w:sz w:val="18"/>
                <w:szCs w:val="18"/>
              </w:rPr>
            </w:pPr>
            <w:r w:rsidRPr="00B01B54">
              <w:rPr>
                <w:sz w:val="18"/>
                <w:szCs w:val="18"/>
              </w:rPr>
              <w:t>537.74</w:t>
            </w:r>
          </w:p>
        </w:tc>
      </w:tr>
      <w:tr w14:paraId="481DCBF7" w14:textId="77777777" w:rsidTr="4FE94C9D">
        <w:tblPrEx>
          <w:tblW w:w="14215" w:type="dxa"/>
          <w:tblLayout w:type="fixed"/>
          <w:tblLook w:val="04A0"/>
        </w:tblPrEx>
        <w:trPr>
          <w:trHeight w:val="540"/>
        </w:trPr>
        <w:tc>
          <w:tcPr>
            <w:tcW w:w="341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970812" w:rsidP="00970812" w14:paraId="159532AD" w14:textId="77777777">
            <w:pPr>
              <w:widowControl/>
              <w:overflowPunct/>
              <w:autoSpaceDE/>
              <w:autoSpaceDN/>
              <w:adjustRightInd/>
              <w:jc w:val="center"/>
              <w:textAlignment w:val="auto"/>
              <w:rPr>
                <w:b/>
                <w:bCs/>
                <w:sz w:val="18"/>
                <w:szCs w:val="18"/>
              </w:rPr>
            </w:pPr>
            <w:r w:rsidRPr="00AE2B3F">
              <w:rPr>
                <w:b/>
                <w:bCs/>
                <w:sz w:val="18"/>
                <w:szCs w:val="18"/>
              </w:rPr>
              <w:t xml:space="preserve">Subtotal Recordkeeping: </w:t>
            </w:r>
          </w:p>
          <w:p w:rsidR="00B01B54" w:rsidRPr="00AE2B3F" w:rsidP="00970812" w14:paraId="12F29CCC" w14:textId="7A291846">
            <w:pPr>
              <w:widowControl/>
              <w:overflowPunct/>
              <w:autoSpaceDE/>
              <w:autoSpaceDN/>
              <w:adjustRightInd/>
              <w:jc w:val="center"/>
              <w:textAlignment w:val="auto"/>
              <w:rPr>
                <w:b/>
                <w:bCs/>
                <w:sz w:val="18"/>
                <w:szCs w:val="18"/>
              </w:rPr>
            </w:pPr>
            <w:r w:rsidRPr="00AE2B3F">
              <w:rPr>
                <w:b/>
                <w:bCs/>
                <w:sz w:val="18"/>
                <w:szCs w:val="18"/>
              </w:rPr>
              <w:t>Businesses</w:t>
            </w:r>
          </w:p>
        </w:tc>
        <w:tc>
          <w:tcPr>
            <w:tcW w:w="1260" w:type="dxa"/>
            <w:tcBorders>
              <w:top w:val="nil"/>
              <w:left w:val="nil"/>
              <w:bottom w:val="single" w:sz="4" w:space="0" w:color="auto"/>
              <w:right w:val="single" w:sz="4" w:space="0" w:color="auto"/>
            </w:tcBorders>
            <w:shd w:val="clear" w:color="auto" w:fill="D9D9D9" w:themeFill="background1" w:themeFillShade="D9"/>
            <w:vAlign w:val="center"/>
            <w:hideMark/>
          </w:tcPr>
          <w:p w:rsidR="00B01B54" w:rsidRPr="00B01B54" w:rsidP="00B01B54" w14:paraId="0075F988" w14:textId="064F26A1">
            <w:pPr>
              <w:widowControl/>
              <w:overflowPunct/>
              <w:autoSpaceDE/>
              <w:autoSpaceDN/>
              <w:adjustRightInd/>
              <w:jc w:val="right"/>
              <w:textAlignment w:val="auto"/>
              <w:rPr>
                <w:b/>
                <w:bCs/>
                <w:sz w:val="18"/>
                <w:szCs w:val="18"/>
              </w:rPr>
            </w:pPr>
            <w:r w:rsidRPr="00B01B54">
              <w:rPr>
                <w:b/>
                <w:bCs/>
                <w:sz w:val="18"/>
                <w:szCs w:val="18"/>
              </w:rPr>
              <w:t>40,487</w:t>
            </w:r>
          </w:p>
        </w:tc>
        <w:tc>
          <w:tcPr>
            <w:tcW w:w="1170" w:type="dxa"/>
            <w:tcBorders>
              <w:top w:val="nil"/>
              <w:left w:val="nil"/>
              <w:bottom w:val="single" w:sz="4" w:space="0" w:color="auto"/>
              <w:right w:val="single" w:sz="4" w:space="0" w:color="auto"/>
            </w:tcBorders>
            <w:shd w:val="clear" w:color="auto" w:fill="D9D9D9" w:themeFill="background1" w:themeFillShade="D9"/>
            <w:vAlign w:val="center"/>
            <w:hideMark/>
          </w:tcPr>
          <w:p w:rsidR="00B01B54" w:rsidRPr="00B01B54" w:rsidP="00B01B54" w14:paraId="48F28B75" w14:textId="0B18E7AE">
            <w:pPr>
              <w:widowControl/>
              <w:overflowPunct/>
              <w:autoSpaceDE/>
              <w:autoSpaceDN/>
              <w:adjustRightInd/>
              <w:jc w:val="right"/>
              <w:textAlignment w:val="auto"/>
              <w:rPr>
                <w:b/>
                <w:bCs/>
                <w:sz w:val="18"/>
                <w:szCs w:val="18"/>
              </w:rPr>
            </w:pPr>
            <w:r w:rsidRPr="00B01B54">
              <w:rPr>
                <w:b/>
                <w:bCs/>
                <w:sz w:val="18"/>
                <w:szCs w:val="18"/>
              </w:rPr>
              <w:t>1.00</w:t>
            </w:r>
          </w:p>
        </w:tc>
        <w:tc>
          <w:tcPr>
            <w:tcW w:w="1170" w:type="dxa"/>
            <w:tcBorders>
              <w:top w:val="nil"/>
              <w:left w:val="nil"/>
              <w:bottom w:val="single" w:sz="4" w:space="0" w:color="auto"/>
              <w:right w:val="single" w:sz="4" w:space="0" w:color="auto"/>
            </w:tcBorders>
            <w:shd w:val="clear" w:color="auto" w:fill="D9D9D9" w:themeFill="background1" w:themeFillShade="D9"/>
            <w:vAlign w:val="center"/>
            <w:hideMark/>
          </w:tcPr>
          <w:p w:rsidR="00B01B54" w:rsidRPr="00B01B54" w:rsidP="00B01B54" w14:paraId="1BDCD210" w14:textId="3C5D7BDE">
            <w:pPr>
              <w:widowControl/>
              <w:overflowPunct/>
              <w:autoSpaceDE/>
              <w:autoSpaceDN/>
              <w:adjustRightInd/>
              <w:jc w:val="right"/>
              <w:textAlignment w:val="auto"/>
              <w:rPr>
                <w:b/>
                <w:bCs/>
                <w:sz w:val="18"/>
                <w:szCs w:val="18"/>
              </w:rPr>
            </w:pPr>
            <w:r w:rsidRPr="00B01B54">
              <w:rPr>
                <w:b/>
                <w:bCs/>
                <w:sz w:val="18"/>
                <w:szCs w:val="18"/>
              </w:rPr>
              <w:t>40,487</w:t>
            </w:r>
          </w:p>
        </w:tc>
        <w:tc>
          <w:tcPr>
            <w:tcW w:w="1107" w:type="dxa"/>
            <w:tcBorders>
              <w:top w:val="nil"/>
              <w:left w:val="nil"/>
              <w:bottom w:val="single" w:sz="4" w:space="0" w:color="auto"/>
              <w:right w:val="single" w:sz="4" w:space="0" w:color="auto"/>
            </w:tcBorders>
            <w:shd w:val="clear" w:color="auto" w:fill="D9D9D9" w:themeFill="background1" w:themeFillShade="D9"/>
            <w:vAlign w:val="center"/>
            <w:hideMark/>
          </w:tcPr>
          <w:p w:rsidR="00B01B54" w:rsidRPr="00B01B54" w:rsidP="00B01B54" w14:paraId="0173647E" w14:textId="3FCBE732">
            <w:pPr>
              <w:widowControl/>
              <w:overflowPunct/>
              <w:autoSpaceDE/>
              <w:autoSpaceDN/>
              <w:adjustRightInd/>
              <w:jc w:val="right"/>
              <w:textAlignment w:val="auto"/>
              <w:rPr>
                <w:b/>
                <w:bCs/>
                <w:sz w:val="18"/>
                <w:szCs w:val="18"/>
              </w:rPr>
            </w:pPr>
            <w:r w:rsidRPr="00B01B54">
              <w:rPr>
                <w:b/>
                <w:bCs/>
                <w:sz w:val="18"/>
                <w:szCs w:val="18"/>
              </w:rPr>
              <w:t>0.17</w:t>
            </w:r>
          </w:p>
        </w:tc>
        <w:tc>
          <w:tcPr>
            <w:tcW w:w="1053" w:type="dxa"/>
            <w:tcBorders>
              <w:top w:val="nil"/>
              <w:left w:val="nil"/>
              <w:bottom w:val="single" w:sz="4" w:space="0" w:color="auto"/>
              <w:right w:val="single" w:sz="4" w:space="0" w:color="auto"/>
            </w:tcBorders>
            <w:shd w:val="clear" w:color="auto" w:fill="D9D9D9" w:themeFill="background1" w:themeFillShade="D9"/>
            <w:vAlign w:val="center"/>
            <w:hideMark/>
          </w:tcPr>
          <w:p w:rsidR="00B01B54" w:rsidRPr="00B01B54" w:rsidP="00B01B54" w14:paraId="42E2DD7C" w14:textId="78589F28">
            <w:pPr>
              <w:widowControl/>
              <w:overflowPunct/>
              <w:autoSpaceDE/>
              <w:autoSpaceDN/>
              <w:adjustRightInd/>
              <w:jc w:val="right"/>
              <w:textAlignment w:val="auto"/>
              <w:rPr>
                <w:b/>
                <w:bCs/>
                <w:sz w:val="18"/>
                <w:szCs w:val="18"/>
              </w:rPr>
            </w:pPr>
            <w:r w:rsidRPr="00B01B54">
              <w:rPr>
                <w:b/>
                <w:bCs/>
                <w:sz w:val="18"/>
                <w:szCs w:val="18"/>
              </w:rPr>
              <w:t>6,761</w:t>
            </w:r>
          </w:p>
        </w:tc>
        <w:tc>
          <w:tcPr>
            <w:tcW w:w="1170" w:type="dxa"/>
            <w:tcBorders>
              <w:top w:val="nil"/>
              <w:left w:val="nil"/>
              <w:bottom w:val="single" w:sz="4" w:space="0" w:color="auto"/>
              <w:right w:val="single" w:sz="4" w:space="0" w:color="auto"/>
            </w:tcBorders>
            <w:shd w:val="clear" w:color="auto" w:fill="D9D9D9" w:themeFill="background1" w:themeFillShade="D9"/>
            <w:vAlign w:val="center"/>
            <w:hideMark/>
          </w:tcPr>
          <w:p w:rsidR="00B01B54" w:rsidRPr="00D422D6" w:rsidP="00B01B54" w14:paraId="1457C23B" w14:textId="176423FB">
            <w:pPr>
              <w:widowControl/>
              <w:overflowPunct/>
              <w:autoSpaceDE/>
              <w:autoSpaceDN/>
              <w:adjustRightInd/>
              <w:jc w:val="right"/>
              <w:textAlignment w:val="auto"/>
              <w:rPr>
                <w:b/>
                <w:bCs/>
                <w:i/>
                <w:iCs/>
                <w:sz w:val="18"/>
                <w:szCs w:val="18"/>
              </w:rPr>
            </w:pPr>
            <w:r w:rsidRPr="00D422D6">
              <w:rPr>
                <w:b/>
                <w:bCs/>
                <w:i/>
                <w:iCs/>
                <w:sz w:val="18"/>
                <w:szCs w:val="18"/>
              </w:rPr>
              <w:t>6,224</w:t>
            </w:r>
          </w:p>
        </w:tc>
        <w:tc>
          <w:tcPr>
            <w:tcW w:w="1363" w:type="dxa"/>
            <w:tcBorders>
              <w:top w:val="nil"/>
              <w:left w:val="nil"/>
              <w:bottom w:val="single" w:sz="4" w:space="0" w:color="auto"/>
              <w:right w:val="single" w:sz="4" w:space="0" w:color="auto"/>
            </w:tcBorders>
            <w:shd w:val="clear" w:color="auto" w:fill="D9D9D9" w:themeFill="background1" w:themeFillShade="D9"/>
            <w:vAlign w:val="center"/>
          </w:tcPr>
          <w:p w:rsidR="00B01B54" w:rsidRPr="00B01B54" w:rsidP="00B01B54" w14:paraId="05C30AC2" w14:textId="59F5B6B2">
            <w:pPr>
              <w:widowControl/>
              <w:overflowPunct/>
              <w:autoSpaceDE/>
              <w:autoSpaceDN/>
              <w:adjustRightInd/>
              <w:jc w:val="right"/>
              <w:textAlignment w:val="auto"/>
              <w:rPr>
                <w:b/>
                <w:bCs/>
                <w:sz w:val="18"/>
                <w:szCs w:val="18"/>
              </w:rPr>
            </w:pPr>
            <w:r w:rsidRPr="00B01B54">
              <w:rPr>
                <w:b/>
                <w:bCs/>
                <w:sz w:val="18"/>
                <w:szCs w:val="18"/>
              </w:rPr>
              <w:t>18.37</w:t>
            </w:r>
          </w:p>
        </w:tc>
        <w:tc>
          <w:tcPr>
            <w:tcW w:w="1242" w:type="dxa"/>
            <w:tcBorders>
              <w:top w:val="nil"/>
              <w:left w:val="nil"/>
              <w:bottom w:val="single" w:sz="4" w:space="0" w:color="auto"/>
              <w:right w:val="single" w:sz="4" w:space="0" w:color="auto"/>
            </w:tcBorders>
            <w:shd w:val="clear" w:color="auto" w:fill="D9D9D9" w:themeFill="background1" w:themeFillShade="D9"/>
            <w:vAlign w:val="center"/>
          </w:tcPr>
          <w:p w:rsidR="00B01B54" w:rsidRPr="00B01B54" w:rsidP="00B01B54" w14:paraId="2680663B" w14:textId="610A4736">
            <w:pPr>
              <w:widowControl/>
              <w:overflowPunct/>
              <w:autoSpaceDE/>
              <w:autoSpaceDN/>
              <w:adjustRightInd/>
              <w:jc w:val="right"/>
              <w:textAlignment w:val="auto"/>
              <w:rPr>
                <w:b/>
                <w:bCs/>
                <w:sz w:val="18"/>
                <w:szCs w:val="18"/>
              </w:rPr>
            </w:pPr>
            <w:r w:rsidRPr="00B01B54">
              <w:rPr>
                <w:b/>
                <w:bCs/>
                <w:sz w:val="18"/>
                <w:szCs w:val="18"/>
              </w:rPr>
              <w:t>519.37</w:t>
            </w:r>
          </w:p>
        </w:tc>
        <w:tc>
          <w:tcPr>
            <w:tcW w:w="1265" w:type="dxa"/>
            <w:tcBorders>
              <w:top w:val="nil"/>
              <w:left w:val="nil"/>
              <w:bottom w:val="single" w:sz="4" w:space="0" w:color="auto"/>
              <w:right w:val="single" w:sz="4" w:space="0" w:color="auto"/>
            </w:tcBorders>
            <w:shd w:val="clear" w:color="auto" w:fill="D9D9D9" w:themeFill="background1" w:themeFillShade="D9"/>
            <w:vAlign w:val="center"/>
          </w:tcPr>
          <w:p w:rsidR="00B01B54" w:rsidRPr="00B01B54" w:rsidP="00B01B54" w14:paraId="26DEB04A" w14:textId="6D7DCF91">
            <w:pPr>
              <w:widowControl/>
              <w:overflowPunct/>
              <w:autoSpaceDE/>
              <w:autoSpaceDN/>
              <w:adjustRightInd/>
              <w:jc w:val="right"/>
              <w:textAlignment w:val="auto"/>
              <w:rPr>
                <w:b/>
                <w:bCs/>
                <w:sz w:val="18"/>
                <w:szCs w:val="18"/>
              </w:rPr>
            </w:pPr>
            <w:r w:rsidRPr="00B01B54">
              <w:rPr>
                <w:b/>
                <w:bCs/>
                <w:sz w:val="18"/>
                <w:szCs w:val="18"/>
              </w:rPr>
              <w:t>537.74</w:t>
            </w:r>
          </w:p>
        </w:tc>
      </w:tr>
      <w:tr w14:paraId="1202C0A7" w14:textId="77777777" w:rsidTr="4FE94C9D">
        <w:tblPrEx>
          <w:tblW w:w="14215" w:type="dxa"/>
          <w:tblLayout w:type="fixed"/>
          <w:tblLook w:val="04A0"/>
        </w:tblPrEx>
        <w:trPr>
          <w:trHeight w:val="276"/>
        </w:trPr>
        <w:tc>
          <w:tcPr>
            <w:tcW w:w="341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01B54" w:rsidRPr="00AE2B3F" w:rsidP="00B01B54" w14:paraId="3A26AEB4" w14:textId="77777777">
            <w:pPr>
              <w:widowControl/>
              <w:overflowPunct/>
              <w:autoSpaceDE/>
              <w:autoSpaceDN/>
              <w:adjustRightInd/>
              <w:jc w:val="center"/>
              <w:textAlignment w:val="auto"/>
              <w:rPr>
                <w:b/>
                <w:bCs/>
                <w:sz w:val="18"/>
                <w:szCs w:val="18"/>
              </w:rPr>
            </w:pPr>
            <w:r w:rsidRPr="00AE2B3F">
              <w:rPr>
                <w:b/>
                <w:bCs/>
                <w:sz w:val="18"/>
                <w:szCs w:val="18"/>
              </w:rPr>
              <w:t>GRAND SUBTOTAL:  RECORDKEEPING</w:t>
            </w:r>
          </w:p>
        </w:tc>
        <w:tc>
          <w:tcPr>
            <w:tcW w:w="1260" w:type="dxa"/>
            <w:tcBorders>
              <w:top w:val="nil"/>
              <w:left w:val="nil"/>
              <w:bottom w:val="single" w:sz="4" w:space="0" w:color="auto"/>
              <w:right w:val="single" w:sz="4" w:space="0" w:color="auto"/>
            </w:tcBorders>
            <w:shd w:val="clear" w:color="auto" w:fill="D9D9D9" w:themeFill="background1" w:themeFillShade="D9"/>
            <w:vAlign w:val="center"/>
            <w:hideMark/>
          </w:tcPr>
          <w:p w:rsidR="00B01B54" w:rsidRPr="00B01B54" w:rsidP="00B01B54" w14:paraId="7908FF69" w14:textId="3A4E8100">
            <w:pPr>
              <w:widowControl/>
              <w:overflowPunct/>
              <w:autoSpaceDE/>
              <w:autoSpaceDN/>
              <w:adjustRightInd/>
              <w:jc w:val="right"/>
              <w:textAlignment w:val="auto"/>
              <w:rPr>
                <w:b/>
                <w:bCs/>
                <w:sz w:val="18"/>
                <w:szCs w:val="18"/>
              </w:rPr>
            </w:pPr>
            <w:r w:rsidRPr="00B01B54">
              <w:rPr>
                <w:b/>
                <w:bCs/>
                <w:sz w:val="18"/>
                <w:szCs w:val="18"/>
              </w:rPr>
              <w:t>40,575</w:t>
            </w:r>
          </w:p>
        </w:tc>
        <w:tc>
          <w:tcPr>
            <w:tcW w:w="1170" w:type="dxa"/>
            <w:tcBorders>
              <w:top w:val="nil"/>
              <w:left w:val="nil"/>
              <w:bottom w:val="single" w:sz="4" w:space="0" w:color="auto"/>
              <w:right w:val="single" w:sz="4" w:space="0" w:color="auto"/>
            </w:tcBorders>
            <w:shd w:val="clear" w:color="auto" w:fill="D9D9D9" w:themeFill="background1" w:themeFillShade="D9"/>
            <w:vAlign w:val="center"/>
            <w:hideMark/>
          </w:tcPr>
          <w:p w:rsidR="00B01B54" w:rsidRPr="00B01B54" w:rsidP="00B01B54" w14:paraId="693B5F0C" w14:textId="6EFF7120">
            <w:pPr>
              <w:widowControl/>
              <w:overflowPunct/>
              <w:autoSpaceDE/>
              <w:autoSpaceDN/>
              <w:adjustRightInd/>
              <w:jc w:val="right"/>
              <w:textAlignment w:val="auto"/>
              <w:rPr>
                <w:b/>
                <w:bCs/>
                <w:sz w:val="18"/>
                <w:szCs w:val="18"/>
              </w:rPr>
            </w:pPr>
            <w:r w:rsidRPr="00B01B54">
              <w:rPr>
                <w:b/>
                <w:bCs/>
                <w:sz w:val="18"/>
                <w:szCs w:val="18"/>
              </w:rPr>
              <w:t>1.46</w:t>
            </w:r>
          </w:p>
        </w:tc>
        <w:tc>
          <w:tcPr>
            <w:tcW w:w="1170" w:type="dxa"/>
            <w:tcBorders>
              <w:top w:val="nil"/>
              <w:left w:val="nil"/>
              <w:bottom w:val="single" w:sz="4" w:space="0" w:color="auto"/>
              <w:right w:val="single" w:sz="4" w:space="0" w:color="auto"/>
            </w:tcBorders>
            <w:shd w:val="clear" w:color="auto" w:fill="D9D9D9" w:themeFill="background1" w:themeFillShade="D9"/>
            <w:vAlign w:val="center"/>
            <w:hideMark/>
          </w:tcPr>
          <w:p w:rsidR="00B01B54" w:rsidRPr="00B01B54" w:rsidP="00B01B54" w14:paraId="25BA2B99" w14:textId="52BEC465">
            <w:pPr>
              <w:widowControl/>
              <w:overflowPunct/>
              <w:autoSpaceDE/>
              <w:autoSpaceDN/>
              <w:adjustRightInd/>
              <w:jc w:val="right"/>
              <w:textAlignment w:val="auto"/>
              <w:rPr>
                <w:b/>
                <w:bCs/>
                <w:sz w:val="18"/>
                <w:szCs w:val="18"/>
              </w:rPr>
            </w:pPr>
            <w:r w:rsidRPr="00B01B54">
              <w:rPr>
                <w:b/>
                <w:bCs/>
                <w:sz w:val="18"/>
                <w:szCs w:val="18"/>
              </w:rPr>
              <w:t>59,390</w:t>
            </w:r>
          </w:p>
        </w:tc>
        <w:tc>
          <w:tcPr>
            <w:tcW w:w="1107" w:type="dxa"/>
            <w:tcBorders>
              <w:top w:val="nil"/>
              <w:left w:val="nil"/>
              <w:bottom w:val="single" w:sz="4" w:space="0" w:color="auto"/>
              <w:right w:val="single" w:sz="4" w:space="0" w:color="auto"/>
            </w:tcBorders>
            <w:shd w:val="clear" w:color="auto" w:fill="D9D9D9" w:themeFill="background1" w:themeFillShade="D9"/>
            <w:vAlign w:val="center"/>
            <w:hideMark/>
          </w:tcPr>
          <w:p w:rsidR="00B01B54" w:rsidRPr="00B01B54" w:rsidP="00B01B54" w14:paraId="7227570F" w14:textId="096F2B46">
            <w:pPr>
              <w:widowControl/>
              <w:overflowPunct/>
              <w:autoSpaceDE/>
              <w:autoSpaceDN/>
              <w:adjustRightInd/>
              <w:jc w:val="right"/>
              <w:textAlignment w:val="auto"/>
              <w:rPr>
                <w:b/>
                <w:bCs/>
                <w:sz w:val="18"/>
                <w:szCs w:val="18"/>
              </w:rPr>
            </w:pPr>
            <w:r w:rsidRPr="00B01B54">
              <w:rPr>
                <w:b/>
                <w:bCs/>
                <w:sz w:val="18"/>
                <w:szCs w:val="18"/>
              </w:rPr>
              <w:t>0.45</w:t>
            </w:r>
          </w:p>
        </w:tc>
        <w:tc>
          <w:tcPr>
            <w:tcW w:w="1053" w:type="dxa"/>
            <w:tcBorders>
              <w:top w:val="nil"/>
              <w:left w:val="nil"/>
              <w:bottom w:val="single" w:sz="4" w:space="0" w:color="auto"/>
              <w:right w:val="single" w:sz="4" w:space="0" w:color="auto"/>
            </w:tcBorders>
            <w:shd w:val="clear" w:color="auto" w:fill="D9D9D9" w:themeFill="background1" w:themeFillShade="D9"/>
            <w:vAlign w:val="center"/>
            <w:hideMark/>
          </w:tcPr>
          <w:p w:rsidR="00B01B54" w:rsidRPr="00B01B54" w:rsidP="00B01B54" w14:paraId="6A43C96A" w14:textId="08C1C5F2">
            <w:pPr>
              <w:widowControl/>
              <w:overflowPunct/>
              <w:autoSpaceDE/>
              <w:autoSpaceDN/>
              <w:adjustRightInd/>
              <w:jc w:val="right"/>
              <w:textAlignment w:val="auto"/>
              <w:rPr>
                <w:b/>
                <w:bCs/>
                <w:sz w:val="18"/>
                <w:szCs w:val="18"/>
              </w:rPr>
            </w:pPr>
            <w:r w:rsidRPr="00B01B54">
              <w:rPr>
                <w:b/>
                <w:bCs/>
                <w:sz w:val="18"/>
                <w:szCs w:val="18"/>
              </w:rPr>
              <w:t>26,676</w:t>
            </w:r>
          </w:p>
        </w:tc>
        <w:tc>
          <w:tcPr>
            <w:tcW w:w="1170" w:type="dxa"/>
            <w:tcBorders>
              <w:top w:val="nil"/>
              <w:left w:val="nil"/>
              <w:bottom w:val="single" w:sz="4" w:space="0" w:color="auto"/>
              <w:right w:val="single" w:sz="4" w:space="0" w:color="auto"/>
            </w:tcBorders>
            <w:shd w:val="clear" w:color="auto" w:fill="D9D9D9" w:themeFill="background1" w:themeFillShade="D9"/>
            <w:vAlign w:val="center"/>
            <w:hideMark/>
          </w:tcPr>
          <w:p w:rsidR="00B01B54" w:rsidRPr="00D422D6" w:rsidP="00B01B54" w14:paraId="4592E829" w14:textId="29721009">
            <w:pPr>
              <w:widowControl/>
              <w:overflowPunct/>
              <w:autoSpaceDE/>
              <w:autoSpaceDN/>
              <w:adjustRightInd/>
              <w:jc w:val="right"/>
              <w:textAlignment w:val="auto"/>
              <w:rPr>
                <w:b/>
                <w:bCs/>
                <w:i/>
                <w:iCs/>
                <w:sz w:val="18"/>
                <w:szCs w:val="18"/>
              </w:rPr>
            </w:pPr>
            <w:r w:rsidRPr="00D422D6">
              <w:rPr>
                <w:b/>
                <w:bCs/>
                <w:i/>
                <w:iCs/>
                <w:sz w:val="18"/>
                <w:szCs w:val="18"/>
              </w:rPr>
              <w:t>24,617</w:t>
            </w:r>
          </w:p>
        </w:tc>
        <w:tc>
          <w:tcPr>
            <w:tcW w:w="1363" w:type="dxa"/>
            <w:tcBorders>
              <w:top w:val="nil"/>
              <w:left w:val="nil"/>
              <w:bottom w:val="single" w:sz="4" w:space="0" w:color="auto"/>
              <w:right w:val="single" w:sz="4" w:space="0" w:color="auto"/>
            </w:tcBorders>
            <w:shd w:val="clear" w:color="auto" w:fill="D9D9D9" w:themeFill="background1" w:themeFillShade="D9"/>
            <w:vAlign w:val="center"/>
          </w:tcPr>
          <w:p w:rsidR="00B01B54" w:rsidRPr="00B01B54" w:rsidP="00B01B54" w14:paraId="2FE14204" w14:textId="0A2BBB8B">
            <w:pPr>
              <w:widowControl/>
              <w:overflowPunct/>
              <w:autoSpaceDE/>
              <w:autoSpaceDN/>
              <w:adjustRightInd/>
              <w:jc w:val="right"/>
              <w:textAlignment w:val="auto"/>
              <w:rPr>
                <w:b/>
                <w:bCs/>
                <w:sz w:val="18"/>
                <w:szCs w:val="18"/>
              </w:rPr>
            </w:pPr>
            <w:r w:rsidRPr="00B01B54">
              <w:rPr>
                <w:b/>
                <w:bCs/>
                <w:sz w:val="18"/>
                <w:szCs w:val="18"/>
              </w:rPr>
              <w:t>72.48</w:t>
            </w:r>
          </w:p>
        </w:tc>
        <w:tc>
          <w:tcPr>
            <w:tcW w:w="1242" w:type="dxa"/>
            <w:tcBorders>
              <w:top w:val="nil"/>
              <w:left w:val="nil"/>
              <w:bottom w:val="single" w:sz="4" w:space="0" w:color="auto"/>
              <w:right w:val="single" w:sz="4" w:space="0" w:color="auto"/>
            </w:tcBorders>
            <w:shd w:val="clear" w:color="auto" w:fill="D9D9D9" w:themeFill="background1" w:themeFillShade="D9"/>
            <w:vAlign w:val="center"/>
          </w:tcPr>
          <w:p w:rsidR="00B01B54" w:rsidRPr="00B01B54" w:rsidP="00B01B54" w14:paraId="6FAE541D" w14:textId="591B454A">
            <w:pPr>
              <w:widowControl/>
              <w:overflowPunct/>
              <w:autoSpaceDE/>
              <w:autoSpaceDN/>
              <w:adjustRightInd/>
              <w:jc w:val="right"/>
              <w:textAlignment w:val="auto"/>
              <w:rPr>
                <w:b/>
                <w:bCs/>
                <w:sz w:val="18"/>
                <w:szCs w:val="18"/>
              </w:rPr>
            </w:pPr>
            <w:r w:rsidRPr="00B01B54">
              <w:rPr>
                <w:b/>
                <w:bCs/>
                <w:sz w:val="18"/>
                <w:szCs w:val="18"/>
              </w:rPr>
              <w:t>1,986.68</w:t>
            </w:r>
          </w:p>
        </w:tc>
        <w:tc>
          <w:tcPr>
            <w:tcW w:w="1265" w:type="dxa"/>
            <w:tcBorders>
              <w:top w:val="nil"/>
              <w:left w:val="nil"/>
              <w:bottom w:val="single" w:sz="4" w:space="0" w:color="auto"/>
              <w:right w:val="single" w:sz="4" w:space="0" w:color="auto"/>
            </w:tcBorders>
            <w:shd w:val="clear" w:color="auto" w:fill="D9D9D9" w:themeFill="background1" w:themeFillShade="D9"/>
            <w:vAlign w:val="center"/>
          </w:tcPr>
          <w:p w:rsidR="00B01B54" w:rsidRPr="00B01B54" w:rsidP="00B01B54" w14:paraId="0DDDD360" w14:textId="129B4A2E">
            <w:pPr>
              <w:widowControl/>
              <w:overflowPunct/>
              <w:autoSpaceDE/>
              <w:autoSpaceDN/>
              <w:adjustRightInd/>
              <w:jc w:val="right"/>
              <w:textAlignment w:val="auto"/>
              <w:rPr>
                <w:b/>
                <w:bCs/>
                <w:sz w:val="18"/>
                <w:szCs w:val="18"/>
              </w:rPr>
            </w:pPr>
            <w:r w:rsidRPr="00B01B54">
              <w:rPr>
                <w:b/>
                <w:bCs/>
                <w:sz w:val="18"/>
                <w:szCs w:val="18"/>
              </w:rPr>
              <w:t>2,059.15</w:t>
            </w:r>
          </w:p>
        </w:tc>
      </w:tr>
      <w:tr w14:paraId="1CC6F923" w14:textId="77777777" w:rsidTr="4FE94C9D">
        <w:tblPrEx>
          <w:tblW w:w="14215" w:type="dxa"/>
          <w:tblLayout w:type="fixed"/>
          <w:tblLook w:val="04A0"/>
        </w:tblPrEx>
        <w:trPr>
          <w:trHeight w:val="720"/>
        </w:trPr>
        <w:tc>
          <w:tcPr>
            <w:tcW w:w="341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01B54" w:rsidRPr="00AE2B3F" w:rsidP="00B01B54" w14:paraId="0EA571AE" w14:textId="77777777">
            <w:pPr>
              <w:widowControl/>
              <w:overflowPunct/>
              <w:autoSpaceDE/>
              <w:autoSpaceDN/>
              <w:adjustRightInd/>
              <w:jc w:val="center"/>
              <w:textAlignment w:val="auto"/>
              <w:rPr>
                <w:b/>
                <w:bCs/>
                <w:sz w:val="18"/>
                <w:szCs w:val="18"/>
              </w:rPr>
            </w:pPr>
            <w:r w:rsidRPr="00AE2B3F">
              <w:rPr>
                <w:b/>
                <w:bCs/>
                <w:sz w:val="18"/>
                <w:szCs w:val="18"/>
              </w:rPr>
              <w:t>GRAND TOTAL: REPORTING, RECORDKEEPING, and PUBLIC DISCLOSURE</w:t>
            </w:r>
          </w:p>
        </w:tc>
        <w:tc>
          <w:tcPr>
            <w:tcW w:w="1260" w:type="dxa"/>
            <w:tcBorders>
              <w:top w:val="nil"/>
              <w:left w:val="nil"/>
              <w:bottom w:val="single" w:sz="4" w:space="0" w:color="auto"/>
              <w:right w:val="single" w:sz="4" w:space="0" w:color="auto"/>
            </w:tcBorders>
            <w:shd w:val="clear" w:color="auto" w:fill="D9D9D9" w:themeFill="background1" w:themeFillShade="D9"/>
            <w:vAlign w:val="center"/>
            <w:hideMark/>
          </w:tcPr>
          <w:p w:rsidR="00B01B54" w:rsidRPr="00B01B54" w:rsidP="00B01B54" w14:paraId="7C06DDB9" w14:textId="4AA7BD21">
            <w:pPr>
              <w:widowControl/>
              <w:overflowPunct/>
              <w:autoSpaceDE/>
              <w:autoSpaceDN/>
              <w:adjustRightInd/>
              <w:jc w:val="right"/>
              <w:textAlignment w:val="auto"/>
              <w:rPr>
                <w:b/>
                <w:bCs/>
                <w:sz w:val="18"/>
                <w:szCs w:val="18"/>
              </w:rPr>
            </w:pPr>
            <w:r w:rsidRPr="00B01B54">
              <w:rPr>
                <w:b/>
                <w:bCs/>
                <w:sz w:val="18"/>
                <w:szCs w:val="18"/>
              </w:rPr>
              <w:t>3,392,909</w:t>
            </w:r>
          </w:p>
        </w:tc>
        <w:tc>
          <w:tcPr>
            <w:tcW w:w="1170" w:type="dxa"/>
            <w:tcBorders>
              <w:top w:val="nil"/>
              <w:left w:val="nil"/>
              <w:bottom w:val="single" w:sz="4" w:space="0" w:color="auto"/>
              <w:right w:val="single" w:sz="4" w:space="0" w:color="auto"/>
            </w:tcBorders>
            <w:shd w:val="clear" w:color="auto" w:fill="D9D9D9" w:themeFill="background1" w:themeFillShade="D9"/>
            <w:vAlign w:val="center"/>
            <w:hideMark/>
          </w:tcPr>
          <w:p w:rsidR="00B01B54" w:rsidRPr="00B01B54" w:rsidP="00B01B54" w14:paraId="2E750748" w14:textId="5113C56A">
            <w:pPr>
              <w:widowControl/>
              <w:overflowPunct/>
              <w:autoSpaceDE/>
              <w:autoSpaceDN/>
              <w:adjustRightInd/>
              <w:jc w:val="right"/>
              <w:textAlignment w:val="auto"/>
              <w:rPr>
                <w:b/>
                <w:bCs/>
                <w:sz w:val="18"/>
                <w:szCs w:val="18"/>
              </w:rPr>
            </w:pPr>
            <w:r w:rsidRPr="00B01B54">
              <w:rPr>
                <w:b/>
                <w:bCs/>
                <w:sz w:val="18"/>
                <w:szCs w:val="18"/>
              </w:rPr>
              <w:t>0.30</w:t>
            </w:r>
          </w:p>
        </w:tc>
        <w:tc>
          <w:tcPr>
            <w:tcW w:w="1170" w:type="dxa"/>
            <w:tcBorders>
              <w:top w:val="nil"/>
              <w:left w:val="nil"/>
              <w:bottom w:val="single" w:sz="4" w:space="0" w:color="auto"/>
              <w:right w:val="single" w:sz="4" w:space="0" w:color="auto"/>
            </w:tcBorders>
            <w:shd w:val="clear" w:color="auto" w:fill="D9D9D9" w:themeFill="background1" w:themeFillShade="D9"/>
            <w:vAlign w:val="center"/>
            <w:hideMark/>
          </w:tcPr>
          <w:p w:rsidR="00B01B54" w:rsidRPr="00B01B54" w:rsidP="00B01B54" w14:paraId="5AA51F69" w14:textId="6EBE5B1F">
            <w:pPr>
              <w:widowControl/>
              <w:overflowPunct/>
              <w:autoSpaceDE/>
              <w:autoSpaceDN/>
              <w:adjustRightInd/>
              <w:jc w:val="right"/>
              <w:textAlignment w:val="auto"/>
              <w:rPr>
                <w:b/>
                <w:bCs/>
                <w:sz w:val="18"/>
                <w:szCs w:val="18"/>
              </w:rPr>
            </w:pPr>
            <w:r w:rsidRPr="00B01B54">
              <w:rPr>
                <w:b/>
                <w:bCs/>
                <w:sz w:val="18"/>
                <w:szCs w:val="18"/>
              </w:rPr>
              <w:t>1,017,195</w:t>
            </w:r>
          </w:p>
        </w:tc>
        <w:tc>
          <w:tcPr>
            <w:tcW w:w="1107" w:type="dxa"/>
            <w:tcBorders>
              <w:top w:val="nil"/>
              <w:left w:val="nil"/>
              <w:bottom w:val="single" w:sz="4" w:space="0" w:color="auto"/>
              <w:right w:val="single" w:sz="4" w:space="0" w:color="auto"/>
            </w:tcBorders>
            <w:shd w:val="clear" w:color="auto" w:fill="D9D9D9" w:themeFill="background1" w:themeFillShade="D9"/>
            <w:vAlign w:val="center"/>
            <w:hideMark/>
          </w:tcPr>
          <w:p w:rsidR="00B01B54" w:rsidRPr="00B01B54" w:rsidP="00B01B54" w14:paraId="0BB2D936" w14:textId="4C3E0CD9">
            <w:pPr>
              <w:widowControl/>
              <w:overflowPunct/>
              <w:autoSpaceDE/>
              <w:autoSpaceDN/>
              <w:adjustRightInd/>
              <w:jc w:val="right"/>
              <w:textAlignment w:val="auto"/>
              <w:rPr>
                <w:b/>
                <w:bCs/>
                <w:sz w:val="18"/>
                <w:szCs w:val="18"/>
              </w:rPr>
            </w:pPr>
            <w:r w:rsidRPr="00B01B54">
              <w:rPr>
                <w:b/>
                <w:bCs/>
                <w:sz w:val="18"/>
                <w:szCs w:val="18"/>
              </w:rPr>
              <w:t>0.71</w:t>
            </w:r>
          </w:p>
        </w:tc>
        <w:tc>
          <w:tcPr>
            <w:tcW w:w="1053" w:type="dxa"/>
            <w:tcBorders>
              <w:top w:val="nil"/>
              <w:left w:val="nil"/>
              <w:bottom w:val="single" w:sz="4" w:space="0" w:color="auto"/>
              <w:right w:val="single" w:sz="4" w:space="0" w:color="auto"/>
            </w:tcBorders>
            <w:shd w:val="clear" w:color="auto" w:fill="D9D9D9" w:themeFill="background1" w:themeFillShade="D9"/>
            <w:vAlign w:val="center"/>
            <w:hideMark/>
          </w:tcPr>
          <w:p w:rsidR="00B01B54" w:rsidRPr="00B01B54" w:rsidP="00B01B54" w14:paraId="6743ACD4" w14:textId="2D5EFBF8">
            <w:pPr>
              <w:widowControl/>
              <w:overflowPunct/>
              <w:autoSpaceDE/>
              <w:autoSpaceDN/>
              <w:adjustRightInd/>
              <w:jc w:val="right"/>
              <w:textAlignment w:val="auto"/>
              <w:rPr>
                <w:b/>
                <w:bCs/>
                <w:sz w:val="18"/>
                <w:szCs w:val="18"/>
              </w:rPr>
            </w:pPr>
            <w:r w:rsidRPr="00B01B54">
              <w:rPr>
                <w:b/>
                <w:bCs/>
                <w:sz w:val="18"/>
                <w:szCs w:val="18"/>
              </w:rPr>
              <w:t>721,334</w:t>
            </w:r>
          </w:p>
        </w:tc>
        <w:tc>
          <w:tcPr>
            <w:tcW w:w="1170" w:type="dxa"/>
            <w:tcBorders>
              <w:top w:val="nil"/>
              <w:left w:val="nil"/>
              <w:bottom w:val="single" w:sz="4" w:space="0" w:color="auto"/>
              <w:right w:val="single" w:sz="4" w:space="0" w:color="auto"/>
            </w:tcBorders>
            <w:shd w:val="clear" w:color="auto" w:fill="D9D9D9" w:themeFill="background1" w:themeFillShade="D9"/>
            <w:vAlign w:val="center"/>
            <w:hideMark/>
          </w:tcPr>
          <w:p w:rsidR="00B01B54" w:rsidRPr="00D422D6" w:rsidP="00B01B54" w14:paraId="2A4A3468" w14:textId="0AC5F628">
            <w:pPr>
              <w:widowControl/>
              <w:overflowPunct/>
              <w:autoSpaceDE/>
              <w:autoSpaceDN/>
              <w:adjustRightInd/>
              <w:jc w:val="right"/>
              <w:textAlignment w:val="auto"/>
              <w:rPr>
                <w:b/>
                <w:bCs/>
                <w:i/>
                <w:iCs/>
                <w:sz w:val="18"/>
                <w:szCs w:val="18"/>
              </w:rPr>
            </w:pPr>
            <w:r w:rsidRPr="00D422D6">
              <w:rPr>
                <w:b/>
                <w:bCs/>
                <w:i/>
                <w:iCs/>
                <w:sz w:val="18"/>
                <w:szCs w:val="18"/>
              </w:rPr>
              <w:t>2,703,339</w:t>
            </w:r>
          </w:p>
        </w:tc>
        <w:tc>
          <w:tcPr>
            <w:tcW w:w="1363" w:type="dxa"/>
            <w:tcBorders>
              <w:top w:val="nil"/>
              <w:left w:val="nil"/>
              <w:bottom w:val="single" w:sz="4" w:space="0" w:color="auto"/>
              <w:right w:val="single" w:sz="4" w:space="0" w:color="auto"/>
            </w:tcBorders>
            <w:shd w:val="clear" w:color="auto" w:fill="D9D9D9" w:themeFill="background1" w:themeFillShade="D9"/>
            <w:vAlign w:val="center"/>
          </w:tcPr>
          <w:p w:rsidR="00B01B54" w:rsidRPr="00B01B54" w:rsidP="00B01B54" w14:paraId="7BC94921" w14:textId="7CD7EFEE">
            <w:pPr>
              <w:widowControl/>
              <w:overflowPunct/>
              <w:autoSpaceDE/>
              <w:autoSpaceDN/>
              <w:adjustRightInd/>
              <w:jc w:val="right"/>
              <w:textAlignment w:val="auto"/>
              <w:rPr>
                <w:b/>
                <w:bCs/>
                <w:sz w:val="18"/>
                <w:szCs w:val="18"/>
              </w:rPr>
            </w:pPr>
            <w:r w:rsidRPr="00B01B54">
              <w:rPr>
                <w:b/>
                <w:bCs/>
                <w:sz w:val="18"/>
                <w:szCs w:val="18"/>
              </w:rPr>
              <w:t>-1,588,149</w:t>
            </w:r>
          </w:p>
        </w:tc>
        <w:tc>
          <w:tcPr>
            <w:tcW w:w="1242" w:type="dxa"/>
            <w:tcBorders>
              <w:top w:val="nil"/>
              <w:left w:val="nil"/>
              <w:bottom w:val="single" w:sz="4" w:space="0" w:color="auto"/>
              <w:right w:val="single" w:sz="4" w:space="0" w:color="auto"/>
            </w:tcBorders>
            <w:shd w:val="clear" w:color="auto" w:fill="D9D9D9" w:themeFill="background1" w:themeFillShade="D9"/>
            <w:vAlign w:val="center"/>
          </w:tcPr>
          <w:p w:rsidR="00B01B54" w:rsidRPr="00B01B54" w:rsidP="00B01B54" w14:paraId="74075E89" w14:textId="3B6877AD">
            <w:pPr>
              <w:widowControl/>
              <w:overflowPunct/>
              <w:autoSpaceDE/>
              <w:autoSpaceDN/>
              <w:adjustRightInd/>
              <w:jc w:val="right"/>
              <w:textAlignment w:val="auto"/>
              <w:rPr>
                <w:b/>
                <w:bCs/>
                <w:sz w:val="18"/>
                <w:szCs w:val="18"/>
              </w:rPr>
            </w:pPr>
            <w:r w:rsidRPr="00B01B54">
              <w:rPr>
                <w:b/>
                <w:bCs/>
                <w:sz w:val="18"/>
                <w:szCs w:val="18"/>
              </w:rPr>
              <w:t>-393,856</w:t>
            </w:r>
          </w:p>
        </w:tc>
        <w:tc>
          <w:tcPr>
            <w:tcW w:w="1265" w:type="dxa"/>
            <w:tcBorders>
              <w:top w:val="nil"/>
              <w:left w:val="nil"/>
              <w:bottom w:val="single" w:sz="4" w:space="0" w:color="auto"/>
              <w:right w:val="single" w:sz="4" w:space="0" w:color="auto"/>
            </w:tcBorders>
            <w:shd w:val="clear" w:color="auto" w:fill="D9D9D9" w:themeFill="background1" w:themeFillShade="D9"/>
            <w:vAlign w:val="center"/>
          </w:tcPr>
          <w:p w:rsidR="00B01B54" w:rsidRPr="00B01B54" w:rsidP="00B01B54" w14:paraId="59C2AF2B" w14:textId="72C4938B">
            <w:pPr>
              <w:widowControl/>
              <w:overflowPunct/>
              <w:autoSpaceDE/>
              <w:autoSpaceDN/>
              <w:adjustRightInd/>
              <w:jc w:val="right"/>
              <w:textAlignment w:val="auto"/>
              <w:rPr>
                <w:b/>
                <w:bCs/>
                <w:sz w:val="18"/>
                <w:szCs w:val="18"/>
              </w:rPr>
            </w:pPr>
            <w:r w:rsidRPr="00B01B54">
              <w:rPr>
                <w:b/>
                <w:bCs/>
                <w:sz w:val="18"/>
                <w:szCs w:val="18"/>
              </w:rPr>
              <w:t>-1,982,005</w:t>
            </w:r>
          </w:p>
        </w:tc>
      </w:tr>
    </w:tbl>
    <w:p w:rsidR="004F471A" w:rsidP="00891240" w14:paraId="589A38BA" w14:textId="27D8E4E7">
      <w:pPr>
        <w:widowControl/>
        <w:autoSpaceDE/>
        <w:autoSpaceDN/>
        <w:adjustRightInd/>
        <w:spacing w:line="480" w:lineRule="auto"/>
        <w:rPr>
          <w:szCs w:val="24"/>
        </w:rPr>
        <w:sectPr w:rsidSect="0055107E">
          <w:endnotePr>
            <w:numFmt w:val="decimal"/>
          </w:endnotePr>
          <w:pgSz w:w="15840" w:h="12240" w:orient="landscape"/>
          <w:pgMar w:top="1440" w:right="1440" w:bottom="1440" w:left="1440" w:header="1440" w:footer="720" w:gutter="0"/>
          <w:cols w:space="720"/>
          <w:noEndnote/>
          <w:docGrid w:linePitch="326"/>
        </w:sectPr>
      </w:pPr>
    </w:p>
    <w:p w:rsidR="00F52A2F" w:rsidP="7906DF26" w14:paraId="56B74C07" w14:textId="5BC0377F">
      <w:pPr>
        <w:suppressAutoHyphens/>
        <w:spacing w:line="480" w:lineRule="auto"/>
      </w:pPr>
      <w:r>
        <w:t xml:space="preserve">The </w:t>
      </w:r>
      <w:r w:rsidR="00515F09">
        <w:t>overall e</w:t>
      </w:r>
      <w:r>
        <w:t>stimated burden for this information collection</w:t>
      </w:r>
      <w:r w:rsidR="00212DF1">
        <w:t>,</w:t>
      </w:r>
      <w:r>
        <w:t xml:space="preserve"> including the number of respondents, frequency of response, average time to respond</w:t>
      </w:r>
      <w:r w:rsidR="008A3B28">
        <w:t>,</w:t>
      </w:r>
      <w:r>
        <w:t xml:space="preserve"> and annual burden </w:t>
      </w:r>
      <w:r w:rsidR="008469C0">
        <w:t>hours</w:t>
      </w:r>
      <w:r w:rsidR="00212DF1">
        <w:t>,</w:t>
      </w:r>
      <w:r w:rsidR="008469C0">
        <w:t xml:space="preserve"> </w:t>
      </w:r>
      <w:r w:rsidR="00696C2E">
        <w:t>is</w:t>
      </w:r>
      <w:r>
        <w:t xml:space="preserve"> shown in t</w:t>
      </w:r>
      <w:r w:rsidRPr="007C44E0">
        <w:t xml:space="preserve">he attached </w:t>
      </w:r>
      <w:r w:rsidRPr="007C44E0" w:rsidR="00187842">
        <w:t xml:space="preserve">Appendix </w:t>
      </w:r>
      <w:r w:rsidRPr="007C44E0" w:rsidR="004D4F87">
        <w:t>O</w:t>
      </w:r>
      <w:r w:rsidRPr="007C44E0" w:rsidR="00090EBB">
        <w:t>:</w:t>
      </w:r>
      <w:r w:rsidRPr="007C44E0" w:rsidR="00904D3A">
        <w:t xml:space="preserve"> </w:t>
      </w:r>
      <w:r w:rsidRPr="007C44E0" w:rsidR="006B2877">
        <w:t>WIC</w:t>
      </w:r>
      <w:r w:rsidR="006B2877">
        <w:t xml:space="preserve"> Burden Table</w:t>
      </w:r>
      <w:r>
        <w:t xml:space="preserve">. </w:t>
      </w:r>
      <w:r w:rsidR="00CD4E0F">
        <w:t>The table below provides a</w:t>
      </w:r>
      <w:r>
        <w:t xml:space="preserve"> summary of the</w:t>
      </w:r>
      <w:r w:rsidR="00306A7A">
        <w:t xml:space="preserve"> revised burden estimates</w:t>
      </w:r>
      <w:r w:rsidR="00D96D03">
        <w:t>:</w:t>
      </w:r>
    </w:p>
    <w:tbl>
      <w:tblPr>
        <w:tblW w:w="5000" w:type="pct"/>
        <w:tblLayout w:type="fixed"/>
        <w:tblLook w:val="04A0"/>
      </w:tblPr>
      <w:tblGrid>
        <w:gridCol w:w="2829"/>
        <w:gridCol w:w="1891"/>
        <w:gridCol w:w="2971"/>
        <w:gridCol w:w="1659"/>
      </w:tblGrid>
      <w:tr w14:paraId="2B3B51E7" w14:textId="1A91BB43" w:rsidTr="007C44E0">
        <w:tblPrEx>
          <w:tblW w:w="5000" w:type="pct"/>
          <w:tblLayout w:type="fixed"/>
          <w:tblLook w:val="04A0"/>
        </w:tblPrEx>
        <w:trPr>
          <w:trHeight w:val="260"/>
        </w:trPr>
        <w:tc>
          <w:tcPr>
            <w:tcW w:w="5000" w:type="pct"/>
            <w:gridSpan w:val="4"/>
            <w:tcBorders>
              <w:top w:val="single" w:sz="4" w:space="0" w:color="auto"/>
              <w:left w:val="single" w:sz="4" w:space="0" w:color="auto"/>
              <w:bottom w:val="single" w:sz="4" w:space="0" w:color="auto"/>
              <w:right w:val="single" w:sz="4" w:space="0" w:color="auto"/>
            </w:tcBorders>
          </w:tcPr>
          <w:p w:rsidR="00911FB6" w:rsidRPr="143D9942" w14:paraId="0704F9B8" w14:textId="77777777">
            <w:pPr>
              <w:jc w:val="center"/>
              <w:rPr>
                <w:b/>
                <w:sz w:val="22"/>
                <w:szCs w:val="22"/>
              </w:rPr>
            </w:pPr>
            <w:r w:rsidRPr="143D9942">
              <w:rPr>
                <w:b/>
                <w:sz w:val="22"/>
                <w:szCs w:val="22"/>
              </w:rPr>
              <w:t>Summary of Requested Burden Revisions to # 0584-0043</w:t>
            </w:r>
          </w:p>
        </w:tc>
      </w:tr>
      <w:tr w14:paraId="0AF546BA" w14:textId="1F08800D" w:rsidTr="007C44E0">
        <w:tblPrEx>
          <w:tblW w:w="5000" w:type="pct"/>
          <w:tblLayout w:type="fixed"/>
          <w:tblLook w:val="04A0"/>
        </w:tblPrEx>
        <w:trPr>
          <w:trHeight w:val="260"/>
        </w:trPr>
        <w:tc>
          <w:tcPr>
            <w:tcW w:w="1513" w:type="pct"/>
            <w:tcBorders>
              <w:top w:val="single" w:sz="4" w:space="0" w:color="auto"/>
              <w:left w:val="single" w:sz="4" w:space="0" w:color="auto"/>
              <w:bottom w:val="single" w:sz="4" w:space="0" w:color="auto"/>
              <w:right w:val="single" w:sz="4" w:space="0" w:color="auto"/>
            </w:tcBorders>
            <w:noWrap/>
            <w:vAlign w:val="bottom"/>
            <w:hideMark/>
          </w:tcPr>
          <w:p w:rsidR="00911FB6" w:rsidRPr="00F52A2F" w:rsidP="00691119" w14:paraId="1DC1D1CD" w14:textId="77777777">
            <w:pPr>
              <w:rPr>
                <w:sz w:val="20"/>
                <w:szCs w:val="16"/>
              </w:rPr>
            </w:pPr>
            <w:r w:rsidRPr="00F52A2F">
              <w:rPr>
                <w:sz w:val="20"/>
                <w:szCs w:val="16"/>
              </w:rPr>
              <w:t> </w:t>
            </w:r>
          </w:p>
        </w:tc>
        <w:tc>
          <w:tcPr>
            <w:tcW w:w="1011" w:type="pct"/>
            <w:tcBorders>
              <w:top w:val="single" w:sz="4" w:space="0" w:color="auto"/>
              <w:left w:val="nil"/>
              <w:bottom w:val="single" w:sz="4" w:space="0" w:color="auto"/>
              <w:right w:val="single" w:sz="4" w:space="0" w:color="auto"/>
            </w:tcBorders>
            <w:vAlign w:val="center"/>
          </w:tcPr>
          <w:p w:rsidR="00911FB6" w:rsidRPr="00911FB6" w:rsidP="00691119" w14:paraId="2F9A78DF" w14:textId="57B05387">
            <w:pPr>
              <w:rPr>
                <w:b/>
                <w:sz w:val="20"/>
                <w:szCs w:val="16"/>
              </w:rPr>
            </w:pPr>
            <w:r w:rsidRPr="00911FB6">
              <w:rPr>
                <w:b/>
                <w:sz w:val="20"/>
                <w:szCs w:val="16"/>
              </w:rPr>
              <w:t>Burden Currently Approved</w:t>
            </w:r>
          </w:p>
        </w:tc>
        <w:tc>
          <w:tcPr>
            <w:tcW w:w="1589" w:type="pct"/>
            <w:tcBorders>
              <w:top w:val="single" w:sz="4" w:space="0" w:color="auto"/>
              <w:left w:val="single" w:sz="4" w:space="0" w:color="auto"/>
              <w:bottom w:val="single" w:sz="4" w:space="0" w:color="auto"/>
              <w:right w:val="single" w:sz="4" w:space="0" w:color="auto"/>
            </w:tcBorders>
            <w:noWrap/>
            <w:vAlign w:val="center"/>
          </w:tcPr>
          <w:p w:rsidR="00911FB6" w:rsidRPr="00911FB6" w:rsidP="00691119" w14:paraId="23C2EB7A" w14:textId="659F6D78">
            <w:pPr>
              <w:rPr>
                <w:b/>
                <w:sz w:val="20"/>
                <w:szCs w:val="16"/>
              </w:rPr>
            </w:pPr>
            <w:r w:rsidRPr="00911FB6">
              <w:rPr>
                <w:b/>
                <w:sz w:val="20"/>
                <w:szCs w:val="16"/>
              </w:rPr>
              <w:t>Projected Respondents/</w:t>
            </w:r>
            <w:r w:rsidR="00D422D6">
              <w:rPr>
                <w:b/>
                <w:sz w:val="20"/>
                <w:szCs w:val="16"/>
              </w:rPr>
              <w:t xml:space="preserve"> </w:t>
            </w:r>
            <w:r w:rsidRPr="00911FB6">
              <w:rPr>
                <w:b/>
                <w:sz w:val="20"/>
                <w:szCs w:val="16"/>
              </w:rPr>
              <w:t xml:space="preserve">Responses/Burden Due </w:t>
            </w:r>
          </w:p>
          <w:p w:rsidR="00911FB6" w:rsidRPr="00911FB6" w:rsidP="00691119" w14:paraId="541BBCDB" w14:textId="2EB9AA31">
            <w:pPr>
              <w:rPr>
                <w:b/>
                <w:sz w:val="20"/>
                <w:szCs w:val="16"/>
              </w:rPr>
            </w:pPr>
            <w:r w:rsidRPr="00911FB6">
              <w:rPr>
                <w:b/>
                <w:sz w:val="20"/>
                <w:szCs w:val="16"/>
              </w:rPr>
              <w:t>to Final Rule</w:t>
            </w:r>
          </w:p>
        </w:tc>
        <w:tc>
          <w:tcPr>
            <w:tcW w:w="887" w:type="pct"/>
            <w:tcBorders>
              <w:top w:val="single" w:sz="4" w:space="0" w:color="auto"/>
              <w:left w:val="single" w:sz="4" w:space="0" w:color="auto"/>
              <w:bottom w:val="single" w:sz="4" w:space="0" w:color="auto"/>
              <w:right w:val="single" w:sz="4" w:space="0" w:color="auto"/>
            </w:tcBorders>
            <w:vAlign w:val="center"/>
          </w:tcPr>
          <w:p w:rsidR="00911FB6" w:rsidRPr="00911FB6" w:rsidP="00D422D6" w14:paraId="47290017" w14:textId="09F70AA1">
            <w:pPr>
              <w:rPr>
                <w:b/>
                <w:sz w:val="20"/>
                <w:szCs w:val="16"/>
              </w:rPr>
            </w:pPr>
            <w:r w:rsidRPr="00911FB6">
              <w:rPr>
                <w:b/>
                <w:sz w:val="20"/>
                <w:szCs w:val="16"/>
              </w:rPr>
              <w:t xml:space="preserve">Difference </w:t>
            </w:r>
          </w:p>
        </w:tc>
      </w:tr>
      <w:tr w14:paraId="7D3E02FE" w14:textId="4893D841" w:rsidTr="007C44E0">
        <w:tblPrEx>
          <w:tblW w:w="5000" w:type="pct"/>
          <w:tblLayout w:type="fixed"/>
          <w:tblLook w:val="04A0"/>
        </w:tblPrEx>
        <w:trPr>
          <w:trHeight w:val="521"/>
        </w:trPr>
        <w:tc>
          <w:tcPr>
            <w:tcW w:w="1513" w:type="pct"/>
            <w:tcBorders>
              <w:top w:val="single" w:sz="4" w:space="0" w:color="auto"/>
              <w:left w:val="single" w:sz="4" w:space="0" w:color="auto"/>
              <w:bottom w:val="single" w:sz="4" w:space="0" w:color="auto"/>
              <w:right w:val="single" w:sz="4" w:space="0" w:color="auto"/>
            </w:tcBorders>
            <w:noWrap/>
            <w:vAlign w:val="center"/>
            <w:hideMark/>
          </w:tcPr>
          <w:p w:rsidR="00911FB6" w:rsidRPr="002754E9" w:rsidP="00911FB6" w14:paraId="7EA71546" w14:textId="111CAE31">
            <w:pPr>
              <w:rPr>
                <w:b/>
                <w:sz w:val="22"/>
                <w:szCs w:val="18"/>
              </w:rPr>
            </w:pPr>
            <w:r>
              <w:rPr>
                <w:b/>
                <w:sz w:val="22"/>
                <w:szCs w:val="18"/>
              </w:rPr>
              <w:t>Grand Total Respondents</w:t>
            </w:r>
          </w:p>
        </w:tc>
        <w:tc>
          <w:tcPr>
            <w:tcW w:w="1011" w:type="pct"/>
            <w:tcBorders>
              <w:top w:val="single" w:sz="4" w:space="0" w:color="auto"/>
              <w:left w:val="nil"/>
              <w:bottom w:val="single" w:sz="4" w:space="0" w:color="auto"/>
              <w:right w:val="single" w:sz="4" w:space="0" w:color="auto"/>
            </w:tcBorders>
            <w:vAlign w:val="center"/>
          </w:tcPr>
          <w:p w:rsidR="00911FB6" w:rsidRPr="00911FB6" w:rsidP="00C07CAC" w14:paraId="6AE8181C" w14:textId="35A1D9F4">
            <w:pPr>
              <w:jc w:val="center"/>
              <w:rPr>
                <w:sz w:val="22"/>
                <w:szCs w:val="22"/>
              </w:rPr>
            </w:pPr>
            <w:r w:rsidRPr="00911FB6">
              <w:rPr>
                <w:sz w:val="22"/>
                <w:szCs w:val="22"/>
              </w:rPr>
              <w:t>6,283,126</w:t>
            </w:r>
          </w:p>
        </w:tc>
        <w:tc>
          <w:tcPr>
            <w:tcW w:w="1589" w:type="pct"/>
            <w:tcBorders>
              <w:top w:val="single" w:sz="4" w:space="0" w:color="auto"/>
              <w:left w:val="single" w:sz="4" w:space="0" w:color="auto"/>
              <w:bottom w:val="single" w:sz="4" w:space="0" w:color="auto"/>
              <w:right w:val="single" w:sz="4" w:space="0" w:color="auto"/>
            </w:tcBorders>
            <w:noWrap/>
            <w:vAlign w:val="center"/>
          </w:tcPr>
          <w:p w:rsidR="00911FB6" w:rsidRPr="00911FB6" w:rsidP="00C07CAC" w14:paraId="64F1E9C6" w14:textId="7314068E">
            <w:pPr>
              <w:jc w:val="center"/>
              <w:rPr>
                <w:sz w:val="22"/>
                <w:szCs w:val="18"/>
              </w:rPr>
            </w:pPr>
            <w:r w:rsidRPr="00911FB6">
              <w:rPr>
                <w:sz w:val="22"/>
                <w:szCs w:val="18"/>
              </w:rPr>
              <w:t>6,747,052,527</w:t>
            </w:r>
          </w:p>
        </w:tc>
        <w:tc>
          <w:tcPr>
            <w:tcW w:w="887" w:type="pct"/>
            <w:tcBorders>
              <w:top w:val="single" w:sz="4" w:space="0" w:color="auto"/>
              <w:left w:val="single" w:sz="4" w:space="0" w:color="auto"/>
              <w:bottom w:val="single" w:sz="4" w:space="0" w:color="auto"/>
              <w:right w:val="single" w:sz="4" w:space="0" w:color="auto"/>
            </w:tcBorders>
            <w:vAlign w:val="center"/>
          </w:tcPr>
          <w:p w:rsidR="00911FB6" w:rsidRPr="00911FB6" w:rsidP="00C07CAC" w14:paraId="2FA237A8" w14:textId="5BD7BE0A">
            <w:pPr>
              <w:jc w:val="center"/>
              <w:rPr>
                <w:sz w:val="22"/>
                <w:szCs w:val="18"/>
              </w:rPr>
            </w:pPr>
            <w:r w:rsidRPr="00911FB6">
              <w:rPr>
                <w:sz w:val="22"/>
                <w:szCs w:val="18"/>
              </w:rPr>
              <w:t>463,926</w:t>
            </w:r>
          </w:p>
        </w:tc>
      </w:tr>
      <w:tr w14:paraId="0F92A041" w14:textId="18297962" w:rsidTr="007C44E0">
        <w:tblPrEx>
          <w:tblW w:w="5000" w:type="pct"/>
          <w:tblLayout w:type="fixed"/>
          <w:tblLook w:val="04A0"/>
        </w:tblPrEx>
        <w:trPr>
          <w:trHeight w:val="260"/>
        </w:trPr>
        <w:tc>
          <w:tcPr>
            <w:tcW w:w="1513" w:type="pct"/>
            <w:tcBorders>
              <w:top w:val="single" w:sz="4" w:space="0" w:color="auto"/>
              <w:left w:val="single" w:sz="4" w:space="0" w:color="auto"/>
              <w:bottom w:val="single" w:sz="4" w:space="0" w:color="auto"/>
              <w:right w:val="single" w:sz="4" w:space="0" w:color="auto"/>
            </w:tcBorders>
            <w:noWrap/>
            <w:vAlign w:val="center"/>
            <w:hideMark/>
          </w:tcPr>
          <w:p w:rsidR="00911FB6" w:rsidP="00911FB6" w14:paraId="2A545531" w14:textId="05BF9507">
            <w:pPr>
              <w:rPr>
                <w:b/>
                <w:sz w:val="22"/>
                <w:szCs w:val="18"/>
              </w:rPr>
            </w:pPr>
            <w:r>
              <w:rPr>
                <w:b/>
                <w:sz w:val="22"/>
                <w:szCs w:val="18"/>
              </w:rPr>
              <w:t>Grand Total</w:t>
            </w:r>
          </w:p>
          <w:p w:rsidR="00911FB6" w:rsidRPr="002754E9" w:rsidP="00911FB6" w14:paraId="595D7756" w14:textId="1D1784F4">
            <w:pPr>
              <w:rPr>
                <w:b/>
                <w:sz w:val="22"/>
                <w:szCs w:val="18"/>
              </w:rPr>
            </w:pPr>
            <w:r>
              <w:rPr>
                <w:b/>
                <w:sz w:val="22"/>
                <w:szCs w:val="18"/>
              </w:rPr>
              <w:t>Responses</w:t>
            </w:r>
          </w:p>
        </w:tc>
        <w:tc>
          <w:tcPr>
            <w:tcW w:w="1011" w:type="pct"/>
            <w:tcBorders>
              <w:top w:val="single" w:sz="4" w:space="0" w:color="auto"/>
              <w:left w:val="nil"/>
              <w:bottom w:val="single" w:sz="4" w:space="0" w:color="auto"/>
              <w:right w:val="single" w:sz="4" w:space="0" w:color="auto"/>
            </w:tcBorders>
            <w:vAlign w:val="center"/>
          </w:tcPr>
          <w:p w:rsidR="00911FB6" w:rsidRPr="00911FB6" w:rsidP="00C07CAC" w14:paraId="71B80591" w14:textId="1F797613">
            <w:pPr>
              <w:jc w:val="center"/>
              <w:rPr>
                <w:sz w:val="22"/>
                <w:szCs w:val="18"/>
              </w:rPr>
            </w:pPr>
            <w:r w:rsidRPr="00911FB6">
              <w:rPr>
                <w:sz w:val="22"/>
                <w:szCs w:val="18"/>
              </w:rPr>
              <w:t>67,867,960</w:t>
            </w:r>
          </w:p>
        </w:tc>
        <w:tc>
          <w:tcPr>
            <w:tcW w:w="1589" w:type="pct"/>
            <w:tcBorders>
              <w:top w:val="single" w:sz="4" w:space="0" w:color="auto"/>
              <w:left w:val="single" w:sz="4" w:space="0" w:color="auto"/>
              <w:bottom w:val="single" w:sz="4" w:space="0" w:color="auto"/>
              <w:right w:val="single" w:sz="4" w:space="0" w:color="auto"/>
            </w:tcBorders>
            <w:noWrap/>
            <w:vAlign w:val="center"/>
          </w:tcPr>
          <w:p w:rsidR="00911FB6" w:rsidRPr="00911FB6" w:rsidP="00C07CAC" w14:paraId="3BBA7806" w14:textId="20F248CD">
            <w:pPr>
              <w:jc w:val="center"/>
              <w:rPr>
                <w:sz w:val="22"/>
                <w:szCs w:val="18"/>
              </w:rPr>
            </w:pPr>
            <w:r w:rsidRPr="00911FB6">
              <w:rPr>
                <w:sz w:val="22"/>
                <w:szCs w:val="18"/>
              </w:rPr>
              <w:t>64,229,802</w:t>
            </w:r>
          </w:p>
        </w:tc>
        <w:tc>
          <w:tcPr>
            <w:tcW w:w="887" w:type="pct"/>
            <w:tcBorders>
              <w:top w:val="single" w:sz="4" w:space="0" w:color="auto"/>
              <w:left w:val="single" w:sz="4" w:space="0" w:color="auto"/>
              <w:bottom w:val="single" w:sz="4" w:space="0" w:color="auto"/>
              <w:right w:val="single" w:sz="4" w:space="0" w:color="auto"/>
            </w:tcBorders>
            <w:vAlign w:val="center"/>
          </w:tcPr>
          <w:p w:rsidR="00911FB6" w:rsidRPr="00911FB6" w:rsidP="00C07CAC" w14:paraId="7B9B4AD4" w14:textId="56529FC5">
            <w:pPr>
              <w:jc w:val="center"/>
              <w:rPr>
                <w:sz w:val="22"/>
                <w:szCs w:val="18"/>
              </w:rPr>
            </w:pPr>
            <w:r w:rsidRPr="00911FB6">
              <w:rPr>
                <w:sz w:val="22"/>
                <w:szCs w:val="18"/>
              </w:rPr>
              <w:t>-3,638,158</w:t>
            </w:r>
          </w:p>
        </w:tc>
      </w:tr>
      <w:tr w14:paraId="17EA31A8" w14:textId="52044172" w:rsidTr="007C44E0">
        <w:tblPrEx>
          <w:tblW w:w="5000" w:type="pct"/>
          <w:tblLayout w:type="fixed"/>
          <w:tblLook w:val="04A0"/>
        </w:tblPrEx>
        <w:trPr>
          <w:trHeight w:val="270"/>
        </w:trPr>
        <w:tc>
          <w:tcPr>
            <w:tcW w:w="1513" w:type="pct"/>
            <w:tcBorders>
              <w:top w:val="single" w:sz="4" w:space="0" w:color="auto"/>
              <w:left w:val="single" w:sz="4" w:space="0" w:color="auto"/>
              <w:bottom w:val="single" w:sz="4" w:space="0" w:color="auto"/>
              <w:right w:val="single" w:sz="4" w:space="0" w:color="auto"/>
            </w:tcBorders>
            <w:noWrap/>
            <w:vAlign w:val="center"/>
            <w:hideMark/>
          </w:tcPr>
          <w:p w:rsidR="00911FB6" w:rsidP="00911FB6" w14:paraId="12C9EE42" w14:textId="21C4DAF4">
            <w:pPr>
              <w:rPr>
                <w:b/>
                <w:sz w:val="22"/>
                <w:szCs w:val="18"/>
              </w:rPr>
            </w:pPr>
            <w:r>
              <w:rPr>
                <w:b/>
                <w:sz w:val="22"/>
                <w:szCs w:val="18"/>
              </w:rPr>
              <w:t>Grand Total Annual</w:t>
            </w:r>
          </w:p>
          <w:p w:rsidR="00911FB6" w:rsidRPr="002754E9" w:rsidP="00911FB6" w14:paraId="06EB9F5D" w14:textId="50060A67">
            <w:pPr>
              <w:rPr>
                <w:b/>
                <w:sz w:val="22"/>
                <w:szCs w:val="18"/>
              </w:rPr>
            </w:pPr>
            <w:r>
              <w:rPr>
                <w:b/>
                <w:sz w:val="22"/>
                <w:szCs w:val="18"/>
              </w:rPr>
              <w:t>Burden Hours</w:t>
            </w:r>
          </w:p>
        </w:tc>
        <w:tc>
          <w:tcPr>
            <w:tcW w:w="1011" w:type="pct"/>
            <w:tcBorders>
              <w:top w:val="single" w:sz="4" w:space="0" w:color="auto"/>
              <w:left w:val="nil"/>
              <w:bottom w:val="single" w:sz="4" w:space="0" w:color="auto"/>
              <w:right w:val="single" w:sz="4" w:space="0" w:color="auto"/>
            </w:tcBorders>
            <w:vAlign w:val="center"/>
          </w:tcPr>
          <w:p w:rsidR="00911FB6" w:rsidRPr="00911FB6" w:rsidP="00C07CAC" w14:paraId="184D59FA" w14:textId="75FD1DFD">
            <w:pPr>
              <w:jc w:val="center"/>
              <w:rPr>
                <w:sz w:val="22"/>
                <w:szCs w:val="22"/>
              </w:rPr>
            </w:pPr>
            <w:r w:rsidRPr="00911FB6">
              <w:rPr>
                <w:sz w:val="22"/>
                <w:szCs w:val="22"/>
              </w:rPr>
              <w:t>17,362,904</w:t>
            </w:r>
          </w:p>
        </w:tc>
        <w:tc>
          <w:tcPr>
            <w:tcW w:w="1589" w:type="pct"/>
            <w:tcBorders>
              <w:top w:val="single" w:sz="4" w:space="0" w:color="auto"/>
              <w:left w:val="single" w:sz="4" w:space="0" w:color="auto"/>
              <w:bottom w:val="single" w:sz="4" w:space="0" w:color="auto"/>
              <w:right w:val="single" w:sz="4" w:space="0" w:color="auto"/>
            </w:tcBorders>
            <w:noWrap/>
            <w:vAlign w:val="center"/>
          </w:tcPr>
          <w:p w:rsidR="00911FB6" w:rsidRPr="00911FB6" w:rsidP="00C07CAC" w14:paraId="6A817F38" w14:textId="5B6F1914">
            <w:pPr>
              <w:jc w:val="center"/>
              <w:rPr>
                <w:sz w:val="22"/>
                <w:szCs w:val="18"/>
              </w:rPr>
            </w:pPr>
            <w:r w:rsidRPr="00911FB6">
              <w:rPr>
                <w:sz w:val="22"/>
                <w:szCs w:val="18"/>
              </w:rPr>
              <w:t>15,380,899</w:t>
            </w:r>
          </w:p>
        </w:tc>
        <w:tc>
          <w:tcPr>
            <w:tcW w:w="887" w:type="pct"/>
            <w:tcBorders>
              <w:top w:val="single" w:sz="4" w:space="0" w:color="auto"/>
              <w:left w:val="single" w:sz="4" w:space="0" w:color="auto"/>
              <w:bottom w:val="single" w:sz="4" w:space="0" w:color="auto"/>
              <w:right w:val="single" w:sz="4" w:space="0" w:color="auto"/>
            </w:tcBorders>
            <w:vAlign w:val="center"/>
          </w:tcPr>
          <w:p w:rsidR="00911FB6" w:rsidRPr="00911FB6" w:rsidP="00C07CAC" w14:paraId="04FA786A" w14:textId="4A95DA1D">
            <w:pPr>
              <w:jc w:val="center"/>
              <w:rPr>
                <w:sz w:val="22"/>
                <w:szCs w:val="18"/>
              </w:rPr>
            </w:pPr>
            <w:r w:rsidRPr="00911FB6">
              <w:rPr>
                <w:sz w:val="22"/>
                <w:szCs w:val="18"/>
              </w:rPr>
              <w:t>-1,982,005</w:t>
            </w:r>
          </w:p>
        </w:tc>
      </w:tr>
    </w:tbl>
    <w:p w:rsidR="00917830" w:rsidRPr="008C272C" w:rsidP="00672E66" w14:paraId="024BA885" w14:textId="4F4C75B7">
      <w:pPr>
        <w:contextualSpacing/>
        <w:rPr>
          <w:b/>
          <w:i/>
          <w:iCs/>
          <w:sz w:val="22"/>
          <w:szCs w:val="22"/>
        </w:rPr>
      </w:pPr>
      <w:r w:rsidRPr="008C272C">
        <w:rPr>
          <w:i/>
          <w:iCs/>
          <w:sz w:val="22"/>
          <w:szCs w:val="22"/>
        </w:rPr>
        <w:t xml:space="preserve">NOTE: Total responses and burden hours shown above are </w:t>
      </w:r>
      <w:r w:rsidRPr="007C44E0">
        <w:rPr>
          <w:i/>
          <w:iCs/>
          <w:sz w:val="22"/>
          <w:szCs w:val="22"/>
        </w:rPr>
        <w:t xml:space="preserve">calculated based on Appendix </w:t>
      </w:r>
      <w:r w:rsidRPr="007C44E0" w:rsidR="004D4F87">
        <w:rPr>
          <w:i/>
          <w:iCs/>
          <w:sz w:val="22"/>
          <w:szCs w:val="22"/>
        </w:rPr>
        <w:t>O</w:t>
      </w:r>
      <w:r w:rsidRPr="007C44E0" w:rsidR="00090EBB">
        <w:rPr>
          <w:i/>
          <w:iCs/>
          <w:sz w:val="22"/>
          <w:szCs w:val="22"/>
        </w:rPr>
        <w:t>:</w:t>
      </w:r>
      <w:r w:rsidRPr="007C44E0" w:rsidR="002754E9">
        <w:rPr>
          <w:i/>
          <w:iCs/>
          <w:sz w:val="22"/>
          <w:szCs w:val="22"/>
        </w:rPr>
        <w:t xml:space="preserve"> WIC Burden Table</w:t>
      </w:r>
      <w:r w:rsidRPr="007C44E0" w:rsidR="00C017B5">
        <w:rPr>
          <w:b/>
          <w:i/>
          <w:iCs/>
          <w:sz w:val="22"/>
          <w:szCs w:val="22"/>
        </w:rPr>
        <w:t xml:space="preserve"> </w:t>
      </w:r>
      <w:r w:rsidRPr="007C44E0" w:rsidR="00C017B5">
        <w:rPr>
          <w:bCs/>
          <w:i/>
          <w:iCs/>
          <w:sz w:val="22"/>
          <w:szCs w:val="22"/>
        </w:rPr>
        <w:t xml:space="preserve">and </w:t>
      </w:r>
      <w:r w:rsidRPr="007C44E0" w:rsidR="00DB3059">
        <w:rPr>
          <w:bCs/>
          <w:i/>
          <w:iCs/>
          <w:sz w:val="22"/>
          <w:szCs w:val="22"/>
        </w:rPr>
        <w:t>are</w:t>
      </w:r>
      <w:r w:rsidRPr="007C44E0" w:rsidR="00C017B5">
        <w:rPr>
          <w:bCs/>
          <w:i/>
          <w:iCs/>
          <w:sz w:val="22"/>
          <w:szCs w:val="22"/>
        </w:rPr>
        <w:t xml:space="preserve"> rounded </w:t>
      </w:r>
      <w:r w:rsidRPr="007C44E0" w:rsidR="00DB3059">
        <w:rPr>
          <w:bCs/>
          <w:i/>
          <w:iCs/>
          <w:sz w:val="22"/>
          <w:szCs w:val="22"/>
        </w:rPr>
        <w:t>to the nearest whole number</w:t>
      </w:r>
      <w:r w:rsidRPr="007C44E0" w:rsidR="00B84976">
        <w:rPr>
          <w:bCs/>
          <w:i/>
          <w:iCs/>
          <w:sz w:val="22"/>
          <w:szCs w:val="22"/>
        </w:rPr>
        <w:t>.</w:t>
      </w:r>
    </w:p>
    <w:p w:rsidR="00F673EB" w:rsidP="00F673EB" w14:paraId="500F4132" w14:textId="77777777">
      <w:pPr>
        <w:tabs>
          <w:tab w:val="left" w:pos="0"/>
        </w:tabs>
        <w:suppressAutoHyphens/>
        <w:rPr>
          <w:b/>
          <w:szCs w:val="24"/>
        </w:rPr>
      </w:pPr>
    </w:p>
    <w:p w:rsidR="00191FCA" w:rsidP="00191FCA" w14:paraId="4AC73B7A" w14:textId="77777777">
      <w:pPr>
        <w:tabs>
          <w:tab w:val="left" w:pos="0"/>
        </w:tabs>
        <w:suppressAutoHyphens/>
        <w:rPr>
          <w:b/>
          <w:szCs w:val="24"/>
        </w:rPr>
      </w:pPr>
    </w:p>
    <w:p w:rsidR="00D87EEE" w:rsidRPr="00042EC2" w:rsidP="00D87EEE" w14:paraId="024246E5" w14:textId="77777777">
      <w:pPr>
        <w:tabs>
          <w:tab w:val="left" w:pos="0"/>
        </w:tabs>
        <w:suppressAutoHyphens/>
        <w:rPr>
          <w:b/>
          <w:szCs w:val="24"/>
        </w:rPr>
      </w:pPr>
      <w:r w:rsidRPr="00042EC2">
        <w:rPr>
          <w:b/>
          <w:szCs w:val="24"/>
        </w:rPr>
        <w:t>B.</w:t>
      </w:r>
      <w:r w:rsidRPr="00042EC2">
        <w:rPr>
          <w:b/>
          <w:szCs w:val="24"/>
        </w:rPr>
        <w:tab/>
        <w:t>Provide estimates of annualized cost to respondents for the hour burdens for collections of information, identifying and using appropriate wage rate categories.</w:t>
      </w:r>
    </w:p>
    <w:p w:rsidR="00A308DB" w:rsidRPr="002568E6" w:rsidP="1C8A951B" w14:paraId="372ACF1D" w14:textId="77777777">
      <w:pPr>
        <w:suppressAutoHyphens/>
        <w:rPr>
          <w:b/>
          <w:szCs w:val="24"/>
        </w:rPr>
      </w:pPr>
    </w:p>
    <w:tbl>
      <w:tblPr>
        <w:tblW w:w="93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75"/>
        <w:gridCol w:w="1710"/>
        <w:gridCol w:w="1440"/>
        <w:gridCol w:w="2464"/>
      </w:tblGrid>
      <w:tr w14:paraId="217871FC" w14:textId="77777777" w:rsidTr="4FE94C9D">
        <w:tblPrEx>
          <w:tblW w:w="93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55"/>
          <w:tblHeader/>
          <w:jc w:val="center"/>
        </w:trPr>
        <w:tc>
          <w:tcPr>
            <w:tcW w:w="3775" w:type="dxa"/>
            <w:tcBorders>
              <w:top w:val="single" w:sz="4" w:space="0" w:color="auto"/>
              <w:left w:val="single" w:sz="4" w:space="0" w:color="auto"/>
              <w:bottom w:val="single" w:sz="4" w:space="0" w:color="auto"/>
              <w:right w:val="single" w:sz="4" w:space="0" w:color="auto"/>
            </w:tcBorders>
            <w:vAlign w:val="center"/>
          </w:tcPr>
          <w:p w:rsidR="004F38E1" w:rsidRPr="00672E5B" w:rsidP="00C4502B" w14:paraId="00584E13" w14:textId="2A504CFC">
            <w:pPr>
              <w:widowControl/>
              <w:autoSpaceDE/>
              <w:autoSpaceDN/>
              <w:adjustRightInd/>
              <w:spacing w:line="480" w:lineRule="auto"/>
              <w:jc w:val="center"/>
              <w:rPr>
                <w:b/>
                <w:bCs/>
                <w:sz w:val="20"/>
              </w:rPr>
            </w:pPr>
            <w:r>
              <w:rPr>
                <w:b/>
                <w:bCs/>
                <w:sz w:val="20"/>
              </w:rPr>
              <w:t>Respondent Type</w:t>
            </w:r>
          </w:p>
        </w:tc>
        <w:tc>
          <w:tcPr>
            <w:tcW w:w="1710" w:type="dxa"/>
            <w:tcBorders>
              <w:top w:val="single" w:sz="4" w:space="0" w:color="auto"/>
              <w:left w:val="single" w:sz="4" w:space="0" w:color="auto"/>
              <w:bottom w:val="single" w:sz="4" w:space="0" w:color="auto"/>
              <w:right w:val="single" w:sz="4" w:space="0" w:color="auto"/>
            </w:tcBorders>
            <w:noWrap/>
            <w:vAlign w:val="center"/>
          </w:tcPr>
          <w:p w:rsidR="004F38E1" w:rsidRPr="00672E5B" w:rsidP="00D71E5C" w14:paraId="56B7EDC4" w14:textId="6A628AD4">
            <w:pPr>
              <w:widowControl/>
              <w:autoSpaceDE/>
              <w:autoSpaceDN/>
              <w:adjustRightInd/>
              <w:rPr>
                <w:b/>
                <w:bCs/>
                <w:sz w:val="20"/>
              </w:rPr>
            </w:pPr>
            <w:r>
              <w:rPr>
                <w:b/>
                <w:bCs/>
                <w:sz w:val="20"/>
              </w:rPr>
              <w:t xml:space="preserve">Estimated Total Burden </w:t>
            </w:r>
            <w:r w:rsidRPr="00672E5B">
              <w:rPr>
                <w:b/>
                <w:bCs/>
                <w:sz w:val="20"/>
              </w:rPr>
              <w:t>Hours</w:t>
            </w:r>
          </w:p>
        </w:tc>
        <w:tc>
          <w:tcPr>
            <w:tcW w:w="1440" w:type="dxa"/>
            <w:tcBorders>
              <w:top w:val="single" w:sz="4" w:space="0" w:color="auto"/>
              <w:left w:val="single" w:sz="4" w:space="0" w:color="auto"/>
              <w:bottom w:val="single" w:sz="4" w:space="0" w:color="auto"/>
              <w:right w:val="single" w:sz="4" w:space="0" w:color="auto"/>
            </w:tcBorders>
            <w:noWrap/>
            <w:vAlign w:val="center"/>
          </w:tcPr>
          <w:p w:rsidR="004F38E1" w:rsidRPr="00672E5B" w:rsidP="00D71E5C" w14:paraId="69296140" w14:textId="4870136D">
            <w:pPr>
              <w:widowControl/>
              <w:autoSpaceDE/>
              <w:autoSpaceDN/>
              <w:adjustRightInd/>
              <w:rPr>
                <w:b/>
                <w:bCs/>
                <w:sz w:val="20"/>
              </w:rPr>
            </w:pPr>
            <w:r>
              <w:rPr>
                <w:b/>
                <w:bCs/>
                <w:sz w:val="20"/>
              </w:rPr>
              <w:t>Estimated Hourly Mean Wage*</w:t>
            </w:r>
          </w:p>
        </w:tc>
        <w:tc>
          <w:tcPr>
            <w:tcW w:w="2464" w:type="dxa"/>
            <w:tcBorders>
              <w:top w:val="single" w:sz="4" w:space="0" w:color="auto"/>
              <w:left w:val="single" w:sz="4" w:space="0" w:color="auto"/>
              <w:bottom w:val="single" w:sz="4" w:space="0" w:color="auto"/>
              <w:right w:val="single" w:sz="4" w:space="0" w:color="auto"/>
            </w:tcBorders>
            <w:noWrap/>
            <w:vAlign w:val="center"/>
          </w:tcPr>
          <w:p w:rsidR="004F38E1" w:rsidP="00D71E5C" w14:paraId="2690C0D0" w14:textId="77777777">
            <w:pPr>
              <w:widowControl/>
              <w:autoSpaceDE/>
              <w:autoSpaceDN/>
              <w:adjustRightInd/>
              <w:rPr>
                <w:b/>
                <w:bCs/>
                <w:sz w:val="20"/>
              </w:rPr>
            </w:pPr>
            <w:r>
              <w:rPr>
                <w:b/>
                <w:bCs/>
                <w:sz w:val="20"/>
              </w:rPr>
              <w:t>Total Annual</w:t>
            </w:r>
            <w:r w:rsidRPr="00672E5B">
              <w:rPr>
                <w:b/>
                <w:bCs/>
                <w:sz w:val="20"/>
              </w:rPr>
              <w:t xml:space="preserve"> Respondent</w:t>
            </w:r>
            <w:r>
              <w:rPr>
                <w:b/>
                <w:bCs/>
                <w:sz w:val="20"/>
              </w:rPr>
              <w:t xml:space="preserve"> Cost</w:t>
            </w:r>
          </w:p>
          <w:p w:rsidR="009D4706" w:rsidRPr="00672E5B" w:rsidP="4FE94C9D" w14:paraId="4A0AF57C" w14:textId="4790B9D1">
            <w:pPr>
              <w:widowControl/>
              <w:autoSpaceDE/>
              <w:autoSpaceDN/>
              <w:adjustRightInd/>
              <w:rPr>
                <w:b/>
                <w:bCs/>
                <w:sz w:val="20"/>
              </w:rPr>
            </w:pPr>
            <w:r w:rsidRPr="4FE94C9D">
              <w:rPr>
                <w:b/>
                <w:bCs/>
                <w:sz w:val="20"/>
              </w:rPr>
              <w:t>(base annual cost + 33</w:t>
            </w:r>
            <w:r w:rsidR="002F6D33">
              <w:rPr>
                <w:b/>
                <w:bCs/>
                <w:sz w:val="20"/>
              </w:rPr>
              <w:t xml:space="preserve"> </w:t>
            </w:r>
            <w:r w:rsidRPr="4FE94C9D" w:rsidR="4646F0A3">
              <w:rPr>
                <w:b/>
                <w:bCs/>
                <w:sz w:val="20"/>
              </w:rPr>
              <w:t>percent</w:t>
            </w:r>
            <w:r w:rsidRPr="4FE94C9D">
              <w:rPr>
                <w:b/>
                <w:bCs/>
                <w:sz w:val="20"/>
              </w:rPr>
              <w:t>)</w:t>
            </w:r>
          </w:p>
        </w:tc>
      </w:tr>
      <w:tr w14:paraId="667F9B00" w14:textId="77777777" w:rsidTr="4FE94C9D">
        <w:tblPrEx>
          <w:tblW w:w="9389" w:type="dxa"/>
          <w:jc w:val="center"/>
          <w:tblLook w:val="0000"/>
        </w:tblPrEx>
        <w:trPr>
          <w:trHeight w:val="432"/>
          <w:jc w:val="center"/>
        </w:trPr>
        <w:tc>
          <w:tcPr>
            <w:tcW w:w="3775" w:type="dxa"/>
            <w:tcBorders>
              <w:top w:val="single" w:sz="4" w:space="0" w:color="auto"/>
              <w:left w:val="single" w:sz="4" w:space="0" w:color="auto"/>
              <w:bottom w:val="single" w:sz="4" w:space="0" w:color="auto"/>
              <w:right w:val="single" w:sz="4" w:space="0" w:color="auto"/>
            </w:tcBorders>
            <w:vAlign w:val="center"/>
          </w:tcPr>
          <w:p w:rsidR="00931EE4" w:rsidRPr="004F38E1" w:rsidP="004B5299" w14:paraId="24B9A584" w14:textId="39911BE5">
            <w:pPr>
              <w:widowControl/>
              <w:autoSpaceDE/>
              <w:autoSpaceDN/>
              <w:adjustRightInd/>
            </w:pPr>
            <w:r w:rsidRPr="4FE94C9D">
              <w:rPr>
                <w:color w:val="000000" w:themeColor="text1"/>
              </w:rPr>
              <w:t>#0584-0043 State agency staff</w:t>
            </w:r>
          </w:p>
        </w:tc>
        <w:tc>
          <w:tcPr>
            <w:tcW w:w="1710" w:type="dxa"/>
            <w:tcBorders>
              <w:top w:val="single" w:sz="4" w:space="0" w:color="auto"/>
              <w:left w:val="single" w:sz="4" w:space="0" w:color="auto"/>
              <w:bottom w:val="single" w:sz="4" w:space="0" w:color="auto"/>
              <w:right w:val="single" w:sz="4" w:space="0" w:color="auto"/>
            </w:tcBorders>
            <w:noWrap/>
            <w:vAlign w:val="center"/>
          </w:tcPr>
          <w:p w:rsidR="00931EE4" w:rsidRPr="004F38E1" w:rsidP="004B5299" w14:paraId="010F920C" w14:textId="6D585DCB">
            <w:pPr>
              <w:widowControl/>
              <w:autoSpaceDE/>
              <w:autoSpaceDN/>
              <w:adjustRightInd/>
              <w:jc w:val="right"/>
              <w:rPr>
                <w:szCs w:val="24"/>
              </w:rPr>
            </w:pPr>
            <w:r w:rsidRPr="00EF22D3">
              <w:t xml:space="preserve"> 171,204.76 </w:t>
            </w:r>
          </w:p>
        </w:tc>
        <w:tc>
          <w:tcPr>
            <w:tcW w:w="1440" w:type="dxa"/>
            <w:tcBorders>
              <w:top w:val="single" w:sz="4" w:space="0" w:color="auto"/>
              <w:left w:val="single" w:sz="4" w:space="0" w:color="auto"/>
              <w:bottom w:val="single" w:sz="4" w:space="0" w:color="auto"/>
              <w:right w:val="single" w:sz="4" w:space="0" w:color="auto"/>
            </w:tcBorders>
            <w:noWrap/>
            <w:vAlign w:val="center"/>
          </w:tcPr>
          <w:p w:rsidR="00931EE4" w:rsidRPr="004F38E1" w:rsidP="004B5299" w14:paraId="4D6288B6" w14:textId="30B90B6F">
            <w:pPr>
              <w:widowControl/>
              <w:autoSpaceDE/>
              <w:autoSpaceDN/>
              <w:adjustRightInd/>
              <w:jc w:val="right"/>
              <w:rPr>
                <w:szCs w:val="24"/>
              </w:rPr>
            </w:pPr>
            <w:r w:rsidRPr="004F38E1">
              <w:rPr>
                <w:bCs/>
                <w:szCs w:val="24"/>
              </w:rPr>
              <w:t>$</w:t>
            </w:r>
            <w:r>
              <w:rPr>
                <w:bCs/>
                <w:szCs w:val="24"/>
              </w:rPr>
              <w:t>3</w:t>
            </w:r>
            <w:r w:rsidR="009F2706">
              <w:rPr>
                <w:bCs/>
                <w:szCs w:val="24"/>
              </w:rPr>
              <w:t>8.15</w:t>
            </w:r>
          </w:p>
        </w:tc>
        <w:tc>
          <w:tcPr>
            <w:tcW w:w="2464" w:type="dxa"/>
            <w:tcBorders>
              <w:top w:val="single" w:sz="4" w:space="0" w:color="auto"/>
              <w:left w:val="single" w:sz="4" w:space="0" w:color="auto"/>
              <w:bottom w:val="single" w:sz="4" w:space="0" w:color="auto"/>
              <w:right w:val="single" w:sz="4" w:space="0" w:color="auto"/>
            </w:tcBorders>
            <w:noWrap/>
            <w:vAlign w:val="center"/>
          </w:tcPr>
          <w:p w:rsidR="00931EE4" w:rsidRPr="004F38E1" w:rsidP="004B5299" w14:paraId="58238A5B" w14:textId="45F860A3">
            <w:pPr>
              <w:widowControl/>
              <w:autoSpaceDE/>
              <w:autoSpaceDN/>
              <w:adjustRightInd/>
              <w:jc w:val="right"/>
              <w:rPr>
                <w:szCs w:val="24"/>
              </w:rPr>
            </w:pPr>
            <w:r w:rsidRPr="0047585A">
              <w:rPr>
                <w:szCs w:val="24"/>
              </w:rPr>
              <w:t xml:space="preserve"> $8,</w:t>
            </w:r>
            <w:r w:rsidR="00630281">
              <w:rPr>
                <w:szCs w:val="24"/>
              </w:rPr>
              <w:t>686,843.92</w:t>
            </w:r>
            <w:r w:rsidRPr="0047585A">
              <w:rPr>
                <w:szCs w:val="24"/>
              </w:rPr>
              <w:t xml:space="preserve"> </w:t>
            </w:r>
          </w:p>
        </w:tc>
      </w:tr>
      <w:tr w14:paraId="2BC160CD" w14:textId="77777777" w:rsidTr="4FE94C9D">
        <w:tblPrEx>
          <w:tblW w:w="9389" w:type="dxa"/>
          <w:jc w:val="center"/>
          <w:tblLook w:val="0000"/>
        </w:tblPrEx>
        <w:trPr>
          <w:trHeight w:val="432"/>
          <w:jc w:val="center"/>
        </w:trPr>
        <w:tc>
          <w:tcPr>
            <w:tcW w:w="3775" w:type="dxa"/>
            <w:tcBorders>
              <w:top w:val="single" w:sz="4" w:space="0" w:color="auto"/>
              <w:left w:val="single" w:sz="4" w:space="0" w:color="auto"/>
              <w:bottom w:val="single" w:sz="4" w:space="0" w:color="auto"/>
              <w:right w:val="single" w:sz="4" w:space="0" w:color="auto"/>
            </w:tcBorders>
            <w:vAlign w:val="center"/>
          </w:tcPr>
          <w:p w:rsidR="00931EE4" w:rsidRPr="004F38E1" w:rsidP="004B5299" w14:paraId="486A35F4" w14:textId="77777777">
            <w:pPr>
              <w:widowControl/>
              <w:autoSpaceDE/>
              <w:autoSpaceDN/>
              <w:adjustRightInd/>
              <w:rPr>
                <w:bCs/>
                <w:color w:val="000000"/>
                <w:szCs w:val="24"/>
              </w:rPr>
            </w:pPr>
            <w:r w:rsidRPr="004F38E1">
              <w:rPr>
                <w:szCs w:val="24"/>
              </w:rPr>
              <w:t>#0584-0043 Vendor staff</w:t>
            </w:r>
          </w:p>
        </w:tc>
        <w:tc>
          <w:tcPr>
            <w:tcW w:w="1710" w:type="dxa"/>
            <w:tcBorders>
              <w:top w:val="single" w:sz="4" w:space="0" w:color="auto"/>
              <w:left w:val="single" w:sz="4" w:space="0" w:color="auto"/>
              <w:bottom w:val="single" w:sz="4" w:space="0" w:color="auto"/>
              <w:right w:val="single" w:sz="4" w:space="0" w:color="auto"/>
            </w:tcBorders>
            <w:noWrap/>
            <w:vAlign w:val="center"/>
          </w:tcPr>
          <w:p w:rsidR="00931EE4" w:rsidRPr="004F38E1" w:rsidP="004B5299" w14:paraId="2DA49B26" w14:textId="7EA0BD41">
            <w:pPr>
              <w:widowControl/>
              <w:autoSpaceDE/>
              <w:autoSpaceDN/>
              <w:adjustRightInd/>
              <w:jc w:val="right"/>
              <w:rPr>
                <w:bCs/>
                <w:color w:val="000000"/>
                <w:szCs w:val="24"/>
              </w:rPr>
            </w:pPr>
            <w:r w:rsidRPr="00EF22D3">
              <w:t xml:space="preserve"> 150,135.21 </w:t>
            </w:r>
          </w:p>
        </w:tc>
        <w:tc>
          <w:tcPr>
            <w:tcW w:w="1440" w:type="dxa"/>
            <w:tcBorders>
              <w:top w:val="single" w:sz="4" w:space="0" w:color="auto"/>
              <w:left w:val="single" w:sz="4" w:space="0" w:color="auto"/>
              <w:bottom w:val="single" w:sz="4" w:space="0" w:color="auto"/>
              <w:right w:val="single" w:sz="4" w:space="0" w:color="auto"/>
            </w:tcBorders>
            <w:noWrap/>
            <w:vAlign w:val="center"/>
          </w:tcPr>
          <w:p w:rsidR="00931EE4" w:rsidRPr="004F38E1" w:rsidP="004B5299" w14:paraId="1EE0BB8D" w14:textId="608FF718">
            <w:pPr>
              <w:widowControl/>
              <w:autoSpaceDE/>
              <w:autoSpaceDN/>
              <w:adjustRightInd/>
              <w:jc w:val="right"/>
              <w:rPr>
                <w:bCs/>
                <w:szCs w:val="24"/>
              </w:rPr>
            </w:pPr>
            <w:r w:rsidRPr="004F38E1">
              <w:rPr>
                <w:szCs w:val="24"/>
              </w:rPr>
              <w:t>$</w:t>
            </w:r>
            <w:r w:rsidR="00B53BDB">
              <w:rPr>
                <w:szCs w:val="24"/>
              </w:rPr>
              <w:t>18.</w:t>
            </w:r>
            <w:r w:rsidR="00095E06">
              <w:rPr>
                <w:szCs w:val="24"/>
              </w:rPr>
              <w:t>98</w:t>
            </w:r>
          </w:p>
        </w:tc>
        <w:tc>
          <w:tcPr>
            <w:tcW w:w="2464" w:type="dxa"/>
            <w:tcBorders>
              <w:top w:val="single" w:sz="4" w:space="0" w:color="auto"/>
              <w:left w:val="single" w:sz="4" w:space="0" w:color="auto"/>
              <w:bottom w:val="single" w:sz="4" w:space="0" w:color="auto"/>
              <w:right w:val="single" w:sz="4" w:space="0" w:color="auto"/>
            </w:tcBorders>
            <w:noWrap/>
            <w:vAlign w:val="center"/>
          </w:tcPr>
          <w:p w:rsidR="00931EE4" w:rsidRPr="004F38E1" w:rsidP="004B5299" w14:paraId="2E87D349" w14:textId="0E0743BD">
            <w:pPr>
              <w:widowControl/>
              <w:autoSpaceDE/>
              <w:autoSpaceDN/>
              <w:adjustRightInd/>
              <w:jc w:val="right"/>
              <w:rPr>
                <w:szCs w:val="24"/>
              </w:rPr>
            </w:pPr>
            <w:r w:rsidRPr="00B53BDB">
              <w:rPr>
                <w:szCs w:val="24"/>
              </w:rPr>
              <w:t xml:space="preserve"> $3,</w:t>
            </w:r>
            <w:r w:rsidR="00C308F5">
              <w:rPr>
                <w:szCs w:val="24"/>
              </w:rPr>
              <w:t>789,923.16</w:t>
            </w:r>
            <w:r w:rsidRPr="00B53BDB">
              <w:rPr>
                <w:szCs w:val="24"/>
              </w:rPr>
              <w:t xml:space="preserve"> </w:t>
            </w:r>
          </w:p>
        </w:tc>
      </w:tr>
      <w:tr w14:paraId="22EC2CE2" w14:textId="77777777" w:rsidTr="4FE94C9D">
        <w:tblPrEx>
          <w:tblW w:w="9389" w:type="dxa"/>
          <w:jc w:val="center"/>
          <w:tblLook w:val="0000"/>
        </w:tblPrEx>
        <w:trPr>
          <w:trHeight w:val="432"/>
          <w:jc w:val="center"/>
        </w:trPr>
        <w:tc>
          <w:tcPr>
            <w:tcW w:w="3775" w:type="dxa"/>
            <w:tcBorders>
              <w:top w:val="single" w:sz="4" w:space="0" w:color="auto"/>
              <w:left w:val="single" w:sz="4" w:space="0" w:color="auto"/>
              <w:bottom w:val="single" w:sz="4" w:space="0" w:color="auto"/>
              <w:right w:val="single" w:sz="4" w:space="0" w:color="auto"/>
            </w:tcBorders>
            <w:vAlign w:val="center"/>
          </w:tcPr>
          <w:p w:rsidR="00931EE4" w:rsidRPr="004F38E1" w:rsidP="004B5299" w14:paraId="66E44EC6" w14:textId="37B31639">
            <w:pPr>
              <w:widowControl/>
              <w:autoSpaceDE/>
              <w:autoSpaceDN/>
              <w:adjustRightInd/>
            </w:pPr>
            <w:r>
              <w:t>#0584-0043 Individuals/</w:t>
            </w:r>
            <w:r w:rsidR="00C4C2C3">
              <w:t>h</w:t>
            </w:r>
            <w:r>
              <w:t>ouseholds</w:t>
            </w:r>
          </w:p>
        </w:tc>
        <w:tc>
          <w:tcPr>
            <w:tcW w:w="1710" w:type="dxa"/>
            <w:tcBorders>
              <w:top w:val="single" w:sz="4" w:space="0" w:color="auto"/>
              <w:left w:val="single" w:sz="4" w:space="0" w:color="auto"/>
              <w:bottom w:val="single" w:sz="4" w:space="0" w:color="auto"/>
              <w:right w:val="single" w:sz="4" w:space="0" w:color="auto"/>
            </w:tcBorders>
            <w:noWrap/>
            <w:vAlign w:val="center"/>
          </w:tcPr>
          <w:p w:rsidR="00931EE4" w:rsidP="004B5299" w14:paraId="5FAEECED" w14:textId="493F4944">
            <w:pPr>
              <w:widowControl/>
              <w:autoSpaceDE/>
              <w:autoSpaceDN/>
              <w:adjustRightInd/>
              <w:jc w:val="right"/>
              <w:rPr>
                <w:szCs w:val="24"/>
              </w:rPr>
            </w:pPr>
            <w:r w:rsidRPr="00EF22D3">
              <w:t xml:space="preserve"> 399,994.34 </w:t>
            </w:r>
          </w:p>
        </w:tc>
        <w:tc>
          <w:tcPr>
            <w:tcW w:w="1440" w:type="dxa"/>
            <w:tcBorders>
              <w:top w:val="single" w:sz="4" w:space="0" w:color="auto"/>
              <w:left w:val="single" w:sz="4" w:space="0" w:color="auto"/>
              <w:bottom w:val="single" w:sz="4" w:space="0" w:color="auto"/>
              <w:right w:val="single" w:sz="4" w:space="0" w:color="auto"/>
            </w:tcBorders>
            <w:noWrap/>
            <w:vAlign w:val="center"/>
          </w:tcPr>
          <w:p w:rsidR="00931EE4" w:rsidRPr="004F38E1" w:rsidP="004B5299" w14:paraId="54C4289F" w14:textId="4C041F38">
            <w:pPr>
              <w:widowControl/>
              <w:autoSpaceDE/>
              <w:autoSpaceDN/>
              <w:adjustRightInd/>
              <w:jc w:val="right"/>
              <w:rPr>
                <w:szCs w:val="24"/>
              </w:rPr>
            </w:pPr>
            <w:r>
              <w:rPr>
                <w:szCs w:val="24"/>
              </w:rPr>
              <w:t>$7.25</w:t>
            </w:r>
          </w:p>
        </w:tc>
        <w:tc>
          <w:tcPr>
            <w:tcW w:w="2464" w:type="dxa"/>
            <w:tcBorders>
              <w:top w:val="single" w:sz="4" w:space="0" w:color="auto"/>
              <w:left w:val="single" w:sz="4" w:space="0" w:color="auto"/>
              <w:bottom w:val="single" w:sz="4" w:space="0" w:color="auto"/>
              <w:right w:val="single" w:sz="4" w:space="0" w:color="auto"/>
            </w:tcBorders>
            <w:noWrap/>
            <w:vAlign w:val="center"/>
          </w:tcPr>
          <w:p w:rsidR="00931EE4" w:rsidRPr="004F38E1" w:rsidP="004B5299" w14:paraId="04574484" w14:textId="2901E119">
            <w:pPr>
              <w:widowControl/>
              <w:autoSpaceDE/>
              <w:autoSpaceDN/>
              <w:adjustRightInd/>
              <w:jc w:val="right"/>
              <w:rPr>
                <w:szCs w:val="24"/>
              </w:rPr>
            </w:pPr>
            <w:r w:rsidRPr="00C124A4">
              <w:rPr>
                <w:szCs w:val="24"/>
              </w:rPr>
              <w:t xml:space="preserve"> $3,856,945.40 </w:t>
            </w:r>
          </w:p>
        </w:tc>
      </w:tr>
      <w:tr w14:paraId="2F821E95" w14:textId="77777777" w:rsidTr="4FE94C9D">
        <w:tblPrEx>
          <w:tblW w:w="9389" w:type="dxa"/>
          <w:jc w:val="center"/>
          <w:tblLook w:val="0000"/>
        </w:tblPrEx>
        <w:trPr>
          <w:trHeight w:val="432"/>
          <w:jc w:val="center"/>
        </w:trPr>
        <w:tc>
          <w:tcPr>
            <w:tcW w:w="3775" w:type="dxa"/>
            <w:tcBorders>
              <w:top w:val="single" w:sz="4" w:space="0" w:color="auto"/>
              <w:left w:val="single" w:sz="4" w:space="0" w:color="auto"/>
              <w:bottom w:val="single" w:sz="4" w:space="0" w:color="auto"/>
              <w:right w:val="single" w:sz="4" w:space="0" w:color="auto"/>
            </w:tcBorders>
            <w:noWrap/>
            <w:vAlign w:val="center"/>
          </w:tcPr>
          <w:p w:rsidR="00931EE4" w:rsidRPr="004F38E1" w:rsidP="004B5299" w14:paraId="11B3F82C" w14:textId="77777777">
            <w:pPr>
              <w:widowControl/>
              <w:autoSpaceDE/>
              <w:autoSpaceDN/>
              <w:adjustRightInd/>
              <w:rPr>
                <w:szCs w:val="24"/>
              </w:rPr>
            </w:pPr>
            <w:r w:rsidRPr="004F38E1">
              <w:rPr>
                <w:szCs w:val="24"/>
              </w:rPr>
              <w:t>Totals</w:t>
            </w:r>
          </w:p>
        </w:tc>
        <w:tc>
          <w:tcPr>
            <w:tcW w:w="1710" w:type="dxa"/>
            <w:tcBorders>
              <w:top w:val="single" w:sz="4" w:space="0" w:color="auto"/>
              <w:left w:val="single" w:sz="4" w:space="0" w:color="auto"/>
              <w:bottom w:val="single" w:sz="4" w:space="0" w:color="auto"/>
              <w:right w:val="single" w:sz="4" w:space="0" w:color="auto"/>
            </w:tcBorders>
            <w:noWrap/>
            <w:vAlign w:val="center"/>
          </w:tcPr>
          <w:p w:rsidR="00931EE4" w:rsidRPr="004F38E1" w:rsidP="004B5299" w14:paraId="404475D1" w14:textId="477B7157">
            <w:pPr>
              <w:widowControl/>
              <w:autoSpaceDE/>
              <w:autoSpaceDN/>
              <w:adjustRightInd/>
              <w:jc w:val="right"/>
              <w:rPr>
                <w:szCs w:val="24"/>
              </w:rPr>
            </w:pPr>
            <w:r w:rsidRPr="00EF22D3">
              <w:t xml:space="preserve"> 721,334.31 </w:t>
            </w:r>
          </w:p>
        </w:tc>
        <w:tc>
          <w:tcPr>
            <w:tcW w:w="1440" w:type="dxa"/>
            <w:tcBorders>
              <w:top w:val="single" w:sz="4" w:space="0" w:color="auto"/>
              <w:left w:val="single" w:sz="4" w:space="0" w:color="auto"/>
              <w:bottom w:val="single" w:sz="4" w:space="0" w:color="auto"/>
              <w:right w:val="single" w:sz="4" w:space="0" w:color="auto"/>
            </w:tcBorders>
            <w:noWrap/>
            <w:vAlign w:val="center"/>
          </w:tcPr>
          <w:p w:rsidR="00931EE4" w:rsidRPr="004F38E1" w:rsidP="004B5299" w14:paraId="1D68B7DB" w14:textId="77777777">
            <w:pPr>
              <w:widowControl/>
              <w:autoSpaceDE/>
              <w:autoSpaceDN/>
              <w:adjustRightInd/>
              <w:jc w:val="right"/>
              <w:rPr>
                <w:szCs w:val="24"/>
              </w:rPr>
            </w:pPr>
          </w:p>
        </w:tc>
        <w:tc>
          <w:tcPr>
            <w:tcW w:w="2464" w:type="dxa"/>
            <w:tcBorders>
              <w:top w:val="single" w:sz="4" w:space="0" w:color="auto"/>
              <w:left w:val="single" w:sz="4" w:space="0" w:color="auto"/>
              <w:bottom w:val="single" w:sz="4" w:space="0" w:color="auto"/>
              <w:right w:val="single" w:sz="4" w:space="0" w:color="auto"/>
            </w:tcBorders>
            <w:noWrap/>
            <w:vAlign w:val="center"/>
          </w:tcPr>
          <w:p w:rsidR="00931EE4" w:rsidRPr="004F38E1" w:rsidP="004B5299" w14:paraId="556219BC" w14:textId="30361361">
            <w:pPr>
              <w:widowControl/>
              <w:autoSpaceDE/>
              <w:autoSpaceDN/>
              <w:adjustRightInd/>
              <w:jc w:val="right"/>
              <w:rPr>
                <w:szCs w:val="24"/>
              </w:rPr>
            </w:pPr>
            <w:r w:rsidRPr="00C124A4">
              <w:rPr>
                <w:szCs w:val="24"/>
              </w:rPr>
              <w:t xml:space="preserve"> $1</w:t>
            </w:r>
            <w:r w:rsidR="00F00082">
              <w:rPr>
                <w:szCs w:val="24"/>
              </w:rPr>
              <w:t>6,333,712.48</w:t>
            </w:r>
            <w:r w:rsidRPr="00C124A4">
              <w:rPr>
                <w:szCs w:val="24"/>
              </w:rPr>
              <w:t xml:space="preserve"> </w:t>
            </w:r>
          </w:p>
        </w:tc>
      </w:tr>
    </w:tbl>
    <w:p w:rsidR="004F38E1" w:rsidRPr="00D931F9" w:rsidP="004F38E1" w14:paraId="2DDC1970" w14:textId="2FDC18EE">
      <w:pPr>
        <w:rPr>
          <w:bCs/>
          <w:i/>
          <w:iCs/>
          <w:sz w:val="22"/>
          <w:szCs w:val="22"/>
        </w:rPr>
      </w:pPr>
      <w:r w:rsidRPr="00D931F9">
        <w:rPr>
          <w:bCs/>
          <w:i/>
          <w:iCs/>
          <w:sz w:val="22"/>
          <w:szCs w:val="22"/>
        </w:rPr>
        <w:t xml:space="preserve">* These </w:t>
      </w:r>
      <w:r w:rsidRPr="00D931F9" w:rsidR="00862EB4">
        <w:rPr>
          <w:bCs/>
          <w:i/>
          <w:iCs/>
          <w:sz w:val="22"/>
          <w:szCs w:val="22"/>
        </w:rPr>
        <w:t xml:space="preserve">mean </w:t>
      </w:r>
      <w:r w:rsidRPr="00D931F9">
        <w:rPr>
          <w:bCs/>
          <w:i/>
          <w:iCs/>
          <w:sz w:val="22"/>
          <w:szCs w:val="22"/>
        </w:rPr>
        <w:t>hourly rates were obtained from the U.S. Department of Labor, Bure</w:t>
      </w:r>
      <w:r w:rsidRPr="00D931F9" w:rsidR="00954772">
        <w:rPr>
          <w:bCs/>
          <w:i/>
          <w:iCs/>
          <w:sz w:val="22"/>
          <w:szCs w:val="22"/>
        </w:rPr>
        <w:t xml:space="preserve">au of Labor Statistics, May </w:t>
      </w:r>
      <w:r w:rsidRPr="00D931F9" w:rsidR="005E5C02">
        <w:rPr>
          <w:bCs/>
          <w:i/>
          <w:iCs/>
          <w:sz w:val="22"/>
          <w:szCs w:val="22"/>
        </w:rPr>
        <w:t>202</w:t>
      </w:r>
      <w:r w:rsidR="00687077">
        <w:rPr>
          <w:bCs/>
          <w:i/>
          <w:iCs/>
          <w:sz w:val="22"/>
          <w:szCs w:val="22"/>
        </w:rPr>
        <w:t>5</w:t>
      </w:r>
      <w:r w:rsidRPr="00D931F9" w:rsidR="005E5C02">
        <w:rPr>
          <w:bCs/>
          <w:i/>
          <w:iCs/>
          <w:sz w:val="22"/>
          <w:szCs w:val="22"/>
        </w:rPr>
        <w:t xml:space="preserve"> </w:t>
      </w:r>
      <w:r w:rsidRPr="00D931F9">
        <w:rPr>
          <w:bCs/>
          <w:i/>
          <w:iCs/>
          <w:sz w:val="22"/>
          <w:szCs w:val="22"/>
        </w:rPr>
        <w:t>National Industry-Specific Occupational Employment and Wage Estimates (</w:t>
      </w:r>
      <w:hyperlink r:id="rId13" w:history="1">
        <w:r w:rsidRPr="00D931F9" w:rsidR="00954772">
          <w:rPr>
            <w:rStyle w:val="Hyperlink"/>
            <w:bCs/>
            <w:i/>
            <w:iCs/>
            <w:sz w:val="22"/>
            <w:szCs w:val="22"/>
          </w:rPr>
          <w:t>https://www.bls.gov/oes/current/oessrci.htm</w:t>
        </w:r>
      </w:hyperlink>
      <w:r w:rsidRPr="00D931F9" w:rsidR="00954772">
        <w:rPr>
          <w:bCs/>
          <w:i/>
          <w:iCs/>
          <w:sz w:val="22"/>
          <w:szCs w:val="22"/>
        </w:rPr>
        <w:t>).</w:t>
      </w:r>
      <w:r w:rsidRPr="00D931F9">
        <w:rPr>
          <w:bCs/>
          <w:i/>
          <w:iCs/>
          <w:sz w:val="22"/>
          <w:szCs w:val="22"/>
        </w:rPr>
        <w:t xml:space="preserve">  </w:t>
      </w:r>
    </w:p>
    <w:p w:rsidR="000611E4" w:rsidP="004F38E1" w14:paraId="027A849D" w14:textId="778E96D2">
      <w:pPr>
        <w:spacing w:line="480" w:lineRule="auto"/>
        <w:rPr>
          <w:bCs/>
          <w:szCs w:val="24"/>
        </w:rPr>
      </w:pPr>
    </w:p>
    <w:p w:rsidR="009F2463" w:rsidP="4FE94C9D" w14:paraId="5B880C7C" w14:textId="39F2AF8F">
      <w:pPr>
        <w:pStyle w:val="ListParagraph"/>
        <w:widowControl/>
        <w:numPr>
          <w:ilvl w:val="0"/>
          <w:numId w:val="1"/>
        </w:numPr>
        <w:suppressAutoHyphens w:val="0"/>
        <w:spacing w:after="160"/>
        <w:rPr>
          <w:rFonts w:eastAsiaTheme="minorEastAsia"/>
          <w:color w:val="000000" w:themeColor="text1"/>
        </w:rPr>
      </w:pPr>
      <w:r w:rsidRPr="4FE94C9D">
        <w:rPr>
          <w:color w:val="000000" w:themeColor="text1"/>
        </w:rPr>
        <w:t xml:space="preserve">The average hourly rate for State </w:t>
      </w:r>
      <w:r w:rsidRPr="4FE94C9D" w:rsidR="00A6006C">
        <w:rPr>
          <w:color w:val="000000" w:themeColor="text1"/>
        </w:rPr>
        <w:t xml:space="preserve">agency </w:t>
      </w:r>
      <w:r w:rsidRPr="4FE94C9D">
        <w:rPr>
          <w:color w:val="000000" w:themeColor="text1"/>
        </w:rPr>
        <w:t>staff is $</w:t>
      </w:r>
      <w:r w:rsidRPr="4FE94C9D" w:rsidR="0019467B">
        <w:rPr>
          <w:color w:val="000000" w:themeColor="text1"/>
        </w:rPr>
        <w:t>3</w:t>
      </w:r>
      <w:r w:rsidR="009F2706">
        <w:rPr>
          <w:color w:val="000000" w:themeColor="text1"/>
        </w:rPr>
        <w:t>8.15</w:t>
      </w:r>
      <w:r w:rsidRPr="4FE94C9D">
        <w:rPr>
          <w:color w:val="000000" w:themeColor="text1"/>
        </w:rPr>
        <w:t xml:space="preserve">, which is the mean of </w:t>
      </w:r>
      <w:r w:rsidR="009F2706">
        <w:rPr>
          <w:color w:val="000000" w:themeColor="text1"/>
        </w:rPr>
        <w:t>“</w:t>
      </w:r>
      <w:r w:rsidRPr="4FE94C9D">
        <w:rPr>
          <w:color w:val="000000" w:themeColor="text1"/>
        </w:rPr>
        <w:t>all occupations</w:t>
      </w:r>
      <w:r w:rsidR="009F2706">
        <w:rPr>
          <w:color w:val="000000" w:themeColor="text1"/>
        </w:rPr>
        <w:t>”</w:t>
      </w:r>
      <w:r w:rsidRPr="4FE94C9D">
        <w:rPr>
          <w:color w:val="000000" w:themeColor="text1"/>
        </w:rPr>
        <w:t xml:space="preserve"> for State government data (</w:t>
      </w:r>
      <w:hyperlink r:id="rId14" w:anchor="/industry/999201">
        <w:r w:rsidRPr="4FE94C9D" w:rsidR="004B5299">
          <w:rPr>
            <w:rStyle w:val="Hyperlink"/>
          </w:rPr>
          <w:t>https://data.bls.gov/oes/#/industry/999201</w:t>
        </w:r>
      </w:hyperlink>
      <w:r w:rsidRPr="4FE94C9D">
        <w:rPr>
          <w:color w:val="000000" w:themeColor="text1"/>
        </w:rPr>
        <w:t>). </w:t>
      </w:r>
      <w:r w:rsidRPr="4FE94C9D" w:rsidR="008671F7">
        <w:rPr>
          <w:color w:val="000000" w:themeColor="text1"/>
        </w:rPr>
        <w:t xml:space="preserve">With a burden of </w:t>
      </w:r>
      <w:r w:rsidRPr="4FE94C9D" w:rsidR="00071C8C">
        <w:rPr>
          <w:color w:val="000000" w:themeColor="text1"/>
        </w:rPr>
        <w:t>171,204.76</w:t>
      </w:r>
      <w:r w:rsidR="007259B8">
        <w:t xml:space="preserve"> </w:t>
      </w:r>
      <w:r w:rsidRPr="4FE94C9D" w:rsidR="008671F7">
        <w:rPr>
          <w:color w:val="000000" w:themeColor="text1"/>
        </w:rPr>
        <w:t>hours at $</w:t>
      </w:r>
      <w:r w:rsidRPr="4FE94C9D" w:rsidR="0019467B">
        <w:rPr>
          <w:color w:val="000000" w:themeColor="text1"/>
        </w:rPr>
        <w:t>3</w:t>
      </w:r>
      <w:r w:rsidR="009F2706">
        <w:rPr>
          <w:color w:val="000000" w:themeColor="text1"/>
        </w:rPr>
        <w:t>8.15</w:t>
      </w:r>
      <w:r w:rsidRPr="4FE94C9D" w:rsidR="008671F7">
        <w:rPr>
          <w:color w:val="000000" w:themeColor="text1"/>
        </w:rPr>
        <w:t xml:space="preserve"> per</w:t>
      </w:r>
      <w:r w:rsidRPr="4FE94C9D" w:rsidR="00D10FF8">
        <w:rPr>
          <w:color w:val="000000" w:themeColor="text1"/>
        </w:rPr>
        <w:t xml:space="preserve"> </w:t>
      </w:r>
      <w:r w:rsidRPr="4FE94C9D" w:rsidR="008671F7">
        <w:rPr>
          <w:color w:val="000000" w:themeColor="text1"/>
        </w:rPr>
        <w:t xml:space="preserve">hour, the base annual respondent cost is estimated at </w:t>
      </w:r>
      <w:r w:rsidRPr="4FE94C9D" w:rsidR="00FC0B79">
        <w:rPr>
          <w:color w:val="000000" w:themeColor="text1"/>
        </w:rPr>
        <w:t>$</w:t>
      </w:r>
      <w:r w:rsidRPr="4FE94C9D" w:rsidR="00071C8C">
        <w:rPr>
          <w:color w:val="000000" w:themeColor="text1"/>
        </w:rPr>
        <w:t>6,</w:t>
      </w:r>
      <w:r w:rsidR="001E6F7B">
        <w:rPr>
          <w:color w:val="000000" w:themeColor="text1"/>
        </w:rPr>
        <w:t>531,461.59</w:t>
      </w:r>
      <w:r w:rsidRPr="4FE94C9D" w:rsidR="00F41726">
        <w:rPr>
          <w:color w:val="000000" w:themeColor="text1"/>
        </w:rPr>
        <w:t>.</w:t>
      </w:r>
      <w:r w:rsidRPr="4FE94C9D" w:rsidR="00D10FF8">
        <w:rPr>
          <w:color w:val="000000" w:themeColor="text1"/>
        </w:rPr>
        <w:t xml:space="preserve"> An additional 33</w:t>
      </w:r>
      <w:r w:rsidR="002F6D33">
        <w:rPr>
          <w:color w:val="000000" w:themeColor="text1"/>
        </w:rPr>
        <w:t xml:space="preserve"> </w:t>
      </w:r>
      <w:r w:rsidRPr="4FE94C9D" w:rsidR="4646F0A3">
        <w:rPr>
          <w:color w:val="000000" w:themeColor="text1"/>
        </w:rPr>
        <w:t>percent</w:t>
      </w:r>
      <w:r w:rsidRPr="4FE94C9D" w:rsidR="00D10FF8">
        <w:rPr>
          <w:color w:val="000000" w:themeColor="text1"/>
        </w:rPr>
        <w:t xml:space="preserve"> of the estimated base annual respondent cost must be </w:t>
      </w:r>
      <w:r w:rsidRPr="4FE94C9D" w:rsidR="00D10FF8">
        <w:rPr>
          <w:color w:val="000000" w:themeColor="text1"/>
        </w:rPr>
        <w:t>added to represent fully loaded wages, equaling $</w:t>
      </w:r>
      <w:r w:rsidRPr="4FE94C9D" w:rsidR="00E81402">
        <w:rPr>
          <w:color w:val="000000" w:themeColor="text1"/>
        </w:rPr>
        <w:t>2,</w:t>
      </w:r>
      <w:r w:rsidR="00781D22">
        <w:rPr>
          <w:color w:val="000000" w:themeColor="text1"/>
        </w:rPr>
        <w:t>155,382.33</w:t>
      </w:r>
      <w:r w:rsidRPr="4FE94C9D" w:rsidR="00D10FF8">
        <w:rPr>
          <w:color w:val="000000" w:themeColor="text1"/>
        </w:rPr>
        <w:t>. Thus, the total annual respondent cost is $</w:t>
      </w:r>
      <w:r w:rsidRPr="4FE94C9D" w:rsidR="00E81402">
        <w:rPr>
          <w:color w:val="000000" w:themeColor="text1"/>
        </w:rPr>
        <w:t>8,</w:t>
      </w:r>
      <w:r w:rsidR="00630281">
        <w:rPr>
          <w:color w:val="000000" w:themeColor="text1"/>
        </w:rPr>
        <w:t>686,843.92</w:t>
      </w:r>
      <w:r w:rsidRPr="4FE94C9D" w:rsidR="00FC4A94">
        <w:rPr>
          <w:color w:val="000000" w:themeColor="text1"/>
        </w:rPr>
        <w:t>.</w:t>
      </w:r>
    </w:p>
    <w:p w:rsidR="009F2463" w:rsidRPr="00023AFD" w:rsidP="4FE94C9D" w14:paraId="0D53CEC9" w14:textId="00F65847">
      <w:pPr>
        <w:pStyle w:val="ListParagraph"/>
        <w:widowControl/>
        <w:numPr>
          <w:ilvl w:val="0"/>
          <w:numId w:val="1"/>
        </w:numPr>
        <w:suppressAutoHyphens w:val="0"/>
        <w:spacing w:after="160"/>
        <w:rPr>
          <w:rFonts w:eastAsiaTheme="minorEastAsia"/>
          <w:color w:val="000000" w:themeColor="text1"/>
        </w:rPr>
      </w:pPr>
      <w:r w:rsidRPr="4FE94C9D">
        <w:rPr>
          <w:color w:val="000000" w:themeColor="text1"/>
        </w:rPr>
        <w:t>The average hourly rate for vendor staff is $</w:t>
      </w:r>
      <w:r w:rsidRPr="4FE94C9D" w:rsidR="00501EE0">
        <w:rPr>
          <w:color w:val="000000" w:themeColor="text1"/>
        </w:rPr>
        <w:t>1</w:t>
      </w:r>
      <w:r w:rsidRPr="4FE94C9D" w:rsidR="003C115E">
        <w:rPr>
          <w:color w:val="000000" w:themeColor="text1"/>
        </w:rPr>
        <w:t>8.</w:t>
      </w:r>
      <w:r w:rsidR="00095E06">
        <w:rPr>
          <w:color w:val="000000" w:themeColor="text1"/>
        </w:rPr>
        <w:t>98</w:t>
      </w:r>
      <w:r w:rsidRPr="4FE94C9D">
        <w:rPr>
          <w:color w:val="000000" w:themeColor="text1"/>
        </w:rPr>
        <w:t xml:space="preserve">, which is the mean of </w:t>
      </w:r>
      <w:r w:rsidR="004A1053">
        <w:rPr>
          <w:color w:val="000000" w:themeColor="text1"/>
        </w:rPr>
        <w:t>“</w:t>
      </w:r>
      <w:r w:rsidRPr="4FE94C9D">
        <w:rPr>
          <w:color w:val="000000" w:themeColor="text1"/>
        </w:rPr>
        <w:t>all occupations</w:t>
      </w:r>
      <w:r w:rsidR="004A1053">
        <w:rPr>
          <w:color w:val="000000" w:themeColor="text1"/>
        </w:rPr>
        <w:t>”</w:t>
      </w:r>
      <w:r w:rsidRPr="4FE94C9D">
        <w:rPr>
          <w:color w:val="000000" w:themeColor="text1"/>
        </w:rPr>
        <w:t xml:space="preserve"> </w:t>
      </w:r>
      <w:r w:rsidRPr="4FE94C9D" w:rsidR="00197B06">
        <w:rPr>
          <w:color w:val="000000" w:themeColor="text1"/>
        </w:rPr>
        <w:t xml:space="preserve">for </w:t>
      </w:r>
      <w:r w:rsidRPr="4FE94C9D">
        <w:rPr>
          <w:color w:val="000000" w:themeColor="text1"/>
        </w:rPr>
        <w:t xml:space="preserve">Food and Beverage </w:t>
      </w:r>
      <w:r w:rsidR="004A1053">
        <w:rPr>
          <w:color w:val="000000" w:themeColor="text1"/>
        </w:rPr>
        <w:t>Retailers</w:t>
      </w:r>
      <w:r w:rsidRPr="4FE94C9D" w:rsidR="004A1053">
        <w:rPr>
          <w:color w:val="000000" w:themeColor="text1"/>
        </w:rPr>
        <w:t xml:space="preserve"> </w:t>
      </w:r>
      <w:r w:rsidRPr="4FE94C9D">
        <w:rPr>
          <w:color w:val="000000" w:themeColor="text1"/>
        </w:rPr>
        <w:t>(</w:t>
      </w:r>
      <w:hyperlink r:id="rId14" w:anchor="/industry/4450A1">
        <w:r w:rsidRPr="4FE94C9D" w:rsidR="004B5299">
          <w:rPr>
            <w:rStyle w:val="Hyperlink"/>
          </w:rPr>
          <w:t>https://data.bls.gov/oes/#/industry/4450A1</w:t>
        </w:r>
      </w:hyperlink>
      <w:r w:rsidRPr="4FE94C9D">
        <w:rPr>
          <w:color w:val="000000" w:themeColor="text1"/>
        </w:rPr>
        <w:t>).</w:t>
      </w:r>
      <w:r w:rsidRPr="4FE94C9D" w:rsidR="00197B06">
        <w:rPr>
          <w:color w:val="000000" w:themeColor="text1"/>
        </w:rPr>
        <w:t xml:space="preserve"> </w:t>
      </w:r>
      <w:r w:rsidRPr="4FE94C9D" w:rsidR="00174563">
        <w:rPr>
          <w:color w:val="000000" w:themeColor="text1"/>
        </w:rPr>
        <w:t>With a burden of</w:t>
      </w:r>
      <w:r w:rsidR="004B60E3">
        <w:t xml:space="preserve"> </w:t>
      </w:r>
      <w:r w:rsidR="0074034B">
        <w:t>150,</w:t>
      </w:r>
      <w:r w:rsidR="003C115E">
        <w:t>135.21</w:t>
      </w:r>
      <w:r w:rsidR="007259B8">
        <w:t xml:space="preserve"> </w:t>
      </w:r>
      <w:r w:rsidRPr="4FE94C9D" w:rsidR="00174563">
        <w:rPr>
          <w:color w:val="000000" w:themeColor="text1"/>
        </w:rPr>
        <w:t>hours at $</w:t>
      </w:r>
      <w:r w:rsidRPr="4FE94C9D" w:rsidR="003C115E">
        <w:rPr>
          <w:color w:val="000000" w:themeColor="text1"/>
        </w:rPr>
        <w:t>18.</w:t>
      </w:r>
      <w:r w:rsidR="004A1053">
        <w:rPr>
          <w:color w:val="000000" w:themeColor="text1"/>
        </w:rPr>
        <w:t>98</w:t>
      </w:r>
      <w:r w:rsidRPr="4FE94C9D" w:rsidR="00174563">
        <w:rPr>
          <w:color w:val="000000" w:themeColor="text1"/>
        </w:rPr>
        <w:t xml:space="preserve"> per hour, the base annual respondent cost is estimated at $</w:t>
      </w:r>
      <w:r w:rsidRPr="4FE94C9D" w:rsidR="00294AB5">
        <w:rPr>
          <w:color w:val="000000" w:themeColor="text1"/>
        </w:rPr>
        <w:t>2,</w:t>
      </w:r>
      <w:r w:rsidR="00F24988">
        <w:rPr>
          <w:color w:val="000000" w:themeColor="text1"/>
        </w:rPr>
        <w:t>849,566.29</w:t>
      </w:r>
      <w:r w:rsidRPr="4FE94C9D" w:rsidR="00866DD8">
        <w:rPr>
          <w:color w:val="000000" w:themeColor="text1"/>
        </w:rPr>
        <w:t>.</w:t>
      </w:r>
      <w:r w:rsidRPr="4FE94C9D" w:rsidR="00174563">
        <w:rPr>
          <w:color w:val="000000" w:themeColor="text1"/>
        </w:rPr>
        <w:t xml:space="preserve"> An additional 33</w:t>
      </w:r>
      <w:r w:rsidR="002F6D33">
        <w:rPr>
          <w:color w:val="000000" w:themeColor="text1"/>
        </w:rPr>
        <w:t xml:space="preserve"> </w:t>
      </w:r>
      <w:r w:rsidRPr="4FE94C9D" w:rsidR="4646F0A3">
        <w:rPr>
          <w:color w:val="000000" w:themeColor="text1"/>
        </w:rPr>
        <w:t>percent</w:t>
      </w:r>
      <w:r w:rsidRPr="4FE94C9D" w:rsidR="00174563">
        <w:rPr>
          <w:color w:val="000000" w:themeColor="text1"/>
        </w:rPr>
        <w:t xml:space="preserve"> of the estimated </w:t>
      </w:r>
      <w:r w:rsidRPr="4FE94C9D" w:rsidR="00E92FB8">
        <w:rPr>
          <w:color w:val="000000" w:themeColor="text1"/>
        </w:rPr>
        <w:t xml:space="preserve">base annual respondent cost must be added to represent fully loaded wages, equaling </w:t>
      </w:r>
      <w:r w:rsidRPr="4FE94C9D" w:rsidR="00757D35">
        <w:rPr>
          <w:color w:val="000000" w:themeColor="text1"/>
        </w:rPr>
        <w:t>$</w:t>
      </w:r>
      <w:r w:rsidRPr="4FE94C9D" w:rsidR="0061182E">
        <w:rPr>
          <w:color w:val="000000" w:themeColor="text1"/>
        </w:rPr>
        <w:t>9</w:t>
      </w:r>
      <w:r w:rsidR="00F24988">
        <w:rPr>
          <w:color w:val="000000" w:themeColor="text1"/>
        </w:rPr>
        <w:t>40,356.87</w:t>
      </w:r>
      <w:r w:rsidRPr="4FE94C9D" w:rsidR="00E92FB8">
        <w:rPr>
          <w:color w:val="000000" w:themeColor="text1"/>
        </w:rPr>
        <w:t>. Thus, the total annual respondent cost is $</w:t>
      </w:r>
      <w:r w:rsidR="00294AB5">
        <w:t>3,</w:t>
      </w:r>
      <w:r w:rsidR="00C308F5">
        <w:t>789,923.16</w:t>
      </w:r>
      <w:r w:rsidRPr="4FE94C9D" w:rsidR="00866DD8">
        <w:rPr>
          <w:color w:val="000000" w:themeColor="text1"/>
        </w:rPr>
        <w:t>.</w:t>
      </w:r>
    </w:p>
    <w:p w:rsidR="00F804A4" w:rsidP="4FE94C9D" w14:paraId="6D46FD96" w14:textId="6F730134">
      <w:pPr>
        <w:pStyle w:val="ListParagraph"/>
        <w:widowControl/>
        <w:numPr>
          <w:ilvl w:val="0"/>
          <w:numId w:val="1"/>
        </w:numPr>
        <w:suppressAutoHyphens w:val="0"/>
        <w:spacing w:after="160"/>
        <w:rPr>
          <w:rFonts w:eastAsiaTheme="minorEastAsia"/>
          <w:color w:val="000000" w:themeColor="text1"/>
        </w:rPr>
      </w:pPr>
      <w:r>
        <w:rPr>
          <w:rStyle w:val="normaltextrun"/>
          <w:color w:val="000000"/>
          <w:shd w:val="clear" w:color="auto" w:fill="FFFFFF"/>
        </w:rPr>
        <w:t xml:space="preserve">The $7.25 hourly rate for individuals/households participating in WIC is the Federal minimum wage as of July 2009 (U.S. Department of Labor, </w:t>
      </w:r>
      <w:hyperlink r:id="rId15" w:history="1">
        <w:r w:rsidRPr="00615401" w:rsidR="00D74C92">
          <w:rPr>
            <w:rStyle w:val="Hyperlink"/>
            <w:shd w:val="clear" w:color="auto" w:fill="FFFFFF"/>
          </w:rPr>
          <w:t>https://www.dol.gov/whd/</w:t>
        </w:r>
        <w:r w:rsidRPr="00615401" w:rsidR="00D74C92">
          <w:rPr>
            <w:rStyle w:val="Hyperlink"/>
            <w:shd w:val="clear" w:color="auto" w:fill="FFFFFF"/>
          </w:rPr>
          <w:br/>
          <w:t>minimumwage.htm</w:t>
        </w:r>
      </w:hyperlink>
      <w:r>
        <w:rPr>
          <w:rStyle w:val="normaltextrun"/>
          <w:color w:val="000000"/>
          <w:shd w:val="clear" w:color="auto" w:fill="FFFFFF"/>
        </w:rPr>
        <w:t>)</w:t>
      </w:r>
      <w:r w:rsidR="001C67E2">
        <w:rPr>
          <w:rStyle w:val="normaltextrun"/>
          <w:color w:val="000000"/>
          <w:shd w:val="clear" w:color="auto" w:fill="FFFFFF"/>
        </w:rPr>
        <w:t xml:space="preserve">. With a burden of </w:t>
      </w:r>
      <w:r w:rsidR="0061182E">
        <w:rPr>
          <w:rStyle w:val="normaltextrun"/>
          <w:color w:val="000000"/>
          <w:shd w:val="clear" w:color="auto" w:fill="FFFFFF"/>
        </w:rPr>
        <w:t>399,994.34</w:t>
      </w:r>
      <w:r w:rsidR="001D4F10">
        <w:rPr>
          <w:rStyle w:val="normaltextrun"/>
          <w:color w:val="000000"/>
          <w:shd w:val="clear" w:color="auto" w:fill="FFFFFF"/>
        </w:rPr>
        <w:t xml:space="preserve"> hours at $7.25 per hour, the base annual respondent cost is estimated at $</w:t>
      </w:r>
      <w:r w:rsidR="0027248C">
        <w:rPr>
          <w:rStyle w:val="normaltextrun"/>
          <w:color w:val="000000"/>
          <w:shd w:val="clear" w:color="auto" w:fill="FFFFFF"/>
        </w:rPr>
        <w:t>2,899,958.95</w:t>
      </w:r>
      <w:r w:rsidR="00B13A5B">
        <w:rPr>
          <w:rStyle w:val="normaltextrun"/>
          <w:color w:val="000000"/>
          <w:shd w:val="clear" w:color="auto" w:fill="FFFFFF"/>
        </w:rPr>
        <w:t>. An additional 33</w:t>
      </w:r>
      <w:r w:rsidR="002F6D33">
        <w:rPr>
          <w:rStyle w:val="normaltextrun"/>
          <w:color w:val="000000" w:themeColor="text1"/>
        </w:rPr>
        <w:t xml:space="preserve"> </w:t>
      </w:r>
      <w:r w:rsidR="4646F0A3">
        <w:rPr>
          <w:rStyle w:val="normaltextrun"/>
          <w:color w:val="000000"/>
          <w:shd w:val="clear" w:color="auto" w:fill="FFFFFF"/>
        </w:rPr>
        <w:t>percent</w:t>
      </w:r>
      <w:r w:rsidR="00B13A5B">
        <w:rPr>
          <w:rStyle w:val="normaltextrun"/>
          <w:color w:val="000000"/>
          <w:shd w:val="clear" w:color="auto" w:fill="FFFFFF"/>
        </w:rPr>
        <w:t xml:space="preserve"> of the estimated base annual respondent cost must be added to represent fully loaded wages, equaling $</w:t>
      </w:r>
      <w:r w:rsidR="00C30036">
        <w:rPr>
          <w:rStyle w:val="normaltextrun"/>
          <w:color w:val="000000"/>
          <w:shd w:val="clear" w:color="auto" w:fill="FFFFFF"/>
        </w:rPr>
        <w:t>9</w:t>
      </w:r>
      <w:r w:rsidR="0027248C">
        <w:rPr>
          <w:rStyle w:val="normaltextrun"/>
          <w:color w:val="000000"/>
          <w:shd w:val="clear" w:color="auto" w:fill="FFFFFF"/>
        </w:rPr>
        <w:t>56,986.45</w:t>
      </w:r>
      <w:r w:rsidR="00BE11E9">
        <w:rPr>
          <w:rStyle w:val="normaltextrun"/>
          <w:color w:val="000000"/>
          <w:shd w:val="clear" w:color="auto" w:fill="FFFFFF"/>
        </w:rPr>
        <w:t>. Thus, the total annual respondent cost is $</w:t>
      </w:r>
      <w:r w:rsidR="00C30036">
        <w:rPr>
          <w:rStyle w:val="normaltextrun"/>
          <w:color w:val="000000"/>
          <w:shd w:val="clear" w:color="auto" w:fill="FFFFFF"/>
        </w:rPr>
        <w:t>3,</w:t>
      </w:r>
      <w:r w:rsidR="0027248C">
        <w:rPr>
          <w:rStyle w:val="normaltextrun"/>
          <w:color w:val="000000"/>
          <w:shd w:val="clear" w:color="auto" w:fill="FFFFFF"/>
        </w:rPr>
        <w:t>856,</w:t>
      </w:r>
      <w:r w:rsidR="00B53BDB">
        <w:rPr>
          <w:rStyle w:val="normaltextrun"/>
          <w:color w:val="000000"/>
          <w:shd w:val="clear" w:color="auto" w:fill="FFFFFF"/>
        </w:rPr>
        <w:t>945.40</w:t>
      </w:r>
      <w:r w:rsidR="00BE11E9">
        <w:rPr>
          <w:rStyle w:val="normaltextrun"/>
          <w:color w:val="000000"/>
          <w:shd w:val="clear" w:color="auto" w:fill="FFFFFF"/>
        </w:rPr>
        <w:t>.</w:t>
      </w:r>
      <w:r>
        <w:rPr>
          <w:rStyle w:val="eop"/>
          <w:color w:val="000000"/>
          <w:shd w:val="clear" w:color="auto" w:fill="FFFFFF"/>
        </w:rPr>
        <w:t> </w:t>
      </w:r>
    </w:p>
    <w:p w:rsidR="00ED28F2" w:rsidRPr="009B2FBF" w:rsidP="009B2FBF" w14:paraId="6755AE91" w14:textId="333A9995">
      <w:pPr>
        <w:rPr>
          <w:b/>
          <w:bCs/>
          <w:szCs w:val="24"/>
        </w:rPr>
      </w:pPr>
      <w:r w:rsidRPr="009B2FBF">
        <w:rPr>
          <w:bCs/>
          <w:szCs w:val="24"/>
        </w:rPr>
        <w:t> </w:t>
      </w:r>
    </w:p>
    <w:p w:rsidR="00DB3E8B" w:rsidRPr="00042EC2" w:rsidP="00DB3E8B" w14:paraId="0CD37A48" w14:textId="77777777">
      <w:pPr>
        <w:pStyle w:val="Heading1"/>
      </w:pPr>
      <w:bookmarkStart w:id="34" w:name="_Toc401831369"/>
      <w:bookmarkStart w:id="35" w:name="_Toc83710924"/>
      <w:bookmarkStart w:id="36" w:name="_Toc115788681"/>
      <w:r>
        <w:t>A13.  Estimates of other total annual cost burden.</w:t>
      </w:r>
      <w:bookmarkEnd w:id="34"/>
      <w:bookmarkEnd w:id="35"/>
      <w:bookmarkEnd w:id="36"/>
    </w:p>
    <w:p w:rsidR="00DB3E8B" w:rsidRPr="00042EC2" w:rsidP="00DB3E8B" w14:paraId="2806DB0F" w14:textId="77777777">
      <w:pPr>
        <w:tabs>
          <w:tab w:val="left" w:pos="0"/>
        </w:tabs>
        <w:suppressAutoHyphens/>
        <w:rPr>
          <w:b/>
          <w:szCs w:val="24"/>
        </w:rPr>
      </w:pPr>
    </w:p>
    <w:p w:rsidR="00DB3E8B" w:rsidRPr="00042EC2" w:rsidP="70A00FB5" w14:paraId="2A0EA7CE" w14:textId="77777777">
      <w:pPr>
        <w:suppressAutoHyphens/>
        <w:rPr>
          <w:b/>
        </w:rPr>
      </w:pPr>
      <w:r w:rsidRPr="70A00FB5">
        <w:rPr>
          <w:b/>
        </w:rPr>
        <w:t>Provide estimates of the total annual cost burden to respondents or recordkeepers resulting from the collection of information, (do not include the cost of any hour burden shown in questions 12 and 14).  The cost estimates should be split into two components: (a) a total capital and start-up cost component annualized over its expected useful life; and (b) a total operation and maintenance and purchase of services component.</w:t>
      </w:r>
    </w:p>
    <w:p w:rsidR="00ED28F2" w:rsidRPr="00E426D1" w:rsidP="00E426D1" w14:paraId="36CA6A22" w14:textId="77777777">
      <w:pPr>
        <w:tabs>
          <w:tab w:val="left" w:pos="-720"/>
        </w:tabs>
        <w:suppressAutoHyphens/>
        <w:rPr>
          <w:szCs w:val="24"/>
        </w:rPr>
      </w:pPr>
    </w:p>
    <w:p w:rsidR="00997C7C" w:rsidP="36A235E9" w14:paraId="0C3A2AF0" w14:textId="416C10B3">
      <w:pPr>
        <w:pStyle w:val="paragraph"/>
        <w:spacing w:before="0" w:beforeAutospacing="0" w:after="0" w:afterAutospacing="0" w:line="480" w:lineRule="auto"/>
        <w:textAlignment w:val="baseline"/>
        <w:rPr>
          <w:rFonts w:ascii="Segoe UI" w:hAnsi="Segoe UI" w:cs="Segoe UI"/>
          <w:sz w:val="18"/>
          <w:szCs w:val="18"/>
        </w:rPr>
      </w:pPr>
      <w:r>
        <w:rPr>
          <w:rStyle w:val="normaltextrun"/>
        </w:rPr>
        <w:t>FNA</w:t>
      </w:r>
      <w:r w:rsidRPr="36A235E9" w:rsidR="0045478E">
        <w:rPr>
          <w:rStyle w:val="normaltextrun"/>
        </w:rPr>
        <w:t xml:space="preserve"> estimates that it will cost each of the </w:t>
      </w:r>
      <w:r w:rsidR="001A33FF">
        <w:rPr>
          <w:rStyle w:val="normaltextrun"/>
        </w:rPr>
        <w:t>estimated 44</w:t>
      </w:r>
      <w:r w:rsidRPr="36A235E9" w:rsidR="0045478E">
        <w:rPr>
          <w:rStyle w:val="normaltextrun"/>
        </w:rPr>
        <w:t xml:space="preserve"> WIC State agencies </w:t>
      </w:r>
      <w:r w:rsidR="001A33FF">
        <w:rPr>
          <w:rStyle w:val="normaltextrun"/>
        </w:rPr>
        <w:t xml:space="preserve">implementing online shopping in the next five years </w:t>
      </w:r>
      <w:r w:rsidRPr="36A235E9" w:rsidR="0045478E">
        <w:rPr>
          <w:rStyle w:val="normaltextrun"/>
        </w:rPr>
        <w:t>approximately $</w:t>
      </w:r>
      <w:r w:rsidR="002B793F">
        <w:rPr>
          <w:rStyle w:val="normaltextrun"/>
        </w:rPr>
        <w:t>185,000</w:t>
      </w:r>
      <w:r w:rsidRPr="36A235E9" w:rsidR="0045478E">
        <w:rPr>
          <w:rStyle w:val="normaltextrun"/>
        </w:rPr>
        <w:t xml:space="preserve"> to update their EBT </w:t>
      </w:r>
      <w:r w:rsidR="002B5A75">
        <w:rPr>
          <w:rStyle w:val="normaltextrun"/>
        </w:rPr>
        <w:t xml:space="preserve">and </w:t>
      </w:r>
      <w:r w:rsidR="00E37FEA">
        <w:rPr>
          <w:rStyle w:val="normaltextrun"/>
        </w:rPr>
        <w:t xml:space="preserve">MIS </w:t>
      </w:r>
      <w:r w:rsidRPr="36A235E9" w:rsidR="00E37FEA">
        <w:rPr>
          <w:rStyle w:val="normaltextrun"/>
        </w:rPr>
        <w:t>to</w:t>
      </w:r>
      <w:r w:rsidRPr="36A235E9" w:rsidR="0045478E">
        <w:rPr>
          <w:rStyle w:val="normaltextrun"/>
        </w:rPr>
        <w:t xml:space="preserve"> implement online shopping</w:t>
      </w:r>
      <w:r w:rsidRPr="36A235E9" w:rsidR="00CE0F76">
        <w:rPr>
          <w:rStyle w:val="normaltextrun"/>
        </w:rPr>
        <w:t xml:space="preserve"> in the year that they choose to do so</w:t>
      </w:r>
      <w:r w:rsidRPr="36A235E9" w:rsidR="0045478E">
        <w:rPr>
          <w:rStyle w:val="normaltextrun"/>
        </w:rPr>
        <w:t xml:space="preserve">. </w:t>
      </w:r>
      <w:r w:rsidR="00433B25">
        <w:rPr>
          <w:rStyle w:val="normaltextrun"/>
        </w:rPr>
        <w:t xml:space="preserve">Altogether, these </w:t>
      </w:r>
      <w:r w:rsidR="003B41DD">
        <w:rPr>
          <w:rStyle w:val="normaltextrun"/>
        </w:rPr>
        <w:t>one</w:t>
      </w:r>
      <w:r w:rsidR="002F6D33">
        <w:rPr>
          <w:rStyle w:val="normaltextrun"/>
        </w:rPr>
        <w:t xml:space="preserve"> </w:t>
      </w:r>
      <w:r w:rsidR="00EC0AC0">
        <w:rPr>
          <w:rStyle w:val="normaltextrun"/>
        </w:rPr>
        <w:t>time</w:t>
      </w:r>
      <w:r w:rsidR="00433B25">
        <w:rPr>
          <w:rStyle w:val="normaltextrun"/>
        </w:rPr>
        <w:t xml:space="preserve"> implementation costs would total $</w:t>
      </w:r>
      <w:r w:rsidR="00C308C3">
        <w:rPr>
          <w:rStyle w:val="normaltextrun"/>
        </w:rPr>
        <w:t>8.14</w:t>
      </w:r>
      <w:r w:rsidR="00433B25">
        <w:rPr>
          <w:rStyle w:val="normaltextrun"/>
        </w:rPr>
        <w:t xml:space="preserve"> million. </w:t>
      </w:r>
      <w:r w:rsidRPr="36A235E9" w:rsidR="003C5F81">
        <w:rPr>
          <w:rStyle w:val="normaltextrun"/>
        </w:rPr>
        <w:t>After implementation, the Department anticipates that maintenance of such systems will cost approximately $4,</w:t>
      </w:r>
      <w:r w:rsidR="00B65535">
        <w:rPr>
          <w:rStyle w:val="normaltextrun"/>
        </w:rPr>
        <w:t>5</w:t>
      </w:r>
      <w:r w:rsidRPr="36A235E9" w:rsidR="003C5F81">
        <w:rPr>
          <w:rStyle w:val="normaltextrun"/>
        </w:rPr>
        <w:t xml:space="preserve">00 per month. </w:t>
      </w:r>
      <w:r w:rsidR="00433B25">
        <w:rPr>
          <w:rStyle w:val="normaltextrun"/>
        </w:rPr>
        <w:t xml:space="preserve">Therefore, in an average year following implementation of online shopping in </w:t>
      </w:r>
      <w:r w:rsidR="001A33FF">
        <w:rPr>
          <w:rStyle w:val="normaltextrun"/>
        </w:rPr>
        <w:t xml:space="preserve">44 </w:t>
      </w:r>
      <w:r w:rsidR="00433B25">
        <w:rPr>
          <w:rStyle w:val="normaltextrun"/>
        </w:rPr>
        <w:t>State agencies, these ongoing maintenance costs would tota</w:t>
      </w:r>
      <w:r w:rsidR="009A527A">
        <w:rPr>
          <w:rStyle w:val="normaltextrun"/>
        </w:rPr>
        <w:t>l $</w:t>
      </w:r>
      <w:r w:rsidR="001A33FF">
        <w:rPr>
          <w:rStyle w:val="normaltextrun"/>
        </w:rPr>
        <w:t>2.</w:t>
      </w:r>
      <w:r w:rsidR="000E2A98">
        <w:rPr>
          <w:rStyle w:val="normaltextrun"/>
        </w:rPr>
        <w:t>38</w:t>
      </w:r>
      <w:r w:rsidR="009A527A">
        <w:rPr>
          <w:rStyle w:val="normaltextrun"/>
        </w:rPr>
        <w:t xml:space="preserve"> million. </w:t>
      </w:r>
      <w:r w:rsidRPr="36A235E9" w:rsidR="0045478E">
        <w:rPr>
          <w:rStyle w:val="normaltextrun"/>
        </w:rPr>
        <w:t>Altogether, these implementation costs total $</w:t>
      </w:r>
      <w:r w:rsidR="00761907">
        <w:rPr>
          <w:rStyle w:val="normaltextrun"/>
        </w:rPr>
        <w:t>1</w:t>
      </w:r>
      <w:r w:rsidR="00925DFD">
        <w:rPr>
          <w:rStyle w:val="normaltextrun"/>
        </w:rPr>
        <w:t>0.52</w:t>
      </w:r>
      <w:r w:rsidR="00DA48B2">
        <w:rPr>
          <w:rStyle w:val="normaltextrun"/>
        </w:rPr>
        <w:t xml:space="preserve"> million</w:t>
      </w:r>
      <w:r w:rsidR="002E0821">
        <w:rPr>
          <w:rStyle w:val="normaltextrun"/>
        </w:rPr>
        <w:t>.</w:t>
      </w:r>
      <w:r w:rsidRPr="36A235E9" w:rsidR="0045478E">
        <w:rPr>
          <w:rStyle w:val="normaltextrun"/>
        </w:rPr>
        <w:t xml:space="preserve"> </w:t>
      </w:r>
    </w:p>
    <w:p w:rsidR="00997C7C" w:rsidP="00D048F2" w14:paraId="0D6F87DD" w14:textId="38EDFCCE">
      <w:pPr>
        <w:pStyle w:val="paragraph"/>
        <w:spacing w:before="0" w:beforeAutospacing="0" w:after="0" w:afterAutospacing="0" w:line="480" w:lineRule="auto"/>
        <w:textAlignment w:val="baseline"/>
        <w:rPr>
          <w:rFonts w:ascii="Segoe UI" w:hAnsi="Segoe UI" w:cs="Segoe UI"/>
          <w:sz w:val="18"/>
          <w:szCs w:val="18"/>
        </w:rPr>
      </w:pPr>
      <w:r>
        <w:rPr>
          <w:rStyle w:val="eop"/>
        </w:rPr>
        <w:t>  </w:t>
      </w:r>
    </w:p>
    <w:p w:rsidR="00997C7C" w:rsidP="00D048F2" w14:paraId="0ABBD858" w14:textId="46140D31">
      <w:pPr>
        <w:pStyle w:val="paragraph"/>
        <w:spacing w:before="0" w:beforeAutospacing="0" w:after="0" w:afterAutospacing="0" w:line="480" w:lineRule="auto"/>
        <w:textAlignment w:val="baseline"/>
        <w:rPr>
          <w:rStyle w:val="eop"/>
        </w:rPr>
      </w:pPr>
      <w:r>
        <w:rPr>
          <w:rStyle w:val="normaltextrun"/>
        </w:rPr>
        <w:t xml:space="preserve">The </w:t>
      </w:r>
      <w:r w:rsidR="008D25E9">
        <w:rPr>
          <w:rStyle w:val="normaltextrun"/>
        </w:rPr>
        <w:t xml:space="preserve">final </w:t>
      </w:r>
      <w:r>
        <w:rPr>
          <w:rStyle w:val="normaltextrun"/>
        </w:rPr>
        <w:t>rule add</w:t>
      </w:r>
      <w:r w:rsidR="008D25E9">
        <w:rPr>
          <w:rStyle w:val="normaltextrun"/>
        </w:rPr>
        <w:t>s</w:t>
      </w:r>
      <w:r>
        <w:rPr>
          <w:rStyle w:val="normaltextrun"/>
        </w:rPr>
        <w:t xml:space="preserve"> a provision at</w:t>
      </w:r>
      <w:r>
        <w:rPr>
          <w:rStyle w:val="normaltextrun"/>
          <w:rFonts w:ascii="Segoe UI" w:hAnsi="Segoe UI" w:cs="Segoe UI"/>
        </w:rPr>
        <w:t xml:space="preserve"> § </w:t>
      </w:r>
      <w:r>
        <w:rPr>
          <w:rStyle w:val="normaltextrun"/>
        </w:rPr>
        <w:t>246.12(h)(3)(xxxiii) that allow</w:t>
      </w:r>
      <w:r w:rsidR="008D25E9">
        <w:rPr>
          <w:rStyle w:val="normaltextrun"/>
        </w:rPr>
        <w:t>s</w:t>
      </w:r>
      <w:r>
        <w:rPr>
          <w:rStyle w:val="normaltextrun"/>
        </w:rPr>
        <w:t xml:space="preserve"> WIC participants who choose to shop for supplemental foods online to pay for fees associated with such services using another tender type, </w:t>
      </w:r>
      <w:r>
        <w:rPr>
          <w:rStyle w:val="advancedproofingissue"/>
        </w:rPr>
        <w:t>as long as</w:t>
      </w:r>
      <w:r>
        <w:rPr>
          <w:rStyle w:val="normaltextrun"/>
        </w:rPr>
        <w:t xml:space="preserve"> those fees are also assessed to non-WIC customers using the same services.</w:t>
      </w:r>
      <w:r w:rsidR="003A13F9">
        <w:rPr>
          <w:rStyle w:val="normaltextrun"/>
        </w:rPr>
        <w:t xml:space="preserve"> Adjusting for annual inflation, the Department estimates</w:t>
      </w:r>
      <w:r>
        <w:rPr>
          <w:rStyle w:val="normaltextrun"/>
        </w:rPr>
        <w:t xml:space="preserve"> that an average online grocery order in </w:t>
      </w:r>
      <w:r w:rsidR="003A13F9">
        <w:rPr>
          <w:rStyle w:val="normaltextrun"/>
        </w:rPr>
        <w:t>202</w:t>
      </w:r>
      <w:r w:rsidR="00EC3871">
        <w:rPr>
          <w:rStyle w:val="normaltextrun"/>
        </w:rPr>
        <w:t>7</w:t>
      </w:r>
      <w:r w:rsidR="003A13F9">
        <w:rPr>
          <w:rStyle w:val="normaltextrun"/>
        </w:rPr>
        <w:t xml:space="preserve"> </w:t>
      </w:r>
      <w:r>
        <w:rPr>
          <w:rStyle w:val="normaltextrun"/>
        </w:rPr>
        <w:t>will be assessed $</w:t>
      </w:r>
      <w:r w:rsidR="003A13F9">
        <w:rPr>
          <w:rStyle w:val="normaltextrun"/>
        </w:rPr>
        <w:t>10.</w:t>
      </w:r>
      <w:r w:rsidR="00EC3871">
        <w:rPr>
          <w:rStyle w:val="normaltextrun"/>
        </w:rPr>
        <w:t>6</w:t>
      </w:r>
      <w:r w:rsidR="00E90236">
        <w:rPr>
          <w:rStyle w:val="normaltextrun"/>
        </w:rPr>
        <w:t>6</w:t>
      </w:r>
      <w:r>
        <w:rPr>
          <w:rStyle w:val="normaltextrun"/>
        </w:rPr>
        <w:t xml:space="preserve"> in delivery and service fees</w:t>
      </w:r>
      <w:r w:rsidR="003A13F9">
        <w:rPr>
          <w:rStyle w:val="normaltextrun"/>
        </w:rPr>
        <w:t>, increasing to $11.</w:t>
      </w:r>
      <w:r w:rsidR="00E90236">
        <w:rPr>
          <w:rStyle w:val="normaltextrun"/>
        </w:rPr>
        <w:t>63</w:t>
      </w:r>
      <w:r w:rsidR="003A13F9">
        <w:rPr>
          <w:rStyle w:val="normaltextrun"/>
        </w:rPr>
        <w:t>, adjusting for inflation, in FY 203</w:t>
      </w:r>
      <w:r w:rsidR="00AE58D2">
        <w:rPr>
          <w:rStyle w:val="normaltextrun"/>
        </w:rPr>
        <w:t>1</w:t>
      </w:r>
      <w:r>
        <w:rPr>
          <w:rStyle w:val="normaltextrun"/>
        </w:rPr>
        <w:t xml:space="preserve">. Additionally, </w:t>
      </w:r>
      <w:r w:rsidR="00533583">
        <w:rPr>
          <w:rStyle w:val="normaltextrun"/>
        </w:rPr>
        <w:t>FNA</w:t>
      </w:r>
      <w:r>
        <w:rPr>
          <w:rStyle w:val="normaltextrun"/>
        </w:rPr>
        <w:t xml:space="preserve"> estimates that once online shopping has been implemented across </w:t>
      </w:r>
      <w:r w:rsidR="00AE58D2">
        <w:rPr>
          <w:rStyle w:val="normaltextrun"/>
        </w:rPr>
        <w:t xml:space="preserve">44 </w:t>
      </w:r>
      <w:r>
        <w:rPr>
          <w:rStyle w:val="normaltextrun"/>
        </w:rPr>
        <w:t>State agencies, 2</w:t>
      </w:r>
      <w:r w:rsidR="00AE58D2">
        <w:rPr>
          <w:rStyle w:val="normaltextrun"/>
        </w:rPr>
        <w:t>8</w:t>
      </w:r>
      <w:r>
        <w:rPr>
          <w:rStyle w:val="normaltextrun"/>
        </w:rPr>
        <w:t xml:space="preserve"> percent of WIC participants</w:t>
      </w:r>
      <w:r w:rsidR="00AE58D2">
        <w:rPr>
          <w:rStyle w:val="normaltextrun"/>
        </w:rPr>
        <w:t xml:space="preserve"> in those State agencies</w:t>
      </w:r>
      <w:r>
        <w:rPr>
          <w:rStyle w:val="normaltextrun"/>
        </w:rPr>
        <w:t xml:space="preserve"> would make one online WIC order each month and that 33 percent of WIC online shopping orders will be placed for home delivery. </w:t>
      </w:r>
      <w:r w:rsidR="006104E0">
        <w:rPr>
          <w:rStyle w:val="normaltextrun"/>
        </w:rPr>
        <w:t xml:space="preserve">On average, each WIC household consists of two WIC participants. </w:t>
      </w:r>
      <w:r>
        <w:rPr>
          <w:rStyle w:val="normaltextrun"/>
        </w:rPr>
        <w:t xml:space="preserve">Therefore, </w:t>
      </w:r>
      <w:r w:rsidR="00533583">
        <w:rPr>
          <w:rStyle w:val="normaltextrun"/>
        </w:rPr>
        <w:t>FNA</w:t>
      </w:r>
      <w:r>
        <w:rPr>
          <w:rStyle w:val="normaltextrun"/>
        </w:rPr>
        <w:t xml:space="preserve"> estimates that approximately</w:t>
      </w:r>
      <w:r w:rsidR="006104E0">
        <w:rPr>
          <w:rStyle w:val="normaltextrun"/>
        </w:rPr>
        <w:t xml:space="preserve"> 155,351</w:t>
      </w:r>
      <w:r>
        <w:rPr>
          <w:rStyle w:val="normaltextrun"/>
        </w:rPr>
        <w:t xml:space="preserve"> households </w:t>
      </w:r>
      <w:r w:rsidR="006104E0">
        <w:rPr>
          <w:rStyle w:val="normaltextrun"/>
        </w:rPr>
        <w:t xml:space="preserve">(310,702 participants) </w:t>
      </w:r>
      <w:r>
        <w:rPr>
          <w:rStyle w:val="normaltextrun"/>
        </w:rPr>
        <w:t>would place an online order for home delivery each month, costing WIC participants a total of about $2</w:t>
      </w:r>
      <w:r w:rsidR="009A07EC">
        <w:rPr>
          <w:rStyle w:val="normaltextrun"/>
        </w:rPr>
        <w:t>1.6</w:t>
      </w:r>
      <w:r w:rsidR="00082CAC">
        <w:rPr>
          <w:rStyle w:val="normaltextrun"/>
        </w:rPr>
        <w:t>8</w:t>
      </w:r>
      <w:r>
        <w:rPr>
          <w:rStyle w:val="normaltextrun"/>
        </w:rPr>
        <w:t xml:space="preserve"> million per year </w:t>
      </w:r>
      <w:r w:rsidR="009A07EC">
        <w:rPr>
          <w:rStyle w:val="normaltextrun"/>
        </w:rPr>
        <w:t xml:space="preserve">in delivery fees </w:t>
      </w:r>
      <w:r>
        <w:rPr>
          <w:rStyle w:val="normaltextrun"/>
        </w:rPr>
        <w:t xml:space="preserve">if </w:t>
      </w:r>
      <w:r w:rsidR="009A07EC">
        <w:rPr>
          <w:rStyle w:val="normaltextrun"/>
        </w:rPr>
        <w:t xml:space="preserve">44 </w:t>
      </w:r>
      <w:r>
        <w:rPr>
          <w:rStyle w:val="normaltextrun"/>
        </w:rPr>
        <w:t xml:space="preserve">State agencies </w:t>
      </w:r>
      <w:r w:rsidR="009A07EC">
        <w:rPr>
          <w:rStyle w:val="normaltextrun"/>
        </w:rPr>
        <w:t xml:space="preserve">had </w:t>
      </w:r>
      <w:r>
        <w:rPr>
          <w:rStyle w:val="normaltextrun"/>
        </w:rPr>
        <w:t>implemented online shopping</w:t>
      </w:r>
      <w:r w:rsidR="009A07EC">
        <w:rPr>
          <w:rStyle w:val="normaltextrun"/>
        </w:rPr>
        <w:t xml:space="preserve"> in 2031</w:t>
      </w:r>
      <w:r>
        <w:rPr>
          <w:rStyle w:val="normaltextrun"/>
        </w:rPr>
        <w:t>.</w:t>
      </w:r>
      <w:r>
        <w:rPr>
          <w:rStyle w:val="eop"/>
        </w:rPr>
        <w:t> </w:t>
      </w:r>
    </w:p>
    <w:p w:rsidR="00800FF5" w:rsidP="00D048F2" w14:paraId="24B04E9D" w14:textId="77777777">
      <w:pPr>
        <w:pStyle w:val="paragraph"/>
        <w:spacing w:before="0" w:beforeAutospacing="0" w:after="0" w:afterAutospacing="0" w:line="480" w:lineRule="auto"/>
        <w:textAlignment w:val="baseline"/>
        <w:rPr>
          <w:rFonts w:ascii="Segoe UI" w:hAnsi="Segoe UI" w:cs="Segoe UI"/>
          <w:sz w:val="18"/>
          <w:szCs w:val="18"/>
        </w:rPr>
      </w:pPr>
    </w:p>
    <w:p w:rsidR="00261B8D" w:rsidRPr="00261B8D" w:rsidP="00261B8D" w14:paraId="7BC4CB50" w14:textId="77777777">
      <w:pPr>
        <w:widowControl/>
        <w:overflowPunct/>
        <w:autoSpaceDE/>
        <w:autoSpaceDN/>
        <w:adjustRightInd/>
        <w:rPr>
          <w:rFonts w:ascii="Segoe UI" w:hAnsi="Segoe UI" w:cs="Segoe UI"/>
          <w:sz w:val="18"/>
          <w:szCs w:val="18"/>
        </w:rPr>
      </w:pPr>
      <w:r w:rsidRPr="00261B8D">
        <w:rPr>
          <w:b/>
          <w:bCs/>
          <w:szCs w:val="24"/>
        </w:rPr>
        <w:t>Estimated Capital, Start-up, Operation, Maintenance and Implementation Costs and Fees: </w:t>
      </w:r>
      <w:r w:rsidRPr="00261B8D">
        <w:rPr>
          <w:szCs w:val="24"/>
        </w:rPr>
        <w:t> </w:t>
      </w:r>
    </w:p>
    <w:tbl>
      <w:tblPr>
        <w:tblW w:w="90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505"/>
        <w:gridCol w:w="1530"/>
        <w:gridCol w:w="1890"/>
        <w:gridCol w:w="1710"/>
        <w:gridCol w:w="1440"/>
      </w:tblGrid>
      <w:tr w14:paraId="11DF73B3" w14:textId="77777777" w:rsidTr="004B5299">
        <w:tblPrEx>
          <w:tblW w:w="90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c>
          <w:tcPr>
            <w:tcW w:w="9075" w:type="dxa"/>
            <w:gridSpan w:val="5"/>
            <w:tcBorders>
              <w:top w:val="single" w:sz="6" w:space="0" w:color="auto"/>
              <w:left w:val="single" w:sz="6" w:space="0" w:color="auto"/>
              <w:bottom w:val="single" w:sz="6" w:space="0" w:color="auto"/>
              <w:right w:val="single" w:sz="6" w:space="0" w:color="auto"/>
            </w:tcBorders>
            <w:hideMark/>
          </w:tcPr>
          <w:p w:rsidR="00261B8D" w:rsidRPr="00261B8D" w:rsidP="00261B8D" w14:paraId="47B8A6AF" w14:textId="2295EEBA">
            <w:pPr>
              <w:divId w:val="2144999913"/>
              <w:widowControl/>
              <w:overflowPunct/>
              <w:autoSpaceDE/>
              <w:autoSpaceDN/>
              <w:adjustRightInd/>
              <w:jc w:val="center"/>
              <w:rPr>
                <w:szCs w:val="24"/>
              </w:rPr>
            </w:pPr>
            <w:r w:rsidRPr="00261B8D">
              <w:rPr>
                <w:b/>
                <w:bCs/>
                <w:szCs w:val="24"/>
              </w:rPr>
              <w:t xml:space="preserve">Table 2: Summary of Costs Associated with the </w:t>
            </w:r>
            <w:r w:rsidR="00E26CFF">
              <w:rPr>
                <w:b/>
                <w:bCs/>
                <w:szCs w:val="24"/>
              </w:rPr>
              <w:t>Final</w:t>
            </w:r>
            <w:r w:rsidRPr="00261B8D">
              <w:rPr>
                <w:b/>
                <w:bCs/>
                <w:szCs w:val="24"/>
              </w:rPr>
              <w:t xml:space="preserve"> Rule</w:t>
            </w:r>
            <w:r w:rsidRPr="00261B8D">
              <w:rPr>
                <w:szCs w:val="24"/>
              </w:rPr>
              <w:t> </w:t>
            </w:r>
          </w:p>
        </w:tc>
      </w:tr>
      <w:tr w14:paraId="4DA2D149" w14:textId="77777777" w:rsidTr="004B5299">
        <w:tblPrEx>
          <w:tblW w:w="9075" w:type="dxa"/>
          <w:tblCellMar>
            <w:left w:w="0" w:type="dxa"/>
            <w:right w:w="0" w:type="dxa"/>
          </w:tblCellMar>
          <w:tblLook w:val="04A0"/>
        </w:tblPrEx>
        <w:tc>
          <w:tcPr>
            <w:tcW w:w="2505" w:type="dxa"/>
            <w:tcBorders>
              <w:top w:val="single" w:sz="6" w:space="0" w:color="auto"/>
              <w:left w:val="single" w:sz="6" w:space="0" w:color="auto"/>
              <w:bottom w:val="single" w:sz="6" w:space="0" w:color="auto"/>
              <w:right w:val="single" w:sz="6" w:space="0" w:color="auto"/>
            </w:tcBorders>
            <w:hideMark/>
          </w:tcPr>
          <w:p w:rsidR="00261B8D" w:rsidRPr="00261B8D" w:rsidP="00261B8D" w14:paraId="446651A0" w14:textId="77777777">
            <w:pPr>
              <w:widowControl/>
              <w:overflowPunct/>
              <w:autoSpaceDE/>
              <w:autoSpaceDN/>
              <w:adjustRightInd/>
              <w:rPr>
                <w:szCs w:val="24"/>
              </w:rPr>
            </w:pPr>
            <w:r w:rsidRPr="00261B8D">
              <w:rPr>
                <w:b/>
                <w:bCs/>
                <w:szCs w:val="24"/>
              </w:rPr>
              <w:t>Description of Cost</w:t>
            </w:r>
            <w:r w:rsidRPr="00261B8D">
              <w:rPr>
                <w:szCs w:val="24"/>
              </w:rPr>
              <w:t> </w:t>
            </w:r>
          </w:p>
        </w:tc>
        <w:tc>
          <w:tcPr>
            <w:tcW w:w="1530" w:type="dxa"/>
            <w:tcBorders>
              <w:top w:val="single" w:sz="6" w:space="0" w:color="auto"/>
              <w:left w:val="single" w:sz="6" w:space="0" w:color="auto"/>
              <w:bottom w:val="single" w:sz="6" w:space="0" w:color="auto"/>
              <w:right w:val="single" w:sz="6" w:space="0" w:color="auto"/>
            </w:tcBorders>
            <w:hideMark/>
          </w:tcPr>
          <w:p w:rsidR="00261B8D" w:rsidRPr="00261B8D" w:rsidP="00261B8D" w14:paraId="2456386D" w14:textId="77777777">
            <w:pPr>
              <w:widowControl/>
              <w:overflowPunct/>
              <w:autoSpaceDE/>
              <w:autoSpaceDN/>
              <w:adjustRightInd/>
              <w:rPr>
                <w:szCs w:val="24"/>
              </w:rPr>
            </w:pPr>
            <w:r w:rsidRPr="00261B8D">
              <w:rPr>
                <w:b/>
                <w:bCs/>
                <w:szCs w:val="24"/>
              </w:rPr>
              <w:t>Number of Respondents</w:t>
            </w:r>
            <w:r w:rsidRPr="00261B8D">
              <w:rPr>
                <w:szCs w:val="24"/>
              </w:rPr>
              <w:t> </w:t>
            </w:r>
          </w:p>
        </w:tc>
        <w:tc>
          <w:tcPr>
            <w:tcW w:w="1890" w:type="dxa"/>
            <w:tcBorders>
              <w:top w:val="single" w:sz="6" w:space="0" w:color="auto"/>
              <w:left w:val="single" w:sz="6" w:space="0" w:color="auto"/>
              <w:bottom w:val="single" w:sz="6" w:space="0" w:color="auto"/>
              <w:right w:val="single" w:sz="6" w:space="0" w:color="auto"/>
            </w:tcBorders>
            <w:hideMark/>
          </w:tcPr>
          <w:p w:rsidR="00261B8D" w:rsidRPr="00261B8D" w:rsidP="00261B8D" w14:paraId="1ABF6426" w14:textId="49C0D628">
            <w:pPr>
              <w:widowControl/>
              <w:overflowPunct/>
              <w:autoSpaceDE/>
              <w:autoSpaceDN/>
              <w:adjustRightInd/>
              <w:rPr>
                <w:szCs w:val="24"/>
              </w:rPr>
            </w:pPr>
            <w:r w:rsidRPr="00261B8D">
              <w:rPr>
                <w:b/>
                <w:bCs/>
                <w:szCs w:val="24"/>
              </w:rPr>
              <w:t>One</w:t>
            </w:r>
            <w:r w:rsidR="002F6D33">
              <w:rPr>
                <w:b/>
                <w:bCs/>
                <w:szCs w:val="24"/>
              </w:rPr>
              <w:t xml:space="preserve"> T</w:t>
            </w:r>
            <w:r w:rsidR="00EC0AC0">
              <w:rPr>
                <w:b/>
                <w:bCs/>
                <w:szCs w:val="24"/>
              </w:rPr>
              <w:t>ime</w:t>
            </w:r>
            <w:r w:rsidRPr="00261B8D">
              <w:rPr>
                <w:b/>
                <w:bCs/>
                <w:szCs w:val="24"/>
              </w:rPr>
              <w:t xml:space="preserve"> Costs (millions)</w:t>
            </w:r>
            <w:r w:rsidRPr="00261B8D">
              <w:rPr>
                <w:szCs w:val="24"/>
              </w:rPr>
              <w:t> </w:t>
            </w:r>
          </w:p>
        </w:tc>
        <w:tc>
          <w:tcPr>
            <w:tcW w:w="1710" w:type="dxa"/>
            <w:tcBorders>
              <w:top w:val="single" w:sz="6" w:space="0" w:color="auto"/>
              <w:left w:val="single" w:sz="6" w:space="0" w:color="auto"/>
              <w:bottom w:val="single" w:sz="6" w:space="0" w:color="auto"/>
              <w:right w:val="single" w:sz="6" w:space="0" w:color="auto"/>
            </w:tcBorders>
            <w:hideMark/>
          </w:tcPr>
          <w:p w:rsidR="00261B8D" w:rsidRPr="00261B8D" w:rsidP="00261B8D" w14:paraId="3B71C246" w14:textId="77777777">
            <w:pPr>
              <w:widowControl/>
              <w:overflowPunct/>
              <w:autoSpaceDE/>
              <w:autoSpaceDN/>
              <w:adjustRightInd/>
              <w:rPr>
                <w:szCs w:val="24"/>
              </w:rPr>
            </w:pPr>
            <w:r w:rsidRPr="00261B8D">
              <w:rPr>
                <w:b/>
                <w:bCs/>
                <w:szCs w:val="24"/>
              </w:rPr>
              <w:t>Annual Costs (millions)</w:t>
            </w:r>
            <w:r w:rsidRPr="00261B8D">
              <w:rPr>
                <w:szCs w:val="24"/>
              </w:rPr>
              <w:t> </w:t>
            </w:r>
          </w:p>
        </w:tc>
        <w:tc>
          <w:tcPr>
            <w:tcW w:w="1440" w:type="dxa"/>
            <w:tcBorders>
              <w:top w:val="single" w:sz="6" w:space="0" w:color="auto"/>
              <w:left w:val="single" w:sz="6" w:space="0" w:color="auto"/>
              <w:bottom w:val="single" w:sz="6" w:space="0" w:color="auto"/>
              <w:right w:val="single" w:sz="6" w:space="0" w:color="auto"/>
            </w:tcBorders>
            <w:hideMark/>
          </w:tcPr>
          <w:p w:rsidR="00261B8D" w:rsidRPr="00261B8D" w:rsidP="00261B8D" w14:paraId="1636C150" w14:textId="77777777">
            <w:pPr>
              <w:widowControl/>
              <w:overflowPunct/>
              <w:autoSpaceDE/>
              <w:autoSpaceDN/>
              <w:adjustRightInd/>
              <w:rPr>
                <w:szCs w:val="24"/>
              </w:rPr>
            </w:pPr>
            <w:r w:rsidRPr="00261B8D">
              <w:rPr>
                <w:b/>
                <w:bCs/>
                <w:szCs w:val="24"/>
              </w:rPr>
              <w:t>Total Costs (millions)</w:t>
            </w:r>
            <w:r w:rsidRPr="00261B8D">
              <w:rPr>
                <w:szCs w:val="24"/>
              </w:rPr>
              <w:t> </w:t>
            </w:r>
          </w:p>
        </w:tc>
      </w:tr>
      <w:tr w14:paraId="121D7EC3" w14:textId="77777777" w:rsidTr="004B5299">
        <w:tblPrEx>
          <w:tblW w:w="9075" w:type="dxa"/>
          <w:tblCellMar>
            <w:left w:w="0" w:type="dxa"/>
            <w:right w:w="0" w:type="dxa"/>
          </w:tblCellMar>
          <w:tblLook w:val="04A0"/>
        </w:tblPrEx>
        <w:tc>
          <w:tcPr>
            <w:tcW w:w="9075" w:type="dxa"/>
            <w:gridSpan w:val="5"/>
            <w:tcBorders>
              <w:top w:val="single" w:sz="6" w:space="0" w:color="auto"/>
              <w:left w:val="single" w:sz="6" w:space="0" w:color="auto"/>
              <w:bottom w:val="single" w:sz="6" w:space="0" w:color="auto"/>
              <w:right w:val="single" w:sz="6" w:space="0" w:color="auto"/>
            </w:tcBorders>
            <w:hideMark/>
          </w:tcPr>
          <w:p w:rsidR="00261B8D" w:rsidRPr="00261B8D" w:rsidP="00261B8D" w14:paraId="7A43B256" w14:textId="77777777">
            <w:pPr>
              <w:widowControl/>
              <w:overflowPunct/>
              <w:autoSpaceDE/>
              <w:autoSpaceDN/>
              <w:adjustRightInd/>
              <w:jc w:val="center"/>
              <w:rPr>
                <w:szCs w:val="24"/>
              </w:rPr>
            </w:pPr>
            <w:r w:rsidRPr="00261B8D">
              <w:rPr>
                <w:b/>
                <w:bCs/>
                <w:szCs w:val="24"/>
              </w:rPr>
              <w:t>State Agencies</w:t>
            </w:r>
            <w:r w:rsidRPr="00261B8D">
              <w:rPr>
                <w:szCs w:val="24"/>
              </w:rPr>
              <w:t> </w:t>
            </w:r>
          </w:p>
        </w:tc>
      </w:tr>
      <w:tr w14:paraId="545F9D03" w14:textId="77777777" w:rsidTr="004B5299">
        <w:tblPrEx>
          <w:tblW w:w="9075" w:type="dxa"/>
          <w:tblCellMar>
            <w:left w:w="0" w:type="dxa"/>
            <w:right w:w="0" w:type="dxa"/>
          </w:tblCellMar>
          <w:tblLook w:val="04A0"/>
        </w:tblPrEx>
        <w:tc>
          <w:tcPr>
            <w:tcW w:w="2505" w:type="dxa"/>
            <w:tcBorders>
              <w:top w:val="single" w:sz="6" w:space="0" w:color="auto"/>
              <w:left w:val="single" w:sz="6" w:space="0" w:color="auto"/>
              <w:bottom w:val="single" w:sz="6" w:space="0" w:color="auto"/>
              <w:right w:val="single" w:sz="6" w:space="0" w:color="auto"/>
            </w:tcBorders>
            <w:hideMark/>
          </w:tcPr>
          <w:p w:rsidR="00261B8D" w:rsidRPr="00261B8D" w:rsidP="00261B8D" w14:paraId="1094B983" w14:textId="77777777">
            <w:pPr>
              <w:widowControl/>
              <w:overflowPunct/>
              <w:autoSpaceDE/>
              <w:autoSpaceDN/>
              <w:adjustRightInd/>
              <w:rPr>
                <w:szCs w:val="24"/>
              </w:rPr>
            </w:pPr>
            <w:r w:rsidRPr="00261B8D">
              <w:rPr>
                <w:szCs w:val="24"/>
              </w:rPr>
              <w:t>Systems development and maintenance for online shopping </w:t>
            </w:r>
          </w:p>
        </w:tc>
        <w:tc>
          <w:tcPr>
            <w:tcW w:w="1530" w:type="dxa"/>
            <w:tcBorders>
              <w:top w:val="single" w:sz="6" w:space="0" w:color="auto"/>
              <w:left w:val="single" w:sz="6" w:space="0" w:color="auto"/>
              <w:bottom w:val="single" w:sz="6" w:space="0" w:color="auto"/>
              <w:right w:val="single" w:sz="6" w:space="0" w:color="auto"/>
            </w:tcBorders>
            <w:vAlign w:val="center"/>
            <w:hideMark/>
          </w:tcPr>
          <w:p w:rsidR="00261B8D" w:rsidRPr="00261B8D" w:rsidP="004B5299" w14:paraId="349D92AF" w14:textId="1E64EC99">
            <w:pPr>
              <w:widowControl/>
              <w:overflowPunct/>
              <w:autoSpaceDE/>
              <w:autoSpaceDN/>
              <w:adjustRightInd/>
              <w:jc w:val="right"/>
              <w:rPr>
                <w:szCs w:val="24"/>
              </w:rPr>
            </w:pPr>
            <w:r>
              <w:rPr>
                <w:szCs w:val="24"/>
              </w:rPr>
              <w:t>44</w:t>
            </w:r>
            <w:r w:rsidRPr="00261B8D">
              <w:rPr>
                <w:szCs w:val="24"/>
              </w:rPr>
              <w:t> </w:t>
            </w:r>
          </w:p>
        </w:tc>
        <w:tc>
          <w:tcPr>
            <w:tcW w:w="1890" w:type="dxa"/>
            <w:tcBorders>
              <w:top w:val="single" w:sz="6" w:space="0" w:color="auto"/>
              <w:left w:val="single" w:sz="6" w:space="0" w:color="auto"/>
              <w:bottom w:val="single" w:sz="6" w:space="0" w:color="auto"/>
              <w:right w:val="single" w:sz="6" w:space="0" w:color="auto"/>
            </w:tcBorders>
            <w:vAlign w:val="center"/>
            <w:hideMark/>
          </w:tcPr>
          <w:p w:rsidR="00261B8D" w:rsidRPr="00261B8D" w:rsidP="004B5299" w14:paraId="1C1110FA" w14:textId="0A4AF057">
            <w:pPr>
              <w:widowControl/>
              <w:overflowPunct/>
              <w:autoSpaceDE/>
              <w:autoSpaceDN/>
              <w:adjustRightInd/>
              <w:jc w:val="right"/>
              <w:rPr>
                <w:szCs w:val="24"/>
              </w:rPr>
            </w:pPr>
            <w:r>
              <w:rPr>
                <w:szCs w:val="24"/>
              </w:rPr>
              <w:t>$</w:t>
            </w:r>
            <w:r w:rsidR="00925DFD">
              <w:rPr>
                <w:szCs w:val="24"/>
              </w:rPr>
              <w:t>8.14</w:t>
            </w:r>
          </w:p>
        </w:tc>
        <w:tc>
          <w:tcPr>
            <w:tcW w:w="1710" w:type="dxa"/>
            <w:tcBorders>
              <w:top w:val="single" w:sz="6" w:space="0" w:color="auto"/>
              <w:left w:val="single" w:sz="6" w:space="0" w:color="auto"/>
              <w:bottom w:val="single" w:sz="6" w:space="0" w:color="auto"/>
              <w:right w:val="single" w:sz="6" w:space="0" w:color="auto"/>
            </w:tcBorders>
            <w:vAlign w:val="center"/>
            <w:hideMark/>
          </w:tcPr>
          <w:p w:rsidR="00261B8D" w:rsidRPr="00261B8D" w:rsidP="004B5299" w14:paraId="55C512A6" w14:textId="1683ABDC">
            <w:pPr>
              <w:widowControl/>
              <w:overflowPunct/>
              <w:autoSpaceDE/>
              <w:autoSpaceDN/>
              <w:adjustRightInd/>
              <w:jc w:val="right"/>
              <w:rPr>
                <w:szCs w:val="24"/>
              </w:rPr>
            </w:pPr>
            <w:r w:rsidRPr="00261B8D">
              <w:rPr>
                <w:szCs w:val="24"/>
              </w:rPr>
              <w:t>$</w:t>
            </w:r>
            <w:r w:rsidR="00636735">
              <w:rPr>
                <w:szCs w:val="24"/>
              </w:rPr>
              <w:t>2.</w:t>
            </w:r>
            <w:r w:rsidR="00925DFD">
              <w:rPr>
                <w:szCs w:val="24"/>
              </w:rPr>
              <w:t>38</w:t>
            </w:r>
            <w:r w:rsidRPr="00261B8D">
              <w:rPr>
                <w:szCs w:val="24"/>
              </w:rPr>
              <w:t> </w:t>
            </w:r>
          </w:p>
        </w:tc>
        <w:tc>
          <w:tcPr>
            <w:tcW w:w="1440" w:type="dxa"/>
            <w:tcBorders>
              <w:top w:val="single" w:sz="6" w:space="0" w:color="auto"/>
              <w:left w:val="single" w:sz="6" w:space="0" w:color="auto"/>
              <w:bottom w:val="single" w:sz="6" w:space="0" w:color="auto"/>
              <w:right w:val="single" w:sz="6" w:space="0" w:color="auto"/>
            </w:tcBorders>
            <w:vAlign w:val="center"/>
            <w:hideMark/>
          </w:tcPr>
          <w:p w:rsidR="00261B8D" w:rsidRPr="00261B8D" w:rsidP="004B5299" w14:paraId="04693D41" w14:textId="1DCF02BD">
            <w:pPr>
              <w:widowControl/>
              <w:overflowPunct/>
              <w:autoSpaceDE/>
              <w:autoSpaceDN/>
              <w:adjustRightInd/>
              <w:jc w:val="right"/>
              <w:rPr>
                <w:szCs w:val="24"/>
              </w:rPr>
            </w:pPr>
            <w:r w:rsidRPr="00261B8D">
              <w:rPr>
                <w:szCs w:val="24"/>
              </w:rPr>
              <w:t>$</w:t>
            </w:r>
            <w:r w:rsidR="00636735">
              <w:rPr>
                <w:szCs w:val="24"/>
              </w:rPr>
              <w:t>1</w:t>
            </w:r>
            <w:r w:rsidR="00925DFD">
              <w:rPr>
                <w:szCs w:val="24"/>
              </w:rPr>
              <w:t>0.52</w:t>
            </w:r>
          </w:p>
        </w:tc>
      </w:tr>
      <w:tr w14:paraId="279A80E6" w14:textId="77777777" w:rsidTr="004B5299">
        <w:tblPrEx>
          <w:tblW w:w="9075" w:type="dxa"/>
          <w:tblCellMar>
            <w:left w:w="0" w:type="dxa"/>
            <w:right w:w="0" w:type="dxa"/>
          </w:tblCellMar>
          <w:tblLook w:val="04A0"/>
        </w:tblPrEx>
        <w:tc>
          <w:tcPr>
            <w:tcW w:w="9075" w:type="dxa"/>
            <w:gridSpan w:val="5"/>
            <w:tcBorders>
              <w:top w:val="single" w:sz="6" w:space="0" w:color="auto"/>
              <w:left w:val="single" w:sz="6" w:space="0" w:color="auto"/>
              <w:bottom w:val="single" w:sz="6" w:space="0" w:color="auto"/>
              <w:right w:val="single" w:sz="6" w:space="0" w:color="auto"/>
            </w:tcBorders>
            <w:hideMark/>
          </w:tcPr>
          <w:p w:rsidR="00261B8D" w:rsidRPr="00261B8D" w:rsidP="00261B8D" w14:paraId="703B2229" w14:textId="77777777">
            <w:pPr>
              <w:widowControl/>
              <w:overflowPunct/>
              <w:autoSpaceDE/>
              <w:autoSpaceDN/>
              <w:adjustRightInd/>
              <w:jc w:val="center"/>
              <w:rPr>
                <w:szCs w:val="24"/>
              </w:rPr>
            </w:pPr>
            <w:r w:rsidRPr="00261B8D">
              <w:rPr>
                <w:b/>
                <w:bCs/>
                <w:szCs w:val="24"/>
              </w:rPr>
              <w:t>Individuals and Households</w:t>
            </w:r>
            <w:r w:rsidRPr="00261B8D">
              <w:rPr>
                <w:szCs w:val="24"/>
              </w:rPr>
              <w:t> </w:t>
            </w:r>
          </w:p>
        </w:tc>
      </w:tr>
      <w:tr w14:paraId="5E216872" w14:textId="77777777" w:rsidTr="004B5299">
        <w:tblPrEx>
          <w:tblW w:w="9075" w:type="dxa"/>
          <w:tblCellMar>
            <w:left w:w="0" w:type="dxa"/>
            <w:right w:w="0" w:type="dxa"/>
          </w:tblCellMar>
          <w:tblLook w:val="04A0"/>
        </w:tblPrEx>
        <w:tc>
          <w:tcPr>
            <w:tcW w:w="2505" w:type="dxa"/>
            <w:tcBorders>
              <w:top w:val="single" w:sz="6" w:space="0" w:color="auto"/>
              <w:left w:val="single" w:sz="6" w:space="0" w:color="auto"/>
              <w:bottom w:val="single" w:sz="6" w:space="0" w:color="auto"/>
              <w:right w:val="single" w:sz="6" w:space="0" w:color="auto"/>
            </w:tcBorders>
            <w:hideMark/>
          </w:tcPr>
          <w:p w:rsidR="00261B8D" w:rsidRPr="00261B8D" w:rsidP="00261B8D" w14:paraId="6D4FB0B9" w14:textId="77777777">
            <w:pPr>
              <w:widowControl/>
              <w:overflowPunct/>
              <w:autoSpaceDE/>
              <w:autoSpaceDN/>
              <w:adjustRightInd/>
              <w:rPr>
                <w:szCs w:val="24"/>
              </w:rPr>
            </w:pPr>
            <w:r w:rsidRPr="00261B8D">
              <w:rPr>
                <w:szCs w:val="24"/>
              </w:rPr>
              <w:t>Fees associated with online shopping </w:t>
            </w:r>
          </w:p>
        </w:tc>
        <w:tc>
          <w:tcPr>
            <w:tcW w:w="1530" w:type="dxa"/>
            <w:tcBorders>
              <w:top w:val="single" w:sz="6" w:space="0" w:color="auto"/>
              <w:left w:val="single" w:sz="6" w:space="0" w:color="auto"/>
              <w:bottom w:val="single" w:sz="6" w:space="0" w:color="auto"/>
              <w:right w:val="single" w:sz="6" w:space="0" w:color="auto"/>
            </w:tcBorders>
            <w:vAlign w:val="center"/>
            <w:hideMark/>
          </w:tcPr>
          <w:p w:rsidR="00261B8D" w:rsidRPr="00261B8D" w:rsidP="004B5299" w14:paraId="253B99C0" w14:textId="133A5C8B">
            <w:pPr>
              <w:widowControl/>
              <w:overflowPunct/>
              <w:autoSpaceDE/>
              <w:autoSpaceDN/>
              <w:adjustRightInd/>
              <w:jc w:val="right"/>
              <w:rPr>
                <w:szCs w:val="24"/>
              </w:rPr>
            </w:pPr>
            <w:r>
              <w:rPr>
                <w:szCs w:val="24"/>
              </w:rPr>
              <w:t>155,351</w:t>
            </w:r>
          </w:p>
        </w:tc>
        <w:tc>
          <w:tcPr>
            <w:tcW w:w="1890" w:type="dxa"/>
            <w:tcBorders>
              <w:top w:val="single" w:sz="6" w:space="0" w:color="auto"/>
              <w:left w:val="single" w:sz="6" w:space="0" w:color="auto"/>
              <w:bottom w:val="single" w:sz="6" w:space="0" w:color="auto"/>
              <w:right w:val="single" w:sz="6" w:space="0" w:color="auto"/>
            </w:tcBorders>
            <w:vAlign w:val="center"/>
            <w:hideMark/>
          </w:tcPr>
          <w:p w:rsidR="00261B8D" w:rsidRPr="00261B8D" w:rsidP="004B5299" w14:paraId="7A862DFE" w14:textId="77777777">
            <w:pPr>
              <w:widowControl/>
              <w:overflowPunct/>
              <w:autoSpaceDE/>
              <w:autoSpaceDN/>
              <w:adjustRightInd/>
              <w:jc w:val="right"/>
              <w:rPr>
                <w:szCs w:val="24"/>
              </w:rPr>
            </w:pPr>
            <w:r w:rsidRPr="00261B8D">
              <w:rPr>
                <w:szCs w:val="24"/>
              </w:rPr>
              <w:t>$0.00 </w:t>
            </w:r>
          </w:p>
        </w:tc>
        <w:tc>
          <w:tcPr>
            <w:tcW w:w="1710" w:type="dxa"/>
            <w:tcBorders>
              <w:top w:val="single" w:sz="6" w:space="0" w:color="auto"/>
              <w:left w:val="single" w:sz="6" w:space="0" w:color="auto"/>
              <w:bottom w:val="single" w:sz="6" w:space="0" w:color="auto"/>
              <w:right w:val="single" w:sz="6" w:space="0" w:color="auto"/>
            </w:tcBorders>
            <w:vAlign w:val="center"/>
            <w:hideMark/>
          </w:tcPr>
          <w:p w:rsidR="00261B8D" w:rsidRPr="00261B8D" w:rsidP="004B5299" w14:paraId="089F61E9" w14:textId="29A8C8C1">
            <w:pPr>
              <w:widowControl/>
              <w:overflowPunct/>
              <w:autoSpaceDE/>
              <w:autoSpaceDN/>
              <w:adjustRightInd/>
              <w:jc w:val="right"/>
              <w:rPr>
                <w:szCs w:val="24"/>
              </w:rPr>
            </w:pPr>
            <w:r w:rsidRPr="00261B8D">
              <w:rPr>
                <w:szCs w:val="24"/>
              </w:rPr>
              <w:t>$</w:t>
            </w:r>
            <w:r w:rsidR="00E85547">
              <w:rPr>
                <w:szCs w:val="24"/>
              </w:rPr>
              <w:t>2</w:t>
            </w:r>
            <w:r w:rsidR="00636735">
              <w:rPr>
                <w:szCs w:val="24"/>
              </w:rPr>
              <w:t>1.6</w:t>
            </w:r>
            <w:r w:rsidR="00082CAC">
              <w:rPr>
                <w:szCs w:val="24"/>
              </w:rPr>
              <w:t>8</w:t>
            </w:r>
          </w:p>
        </w:tc>
        <w:tc>
          <w:tcPr>
            <w:tcW w:w="1440" w:type="dxa"/>
            <w:tcBorders>
              <w:top w:val="single" w:sz="6" w:space="0" w:color="auto"/>
              <w:left w:val="single" w:sz="6" w:space="0" w:color="auto"/>
              <w:bottom w:val="single" w:sz="6" w:space="0" w:color="auto"/>
              <w:right w:val="single" w:sz="6" w:space="0" w:color="auto"/>
            </w:tcBorders>
            <w:vAlign w:val="center"/>
            <w:hideMark/>
          </w:tcPr>
          <w:p w:rsidR="00261B8D" w:rsidRPr="00261B8D" w:rsidP="004B5299" w14:paraId="657BEC34" w14:textId="6A350CF4">
            <w:pPr>
              <w:widowControl/>
              <w:overflowPunct/>
              <w:autoSpaceDE/>
              <w:autoSpaceDN/>
              <w:adjustRightInd/>
              <w:jc w:val="right"/>
              <w:rPr>
                <w:szCs w:val="24"/>
              </w:rPr>
            </w:pPr>
            <w:r>
              <w:rPr>
                <w:szCs w:val="24"/>
              </w:rPr>
              <w:t>$</w:t>
            </w:r>
            <w:r w:rsidR="00E85547">
              <w:rPr>
                <w:szCs w:val="24"/>
              </w:rPr>
              <w:t>2</w:t>
            </w:r>
            <w:r w:rsidR="00636735">
              <w:rPr>
                <w:szCs w:val="24"/>
              </w:rPr>
              <w:t>1.6</w:t>
            </w:r>
            <w:r w:rsidR="00082CAC">
              <w:rPr>
                <w:szCs w:val="24"/>
              </w:rPr>
              <w:t>8</w:t>
            </w:r>
          </w:p>
        </w:tc>
      </w:tr>
      <w:tr w14:paraId="608AC17D" w14:textId="77777777" w:rsidTr="004B5299">
        <w:tblPrEx>
          <w:tblW w:w="9075" w:type="dxa"/>
          <w:tblCellMar>
            <w:left w:w="0" w:type="dxa"/>
            <w:right w:w="0" w:type="dxa"/>
          </w:tblCellMar>
          <w:tblLook w:val="04A0"/>
        </w:tblPrEx>
        <w:tc>
          <w:tcPr>
            <w:tcW w:w="4035" w:type="dxa"/>
            <w:gridSpan w:val="2"/>
            <w:tcBorders>
              <w:top w:val="single" w:sz="6" w:space="0" w:color="auto"/>
              <w:left w:val="single" w:sz="6" w:space="0" w:color="auto"/>
              <w:bottom w:val="single" w:sz="6" w:space="0" w:color="auto"/>
              <w:right w:val="single" w:sz="6" w:space="0" w:color="auto"/>
            </w:tcBorders>
            <w:hideMark/>
          </w:tcPr>
          <w:p w:rsidR="00261B8D" w:rsidRPr="00261B8D" w:rsidP="00261B8D" w14:paraId="42B0CA49" w14:textId="77777777">
            <w:pPr>
              <w:widowControl/>
              <w:overflowPunct/>
              <w:autoSpaceDE/>
              <w:autoSpaceDN/>
              <w:adjustRightInd/>
              <w:jc w:val="center"/>
              <w:rPr>
                <w:szCs w:val="24"/>
              </w:rPr>
            </w:pPr>
            <w:r w:rsidRPr="00261B8D">
              <w:rPr>
                <w:b/>
                <w:bCs/>
                <w:szCs w:val="24"/>
              </w:rPr>
              <w:t>Total Costs</w:t>
            </w:r>
            <w:r w:rsidRPr="00261B8D">
              <w:rPr>
                <w:szCs w:val="24"/>
              </w:rPr>
              <w:t> </w:t>
            </w:r>
          </w:p>
        </w:tc>
        <w:tc>
          <w:tcPr>
            <w:tcW w:w="1890" w:type="dxa"/>
            <w:tcBorders>
              <w:top w:val="single" w:sz="6" w:space="0" w:color="auto"/>
              <w:left w:val="single" w:sz="6" w:space="0" w:color="auto"/>
              <w:bottom w:val="single" w:sz="6" w:space="0" w:color="auto"/>
              <w:right w:val="single" w:sz="6" w:space="0" w:color="auto"/>
            </w:tcBorders>
            <w:vAlign w:val="center"/>
            <w:hideMark/>
          </w:tcPr>
          <w:p w:rsidR="00261B8D" w:rsidRPr="00261B8D" w:rsidP="004B5299" w14:paraId="134D2970" w14:textId="2737E892">
            <w:pPr>
              <w:widowControl/>
              <w:overflowPunct/>
              <w:autoSpaceDE/>
              <w:autoSpaceDN/>
              <w:adjustRightInd/>
              <w:jc w:val="right"/>
              <w:rPr>
                <w:szCs w:val="24"/>
              </w:rPr>
            </w:pPr>
            <w:r w:rsidRPr="00261B8D">
              <w:rPr>
                <w:b/>
                <w:bCs/>
                <w:szCs w:val="24"/>
              </w:rPr>
              <w:t>$</w:t>
            </w:r>
            <w:r w:rsidR="00184178">
              <w:rPr>
                <w:b/>
                <w:bCs/>
                <w:szCs w:val="24"/>
              </w:rPr>
              <w:t>8.14</w:t>
            </w:r>
          </w:p>
        </w:tc>
        <w:tc>
          <w:tcPr>
            <w:tcW w:w="1710" w:type="dxa"/>
            <w:tcBorders>
              <w:top w:val="single" w:sz="6" w:space="0" w:color="auto"/>
              <w:left w:val="single" w:sz="6" w:space="0" w:color="auto"/>
              <w:bottom w:val="single" w:sz="6" w:space="0" w:color="auto"/>
              <w:right w:val="single" w:sz="6" w:space="0" w:color="auto"/>
            </w:tcBorders>
            <w:vAlign w:val="center"/>
            <w:hideMark/>
          </w:tcPr>
          <w:p w:rsidR="00261B8D" w:rsidRPr="00261B8D" w:rsidP="004B5299" w14:paraId="123B7C24" w14:textId="321CDD7F">
            <w:pPr>
              <w:widowControl/>
              <w:overflowPunct/>
              <w:autoSpaceDE/>
              <w:autoSpaceDN/>
              <w:adjustRightInd/>
              <w:jc w:val="right"/>
              <w:rPr>
                <w:szCs w:val="24"/>
              </w:rPr>
            </w:pPr>
            <w:r w:rsidRPr="00261B8D">
              <w:rPr>
                <w:b/>
                <w:bCs/>
                <w:szCs w:val="24"/>
              </w:rPr>
              <w:t>$</w:t>
            </w:r>
            <w:r w:rsidR="00636735">
              <w:rPr>
                <w:b/>
                <w:bCs/>
                <w:szCs w:val="24"/>
              </w:rPr>
              <w:t>2</w:t>
            </w:r>
            <w:r w:rsidR="00184178">
              <w:rPr>
                <w:b/>
                <w:bCs/>
                <w:szCs w:val="24"/>
              </w:rPr>
              <w:t>4.06</w:t>
            </w:r>
          </w:p>
        </w:tc>
        <w:tc>
          <w:tcPr>
            <w:tcW w:w="1440" w:type="dxa"/>
            <w:tcBorders>
              <w:top w:val="single" w:sz="6" w:space="0" w:color="auto"/>
              <w:left w:val="single" w:sz="6" w:space="0" w:color="auto"/>
              <w:bottom w:val="single" w:sz="6" w:space="0" w:color="auto"/>
              <w:right w:val="single" w:sz="6" w:space="0" w:color="auto"/>
            </w:tcBorders>
            <w:vAlign w:val="center"/>
            <w:hideMark/>
          </w:tcPr>
          <w:p w:rsidR="00261B8D" w:rsidRPr="00261B8D" w:rsidP="004B5299" w14:paraId="0F162B60" w14:textId="664B4645">
            <w:pPr>
              <w:widowControl/>
              <w:overflowPunct/>
              <w:autoSpaceDE/>
              <w:autoSpaceDN/>
              <w:adjustRightInd/>
              <w:jc w:val="right"/>
              <w:rPr>
                <w:szCs w:val="24"/>
              </w:rPr>
            </w:pPr>
            <w:r w:rsidRPr="00261B8D">
              <w:rPr>
                <w:b/>
                <w:bCs/>
                <w:szCs w:val="24"/>
              </w:rPr>
              <w:t>$</w:t>
            </w:r>
            <w:r w:rsidR="004C0E28">
              <w:rPr>
                <w:b/>
                <w:bCs/>
                <w:szCs w:val="24"/>
              </w:rPr>
              <w:t>3</w:t>
            </w:r>
            <w:r w:rsidR="00A85565">
              <w:rPr>
                <w:b/>
                <w:bCs/>
                <w:szCs w:val="24"/>
              </w:rPr>
              <w:t>2.20</w:t>
            </w:r>
          </w:p>
        </w:tc>
      </w:tr>
    </w:tbl>
    <w:p w:rsidR="00816974" w:rsidP="00E426D1" w14:paraId="2507D53C" w14:textId="77777777">
      <w:pPr>
        <w:tabs>
          <w:tab w:val="left" w:pos="-720"/>
        </w:tabs>
        <w:suppressAutoHyphens/>
      </w:pPr>
    </w:p>
    <w:p w:rsidR="00800FF5" w:rsidP="00E426D1" w14:paraId="04138A4E" w14:textId="77777777">
      <w:pPr>
        <w:tabs>
          <w:tab w:val="left" w:pos="-720"/>
        </w:tabs>
        <w:suppressAutoHyphens/>
      </w:pPr>
    </w:p>
    <w:p w:rsidR="00E426D1" w:rsidRPr="00E426D1" w:rsidP="00E426D1" w14:paraId="388C22E8" w14:textId="77777777">
      <w:pPr>
        <w:tabs>
          <w:tab w:val="left" w:pos="-720"/>
        </w:tabs>
        <w:suppressAutoHyphens/>
        <w:rPr>
          <w:szCs w:val="24"/>
        </w:rPr>
      </w:pPr>
    </w:p>
    <w:p w:rsidR="00E64737" w:rsidRPr="00042EC2" w:rsidP="00E64737" w14:paraId="6ED249E7" w14:textId="1BFC6DDD">
      <w:pPr>
        <w:pStyle w:val="Heading1"/>
      </w:pPr>
      <w:bookmarkStart w:id="37" w:name="_Toc401831370"/>
      <w:bookmarkStart w:id="38" w:name="_Toc83710925"/>
      <w:bookmarkStart w:id="39" w:name="_Toc115788682"/>
      <w:r>
        <w:t xml:space="preserve">A14.  Provide estimates of annualized cost to the Federal </w:t>
      </w:r>
      <w:r w:rsidR="00737EF6">
        <w:t>G</w:t>
      </w:r>
      <w:r>
        <w:t>overnment.</w:t>
      </w:r>
      <w:bookmarkEnd w:id="37"/>
      <w:bookmarkEnd w:id="38"/>
      <w:bookmarkEnd w:id="39"/>
      <w:r>
        <w:t xml:space="preserve">  </w:t>
      </w:r>
    </w:p>
    <w:p w:rsidR="00E64737" w:rsidRPr="00042EC2" w:rsidP="00E64737" w14:paraId="146A03CE" w14:textId="77777777">
      <w:pPr>
        <w:tabs>
          <w:tab w:val="left" w:pos="0"/>
        </w:tabs>
        <w:suppressAutoHyphens/>
        <w:rPr>
          <w:szCs w:val="24"/>
        </w:rPr>
      </w:pPr>
    </w:p>
    <w:p w:rsidR="00E64737" w:rsidP="00E64737" w14:paraId="4220A411" w14:textId="22E1D2C8">
      <w:pPr>
        <w:pStyle w:val="ListParagraph"/>
        <w:widowControl/>
        <w:spacing w:line="240" w:lineRule="auto"/>
        <w:ind w:left="0"/>
        <w:rPr>
          <w:b/>
          <w:szCs w:val="24"/>
        </w:rPr>
      </w:pPr>
      <w:r w:rsidRPr="00042EC2">
        <w:rPr>
          <w:b/>
          <w:szCs w:val="24"/>
        </w:rPr>
        <w:t xml:space="preserve">Provide estimates of annualized cost to the Federal </w:t>
      </w:r>
      <w:r w:rsidR="00737EF6">
        <w:rPr>
          <w:b/>
          <w:szCs w:val="24"/>
        </w:rPr>
        <w:t>G</w:t>
      </w:r>
      <w:r w:rsidRPr="00042EC2">
        <w:rPr>
          <w:b/>
          <w:szCs w:val="24"/>
        </w:rPr>
        <w:t>overnment. Provide a description of the method used to estimate cost and any other expense that would not have been incurred without this collection of information.</w:t>
      </w:r>
    </w:p>
    <w:p w:rsidR="0062567E" w:rsidRPr="002568E6" w:rsidP="000438E8" w14:paraId="614707A2" w14:textId="77777777">
      <w:pPr>
        <w:tabs>
          <w:tab w:val="left" w:pos="0"/>
        </w:tabs>
        <w:suppressAutoHyphens/>
        <w:rPr>
          <w:szCs w:val="24"/>
        </w:rPr>
      </w:pPr>
    </w:p>
    <w:p w:rsidR="009D08EB" w:rsidRPr="00E426D1" w:rsidP="009D08EB" w14:paraId="157917F3" w14:textId="77777777">
      <w:pPr>
        <w:tabs>
          <w:tab w:val="left" w:pos="720"/>
          <w:tab w:val="left" w:pos="1260"/>
        </w:tabs>
        <w:rPr>
          <w:szCs w:val="24"/>
        </w:rPr>
      </w:pPr>
      <w:r w:rsidRPr="00E426D1">
        <w:rPr>
          <w:szCs w:val="24"/>
          <w:u w:val="single"/>
        </w:rPr>
        <w:t>Federal cost of program maintenance (reporting and recordkeeping, monitoring, technical assistance, review and analysis)</w:t>
      </w:r>
      <w:r w:rsidRPr="00E426D1">
        <w:rPr>
          <w:szCs w:val="24"/>
        </w:rPr>
        <w:t xml:space="preserve">: </w:t>
      </w:r>
    </w:p>
    <w:p w:rsidR="009D08EB" w:rsidRPr="00E426D1" w:rsidP="009D08EB" w14:paraId="61987036" w14:textId="77777777">
      <w:pPr>
        <w:tabs>
          <w:tab w:val="left" w:pos="720"/>
          <w:tab w:val="left" w:pos="1080"/>
          <w:tab w:val="left" w:pos="1440"/>
          <w:tab w:val="left" w:pos="2880"/>
          <w:tab w:val="left" w:pos="3960"/>
          <w:tab w:val="left" w:pos="5760"/>
          <w:tab w:val="left" w:pos="6480"/>
        </w:tabs>
        <w:ind w:left="3960" w:hanging="3780"/>
        <w:rPr>
          <w:color w:val="0000FF"/>
          <w:szCs w:val="24"/>
        </w:rPr>
      </w:pPr>
      <w:r w:rsidRPr="00E426D1">
        <w:rPr>
          <w:color w:val="0000FF"/>
          <w:szCs w:val="24"/>
        </w:rPr>
        <w:tab/>
      </w:r>
      <w:r w:rsidRPr="00E426D1">
        <w:rPr>
          <w:color w:val="0000FF"/>
          <w:szCs w:val="24"/>
        </w:rPr>
        <w:tab/>
      </w:r>
      <w:r w:rsidRPr="00E426D1">
        <w:rPr>
          <w:color w:val="0000FF"/>
          <w:szCs w:val="24"/>
        </w:rPr>
        <w:tab/>
      </w:r>
    </w:p>
    <w:p w:rsidR="009D08EB" w:rsidRPr="00E426D1" w:rsidP="009D08EB" w14:paraId="3015A488" w14:textId="70D3B010">
      <w:pPr>
        <w:tabs>
          <w:tab w:val="left" w:pos="720"/>
          <w:tab w:val="left" w:pos="1080"/>
          <w:tab w:val="left" w:pos="1440"/>
          <w:tab w:val="left" w:pos="3960"/>
        </w:tabs>
        <w:ind w:left="3960" w:hanging="3780"/>
      </w:pPr>
      <w:r>
        <w:t>(1)</w:t>
      </w:r>
      <w:r>
        <w:tab/>
      </w:r>
      <w:r w:rsidR="00533583">
        <w:t>FNA</w:t>
      </w:r>
      <w:r>
        <w:t xml:space="preserve"> National Office Staff:</w:t>
      </w:r>
      <w:r>
        <w:tab/>
      </w:r>
      <w:r>
        <w:tab/>
      </w:r>
      <w:r w:rsidR="005441B8">
        <w:t>5</w:t>
      </w:r>
      <w:r>
        <w:t xml:space="preserve"> </w:t>
      </w:r>
      <w:r w:rsidR="00B34467">
        <w:t>full</w:t>
      </w:r>
      <w:r w:rsidR="00597200">
        <w:t xml:space="preserve"> </w:t>
      </w:r>
      <w:r w:rsidR="00B34467">
        <w:t>time employees (</w:t>
      </w:r>
      <w:r>
        <w:t>FTEs</w:t>
      </w:r>
      <w:r w:rsidR="00B34467">
        <w:t>)</w:t>
      </w:r>
    </w:p>
    <w:p w:rsidR="009D08EB" w:rsidRPr="00E426D1" w:rsidP="009D08EB" w14:paraId="4955B1E0" w14:textId="4E0E627E">
      <w:pPr>
        <w:tabs>
          <w:tab w:val="left" w:pos="720"/>
          <w:tab w:val="left" w:pos="1080"/>
          <w:tab w:val="left" w:pos="1440"/>
          <w:tab w:val="left" w:pos="3960"/>
        </w:tabs>
        <w:ind w:left="3960" w:hanging="3780"/>
        <w:rPr>
          <w:szCs w:val="24"/>
        </w:rPr>
      </w:pPr>
      <w:r w:rsidRPr="00E426D1">
        <w:rPr>
          <w:szCs w:val="24"/>
        </w:rPr>
        <w:tab/>
        <w:t>(recordkeeping, analysis)</w:t>
      </w:r>
    </w:p>
    <w:p w:rsidR="00CD4E0F" w:rsidP="009D08EB" w14:paraId="784BBE36" w14:textId="77777777">
      <w:pPr>
        <w:tabs>
          <w:tab w:val="left" w:pos="720"/>
          <w:tab w:val="left" w:pos="1080"/>
          <w:tab w:val="left" w:pos="1440"/>
          <w:tab w:val="left" w:pos="3960"/>
        </w:tabs>
        <w:ind w:left="3960" w:hanging="3780"/>
        <w:rPr>
          <w:szCs w:val="24"/>
        </w:rPr>
      </w:pPr>
      <w:r w:rsidRPr="00E426D1">
        <w:rPr>
          <w:szCs w:val="24"/>
        </w:rPr>
        <w:tab/>
      </w:r>
    </w:p>
    <w:p w:rsidR="009D08EB" w:rsidRPr="00E426D1" w:rsidP="009D08EB" w14:paraId="7795A840" w14:textId="386F908E">
      <w:pPr>
        <w:tabs>
          <w:tab w:val="left" w:pos="720"/>
          <w:tab w:val="left" w:pos="1080"/>
          <w:tab w:val="left" w:pos="1440"/>
          <w:tab w:val="left" w:pos="3960"/>
        </w:tabs>
        <w:ind w:left="3960" w:hanging="3780"/>
      </w:pPr>
      <w:r>
        <w:rPr>
          <w:szCs w:val="24"/>
        </w:rPr>
        <w:tab/>
      </w:r>
      <w:r w:rsidR="00533583">
        <w:t>FNA</w:t>
      </w:r>
      <w:r w:rsidRPr="36A235E9">
        <w:t xml:space="preserve"> </w:t>
      </w:r>
      <w:r w:rsidR="004A0185">
        <w:t xml:space="preserve">Non-National </w:t>
      </w:r>
      <w:r w:rsidR="004D396B">
        <w:t xml:space="preserve">Office </w:t>
      </w:r>
      <w:r w:rsidRPr="36A235E9">
        <w:t>Staff:</w:t>
      </w:r>
      <w:r w:rsidRPr="00E426D1">
        <w:rPr>
          <w:szCs w:val="24"/>
        </w:rPr>
        <w:tab/>
      </w:r>
      <w:r w:rsidRPr="00E426D1">
        <w:rPr>
          <w:szCs w:val="24"/>
        </w:rPr>
        <w:tab/>
      </w:r>
      <w:r w:rsidRPr="36A235E9" w:rsidR="00875691">
        <w:t>1</w:t>
      </w:r>
      <w:r w:rsidRPr="36A235E9">
        <w:t>4 FTEs</w:t>
      </w:r>
    </w:p>
    <w:p w:rsidR="009D08EB" w:rsidP="009D08EB" w14:paraId="4EDDF15B" w14:textId="1989690B">
      <w:pPr>
        <w:tabs>
          <w:tab w:val="left" w:pos="720"/>
          <w:tab w:val="left" w:pos="1080"/>
          <w:tab w:val="left" w:pos="1440"/>
          <w:tab w:val="left" w:pos="3960"/>
        </w:tabs>
        <w:ind w:left="3960" w:hanging="3780"/>
        <w:rPr>
          <w:szCs w:val="24"/>
        </w:rPr>
      </w:pPr>
      <w:r w:rsidRPr="00E426D1">
        <w:rPr>
          <w:szCs w:val="24"/>
        </w:rPr>
        <w:tab/>
        <w:t>(reporting and recordkeeping, monitoring, technical assistance, review, analysis)</w:t>
      </w:r>
    </w:p>
    <w:p w:rsidR="00CD4E0F" w:rsidRPr="00E426D1" w:rsidP="009D08EB" w14:paraId="66A8FCFD" w14:textId="77777777">
      <w:pPr>
        <w:tabs>
          <w:tab w:val="left" w:pos="720"/>
          <w:tab w:val="left" w:pos="1080"/>
          <w:tab w:val="left" w:pos="1440"/>
          <w:tab w:val="left" w:pos="3960"/>
        </w:tabs>
        <w:ind w:left="3960" w:hanging="3780"/>
        <w:rPr>
          <w:szCs w:val="24"/>
        </w:rPr>
      </w:pPr>
    </w:p>
    <w:p w:rsidR="00A200E7" w:rsidP="009D08EB" w14:paraId="03267B20" w14:textId="038BDE7C">
      <w:pPr>
        <w:tabs>
          <w:tab w:val="left" w:pos="720"/>
          <w:tab w:val="left" w:pos="1080"/>
          <w:tab w:val="left" w:pos="1440"/>
          <w:tab w:val="left" w:pos="3960"/>
        </w:tabs>
        <w:ind w:left="3960" w:hanging="3780"/>
        <w:rPr>
          <w:szCs w:val="24"/>
        </w:rPr>
      </w:pPr>
      <w:r w:rsidRPr="00E426D1">
        <w:rPr>
          <w:szCs w:val="24"/>
        </w:rPr>
        <w:tab/>
      </w:r>
      <w:r>
        <w:rPr>
          <w:szCs w:val="24"/>
        </w:rPr>
        <w:t>($</w:t>
      </w:r>
      <w:r w:rsidR="00BB00FA">
        <w:rPr>
          <w:szCs w:val="24"/>
        </w:rPr>
        <w:t>4</w:t>
      </w:r>
      <w:r w:rsidR="00303762">
        <w:rPr>
          <w:szCs w:val="24"/>
        </w:rPr>
        <w:t>3.</w:t>
      </w:r>
      <w:r w:rsidR="00977271">
        <w:rPr>
          <w:szCs w:val="24"/>
        </w:rPr>
        <w:t>08</w:t>
      </w:r>
      <w:r>
        <w:rPr>
          <w:szCs w:val="24"/>
        </w:rPr>
        <w:t>/hour x 40 hours x 52 weeks)</w:t>
      </w:r>
      <w:r w:rsidRPr="00E426D1">
        <w:rPr>
          <w:szCs w:val="24"/>
        </w:rPr>
        <w:t xml:space="preserve">* </w:t>
      </w:r>
      <w:r>
        <w:rPr>
          <w:szCs w:val="24"/>
        </w:rPr>
        <w:t>+ $</w:t>
      </w:r>
      <w:r w:rsidR="00BB00FA">
        <w:rPr>
          <w:szCs w:val="24"/>
        </w:rPr>
        <w:t>2</w:t>
      </w:r>
      <w:r w:rsidR="00057CBB">
        <w:rPr>
          <w:szCs w:val="24"/>
        </w:rPr>
        <w:t>9,</w:t>
      </w:r>
      <w:r w:rsidR="00977271">
        <w:rPr>
          <w:szCs w:val="24"/>
        </w:rPr>
        <w:t>570.11</w:t>
      </w:r>
      <w:r w:rsidR="00057CBB">
        <w:rPr>
          <w:szCs w:val="24"/>
        </w:rPr>
        <w:t xml:space="preserve"> </w:t>
      </w:r>
      <w:r w:rsidR="00210914">
        <w:rPr>
          <w:szCs w:val="24"/>
        </w:rPr>
        <w:t>(fringe benefits)</w:t>
      </w:r>
      <w:r w:rsidR="00992593">
        <w:rPr>
          <w:szCs w:val="24"/>
        </w:rPr>
        <w:t xml:space="preserve">** = </w:t>
      </w:r>
    </w:p>
    <w:p w:rsidR="00A200E7" w:rsidP="009D08EB" w14:paraId="7602B24F" w14:textId="77777777">
      <w:pPr>
        <w:tabs>
          <w:tab w:val="left" w:pos="720"/>
          <w:tab w:val="left" w:pos="1080"/>
          <w:tab w:val="left" w:pos="1440"/>
          <w:tab w:val="left" w:pos="3960"/>
        </w:tabs>
        <w:ind w:left="3960" w:hanging="3780"/>
        <w:rPr>
          <w:szCs w:val="24"/>
        </w:rPr>
      </w:pPr>
      <w:r>
        <w:rPr>
          <w:szCs w:val="24"/>
        </w:rPr>
        <w:tab/>
      </w:r>
      <w:r>
        <w:rPr>
          <w:szCs w:val="24"/>
        </w:rPr>
        <w:tab/>
      </w:r>
      <w:r>
        <w:rPr>
          <w:szCs w:val="24"/>
        </w:rPr>
        <w:tab/>
      </w:r>
      <w:r>
        <w:rPr>
          <w:szCs w:val="24"/>
        </w:rPr>
        <w:tab/>
      </w:r>
      <w:r>
        <w:rPr>
          <w:szCs w:val="24"/>
        </w:rPr>
        <w:tab/>
      </w:r>
    </w:p>
    <w:p w:rsidR="009D08EB" w:rsidRPr="00E426D1" w:rsidP="003169C2" w14:paraId="78D8890D" w14:textId="2CA0C482">
      <w:pPr>
        <w:tabs>
          <w:tab w:val="left" w:pos="720"/>
          <w:tab w:val="left" w:pos="1080"/>
          <w:tab w:val="left" w:pos="1440"/>
          <w:tab w:val="left" w:pos="3960"/>
        </w:tabs>
        <w:ind w:left="3960" w:hanging="3780"/>
        <w:rPr>
          <w:szCs w:val="24"/>
        </w:rPr>
      </w:pPr>
      <w:r>
        <w:rPr>
          <w:szCs w:val="24"/>
        </w:rPr>
        <w:tab/>
      </w:r>
      <w:r>
        <w:rPr>
          <w:szCs w:val="24"/>
        </w:rPr>
        <w:tab/>
      </w:r>
      <w:r>
        <w:rPr>
          <w:szCs w:val="24"/>
        </w:rPr>
        <w:tab/>
      </w:r>
      <w:r>
        <w:rPr>
          <w:szCs w:val="24"/>
        </w:rPr>
        <w:tab/>
      </w:r>
      <w:r>
        <w:rPr>
          <w:szCs w:val="24"/>
        </w:rPr>
        <w:tab/>
      </w:r>
      <w:r w:rsidRPr="003169C2" w:rsidR="00992593">
        <w:rPr>
          <w:szCs w:val="24"/>
          <w:u w:val="single"/>
        </w:rPr>
        <w:t>$</w:t>
      </w:r>
      <w:r w:rsidRPr="003169C2" w:rsidR="003B7830">
        <w:rPr>
          <w:szCs w:val="24"/>
          <w:u w:val="single"/>
        </w:rPr>
        <w:t>11</w:t>
      </w:r>
      <w:r w:rsidR="00977271">
        <w:rPr>
          <w:szCs w:val="24"/>
          <w:u w:val="single"/>
        </w:rPr>
        <w:t>9,176.51</w:t>
      </w:r>
      <w:r w:rsidRPr="003169C2" w:rsidR="00210914">
        <w:rPr>
          <w:szCs w:val="24"/>
          <w:u w:val="single"/>
        </w:rPr>
        <w:t xml:space="preserve"> per FTE</w:t>
      </w:r>
      <w:r w:rsidRPr="003169C2" w:rsidR="00DD3AA7">
        <w:rPr>
          <w:szCs w:val="24"/>
          <w:u w:val="single"/>
        </w:rPr>
        <w:t xml:space="preserve"> x </w:t>
      </w:r>
      <w:r w:rsidRPr="003169C2" w:rsidR="00D453BE">
        <w:rPr>
          <w:szCs w:val="24"/>
          <w:u w:val="single"/>
        </w:rPr>
        <w:t>19</w:t>
      </w:r>
      <w:r w:rsidRPr="003169C2" w:rsidR="00DD3AA7">
        <w:rPr>
          <w:szCs w:val="24"/>
          <w:u w:val="single"/>
        </w:rPr>
        <w:t xml:space="preserve"> FTEs</w:t>
      </w:r>
      <w:r w:rsidR="00DD3AA7">
        <w:rPr>
          <w:szCs w:val="24"/>
        </w:rPr>
        <w:t xml:space="preserve"> =</w:t>
      </w:r>
      <w:r>
        <w:rPr>
          <w:szCs w:val="24"/>
        </w:rPr>
        <w:t xml:space="preserve"> </w:t>
      </w:r>
    </w:p>
    <w:p w:rsidR="009D08EB" w:rsidRPr="00E426D1" w:rsidP="009D08EB" w14:paraId="260EAC17" w14:textId="278DF5EA">
      <w:pPr>
        <w:tabs>
          <w:tab w:val="left" w:pos="720"/>
          <w:tab w:val="left" w:pos="2880"/>
          <w:tab w:val="left" w:pos="3960"/>
        </w:tabs>
        <w:ind w:left="3960" w:hanging="3780"/>
        <w:rPr>
          <w:b/>
          <w:szCs w:val="24"/>
        </w:rPr>
      </w:pPr>
      <w:r w:rsidRPr="00E426D1">
        <w:rPr>
          <w:b/>
          <w:szCs w:val="24"/>
        </w:rPr>
        <w:tab/>
      </w:r>
      <w:r w:rsidR="00CD4E0F">
        <w:rPr>
          <w:b/>
          <w:szCs w:val="24"/>
        </w:rPr>
        <w:tab/>
      </w:r>
      <w:r w:rsidRPr="00E426D1">
        <w:rPr>
          <w:b/>
          <w:szCs w:val="24"/>
        </w:rPr>
        <w:t xml:space="preserve">Subtotal:  </w:t>
      </w:r>
      <w:r w:rsidRPr="00E426D1">
        <w:rPr>
          <w:b/>
          <w:szCs w:val="24"/>
        </w:rPr>
        <w:tab/>
        <w:t xml:space="preserve">   </w:t>
      </w:r>
      <w:r w:rsidR="003169C2">
        <w:rPr>
          <w:b/>
          <w:szCs w:val="24"/>
        </w:rPr>
        <w:tab/>
      </w:r>
      <w:r w:rsidRPr="00E426D1">
        <w:rPr>
          <w:b/>
          <w:szCs w:val="24"/>
        </w:rPr>
        <w:t>$</w:t>
      </w:r>
      <w:r w:rsidR="008F021F">
        <w:rPr>
          <w:b/>
          <w:szCs w:val="24"/>
        </w:rPr>
        <w:t>2</w:t>
      </w:r>
      <w:r w:rsidR="00992593">
        <w:rPr>
          <w:b/>
          <w:szCs w:val="24"/>
        </w:rPr>
        <w:t>,</w:t>
      </w:r>
      <w:r w:rsidR="00471271">
        <w:rPr>
          <w:b/>
          <w:szCs w:val="24"/>
        </w:rPr>
        <w:t>2</w:t>
      </w:r>
      <w:r w:rsidR="00D4609E">
        <w:rPr>
          <w:b/>
          <w:szCs w:val="24"/>
        </w:rPr>
        <w:t>66,353.73</w:t>
      </w:r>
    </w:p>
    <w:p w:rsidR="009D08EB" w:rsidRPr="00954772" w:rsidP="009D08EB" w14:paraId="1BECA548" w14:textId="77777777">
      <w:pPr>
        <w:tabs>
          <w:tab w:val="left" w:pos="720"/>
          <w:tab w:val="left" w:pos="1080"/>
          <w:tab w:val="left" w:pos="1440"/>
          <w:tab w:val="left" w:pos="2880"/>
          <w:tab w:val="left" w:pos="5040"/>
          <w:tab w:val="left" w:pos="5760"/>
          <w:tab w:val="left" w:pos="6480"/>
        </w:tabs>
        <w:rPr>
          <w:bCs/>
          <w:szCs w:val="24"/>
        </w:rPr>
      </w:pPr>
      <w:r w:rsidRPr="00954772">
        <w:rPr>
          <w:szCs w:val="24"/>
        </w:rPr>
        <w:t xml:space="preserve"> </w:t>
      </w:r>
    </w:p>
    <w:p w:rsidR="009D08EB" w:rsidRPr="00E426D1" w:rsidP="003169C2" w14:paraId="608D741A" w14:textId="5D109928">
      <w:pPr>
        <w:tabs>
          <w:tab w:val="left" w:pos="1080"/>
          <w:tab w:val="left" w:pos="2880"/>
          <w:tab w:val="left" w:pos="3960"/>
          <w:tab w:val="left" w:pos="5760"/>
          <w:tab w:val="left" w:pos="6480"/>
        </w:tabs>
        <w:ind w:left="180"/>
        <w:rPr>
          <w:szCs w:val="24"/>
        </w:rPr>
      </w:pPr>
      <w:r w:rsidRPr="00E426D1">
        <w:rPr>
          <w:szCs w:val="24"/>
        </w:rPr>
        <w:t>(2)</w:t>
      </w:r>
      <w:r w:rsidR="003169C2">
        <w:rPr>
          <w:szCs w:val="24"/>
        </w:rPr>
        <w:t xml:space="preserve">    </w:t>
      </w:r>
      <w:r w:rsidRPr="00E426D1">
        <w:rPr>
          <w:szCs w:val="24"/>
        </w:rPr>
        <w:t>Mailing and telephone:</w:t>
      </w:r>
      <w:r w:rsidRPr="00E426D1">
        <w:rPr>
          <w:szCs w:val="24"/>
        </w:rPr>
        <w:tab/>
        <w:t xml:space="preserve">       </w:t>
      </w:r>
      <w:r w:rsidRPr="00E426D1">
        <w:rPr>
          <w:szCs w:val="24"/>
          <w:u w:val="single"/>
        </w:rPr>
        <w:t>$2,000</w:t>
      </w:r>
    </w:p>
    <w:p w:rsidR="009D08EB" w:rsidRPr="00E426D1" w:rsidP="009D08EB" w14:paraId="2DABE516" w14:textId="798A613F">
      <w:pPr>
        <w:tabs>
          <w:tab w:val="left" w:pos="720"/>
          <w:tab w:val="left" w:pos="1080"/>
          <w:tab w:val="left" w:pos="1440"/>
          <w:tab w:val="left" w:pos="2880"/>
          <w:tab w:val="left" w:pos="3960"/>
          <w:tab w:val="left" w:pos="5760"/>
          <w:tab w:val="left" w:pos="6480"/>
        </w:tabs>
        <w:ind w:left="3960" w:hanging="3780"/>
        <w:rPr>
          <w:b/>
          <w:szCs w:val="24"/>
        </w:rPr>
      </w:pPr>
      <w:r w:rsidRPr="00E426D1">
        <w:rPr>
          <w:b/>
          <w:szCs w:val="24"/>
        </w:rPr>
        <w:tab/>
      </w:r>
      <w:r w:rsidRPr="00E426D1">
        <w:rPr>
          <w:b/>
          <w:szCs w:val="24"/>
        </w:rPr>
        <w:tab/>
      </w:r>
      <w:r w:rsidRPr="00E426D1">
        <w:rPr>
          <w:b/>
          <w:szCs w:val="24"/>
        </w:rPr>
        <w:tab/>
      </w:r>
      <w:r w:rsidRPr="00E426D1">
        <w:rPr>
          <w:b/>
          <w:szCs w:val="24"/>
        </w:rPr>
        <w:tab/>
        <w:t xml:space="preserve">Subtotal:  </w:t>
      </w:r>
      <w:r w:rsidRPr="00E426D1">
        <w:rPr>
          <w:b/>
          <w:szCs w:val="24"/>
        </w:rPr>
        <w:tab/>
        <w:t xml:space="preserve">    </w:t>
      </w:r>
      <w:r w:rsidR="003169C2">
        <w:rPr>
          <w:b/>
          <w:szCs w:val="24"/>
        </w:rPr>
        <w:t xml:space="preserve">  </w:t>
      </w:r>
      <w:r w:rsidRPr="00E426D1">
        <w:rPr>
          <w:b/>
          <w:szCs w:val="24"/>
        </w:rPr>
        <w:t xml:space="preserve"> $2,000</w:t>
      </w:r>
    </w:p>
    <w:p w:rsidR="009D08EB" w:rsidRPr="00E426D1" w:rsidP="009D08EB" w14:paraId="36803617" w14:textId="77777777">
      <w:pPr>
        <w:tabs>
          <w:tab w:val="left" w:pos="720"/>
          <w:tab w:val="left" w:pos="1080"/>
          <w:tab w:val="left" w:pos="1440"/>
          <w:tab w:val="left" w:pos="2880"/>
          <w:tab w:val="left" w:pos="5760"/>
          <w:tab w:val="left" w:pos="6480"/>
        </w:tabs>
        <w:ind w:left="1080" w:hanging="900"/>
        <w:rPr>
          <w:color w:val="0000FF"/>
          <w:szCs w:val="24"/>
        </w:rPr>
      </w:pPr>
      <w:r w:rsidRPr="00E426D1">
        <w:rPr>
          <w:color w:val="0000FF"/>
          <w:szCs w:val="24"/>
        </w:rPr>
        <w:tab/>
      </w:r>
      <w:r w:rsidRPr="00E426D1">
        <w:rPr>
          <w:color w:val="0000FF"/>
          <w:szCs w:val="24"/>
        </w:rPr>
        <w:tab/>
      </w:r>
    </w:p>
    <w:p w:rsidR="009D08EB" w:rsidRPr="000C3F9D" w:rsidP="003169C2" w14:paraId="6FA7D390" w14:textId="537333F6">
      <w:pPr>
        <w:tabs>
          <w:tab w:val="left" w:pos="720"/>
          <w:tab w:val="left" w:pos="1080"/>
          <w:tab w:val="left" w:pos="1440"/>
          <w:tab w:val="left" w:pos="2880"/>
          <w:tab w:val="left" w:pos="5760"/>
          <w:tab w:val="left" w:pos="6480"/>
        </w:tabs>
        <w:ind w:left="1080" w:hanging="1080"/>
        <w:rPr>
          <w:szCs w:val="24"/>
        </w:rPr>
      </w:pPr>
      <w:r w:rsidRPr="00E426D1">
        <w:rPr>
          <w:b/>
          <w:szCs w:val="24"/>
        </w:rPr>
        <w:t>Federal Program Maintenance Cost Total:  $</w:t>
      </w:r>
      <w:r w:rsidR="00FA7BA0">
        <w:rPr>
          <w:b/>
          <w:szCs w:val="24"/>
        </w:rPr>
        <w:t>2</w:t>
      </w:r>
      <w:r w:rsidR="00992593">
        <w:rPr>
          <w:b/>
          <w:szCs w:val="24"/>
        </w:rPr>
        <w:t>,</w:t>
      </w:r>
      <w:r w:rsidR="00471271">
        <w:rPr>
          <w:b/>
          <w:szCs w:val="24"/>
        </w:rPr>
        <w:t>2</w:t>
      </w:r>
      <w:r w:rsidR="00D4609E">
        <w:rPr>
          <w:b/>
          <w:szCs w:val="24"/>
        </w:rPr>
        <w:t>66,353.73</w:t>
      </w:r>
    </w:p>
    <w:p w:rsidR="009D08EB" w:rsidRPr="00E426D1" w:rsidP="009D08EB" w14:paraId="146C38E5" w14:textId="77777777">
      <w:pPr>
        <w:ind w:left="360"/>
        <w:rPr>
          <w:color w:val="3366FF"/>
          <w:szCs w:val="24"/>
        </w:rPr>
      </w:pPr>
    </w:p>
    <w:p w:rsidR="009D08EB" w:rsidP="009D08EB" w14:paraId="2E9B4158" w14:textId="31AACDD7">
      <w:pPr>
        <w:tabs>
          <w:tab w:val="left" w:pos="720"/>
          <w:tab w:val="left" w:pos="1080"/>
          <w:tab w:val="left" w:pos="1440"/>
          <w:tab w:val="left" w:pos="2880"/>
          <w:tab w:val="left" w:pos="5040"/>
          <w:tab w:val="left" w:pos="5760"/>
          <w:tab w:val="left" w:pos="6480"/>
        </w:tabs>
        <w:ind w:left="360"/>
      </w:pPr>
      <w:r w:rsidRPr="00E426D1">
        <w:rPr>
          <w:szCs w:val="24"/>
        </w:rPr>
        <w:t xml:space="preserve">* Based on an average of GS-11, 12, 13 salaries, Step 6, </w:t>
      </w:r>
      <w:r w:rsidRPr="003145CE" w:rsidR="003145CE">
        <w:rPr>
          <w:szCs w:val="24"/>
        </w:rPr>
        <w:t>($</w:t>
      </w:r>
      <w:r w:rsidR="002A6DEB">
        <w:rPr>
          <w:szCs w:val="24"/>
        </w:rPr>
        <w:t>3</w:t>
      </w:r>
      <w:r w:rsidR="00DB2060">
        <w:rPr>
          <w:szCs w:val="24"/>
        </w:rPr>
        <w:t>5.</w:t>
      </w:r>
      <w:r w:rsidR="00D4609E">
        <w:rPr>
          <w:szCs w:val="24"/>
        </w:rPr>
        <w:t>66</w:t>
      </w:r>
      <w:r w:rsidRPr="003145CE" w:rsidR="003145CE">
        <w:rPr>
          <w:szCs w:val="24"/>
        </w:rPr>
        <w:t xml:space="preserve"> + $</w:t>
      </w:r>
      <w:r w:rsidR="00A87DAC">
        <w:rPr>
          <w:szCs w:val="24"/>
        </w:rPr>
        <w:t>4</w:t>
      </w:r>
      <w:r w:rsidR="00416493">
        <w:rPr>
          <w:szCs w:val="24"/>
        </w:rPr>
        <w:t>2.</w:t>
      </w:r>
      <w:r w:rsidR="00D4609E">
        <w:rPr>
          <w:szCs w:val="24"/>
        </w:rPr>
        <w:t>74</w:t>
      </w:r>
      <w:r w:rsidRPr="003145CE" w:rsidR="003145CE">
        <w:rPr>
          <w:szCs w:val="24"/>
        </w:rPr>
        <w:t xml:space="preserve"> + $</w:t>
      </w:r>
      <w:r w:rsidR="00416493">
        <w:rPr>
          <w:szCs w:val="24"/>
        </w:rPr>
        <w:t>50.</w:t>
      </w:r>
      <w:r w:rsidR="004F7456">
        <w:rPr>
          <w:szCs w:val="24"/>
        </w:rPr>
        <w:t>83</w:t>
      </w:r>
      <w:r w:rsidRPr="003145CE" w:rsidR="003145CE">
        <w:rPr>
          <w:szCs w:val="24"/>
        </w:rPr>
        <w:t>) / 3</w:t>
      </w:r>
      <w:r w:rsidR="00416493">
        <w:rPr>
          <w:szCs w:val="24"/>
        </w:rPr>
        <w:t xml:space="preserve"> </w:t>
      </w:r>
      <w:r w:rsidRPr="003145CE" w:rsidR="003145CE">
        <w:rPr>
          <w:szCs w:val="24"/>
        </w:rPr>
        <w:t>= $</w:t>
      </w:r>
      <w:r w:rsidR="00DF54E9">
        <w:rPr>
          <w:szCs w:val="24"/>
        </w:rPr>
        <w:t>4</w:t>
      </w:r>
      <w:r w:rsidR="004F7456">
        <w:rPr>
          <w:szCs w:val="24"/>
        </w:rPr>
        <w:t>3.08</w:t>
      </w:r>
      <w:r w:rsidRPr="003145CE" w:rsidR="003145CE">
        <w:rPr>
          <w:szCs w:val="24"/>
        </w:rPr>
        <w:t>)</w:t>
      </w:r>
      <w:r w:rsidR="00992593">
        <w:rPr>
          <w:szCs w:val="24"/>
        </w:rPr>
        <w:t xml:space="preserve"> </w:t>
      </w:r>
      <w:r w:rsidRPr="00E426D1">
        <w:rPr>
          <w:szCs w:val="24"/>
        </w:rPr>
        <w:t>from the U.S. Office of Per</w:t>
      </w:r>
      <w:r w:rsidRPr="0011100D">
        <w:rPr>
          <w:szCs w:val="24"/>
        </w:rPr>
        <w:t>sonnel Management General Schedule (Base) Salary Table - effective January 202</w:t>
      </w:r>
      <w:r w:rsidR="004F7456">
        <w:rPr>
          <w:szCs w:val="24"/>
        </w:rPr>
        <w:t>6</w:t>
      </w:r>
      <w:r w:rsidRPr="0011100D">
        <w:rPr>
          <w:szCs w:val="24"/>
        </w:rPr>
        <w:t xml:space="preserve"> </w:t>
      </w:r>
      <w:r w:rsidR="0011100D">
        <w:rPr>
          <w:szCs w:val="24"/>
        </w:rPr>
        <w:t>(</w:t>
      </w:r>
      <w:r w:rsidRPr="007D6488" w:rsidR="007D6488">
        <w:t>https://www.opm.gov/policy-data-oversight/pay-leave/salaries-wages/2026/general-schedule/</w:t>
      </w:r>
      <w:r w:rsidR="0011100D">
        <w:t>).</w:t>
      </w:r>
    </w:p>
    <w:p w:rsidR="0011100D" w:rsidP="009D08EB" w14:paraId="634220A8" w14:textId="77777777">
      <w:pPr>
        <w:tabs>
          <w:tab w:val="left" w:pos="720"/>
          <w:tab w:val="left" w:pos="1080"/>
          <w:tab w:val="left" w:pos="1440"/>
          <w:tab w:val="left" w:pos="2880"/>
          <w:tab w:val="left" w:pos="5040"/>
          <w:tab w:val="left" w:pos="5760"/>
          <w:tab w:val="left" w:pos="6480"/>
        </w:tabs>
        <w:ind w:left="360"/>
        <w:rPr>
          <w:szCs w:val="24"/>
        </w:rPr>
      </w:pPr>
    </w:p>
    <w:p w:rsidR="009D08EB" w:rsidP="009D08EB" w14:paraId="15268E16" w14:textId="6D0FCAC4">
      <w:pPr>
        <w:tabs>
          <w:tab w:val="left" w:pos="720"/>
          <w:tab w:val="left" w:pos="1080"/>
          <w:tab w:val="left" w:pos="1440"/>
          <w:tab w:val="left" w:pos="2880"/>
          <w:tab w:val="left" w:pos="5040"/>
          <w:tab w:val="left" w:pos="5760"/>
          <w:tab w:val="left" w:pos="6480"/>
        </w:tabs>
        <w:ind w:left="360"/>
      </w:pPr>
      <w:r>
        <w:t>** The associated 33</w:t>
      </w:r>
      <w:r w:rsidR="00597200">
        <w:t xml:space="preserve"> </w:t>
      </w:r>
      <w:r w:rsidR="4646F0A3">
        <w:t>percent</w:t>
      </w:r>
      <w:r>
        <w:t xml:space="preserve"> fringe benefit cost ($</w:t>
      </w:r>
      <w:r w:rsidR="000507DC">
        <w:t>4</w:t>
      </w:r>
      <w:r w:rsidR="004F7456">
        <w:t>3.08</w:t>
      </w:r>
      <w:r>
        <w:t>/hour x 40 hours x 52 weeks) x .33= $</w:t>
      </w:r>
      <w:r w:rsidR="00992593">
        <w:t>2</w:t>
      </w:r>
      <w:r w:rsidR="009F43F4">
        <w:t>9,</w:t>
      </w:r>
      <w:r w:rsidR="00D2691D">
        <w:t>567.82</w:t>
      </w:r>
    </w:p>
    <w:p w:rsidR="009B2FBF" w:rsidRPr="00E426D1" w:rsidP="009D08EB" w14:paraId="736126A2" w14:textId="77777777">
      <w:pPr>
        <w:tabs>
          <w:tab w:val="left" w:pos="720"/>
          <w:tab w:val="left" w:pos="1080"/>
          <w:tab w:val="left" w:pos="1440"/>
          <w:tab w:val="left" w:pos="2880"/>
          <w:tab w:val="left" w:pos="5040"/>
          <w:tab w:val="left" w:pos="5760"/>
          <w:tab w:val="left" w:pos="6480"/>
        </w:tabs>
        <w:ind w:left="360"/>
        <w:rPr>
          <w:szCs w:val="24"/>
        </w:rPr>
      </w:pPr>
    </w:p>
    <w:p w:rsidR="00ED28F2" w:rsidRPr="002568E6" w:rsidP="00D8379F" w14:paraId="5A6363CC" w14:textId="40C30FF9">
      <w:pPr>
        <w:tabs>
          <w:tab w:val="left" w:pos="720"/>
          <w:tab w:val="left" w:pos="1080"/>
          <w:tab w:val="left" w:pos="1440"/>
          <w:tab w:val="left" w:pos="2880"/>
          <w:tab w:val="left" w:pos="5040"/>
          <w:tab w:val="left" w:pos="5760"/>
          <w:tab w:val="left" w:pos="6480"/>
        </w:tabs>
        <w:ind w:left="360"/>
        <w:rPr>
          <w:szCs w:val="24"/>
        </w:rPr>
      </w:pPr>
    </w:p>
    <w:p w:rsidR="009F5C85" w:rsidRPr="00042EC2" w:rsidP="009F5C85" w14:paraId="37A36273" w14:textId="77777777">
      <w:pPr>
        <w:pStyle w:val="Heading1"/>
      </w:pPr>
      <w:bookmarkStart w:id="40" w:name="_Toc401831371"/>
      <w:bookmarkStart w:id="41" w:name="_Toc83710926"/>
      <w:bookmarkStart w:id="42" w:name="_Toc115788683"/>
      <w:r>
        <w:t>A15.  Explanation of program changes or adjustments.</w:t>
      </w:r>
      <w:bookmarkEnd w:id="40"/>
      <w:bookmarkEnd w:id="41"/>
      <w:bookmarkEnd w:id="42"/>
    </w:p>
    <w:p w:rsidR="009F5C85" w:rsidRPr="00042EC2" w:rsidP="009F5C85" w14:paraId="1204A188" w14:textId="77777777">
      <w:pPr>
        <w:tabs>
          <w:tab w:val="left" w:pos="0"/>
        </w:tabs>
        <w:suppressAutoHyphens/>
        <w:jc w:val="center"/>
        <w:rPr>
          <w:b/>
          <w:szCs w:val="24"/>
        </w:rPr>
      </w:pPr>
    </w:p>
    <w:p w:rsidR="009F5C85" w:rsidRPr="00042EC2" w:rsidP="009F5C85" w14:paraId="56B5AA62" w14:textId="77777777">
      <w:pPr>
        <w:pStyle w:val="ListParagraph"/>
        <w:widowControl/>
        <w:spacing w:line="360" w:lineRule="auto"/>
        <w:ind w:left="0"/>
        <w:rPr>
          <w:b/>
          <w:szCs w:val="24"/>
        </w:rPr>
      </w:pPr>
      <w:r w:rsidRPr="00042EC2">
        <w:rPr>
          <w:b/>
          <w:szCs w:val="24"/>
        </w:rPr>
        <w:t>Explain the reasons for any program changes or adjustments reported in Items 13 or 14 of the OMB Form 83-I.</w:t>
      </w:r>
    </w:p>
    <w:p w:rsidR="00ED28F2" w:rsidRPr="002568E6" w:rsidP="00ED28F2" w14:paraId="10C8D5D5" w14:textId="77777777">
      <w:pPr>
        <w:tabs>
          <w:tab w:val="left" w:pos="-720"/>
        </w:tabs>
        <w:suppressAutoHyphens/>
        <w:rPr>
          <w:szCs w:val="24"/>
        </w:rPr>
      </w:pPr>
    </w:p>
    <w:p w:rsidR="00913C57" w:rsidP="00891240" w14:paraId="219154C4" w14:textId="5CFE843E">
      <w:pPr>
        <w:widowControl/>
        <w:overflowPunct/>
        <w:autoSpaceDE/>
        <w:autoSpaceDN/>
        <w:adjustRightInd/>
        <w:spacing w:line="480" w:lineRule="auto"/>
        <w:textAlignment w:val="auto"/>
        <w:rPr>
          <w:szCs w:val="24"/>
        </w:rPr>
      </w:pPr>
      <w:r>
        <w:rPr>
          <w:szCs w:val="24"/>
        </w:rPr>
        <w:t xml:space="preserve">This is a revision of a currently approved collection, as a result of a </w:t>
      </w:r>
      <w:r w:rsidR="00346C15">
        <w:rPr>
          <w:szCs w:val="24"/>
        </w:rPr>
        <w:t xml:space="preserve">final </w:t>
      </w:r>
      <w:r>
        <w:rPr>
          <w:szCs w:val="24"/>
        </w:rPr>
        <w:t>rule, Special Supplemental Nutrition Program for Women, Infants, and Children (WIC): Online Ordering and Transactions and Food Delivery Revisions to Meet the Needs of a Modern, Data-Driven Program</w:t>
      </w:r>
      <w:r w:rsidR="00147DBF">
        <w:rPr>
          <w:szCs w:val="24"/>
        </w:rPr>
        <w:t xml:space="preserve">. The reporting and recordkeeping burdens covered by this </w:t>
      </w:r>
      <w:r w:rsidR="00AA4054">
        <w:rPr>
          <w:szCs w:val="24"/>
        </w:rPr>
        <w:t>ICR</w:t>
      </w:r>
      <w:r w:rsidR="00147DBF">
        <w:rPr>
          <w:szCs w:val="24"/>
        </w:rPr>
        <w:t xml:space="preserve"> include requirements that involve</w:t>
      </w:r>
      <w:r w:rsidR="00AC256E">
        <w:rPr>
          <w:szCs w:val="24"/>
        </w:rPr>
        <w:t xml:space="preserve"> WIC </w:t>
      </w:r>
      <w:r w:rsidR="00AC256E">
        <w:rPr>
          <w:bCs/>
          <w:szCs w:val="24"/>
        </w:rPr>
        <w:t>State agency operational plans and policies; vendor sales and shelf price data; vendor application and agreement information; data related to vendor preauthorization visits, training, monitoring, and compliance investigations; State agency costs; in-person participant benefit pick up; and notification of program violations to vendors.</w:t>
      </w:r>
    </w:p>
    <w:p w:rsidR="00913C57" w:rsidP="00891240" w14:paraId="0C008E74" w14:textId="77777777">
      <w:pPr>
        <w:widowControl/>
        <w:overflowPunct/>
        <w:autoSpaceDE/>
        <w:autoSpaceDN/>
        <w:adjustRightInd/>
        <w:spacing w:line="480" w:lineRule="auto"/>
        <w:textAlignment w:val="auto"/>
        <w:rPr>
          <w:szCs w:val="24"/>
        </w:rPr>
      </w:pPr>
    </w:p>
    <w:p w:rsidR="00913C57" w:rsidP="00913C57" w14:paraId="2A3F79B4" w14:textId="5F0C9F88">
      <w:pPr>
        <w:widowControl/>
        <w:overflowPunct/>
        <w:autoSpaceDE/>
        <w:autoSpaceDN/>
        <w:adjustRightInd/>
        <w:spacing w:line="480" w:lineRule="auto"/>
        <w:textAlignment w:val="auto"/>
      </w:pPr>
      <w:r>
        <w:t>This information collection c</w:t>
      </w:r>
      <w:r w:rsidR="00C1693A">
        <w:t xml:space="preserve">urrently </w:t>
      </w:r>
      <w:r w:rsidR="00217C91">
        <w:t xml:space="preserve">includes </w:t>
      </w:r>
      <w:r w:rsidR="00B3288D">
        <w:t>17,36</w:t>
      </w:r>
      <w:r w:rsidR="00BB4720">
        <w:t>2</w:t>
      </w:r>
      <w:r w:rsidR="00196B4F">
        <w:t xml:space="preserve">,904 </w:t>
      </w:r>
      <w:r w:rsidR="00C1693A">
        <w:t>burden hours</w:t>
      </w:r>
      <w:r w:rsidR="002B16C1">
        <w:t>,</w:t>
      </w:r>
      <w:r w:rsidR="00C1693A">
        <w:t xml:space="preserve"> </w:t>
      </w:r>
      <w:r w:rsidR="00BB0CDB">
        <w:t>67,86</w:t>
      </w:r>
      <w:r w:rsidR="00196B4F">
        <w:t xml:space="preserve">7,960 </w:t>
      </w:r>
      <w:r>
        <w:t>responses</w:t>
      </w:r>
      <w:r w:rsidR="002B16C1">
        <w:t xml:space="preserve">, and </w:t>
      </w:r>
      <w:r w:rsidRPr="00850E41" w:rsidR="002B16C1">
        <w:t>6,</w:t>
      </w:r>
      <w:r w:rsidRPr="00850E41" w:rsidR="00875171">
        <w:t>283,</w:t>
      </w:r>
      <w:r w:rsidRPr="00850E41" w:rsidR="580E435E">
        <w:t>12</w:t>
      </w:r>
      <w:r w:rsidRPr="00850E41" w:rsidR="00196B4F">
        <w:t>6</w:t>
      </w:r>
      <w:r w:rsidR="002B16C1">
        <w:t xml:space="preserve"> respondents</w:t>
      </w:r>
      <w:r>
        <w:t xml:space="preserve">. With this revision, </w:t>
      </w:r>
      <w:r w:rsidR="00533583">
        <w:t>FNA</w:t>
      </w:r>
      <w:r w:rsidR="00EC07F7">
        <w:t xml:space="preserve"> is requesting </w:t>
      </w:r>
      <w:r w:rsidRPr="00850E41" w:rsidR="006C2653">
        <w:t>15,</w:t>
      </w:r>
      <w:r w:rsidR="00AF07AE">
        <w:t>380,</w:t>
      </w:r>
      <w:r w:rsidR="00FB141D">
        <w:t>899</w:t>
      </w:r>
      <w:r w:rsidR="00196B4F">
        <w:t xml:space="preserve"> </w:t>
      </w:r>
      <w:r w:rsidR="00EC07F7">
        <w:t>burden hours</w:t>
      </w:r>
      <w:r w:rsidR="00C1693A">
        <w:t xml:space="preserve"> and </w:t>
      </w:r>
      <w:r w:rsidRPr="00850E41" w:rsidR="006C2653">
        <w:t>64</w:t>
      </w:r>
      <w:r w:rsidRPr="00850E41" w:rsidR="005935A2">
        <w:t>,</w:t>
      </w:r>
      <w:r w:rsidR="00FB141D">
        <w:t>229,802</w:t>
      </w:r>
      <w:r w:rsidR="005935A2">
        <w:t xml:space="preserve"> </w:t>
      </w:r>
      <w:r w:rsidR="00816974">
        <w:t>responses</w:t>
      </w:r>
      <w:r>
        <w:t xml:space="preserve"> from </w:t>
      </w:r>
      <w:r w:rsidRPr="00850E41">
        <w:t>6,</w:t>
      </w:r>
      <w:r w:rsidR="00FB141D">
        <w:t>747,052</w:t>
      </w:r>
      <w:r w:rsidRPr="00850E41">
        <w:t xml:space="preserve"> </w:t>
      </w:r>
      <w:r>
        <w:t xml:space="preserve">respondents. As a result of the rulemaking, there is a net decrease of </w:t>
      </w:r>
      <w:r w:rsidRPr="00850E41" w:rsidR="00347946">
        <w:t>1,</w:t>
      </w:r>
      <w:r w:rsidR="00FB141D">
        <w:t>982,005</w:t>
      </w:r>
      <w:r w:rsidR="00257D71">
        <w:t xml:space="preserve"> </w:t>
      </w:r>
      <w:r>
        <w:t xml:space="preserve">hours and </w:t>
      </w:r>
      <w:r w:rsidRPr="00850E41" w:rsidR="00C3322D">
        <w:t>3,63</w:t>
      </w:r>
      <w:r w:rsidR="001C490C">
        <w:t>8,158</w:t>
      </w:r>
      <w:r>
        <w:t xml:space="preserve"> annual responses, and a net increase of </w:t>
      </w:r>
      <w:r w:rsidR="001C490C">
        <w:t xml:space="preserve">463,926 </w:t>
      </w:r>
      <w:r>
        <w:t xml:space="preserve">respondents to the existing information collection. </w:t>
      </w:r>
      <w:r w:rsidR="00385791">
        <w:t xml:space="preserve"> </w:t>
      </w:r>
    </w:p>
    <w:p w:rsidR="00191BB7" w:rsidP="00891240" w14:paraId="13C59CEE" w14:textId="77777777">
      <w:pPr>
        <w:widowControl/>
        <w:overflowPunct/>
        <w:autoSpaceDE/>
        <w:autoSpaceDN/>
        <w:adjustRightInd/>
        <w:spacing w:line="480" w:lineRule="auto"/>
        <w:textAlignment w:val="auto"/>
        <w:rPr>
          <w:szCs w:val="24"/>
        </w:rPr>
      </w:pPr>
    </w:p>
    <w:p w:rsidR="00191BB7" w:rsidRPr="000F738E" w:rsidP="00891240" w14:paraId="78B024AD" w14:textId="260B1961">
      <w:pPr>
        <w:widowControl/>
        <w:overflowPunct/>
        <w:autoSpaceDE/>
        <w:autoSpaceDN/>
        <w:adjustRightInd/>
        <w:spacing w:line="480" w:lineRule="auto"/>
        <w:textAlignment w:val="auto"/>
      </w:pPr>
      <w:r>
        <w:t xml:space="preserve">The program changes resulting from the </w:t>
      </w:r>
      <w:r w:rsidR="00346C15">
        <w:t xml:space="preserve">final </w:t>
      </w:r>
      <w:r>
        <w:t xml:space="preserve">rule </w:t>
      </w:r>
      <w:r w:rsidR="00605B4F">
        <w:t>include</w:t>
      </w:r>
      <w:r w:rsidR="0000118F">
        <w:t>:</w:t>
      </w:r>
      <w:r w:rsidR="00910A90">
        <w:t xml:space="preserve"> </w:t>
      </w:r>
      <w:r w:rsidR="00093E7C">
        <w:t xml:space="preserve">authorizing </w:t>
      </w:r>
      <w:r w:rsidR="00910A90">
        <w:t xml:space="preserve">internet vendors in the WIC </w:t>
      </w:r>
      <w:r w:rsidR="2737C0CA">
        <w:t>p</w:t>
      </w:r>
      <w:r w:rsidR="00910A90">
        <w:t>rogram</w:t>
      </w:r>
      <w:r w:rsidR="008F31D3">
        <w:t xml:space="preserve"> and related changes in the </w:t>
      </w:r>
      <w:r w:rsidR="00C102A2">
        <w:t xml:space="preserve">frequency </w:t>
      </w:r>
      <w:r w:rsidR="008F31D3">
        <w:t xml:space="preserve">of vendor </w:t>
      </w:r>
      <w:r w:rsidR="00C102A2">
        <w:t xml:space="preserve">preauthorization, </w:t>
      </w:r>
      <w:r w:rsidR="008F31D3">
        <w:t>monitoring</w:t>
      </w:r>
      <w:r w:rsidR="00C102A2">
        <w:t>,</w:t>
      </w:r>
      <w:r w:rsidR="008F31D3">
        <w:t xml:space="preserve"> and </w:t>
      </w:r>
      <w:r w:rsidR="00C102A2">
        <w:t>compliance visits</w:t>
      </w:r>
      <w:r w:rsidR="0000118F">
        <w:t xml:space="preserve">; </w:t>
      </w:r>
      <w:r w:rsidR="003455CC">
        <w:t xml:space="preserve">removing </w:t>
      </w:r>
      <w:r w:rsidR="002B1E83">
        <w:t>the requirement to collect shelf price data from vendors in State agencies with access to EBT data</w:t>
      </w:r>
      <w:r w:rsidR="003455CC">
        <w:t xml:space="preserve">; requiring State agencies to develop new transaction authentication policies; </w:t>
      </w:r>
      <w:r w:rsidR="006A1F89">
        <w:t>State agency and vendor system updates to implement online shopping</w:t>
      </w:r>
      <w:r w:rsidR="00231B3C">
        <w:t>;</w:t>
      </w:r>
      <w:r w:rsidR="006A1F89">
        <w:t xml:space="preserve"> </w:t>
      </w:r>
      <w:r w:rsidR="003455CC">
        <w:t>and</w:t>
      </w:r>
      <w:r w:rsidR="006A1F89">
        <w:t xml:space="preserve"> </w:t>
      </w:r>
      <w:r w:rsidR="00231B3C">
        <w:t xml:space="preserve">State agency reporting on </w:t>
      </w:r>
      <w:r w:rsidR="0094492F">
        <w:t>changes to their food delivery system</w:t>
      </w:r>
      <w:r w:rsidR="002B1E83">
        <w:t xml:space="preserve">. </w:t>
      </w:r>
    </w:p>
    <w:p w:rsidR="006B4BFE" w:rsidP="000438E8" w14:paraId="7B0BC098" w14:textId="77777777">
      <w:pPr>
        <w:tabs>
          <w:tab w:val="left" w:pos="0"/>
        </w:tabs>
        <w:suppressAutoHyphens/>
        <w:rPr>
          <w:szCs w:val="24"/>
        </w:rPr>
      </w:pPr>
    </w:p>
    <w:p w:rsidR="000756EE" w:rsidRPr="002568E6" w:rsidP="000438E8" w14:paraId="28EDC195" w14:textId="77777777">
      <w:pPr>
        <w:tabs>
          <w:tab w:val="left" w:pos="0"/>
        </w:tabs>
        <w:suppressAutoHyphens/>
        <w:rPr>
          <w:szCs w:val="24"/>
        </w:rPr>
      </w:pPr>
    </w:p>
    <w:p w:rsidR="00181DA3" w:rsidRPr="00042EC2" w:rsidP="00181DA3" w14:paraId="61144FC3" w14:textId="77777777">
      <w:pPr>
        <w:pStyle w:val="Heading1"/>
      </w:pPr>
      <w:bookmarkStart w:id="43" w:name="_Toc401831372"/>
      <w:bookmarkStart w:id="44" w:name="_Toc83710927"/>
      <w:bookmarkStart w:id="45" w:name="_Toc115788684"/>
      <w:r>
        <w:t>A16.  Plans for tabulation, and publication and project time schedule.</w:t>
      </w:r>
      <w:bookmarkEnd w:id="43"/>
      <w:bookmarkEnd w:id="44"/>
      <w:bookmarkEnd w:id="45"/>
      <w:r>
        <w:t xml:space="preserve"> </w:t>
      </w:r>
    </w:p>
    <w:p w:rsidR="00181DA3" w:rsidRPr="00042EC2" w:rsidP="00181DA3" w14:paraId="6344D6FC" w14:textId="77777777">
      <w:pPr>
        <w:tabs>
          <w:tab w:val="left" w:pos="0"/>
        </w:tabs>
        <w:suppressAutoHyphens/>
        <w:rPr>
          <w:b/>
          <w:szCs w:val="24"/>
        </w:rPr>
      </w:pPr>
    </w:p>
    <w:p w:rsidR="00181DA3" w:rsidRPr="00042EC2" w:rsidP="00181DA3" w14:paraId="62F87802" w14:textId="77777777">
      <w:pPr>
        <w:pStyle w:val="ListParagraph"/>
        <w:widowControl/>
        <w:spacing w:line="360" w:lineRule="auto"/>
        <w:ind w:left="0"/>
        <w:rPr>
          <w:b/>
          <w:szCs w:val="24"/>
        </w:rPr>
      </w:pPr>
      <w:r w:rsidRPr="00042EC2">
        <w:rPr>
          <w:b/>
          <w:szCs w:val="24"/>
        </w:rPr>
        <w:t>For collections of information whose results are planned to be published, outline plans for tabulation and publication.</w:t>
      </w:r>
    </w:p>
    <w:p w:rsidR="00ED28F2" w:rsidRPr="002568E6" w:rsidP="00ED28F2" w14:paraId="2418B487" w14:textId="77777777">
      <w:pPr>
        <w:tabs>
          <w:tab w:val="left" w:pos="-720"/>
        </w:tabs>
        <w:suppressAutoHyphens/>
        <w:rPr>
          <w:szCs w:val="24"/>
        </w:rPr>
      </w:pPr>
    </w:p>
    <w:p w:rsidR="00EC07F7" w:rsidP="00735AD2" w14:paraId="62D26194" w14:textId="39D869EA">
      <w:pPr>
        <w:pStyle w:val="BodyTextIndent"/>
        <w:tabs>
          <w:tab w:val="left" w:pos="1080"/>
          <w:tab w:val="left" w:pos="1440"/>
          <w:tab w:val="left" w:pos="2880"/>
          <w:tab w:val="left" w:pos="5760"/>
          <w:tab w:val="left" w:pos="6480"/>
        </w:tabs>
        <w:spacing w:line="480" w:lineRule="auto"/>
        <w:ind w:left="0"/>
      </w:pPr>
      <w:r>
        <w:t>T</w:t>
      </w:r>
      <w:r w:rsidR="0004395D">
        <w:t xml:space="preserve">he </w:t>
      </w:r>
      <w:r>
        <w:t>information covered by this collection is not for publication. However, s</w:t>
      </w:r>
      <w:r w:rsidR="0004395D">
        <w:t>ome i</w:t>
      </w:r>
      <w:r>
        <w:t xml:space="preserve">nformation may be shared with contractors that are completing studies about the WIC </w:t>
      </w:r>
      <w:r w:rsidR="0F728747">
        <w:t>p</w:t>
      </w:r>
      <w:r>
        <w:t>rogram and may be used, in aggregate form, in resulting publications.</w:t>
      </w:r>
    </w:p>
    <w:p w:rsidR="00EC3938" w:rsidP="00735AD2" w14:paraId="2DFF0C65" w14:textId="77777777">
      <w:pPr>
        <w:pStyle w:val="BodyTextIndent"/>
        <w:tabs>
          <w:tab w:val="left" w:pos="1080"/>
          <w:tab w:val="left" w:pos="1440"/>
          <w:tab w:val="left" w:pos="2880"/>
          <w:tab w:val="left" w:pos="5760"/>
          <w:tab w:val="left" w:pos="6480"/>
        </w:tabs>
        <w:spacing w:line="480" w:lineRule="auto"/>
        <w:ind w:left="0"/>
      </w:pPr>
    </w:p>
    <w:p w:rsidR="00EC3938" w:rsidRPr="00042EC2" w:rsidP="00EC3938" w14:paraId="303D5189" w14:textId="3A8AE663">
      <w:pPr>
        <w:pStyle w:val="Heading1"/>
      </w:pPr>
      <w:bookmarkStart w:id="46" w:name="_Toc401831373"/>
      <w:bookmarkStart w:id="47" w:name="_Toc83710928"/>
      <w:bookmarkStart w:id="48" w:name="_Toc115788685"/>
      <w:r>
        <w:t xml:space="preserve">A17.  Displaying the OMB </w:t>
      </w:r>
      <w:r w:rsidR="0DB1DA1A">
        <w:t>a</w:t>
      </w:r>
      <w:r>
        <w:t xml:space="preserve">pproval </w:t>
      </w:r>
      <w:r w:rsidR="00597200">
        <w:t>e</w:t>
      </w:r>
      <w:r>
        <w:t xml:space="preserve">xpiration </w:t>
      </w:r>
      <w:r w:rsidR="61490569">
        <w:t>d</w:t>
      </w:r>
      <w:r>
        <w:t>ate.</w:t>
      </w:r>
      <w:bookmarkEnd w:id="46"/>
      <w:bookmarkEnd w:id="47"/>
      <w:bookmarkEnd w:id="48"/>
    </w:p>
    <w:p w:rsidR="00EC3938" w:rsidRPr="00042EC2" w:rsidP="00EC3938" w14:paraId="3B6DB1C3" w14:textId="77777777">
      <w:pPr>
        <w:pStyle w:val="ListParagraph"/>
        <w:widowControl/>
        <w:spacing w:line="240" w:lineRule="auto"/>
        <w:ind w:left="0"/>
        <w:rPr>
          <w:b/>
          <w:szCs w:val="24"/>
        </w:rPr>
      </w:pPr>
    </w:p>
    <w:p w:rsidR="00EC3938" w:rsidRPr="00042EC2" w:rsidP="00EC3938" w14:paraId="7A495A22" w14:textId="77777777">
      <w:pPr>
        <w:pStyle w:val="ListParagraph"/>
        <w:widowControl/>
        <w:spacing w:line="240" w:lineRule="auto"/>
        <w:ind w:left="0"/>
        <w:rPr>
          <w:b/>
          <w:szCs w:val="24"/>
        </w:rPr>
      </w:pPr>
      <w:r w:rsidRPr="00042EC2">
        <w:rPr>
          <w:b/>
          <w:szCs w:val="24"/>
        </w:rPr>
        <w:t>If seeking approval to not display the expiration date for OMB approval of the information collection, explain the reasons that display would be inappropriate.</w:t>
      </w:r>
    </w:p>
    <w:p w:rsidR="00ED28F2" w:rsidRPr="002568E6" w:rsidP="00ED28F2" w14:paraId="025F6E47" w14:textId="77777777">
      <w:pPr>
        <w:tabs>
          <w:tab w:val="left" w:pos="-720"/>
        </w:tabs>
        <w:suppressAutoHyphens/>
        <w:rPr>
          <w:szCs w:val="24"/>
        </w:rPr>
      </w:pPr>
    </w:p>
    <w:p w:rsidR="00EC07F7" w:rsidRPr="007A0BBB" w:rsidP="00735AD2" w14:paraId="2216500B" w14:textId="558D4BB0">
      <w:pPr>
        <w:pStyle w:val="BodyTextIndent"/>
        <w:tabs>
          <w:tab w:val="left" w:pos="1080"/>
          <w:tab w:val="left" w:pos="1440"/>
          <w:tab w:val="left" w:pos="2880"/>
          <w:tab w:val="left" w:pos="3960"/>
          <w:tab w:val="left" w:pos="5760"/>
          <w:tab w:val="left" w:pos="6480"/>
        </w:tabs>
        <w:spacing w:line="480" w:lineRule="auto"/>
        <w:ind w:left="0"/>
      </w:pPr>
      <w:r>
        <w:t>The agency plans to display the expiration date for OMB approval of the information collection on all instruments.</w:t>
      </w:r>
    </w:p>
    <w:p w:rsidR="000438E8" w:rsidRPr="002568E6" w:rsidP="000438E8" w14:paraId="4D097CF4" w14:textId="77777777">
      <w:pPr>
        <w:tabs>
          <w:tab w:val="left" w:pos="0"/>
        </w:tabs>
        <w:suppressAutoHyphens/>
        <w:rPr>
          <w:szCs w:val="24"/>
        </w:rPr>
      </w:pPr>
    </w:p>
    <w:p w:rsidR="003635DB" w:rsidRPr="00042EC2" w:rsidP="003635DB" w14:paraId="7B26F5AD" w14:textId="77777777">
      <w:pPr>
        <w:pStyle w:val="Heading1"/>
      </w:pPr>
      <w:bookmarkStart w:id="49" w:name="_Toc401831374"/>
      <w:bookmarkStart w:id="50" w:name="_Toc83710929"/>
      <w:bookmarkStart w:id="51" w:name="_Toc115788686"/>
      <w:r>
        <w:t>A18.  Exceptions to the certification statement identified in Item 19.</w:t>
      </w:r>
      <w:bookmarkEnd w:id="49"/>
      <w:bookmarkEnd w:id="50"/>
      <w:bookmarkEnd w:id="51"/>
      <w:r>
        <w:t xml:space="preserve">  </w:t>
      </w:r>
    </w:p>
    <w:p w:rsidR="003635DB" w:rsidRPr="00042EC2" w:rsidP="003635DB" w14:paraId="20ABE74F" w14:textId="77777777">
      <w:pPr>
        <w:tabs>
          <w:tab w:val="left" w:pos="0"/>
        </w:tabs>
        <w:suppressAutoHyphens/>
        <w:rPr>
          <w:b/>
          <w:szCs w:val="24"/>
        </w:rPr>
      </w:pPr>
    </w:p>
    <w:p w:rsidR="003635DB" w:rsidRPr="00042EC2" w:rsidP="4FE94C9D" w14:paraId="7DD5861B" w14:textId="19484B15">
      <w:pPr>
        <w:tabs>
          <w:tab w:val="left" w:pos="0"/>
        </w:tabs>
        <w:suppressAutoHyphens/>
        <w:rPr>
          <w:b/>
          <w:bCs/>
        </w:rPr>
      </w:pPr>
      <w:r w:rsidRPr="4FE94C9D">
        <w:rPr>
          <w:b/>
          <w:bCs/>
        </w:rPr>
        <w:t xml:space="preserve">Explain each exception to the certification statement identified in Item 19 of the OMB 83-I </w:t>
      </w:r>
      <w:r w:rsidR="00365EC9">
        <w:rPr>
          <w:b/>
          <w:bCs/>
        </w:rPr>
        <w:t>“</w:t>
      </w:r>
      <w:r w:rsidRPr="4FE94C9D">
        <w:rPr>
          <w:b/>
          <w:bCs/>
        </w:rPr>
        <w:t>Certification for Paperwork Reduction Act.</w:t>
      </w:r>
      <w:r w:rsidRPr="4FE94C9D" w:rsidR="348EF75B">
        <w:rPr>
          <w:b/>
          <w:bCs/>
        </w:rPr>
        <w:t>”</w:t>
      </w:r>
    </w:p>
    <w:p w:rsidR="00192E71" w:rsidP="00130322" w14:paraId="15265FA5" w14:textId="77777777"/>
    <w:p w:rsidR="006F346E" w:rsidRPr="00192E71" w:rsidP="00130322" w14:paraId="7E8ED871" w14:textId="50745DF3">
      <w:pPr>
        <w:rPr>
          <w:b/>
        </w:rPr>
      </w:pPr>
      <w:r>
        <w:t>There are no exceptions to the certification statement.</w:t>
      </w:r>
    </w:p>
    <w:p w:rsidR="00192E71" w:rsidP="00192E71" w14:paraId="3DBB5A96" w14:textId="4525BA54"/>
    <w:p w:rsidR="00192E71" w:rsidRPr="00192E71" w:rsidP="00192E71" w14:paraId="536A12FD" w14:textId="77777777"/>
    <w:sectPr w:rsidSect="0055107E">
      <w:endnotePr>
        <w:numFmt w:val="decimal"/>
      </w:endnotePr>
      <w:pgSz w:w="12240" w:h="15840"/>
      <w:pgMar w:top="1440" w:right="1440" w:bottom="1440" w:left="1440" w:header="144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D12870" w14:paraId="21E4067F" w14:textId="77777777">
      <w:pPr>
        <w:spacing w:line="20" w:lineRule="exact"/>
      </w:pPr>
    </w:p>
  </w:endnote>
  <w:endnote w:type="continuationSeparator" w:id="1">
    <w:p w:rsidR="00D12870" w14:paraId="1BE9666E" w14:textId="77777777">
      <w:r>
        <w:t xml:space="preserve"> </w:t>
      </w:r>
    </w:p>
  </w:endnote>
  <w:endnote w:type="continuationNotice" w:id="2">
    <w:p w:rsidR="00D12870" w14:paraId="2200D82B"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0057946"/>
      <w:docPartObj>
        <w:docPartGallery w:val="Page Numbers (Bottom of Page)"/>
        <w:docPartUnique/>
      </w:docPartObj>
    </w:sdtPr>
    <w:sdtEndPr>
      <w:rPr>
        <w:noProof/>
      </w:rPr>
    </w:sdtEndPr>
    <w:sdtContent>
      <w:p w:rsidR="00B848B8" w:rsidRPr="002568E6" w14:paraId="23CE4880" w14:textId="10B0811B">
        <w:pPr>
          <w:pStyle w:val="Footer"/>
          <w:jc w:val="center"/>
        </w:pPr>
        <w:r w:rsidRPr="002568E6">
          <w:fldChar w:fldCharType="begin"/>
        </w:r>
        <w:r w:rsidRPr="002568E6">
          <w:instrText xml:space="preserve"> PAGE   \* MERGEFORMAT </w:instrText>
        </w:r>
        <w:r w:rsidRPr="002568E6">
          <w:fldChar w:fldCharType="separate"/>
        </w:r>
        <w:r w:rsidR="00A37D0B">
          <w:rPr>
            <w:noProof/>
          </w:rPr>
          <w:t>21</w:t>
        </w:r>
        <w:r w:rsidRPr="002568E6">
          <w:rPr>
            <w:noProof/>
          </w:rPr>
          <w:fldChar w:fldCharType="end"/>
        </w:r>
      </w:p>
    </w:sdtContent>
  </w:sdt>
  <w:p w:rsidR="00B848B8" w14:paraId="3BC0273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A38" w:rsidP="00954A38" w14:paraId="59C2A61C" w14:textId="1B6B68ED">
    <w:pPr>
      <w:pStyle w:val="Footer"/>
      <w:tabs>
        <w:tab w:val="clear" w:pos="4320"/>
        <w:tab w:val="left" w:pos="5080"/>
        <w:tab w:val="clear" w:pos="864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12870" w14:paraId="0EE27525" w14:textId="77777777">
      <w:r>
        <w:separator/>
      </w:r>
    </w:p>
  </w:footnote>
  <w:footnote w:type="continuationSeparator" w:id="1">
    <w:p w:rsidR="00D12870" w14:paraId="52DFB8C6" w14:textId="77777777">
      <w:r>
        <w:continuationSeparator/>
      </w:r>
    </w:p>
  </w:footnote>
  <w:footnote w:type="continuationNotice" w:id="2">
    <w:p w:rsidR="00D12870" w14:paraId="4DC04167" w14:textId="77777777"/>
  </w:footnote>
  <w:footnote w:id="3">
    <w:p w:rsidR="0026344F" w14:paraId="5020F455" w14:textId="0CCDFC15">
      <w:pPr>
        <w:pStyle w:val="FootnoteText"/>
        <w:rPr>
          <w:i/>
          <w:szCs w:val="24"/>
        </w:rPr>
      </w:pPr>
      <w:r>
        <w:rPr>
          <w:rStyle w:val="FootnoteReference"/>
        </w:rPr>
        <w:footnoteRef/>
      </w:r>
      <w:r w:rsidR="0155029D">
        <w:t xml:space="preserve"> </w:t>
      </w:r>
      <w:r w:rsidRPr="0155029D" w:rsidR="0155029D">
        <w:rPr>
          <w:szCs w:val="24"/>
        </w:rPr>
        <w:t xml:space="preserve">U.S. Department of Agriculture, Food and Nutrition Service, “Appendix G. Program Experiences Survey Tables.” </w:t>
      </w:r>
      <w:r w:rsidRPr="0155029D" w:rsidR="0155029D">
        <w:rPr>
          <w:i/>
          <w:iCs/>
          <w:szCs w:val="24"/>
        </w:rPr>
        <w:t>Third National Survey of WIC Participants,</w:t>
      </w:r>
      <w:r w:rsidRPr="0155029D" w:rsidR="0155029D">
        <w:rPr>
          <w:szCs w:val="24"/>
        </w:rPr>
        <w:t xml:space="preserve"> Alexandria, VA: 2021, Table 5c.2. Available online at: </w:t>
      </w:r>
      <w:hyperlink r:id="rId1">
        <w:r w:rsidRPr="0155029D" w:rsidR="0155029D">
          <w:rPr>
            <w:rStyle w:val="Hyperlink"/>
            <w:i/>
            <w:iCs/>
            <w:szCs w:val="24"/>
          </w:rPr>
          <w:t>https://www.fns.usda.gov/ wic/ third-national-survey-wic-participants</w:t>
        </w:r>
      </w:hyperlink>
      <w:r w:rsidRPr="0155029D" w:rsidR="0155029D">
        <w:rPr>
          <w:i/>
          <w:iCs/>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9"/>
    <w:multiLevelType w:val="multilevel"/>
    <w:tmpl w:val="00000000"/>
    <w:lvl w:ilvl="0">
      <w:start w:val="1"/>
      <w:numFmt w:val="decimal"/>
      <w:pStyle w:val="Level1"/>
      <w:lvlText w:val="%1)"/>
      <w:lvlJc w:val="left"/>
      <w:pPr>
        <w:tabs>
          <w:tab w:val="num" w:pos="722"/>
        </w:tabs>
        <w:ind w:left="722" w:hanging="361"/>
      </w:pPr>
      <w:rPr>
        <w:rFonts w:ascii="Times New Roman" w:hAnsi="Times New Roman" w:cs="Times New Roman"/>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0"/>
      <w:numFmt w:val="decimal"/>
      <w:lvlJc w:val="left"/>
    </w:lvl>
  </w:abstractNum>
  <w:abstractNum w:abstractNumId="1">
    <w:nsid w:val="000158A6"/>
    <w:multiLevelType w:val="hybridMultilevel"/>
    <w:tmpl w:val="5B36A86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01401537"/>
    <w:multiLevelType w:val="hybridMultilevel"/>
    <w:tmpl w:val="3F9460F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1DDB04E3"/>
    <w:multiLevelType w:val="hybridMultilevel"/>
    <w:tmpl w:val="3D8A6C44"/>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4">
    <w:nsid w:val="7BF8250E"/>
    <w:multiLevelType w:val="hybridMultilevel"/>
    <w:tmpl w:val="6FACA2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272854783">
    <w:abstractNumId w:val="2"/>
  </w:num>
  <w:num w:numId="2" w16cid:durableId="2111388466">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16cid:durableId="1052536105">
    <w:abstractNumId w:val="1"/>
  </w:num>
  <w:num w:numId="4" w16cid:durableId="537742237">
    <w:abstractNumId w:val="4"/>
  </w:num>
  <w:num w:numId="5" w16cid:durableId="186606610">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4" w:allStyles="0" w:alternateStyleNames="0" w:clearFormatting="1" w:customStyles="0" w:directFormattingOnNumbering="1" w:directFormattingOnParagraphs="1" w:directFormattingOnRuns="1" w:directFormattingOnTables="1" w:headingStyles="0" w:latentStyles="1" w:numberingStyles="0" w:stylesInUse="0" w:tableStyles="0" w:top3HeadingStyles="1" w:visibleStyles="0"/>
  <w:stylePaneSortMethod w:val="name"/>
  <w:defaultTabStop w:val="720"/>
  <w:hyphenationZone w:val="95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0"/>
    <w:footnote w:id="1"/>
    <w:footnote w:id="2"/>
  </w:footnotePr>
  <w:endnotePr>
    <w:numFmt w:val="decimal"/>
    <w:endnote w:id="0"/>
    <w:endnote w:id="1"/>
    <w:endnote w:id="2"/>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128"/>
    <w:rsid w:val="000007AA"/>
    <w:rsid w:val="0000118F"/>
    <w:rsid w:val="00001596"/>
    <w:rsid w:val="00001CB2"/>
    <w:rsid w:val="00001DDD"/>
    <w:rsid w:val="00002006"/>
    <w:rsid w:val="00002023"/>
    <w:rsid w:val="00003216"/>
    <w:rsid w:val="00003954"/>
    <w:rsid w:val="00003E15"/>
    <w:rsid w:val="00003EA5"/>
    <w:rsid w:val="00003FBA"/>
    <w:rsid w:val="00004BB8"/>
    <w:rsid w:val="0000624F"/>
    <w:rsid w:val="000067B0"/>
    <w:rsid w:val="000076A1"/>
    <w:rsid w:val="00007847"/>
    <w:rsid w:val="0000790A"/>
    <w:rsid w:val="00010C4C"/>
    <w:rsid w:val="00010DE3"/>
    <w:rsid w:val="00010DEC"/>
    <w:rsid w:val="0001134D"/>
    <w:rsid w:val="000114F0"/>
    <w:rsid w:val="00011613"/>
    <w:rsid w:val="00011E35"/>
    <w:rsid w:val="00011FE4"/>
    <w:rsid w:val="00012840"/>
    <w:rsid w:val="00012B48"/>
    <w:rsid w:val="00012D19"/>
    <w:rsid w:val="000133C1"/>
    <w:rsid w:val="000137EE"/>
    <w:rsid w:val="00013EE3"/>
    <w:rsid w:val="000145E1"/>
    <w:rsid w:val="00014B4D"/>
    <w:rsid w:val="000156BD"/>
    <w:rsid w:val="00015F65"/>
    <w:rsid w:val="00015FCF"/>
    <w:rsid w:val="00016396"/>
    <w:rsid w:val="000173A4"/>
    <w:rsid w:val="000207E6"/>
    <w:rsid w:val="00021FC7"/>
    <w:rsid w:val="000222D7"/>
    <w:rsid w:val="000222E8"/>
    <w:rsid w:val="000223C1"/>
    <w:rsid w:val="00022592"/>
    <w:rsid w:val="00022B40"/>
    <w:rsid w:val="000234FF"/>
    <w:rsid w:val="00023AFD"/>
    <w:rsid w:val="00023BFF"/>
    <w:rsid w:val="00023D1F"/>
    <w:rsid w:val="00024822"/>
    <w:rsid w:val="00024A73"/>
    <w:rsid w:val="000252CA"/>
    <w:rsid w:val="00025482"/>
    <w:rsid w:val="00025FD7"/>
    <w:rsid w:val="00026DF5"/>
    <w:rsid w:val="00027233"/>
    <w:rsid w:val="0003016C"/>
    <w:rsid w:val="00030A32"/>
    <w:rsid w:val="000316F3"/>
    <w:rsid w:val="00031703"/>
    <w:rsid w:val="00031835"/>
    <w:rsid w:val="00032621"/>
    <w:rsid w:val="000329F0"/>
    <w:rsid w:val="00033BC5"/>
    <w:rsid w:val="00034220"/>
    <w:rsid w:val="0003434C"/>
    <w:rsid w:val="00034FAD"/>
    <w:rsid w:val="00035118"/>
    <w:rsid w:val="000372D1"/>
    <w:rsid w:val="000373C7"/>
    <w:rsid w:val="00037C1B"/>
    <w:rsid w:val="00037D60"/>
    <w:rsid w:val="00037F0B"/>
    <w:rsid w:val="00040610"/>
    <w:rsid w:val="00040718"/>
    <w:rsid w:val="0004104C"/>
    <w:rsid w:val="000417D2"/>
    <w:rsid w:val="00041FB5"/>
    <w:rsid w:val="0004232E"/>
    <w:rsid w:val="000424A0"/>
    <w:rsid w:val="00042EC2"/>
    <w:rsid w:val="000431A5"/>
    <w:rsid w:val="000435B5"/>
    <w:rsid w:val="0004364B"/>
    <w:rsid w:val="000438E8"/>
    <w:rsid w:val="0004395D"/>
    <w:rsid w:val="000447C0"/>
    <w:rsid w:val="0004539F"/>
    <w:rsid w:val="00045A74"/>
    <w:rsid w:val="00045B22"/>
    <w:rsid w:val="000460EC"/>
    <w:rsid w:val="0004668E"/>
    <w:rsid w:val="00047338"/>
    <w:rsid w:val="000507DC"/>
    <w:rsid w:val="000507EA"/>
    <w:rsid w:val="000508A7"/>
    <w:rsid w:val="000508F2"/>
    <w:rsid w:val="00051FE8"/>
    <w:rsid w:val="000520A7"/>
    <w:rsid w:val="0005240C"/>
    <w:rsid w:val="00052C5C"/>
    <w:rsid w:val="00053AB5"/>
    <w:rsid w:val="00053E53"/>
    <w:rsid w:val="00054647"/>
    <w:rsid w:val="00054E5E"/>
    <w:rsid w:val="00055551"/>
    <w:rsid w:val="000559A0"/>
    <w:rsid w:val="00056479"/>
    <w:rsid w:val="00056859"/>
    <w:rsid w:val="000568CC"/>
    <w:rsid w:val="000568E3"/>
    <w:rsid w:val="000575A5"/>
    <w:rsid w:val="00057A0A"/>
    <w:rsid w:val="00057CBB"/>
    <w:rsid w:val="00057DE6"/>
    <w:rsid w:val="0006089A"/>
    <w:rsid w:val="000608CE"/>
    <w:rsid w:val="00060E42"/>
    <w:rsid w:val="00060F45"/>
    <w:rsid w:val="000611E4"/>
    <w:rsid w:val="00061FC3"/>
    <w:rsid w:val="000621C5"/>
    <w:rsid w:val="00062315"/>
    <w:rsid w:val="0006241A"/>
    <w:rsid w:val="0006359D"/>
    <w:rsid w:val="00063761"/>
    <w:rsid w:val="00063800"/>
    <w:rsid w:val="00063BBD"/>
    <w:rsid w:val="0006449A"/>
    <w:rsid w:val="00064754"/>
    <w:rsid w:val="00064835"/>
    <w:rsid w:val="00064C01"/>
    <w:rsid w:val="00064ECC"/>
    <w:rsid w:val="00064F06"/>
    <w:rsid w:val="00064F5F"/>
    <w:rsid w:val="00065B4B"/>
    <w:rsid w:val="0006609B"/>
    <w:rsid w:val="00066754"/>
    <w:rsid w:val="00067C17"/>
    <w:rsid w:val="0007046E"/>
    <w:rsid w:val="00070A9C"/>
    <w:rsid w:val="00071ACF"/>
    <w:rsid w:val="00071C8C"/>
    <w:rsid w:val="00072053"/>
    <w:rsid w:val="0007215D"/>
    <w:rsid w:val="00072177"/>
    <w:rsid w:val="00072C97"/>
    <w:rsid w:val="00072F7C"/>
    <w:rsid w:val="0007428F"/>
    <w:rsid w:val="00074ADA"/>
    <w:rsid w:val="000750F4"/>
    <w:rsid w:val="00075687"/>
    <w:rsid w:val="000756EE"/>
    <w:rsid w:val="00075A45"/>
    <w:rsid w:val="00075AFC"/>
    <w:rsid w:val="00075BFB"/>
    <w:rsid w:val="000768EC"/>
    <w:rsid w:val="00076D19"/>
    <w:rsid w:val="00076D3A"/>
    <w:rsid w:val="00080C3F"/>
    <w:rsid w:val="000812F7"/>
    <w:rsid w:val="000814FD"/>
    <w:rsid w:val="00081896"/>
    <w:rsid w:val="00081930"/>
    <w:rsid w:val="00081DA8"/>
    <w:rsid w:val="0008206A"/>
    <w:rsid w:val="00082993"/>
    <w:rsid w:val="00082CAC"/>
    <w:rsid w:val="00083511"/>
    <w:rsid w:val="00083C7D"/>
    <w:rsid w:val="00083DA5"/>
    <w:rsid w:val="000844C1"/>
    <w:rsid w:val="00084B36"/>
    <w:rsid w:val="00085C60"/>
    <w:rsid w:val="00086831"/>
    <w:rsid w:val="00087265"/>
    <w:rsid w:val="00087335"/>
    <w:rsid w:val="00087660"/>
    <w:rsid w:val="00087D14"/>
    <w:rsid w:val="00090054"/>
    <w:rsid w:val="00090155"/>
    <w:rsid w:val="00090634"/>
    <w:rsid w:val="00090C98"/>
    <w:rsid w:val="00090EBB"/>
    <w:rsid w:val="0009141C"/>
    <w:rsid w:val="00091A5D"/>
    <w:rsid w:val="00093427"/>
    <w:rsid w:val="00093519"/>
    <w:rsid w:val="0009375A"/>
    <w:rsid w:val="00093E7C"/>
    <w:rsid w:val="0009430B"/>
    <w:rsid w:val="00094670"/>
    <w:rsid w:val="00094B13"/>
    <w:rsid w:val="0009542E"/>
    <w:rsid w:val="0009567D"/>
    <w:rsid w:val="00095C26"/>
    <w:rsid w:val="00095E06"/>
    <w:rsid w:val="00095F40"/>
    <w:rsid w:val="0009607E"/>
    <w:rsid w:val="000963DF"/>
    <w:rsid w:val="00096799"/>
    <w:rsid w:val="0009720C"/>
    <w:rsid w:val="0009747C"/>
    <w:rsid w:val="000977DA"/>
    <w:rsid w:val="0009799B"/>
    <w:rsid w:val="000A0F5F"/>
    <w:rsid w:val="000A12B6"/>
    <w:rsid w:val="000A1784"/>
    <w:rsid w:val="000A2885"/>
    <w:rsid w:val="000A28C4"/>
    <w:rsid w:val="000A2F1D"/>
    <w:rsid w:val="000A34BE"/>
    <w:rsid w:val="000A3781"/>
    <w:rsid w:val="000A4EB1"/>
    <w:rsid w:val="000A4F8D"/>
    <w:rsid w:val="000A6159"/>
    <w:rsid w:val="000A62F7"/>
    <w:rsid w:val="000A6CB4"/>
    <w:rsid w:val="000A7424"/>
    <w:rsid w:val="000A745C"/>
    <w:rsid w:val="000B0B7C"/>
    <w:rsid w:val="000B0B8F"/>
    <w:rsid w:val="000B1A28"/>
    <w:rsid w:val="000B1FDE"/>
    <w:rsid w:val="000B26F3"/>
    <w:rsid w:val="000B28A6"/>
    <w:rsid w:val="000B50C9"/>
    <w:rsid w:val="000B5298"/>
    <w:rsid w:val="000B5AD2"/>
    <w:rsid w:val="000B6B96"/>
    <w:rsid w:val="000B6DC6"/>
    <w:rsid w:val="000B6E24"/>
    <w:rsid w:val="000B7836"/>
    <w:rsid w:val="000B7B29"/>
    <w:rsid w:val="000C089B"/>
    <w:rsid w:val="000C0B82"/>
    <w:rsid w:val="000C0DEB"/>
    <w:rsid w:val="000C10F7"/>
    <w:rsid w:val="000C15D5"/>
    <w:rsid w:val="000C1929"/>
    <w:rsid w:val="000C1C0B"/>
    <w:rsid w:val="000C22FA"/>
    <w:rsid w:val="000C23D8"/>
    <w:rsid w:val="000C272C"/>
    <w:rsid w:val="000C2BE4"/>
    <w:rsid w:val="000C3F9D"/>
    <w:rsid w:val="000C5096"/>
    <w:rsid w:val="000C55A2"/>
    <w:rsid w:val="000C5B0F"/>
    <w:rsid w:val="000C5B5A"/>
    <w:rsid w:val="000C636F"/>
    <w:rsid w:val="000C6870"/>
    <w:rsid w:val="000C7038"/>
    <w:rsid w:val="000C756E"/>
    <w:rsid w:val="000C7BB3"/>
    <w:rsid w:val="000C7CD8"/>
    <w:rsid w:val="000C7DCD"/>
    <w:rsid w:val="000D09D0"/>
    <w:rsid w:val="000D0C93"/>
    <w:rsid w:val="000D17F6"/>
    <w:rsid w:val="000D279A"/>
    <w:rsid w:val="000D27BD"/>
    <w:rsid w:val="000D30BE"/>
    <w:rsid w:val="000D40F4"/>
    <w:rsid w:val="000D4232"/>
    <w:rsid w:val="000D5274"/>
    <w:rsid w:val="000D5750"/>
    <w:rsid w:val="000D587F"/>
    <w:rsid w:val="000D6419"/>
    <w:rsid w:val="000D68DF"/>
    <w:rsid w:val="000D724C"/>
    <w:rsid w:val="000E0D48"/>
    <w:rsid w:val="000E1382"/>
    <w:rsid w:val="000E15C5"/>
    <w:rsid w:val="000E1AEC"/>
    <w:rsid w:val="000E1CA0"/>
    <w:rsid w:val="000E2300"/>
    <w:rsid w:val="000E2371"/>
    <w:rsid w:val="000E23FA"/>
    <w:rsid w:val="000E2A98"/>
    <w:rsid w:val="000E2E6E"/>
    <w:rsid w:val="000E2FE9"/>
    <w:rsid w:val="000E3640"/>
    <w:rsid w:val="000E3CC6"/>
    <w:rsid w:val="000E4107"/>
    <w:rsid w:val="000E420A"/>
    <w:rsid w:val="000E456E"/>
    <w:rsid w:val="000E4CC0"/>
    <w:rsid w:val="000E5207"/>
    <w:rsid w:val="000E61B9"/>
    <w:rsid w:val="000E66BB"/>
    <w:rsid w:val="000E66D9"/>
    <w:rsid w:val="000E6CC9"/>
    <w:rsid w:val="000E6D3C"/>
    <w:rsid w:val="000E7698"/>
    <w:rsid w:val="000E7D6D"/>
    <w:rsid w:val="000F0D79"/>
    <w:rsid w:val="000F0EBD"/>
    <w:rsid w:val="000F111E"/>
    <w:rsid w:val="000F11E2"/>
    <w:rsid w:val="000F1304"/>
    <w:rsid w:val="000F1BD4"/>
    <w:rsid w:val="000F24C8"/>
    <w:rsid w:val="000F2516"/>
    <w:rsid w:val="000F25FB"/>
    <w:rsid w:val="000F2858"/>
    <w:rsid w:val="000F2970"/>
    <w:rsid w:val="000F2BAE"/>
    <w:rsid w:val="000F32BD"/>
    <w:rsid w:val="000F4EE7"/>
    <w:rsid w:val="000F5831"/>
    <w:rsid w:val="000F6867"/>
    <w:rsid w:val="000F6A14"/>
    <w:rsid w:val="000F738E"/>
    <w:rsid w:val="000F7A91"/>
    <w:rsid w:val="000F7D73"/>
    <w:rsid w:val="000F7F5C"/>
    <w:rsid w:val="0010111E"/>
    <w:rsid w:val="001016B1"/>
    <w:rsid w:val="00101726"/>
    <w:rsid w:val="001032DF"/>
    <w:rsid w:val="0010459B"/>
    <w:rsid w:val="00104C72"/>
    <w:rsid w:val="00105256"/>
    <w:rsid w:val="001052BD"/>
    <w:rsid w:val="00105390"/>
    <w:rsid w:val="001065AD"/>
    <w:rsid w:val="0010698D"/>
    <w:rsid w:val="00110125"/>
    <w:rsid w:val="00110773"/>
    <w:rsid w:val="0011100D"/>
    <w:rsid w:val="001117ED"/>
    <w:rsid w:val="0011250E"/>
    <w:rsid w:val="001126A5"/>
    <w:rsid w:val="00112EBF"/>
    <w:rsid w:val="00113443"/>
    <w:rsid w:val="00115366"/>
    <w:rsid w:val="00115E73"/>
    <w:rsid w:val="001161C2"/>
    <w:rsid w:val="001170E4"/>
    <w:rsid w:val="00117558"/>
    <w:rsid w:val="00117A58"/>
    <w:rsid w:val="00120420"/>
    <w:rsid w:val="00120719"/>
    <w:rsid w:val="00120E7F"/>
    <w:rsid w:val="00121633"/>
    <w:rsid w:val="00121702"/>
    <w:rsid w:val="00122007"/>
    <w:rsid w:val="0012249E"/>
    <w:rsid w:val="00122DB7"/>
    <w:rsid w:val="00123A65"/>
    <w:rsid w:val="00123CF6"/>
    <w:rsid w:val="0012441D"/>
    <w:rsid w:val="001249DC"/>
    <w:rsid w:val="0012531F"/>
    <w:rsid w:val="00126E2E"/>
    <w:rsid w:val="00127364"/>
    <w:rsid w:val="00127F9A"/>
    <w:rsid w:val="001302B3"/>
    <w:rsid w:val="00130322"/>
    <w:rsid w:val="00130E72"/>
    <w:rsid w:val="00130FB4"/>
    <w:rsid w:val="00132EF8"/>
    <w:rsid w:val="00132F0C"/>
    <w:rsid w:val="00133025"/>
    <w:rsid w:val="0013306C"/>
    <w:rsid w:val="00133162"/>
    <w:rsid w:val="001334EF"/>
    <w:rsid w:val="00133757"/>
    <w:rsid w:val="00133960"/>
    <w:rsid w:val="0013469F"/>
    <w:rsid w:val="001363FB"/>
    <w:rsid w:val="001366EB"/>
    <w:rsid w:val="00136B6B"/>
    <w:rsid w:val="00137E5C"/>
    <w:rsid w:val="00141219"/>
    <w:rsid w:val="0014144C"/>
    <w:rsid w:val="00141675"/>
    <w:rsid w:val="00141DB7"/>
    <w:rsid w:val="00142630"/>
    <w:rsid w:val="0014288B"/>
    <w:rsid w:val="00143411"/>
    <w:rsid w:val="0014383A"/>
    <w:rsid w:val="00143852"/>
    <w:rsid w:val="00144084"/>
    <w:rsid w:val="001445E7"/>
    <w:rsid w:val="0014536A"/>
    <w:rsid w:val="0014567A"/>
    <w:rsid w:val="00145FCB"/>
    <w:rsid w:val="00146E4D"/>
    <w:rsid w:val="00147DBF"/>
    <w:rsid w:val="00150153"/>
    <w:rsid w:val="0015074A"/>
    <w:rsid w:val="00151307"/>
    <w:rsid w:val="0015139F"/>
    <w:rsid w:val="00151DF5"/>
    <w:rsid w:val="001524FF"/>
    <w:rsid w:val="001528B5"/>
    <w:rsid w:val="00152E79"/>
    <w:rsid w:val="00154CE4"/>
    <w:rsid w:val="00154D85"/>
    <w:rsid w:val="0015515F"/>
    <w:rsid w:val="00155734"/>
    <w:rsid w:val="00155AC1"/>
    <w:rsid w:val="00156002"/>
    <w:rsid w:val="00156242"/>
    <w:rsid w:val="0015658B"/>
    <w:rsid w:val="00156757"/>
    <w:rsid w:val="00156839"/>
    <w:rsid w:val="00156956"/>
    <w:rsid w:val="00157282"/>
    <w:rsid w:val="00157519"/>
    <w:rsid w:val="0016004E"/>
    <w:rsid w:val="00160DAC"/>
    <w:rsid w:val="001613F6"/>
    <w:rsid w:val="00161D81"/>
    <w:rsid w:val="00162384"/>
    <w:rsid w:val="00162770"/>
    <w:rsid w:val="00163044"/>
    <w:rsid w:val="00163447"/>
    <w:rsid w:val="0016367D"/>
    <w:rsid w:val="00164763"/>
    <w:rsid w:val="00164886"/>
    <w:rsid w:val="00165F97"/>
    <w:rsid w:val="00166501"/>
    <w:rsid w:val="00166C88"/>
    <w:rsid w:val="00167024"/>
    <w:rsid w:val="001674B8"/>
    <w:rsid w:val="00167686"/>
    <w:rsid w:val="0017048C"/>
    <w:rsid w:val="001707E2"/>
    <w:rsid w:val="00170E96"/>
    <w:rsid w:val="00171619"/>
    <w:rsid w:val="001727B7"/>
    <w:rsid w:val="00172B17"/>
    <w:rsid w:val="0017348C"/>
    <w:rsid w:val="00174563"/>
    <w:rsid w:val="00175CF0"/>
    <w:rsid w:val="001761F5"/>
    <w:rsid w:val="00177020"/>
    <w:rsid w:val="00177958"/>
    <w:rsid w:val="00177EA5"/>
    <w:rsid w:val="00180150"/>
    <w:rsid w:val="001809C6"/>
    <w:rsid w:val="00180FA8"/>
    <w:rsid w:val="00181DA3"/>
    <w:rsid w:val="00182728"/>
    <w:rsid w:val="001829D2"/>
    <w:rsid w:val="00182D6F"/>
    <w:rsid w:val="0018306B"/>
    <w:rsid w:val="001834A9"/>
    <w:rsid w:val="00183E12"/>
    <w:rsid w:val="00184178"/>
    <w:rsid w:val="0018456B"/>
    <w:rsid w:val="001851BF"/>
    <w:rsid w:val="00185270"/>
    <w:rsid w:val="001853E7"/>
    <w:rsid w:val="0018541F"/>
    <w:rsid w:val="00185B7F"/>
    <w:rsid w:val="00185F43"/>
    <w:rsid w:val="00186726"/>
    <w:rsid w:val="00187221"/>
    <w:rsid w:val="0018740F"/>
    <w:rsid w:val="00187842"/>
    <w:rsid w:val="00187DE1"/>
    <w:rsid w:val="00190053"/>
    <w:rsid w:val="0019071F"/>
    <w:rsid w:val="001907FF"/>
    <w:rsid w:val="001912C2"/>
    <w:rsid w:val="001917EA"/>
    <w:rsid w:val="00191BB7"/>
    <w:rsid w:val="00191FCA"/>
    <w:rsid w:val="001926B2"/>
    <w:rsid w:val="00192E4E"/>
    <w:rsid w:val="00192E71"/>
    <w:rsid w:val="00192EAE"/>
    <w:rsid w:val="00193688"/>
    <w:rsid w:val="00193951"/>
    <w:rsid w:val="0019467B"/>
    <w:rsid w:val="0019548E"/>
    <w:rsid w:val="00195EB3"/>
    <w:rsid w:val="001964E8"/>
    <w:rsid w:val="00196B4F"/>
    <w:rsid w:val="00197407"/>
    <w:rsid w:val="00197B06"/>
    <w:rsid w:val="001A01C9"/>
    <w:rsid w:val="001A2B62"/>
    <w:rsid w:val="001A33FF"/>
    <w:rsid w:val="001A3C65"/>
    <w:rsid w:val="001A3F50"/>
    <w:rsid w:val="001A55C1"/>
    <w:rsid w:val="001A5CD4"/>
    <w:rsid w:val="001A60ED"/>
    <w:rsid w:val="001A63AF"/>
    <w:rsid w:val="001A66DE"/>
    <w:rsid w:val="001A6D4C"/>
    <w:rsid w:val="001A72A3"/>
    <w:rsid w:val="001A74C7"/>
    <w:rsid w:val="001B0EDA"/>
    <w:rsid w:val="001B1578"/>
    <w:rsid w:val="001B1977"/>
    <w:rsid w:val="001B1E25"/>
    <w:rsid w:val="001B236D"/>
    <w:rsid w:val="001B2C78"/>
    <w:rsid w:val="001B3D92"/>
    <w:rsid w:val="001B419A"/>
    <w:rsid w:val="001B4A18"/>
    <w:rsid w:val="001B513F"/>
    <w:rsid w:val="001B559C"/>
    <w:rsid w:val="001B5A00"/>
    <w:rsid w:val="001B6205"/>
    <w:rsid w:val="001B6257"/>
    <w:rsid w:val="001B65DC"/>
    <w:rsid w:val="001B7724"/>
    <w:rsid w:val="001B7FCB"/>
    <w:rsid w:val="001C063C"/>
    <w:rsid w:val="001C0B11"/>
    <w:rsid w:val="001C0E34"/>
    <w:rsid w:val="001C0E90"/>
    <w:rsid w:val="001C15C7"/>
    <w:rsid w:val="001C16C7"/>
    <w:rsid w:val="001C195F"/>
    <w:rsid w:val="001C1C67"/>
    <w:rsid w:val="001C2201"/>
    <w:rsid w:val="001C256E"/>
    <w:rsid w:val="001C3A4C"/>
    <w:rsid w:val="001C48CD"/>
    <w:rsid w:val="001C490C"/>
    <w:rsid w:val="001C4C39"/>
    <w:rsid w:val="001C5266"/>
    <w:rsid w:val="001C67E2"/>
    <w:rsid w:val="001C6CBE"/>
    <w:rsid w:val="001C70AF"/>
    <w:rsid w:val="001C7DC9"/>
    <w:rsid w:val="001D02F7"/>
    <w:rsid w:val="001D1341"/>
    <w:rsid w:val="001D1F6E"/>
    <w:rsid w:val="001D2350"/>
    <w:rsid w:val="001D2548"/>
    <w:rsid w:val="001D2F45"/>
    <w:rsid w:val="001D343E"/>
    <w:rsid w:val="001D42BB"/>
    <w:rsid w:val="001D4F10"/>
    <w:rsid w:val="001D4FB0"/>
    <w:rsid w:val="001D5384"/>
    <w:rsid w:val="001D5749"/>
    <w:rsid w:val="001D6CCF"/>
    <w:rsid w:val="001D7137"/>
    <w:rsid w:val="001D7889"/>
    <w:rsid w:val="001E0041"/>
    <w:rsid w:val="001E0F04"/>
    <w:rsid w:val="001E1920"/>
    <w:rsid w:val="001E22A4"/>
    <w:rsid w:val="001E22E9"/>
    <w:rsid w:val="001E232B"/>
    <w:rsid w:val="001E359A"/>
    <w:rsid w:val="001E4C66"/>
    <w:rsid w:val="001E5292"/>
    <w:rsid w:val="001E54E5"/>
    <w:rsid w:val="001E5E66"/>
    <w:rsid w:val="001E649B"/>
    <w:rsid w:val="001E6535"/>
    <w:rsid w:val="001E6EC8"/>
    <w:rsid w:val="001E6ECD"/>
    <w:rsid w:val="001E6F7B"/>
    <w:rsid w:val="001F010A"/>
    <w:rsid w:val="001F0340"/>
    <w:rsid w:val="001F054A"/>
    <w:rsid w:val="001F11E6"/>
    <w:rsid w:val="001F17FD"/>
    <w:rsid w:val="001F2413"/>
    <w:rsid w:val="001F24B5"/>
    <w:rsid w:val="001F2DD2"/>
    <w:rsid w:val="001F549E"/>
    <w:rsid w:val="001F5A06"/>
    <w:rsid w:val="001F5BD7"/>
    <w:rsid w:val="001F5C7D"/>
    <w:rsid w:val="001F6E85"/>
    <w:rsid w:val="001F73D9"/>
    <w:rsid w:val="001F7620"/>
    <w:rsid w:val="001F7E3B"/>
    <w:rsid w:val="002001D5"/>
    <w:rsid w:val="002004F4"/>
    <w:rsid w:val="00201068"/>
    <w:rsid w:val="00201287"/>
    <w:rsid w:val="00201D1B"/>
    <w:rsid w:val="002026CE"/>
    <w:rsid w:val="002037F4"/>
    <w:rsid w:val="00204E6E"/>
    <w:rsid w:val="002053B2"/>
    <w:rsid w:val="00205B44"/>
    <w:rsid w:val="002062CF"/>
    <w:rsid w:val="00206324"/>
    <w:rsid w:val="00206C72"/>
    <w:rsid w:val="00206EA6"/>
    <w:rsid w:val="002075EB"/>
    <w:rsid w:val="00207C15"/>
    <w:rsid w:val="0021009C"/>
    <w:rsid w:val="002107A7"/>
    <w:rsid w:val="00210914"/>
    <w:rsid w:val="0021095A"/>
    <w:rsid w:val="00210D68"/>
    <w:rsid w:val="00210FA8"/>
    <w:rsid w:val="002111EE"/>
    <w:rsid w:val="00211BC0"/>
    <w:rsid w:val="00212905"/>
    <w:rsid w:val="00212B8B"/>
    <w:rsid w:val="00212DF1"/>
    <w:rsid w:val="00212EB6"/>
    <w:rsid w:val="00213436"/>
    <w:rsid w:val="00214462"/>
    <w:rsid w:val="0021489D"/>
    <w:rsid w:val="00214F70"/>
    <w:rsid w:val="00215CC6"/>
    <w:rsid w:val="0021699F"/>
    <w:rsid w:val="00216EB0"/>
    <w:rsid w:val="00217BD6"/>
    <w:rsid w:val="00217C33"/>
    <w:rsid w:val="00217C91"/>
    <w:rsid w:val="00217ED0"/>
    <w:rsid w:val="0022020A"/>
    <w:rsid w:val="00220310"/>
    <w:rsid w:val="0022061B"/>
    <w:rsid w:val="002206A2"/>
    <w:rsid w:val="0022124D"/>
    <w:rsid w:val="00221E09"/>
    <w:rsid w:val="00222EDC"/>
    <w:rsid w:val="00224244"/>
    <w:rsid w:val="0022443A"/>
    <w:rsid w:val="0022445F"/>
    <w:rsid w:val="002248E4"/>
    <w:rsid w:val="00224B9A"/>
    <w:rsid w:val="00224DB5"/>
    <w:rsid w:val="002251B2"/>
    <w:rsid w:val="00227386"/>
    <w:rsid w:val="0022769B"/>
    <w:rsid w:val="00227F1E"/>
    <w:rsid w:val="00231B3C"/>
    <w:rsid w:val="00231C61"/>
    <w:rsid w:val="00232114"/>
    <w:rsid w:val="00232281"/>
    <w:rsid w:val="00233D7A"/>
    <w:rsid w:val="00235EB3"/>
    <w:rsid w:val="002370B7"/>
    <w:rsid w:val="00237D49"/>
    <w:rsid w:val="00240D65"/>
    <w:rsid w:val="00241834"/>
    <w:rsid w:val="00243D94"/>
    <w:rsid w:val="00244345"/>
    <w:rsid w:val="0024480E"/>
    <w:rsid w:val="00244A10"/>
    <w:rsid w:val="00245150"/>
    <w:rsid w:val="002454FD"/>
    <w:rsid w:val="00245A3F"/>
    <w:rsid w:val="00245CF0"/>
    <w:rsid w:val="00246457"/>
    <w:rsid w:val="002468EE"/>
    <w:rsid w:val="0024791D"/>
    <w:rsid w:val="00250C43"/>
    <w:rsid w:val="00250CEF"/>
    <w:rsid w:val="00250FAA"/>
    <w:rsid w:val="002527A7"/>
    <w:rsid w:val="00252CF2"/>
    <w:rsid w:val="00252F58"/>
    <w:rsid w:val="002532C2"/>
    <w:rsid w:val="00253ECC"/>
    <w:rsid w:val="00255137"/>
    <w:rsid w:val="0025557F"/>
    <w:rsid w:val="0025592C"/>
    <w:rsid w:val="00255AAE"/>
    <w:rsid w:val="00255B0F"/>
    <w:rsid w:val="00256596"/>
    <w:rsid w:val="00256776"/>
    <w:rsid w:val="0025683E"/>
    <w:rsid w:val="002568E6"/>
    <w:rsid w:val="00256C62"/>
    <w:rsid w:val="00257048"/>
    <w:rsid w:val="00257CDB"/>
    <w:rsid w:val="00257D3A"/>
    <w:rsid w:val="00257D71"/>
    <w:rsid w:val="00261B8D"/>
    <w:rsid w:val="00261E20"/>
    <w:rsid w:val="002622E9"/>
    <w:rsid w:val="002623B1"/>
    <w:rsid w:val="00262817"/>
    <w:rsid w:val="0026333C"/>
    <w:rsid w:val="0026344F"/>
    <w:rsid w:val="002649A9"/>
    <w:rsid w:val="0026556C"/>
    <w:rsid w:val="00265623"/>
    <w:rsid w:val="002667C1"/>
    <w:rsid w:val="00266A47"/>
    <w:rsid w:val="00266DEE"/>
    <w:rsid w:val="00267485"/>
    <w:rsid w:val="002676F3"/>
    <w:rsid w:val="00267E64"/>
    <w:rsid w:val="00270B42"/>
    <w:rsid w:val="00270D71"/>
    <w:rsid w:val="00271387"/>
    <w:rsid w:val="0027174B"/>
    <w:rsid w:val="0027201E"/>
    <w:rsid w:val="0027248C"/>
    <w:rsid w:val="00272850"/>
    <w:rsid w:val="00272DD6"/>
    <w:rsid w:val="002737E9"/>
    <w:rsid w:val="00275494"/>
    <w:rsid w:val="002754E9"/>
    <w:rsid w:val="0027695F"/>
    <w:rsid w:val="00276C17"/>
    <w:rsid w:val="00280C92"/>
    <w:rsid w:val="00281B4B"/>
    <w:rsid w:val="00281B74"/>
    <w:rsid w:val="00282D6E"/>
    <w:rsid w:val="00283364"/>
    <w:rsid w:val="002849FD"/>
    <w:rsid w:val="002871C2"/>
    <w:rsid w:val="00287453"/>
    <w:rsid w:val="002900F6"/>
    <w:rsid w:val="002903DD"/>
    <w:rsid w:val="00290EA5"/>
    <w:rsid w:val="00290EFE"/>
    <w:rsid w:val="00292A8F"/>
    <w:rsid w:val="00292E7A"/>
    <w:rsid w:val="0029436E"/>
    <w:rsid w:val="00294AB5"/>
    <w:rsid w:val="002954B1"/>
    <w:rsid w:val="00295E0D"/>
    <w:rsid w:val="0029615B"/>
    <w:rsid w:val="002A0C53"/>
    <w:rsid w:val="002A0F4A"/>
    <w:rsid w:val="002A1B3D"/>
    <w:rsid w:val="002A1F01"/>
    <w:rsid w:val="002A206D"/>
    <w:rsid w:val="002A20E6"/>
    <w:rsid w:val="002A2891"/>
    <w:rsid w:val="002A39AC"/>
    <w:rsid w:val="002A631C"/>
    <w:rsid w:val="002A6DEB"/>
    <w:rsid w:val="002A6FCF"/>
    <w:rsid w:val="002A7390"/>
    <w:rsid w:val="002A74FC"/>
    <w:rsid w:val="002A7881"/>
    <w:rsid w:val="002B04B5"/>
    <w:rsid w:val="002B04E6"/>
    <w:rsid w:val="002B0519"/>
    <w:rsid w:val="002B0522"/>
    <w:rsid w:val="002B0654"/>
    <w:rsid w:val="002B0A36"/>
    <w:rsid w:val="002B0A4E"/>
    <w:rsid w:val="002B0ED2"/>
    <w:rsid w:val="002B16C1"/>
    <w:rsid w:val="002B1E83"/>
    <w:rsid w:val="002B1FBB"/>
    <w:rsid w:val="002B281A"/>
    <w:rsid w:val="002B3150"/>
    <w:rsid w:val="002B3DF2"/>
    <w:rsid w:val="002B46E1"/>
    <w:rsid w:val="002B49A2"/>
    <w:rsid w:val="002B4B91"/>
    <w:rsid w:val="002B4D0A"/>
    <w:rsid w:val="002B4F85"/>
    <w:rsid w:val="002B5A75"/>
    <w:rsid w:val="002B62E7"/>
    <w:rsid w:val="002B6598"/>
    <w:rsid w:val="002B6A36"/>
    <w:rsid w:val="002B793F"/>
    <w:rsid w:val="002B7C88"/>
    <w:rsid w:val="002C0157"/>
    <w:rsid w:val="002C04EC"/>
    <w:rsid w:val="002C05AC"/>
    <w:rsid w:val="002C2401"/>
    <w:rsid w:val="002C2594"/>
    <w:rsid w:val="002C2CFD"/>
    <w:rsid w:val="002C3685"/>
    <w:rsid w:val="002C3ACB"/>
    <w:rsid w:val="002C436A"/>
    <w:rsid w:val="002C4936"/>
    <w:rsid w:val="002C51A0"/>
    <w:rsid w:val="002C6748"/>
    <w:rsid w:val="002C7953"/>
    <w:rsid w:val="002C7B17"/>
    <w:rsid w:val="002C7B26"/>
    <w:rsid w:val="002D0DED"/>
    <w:rsid w:val="002D0ED8"/>
    <w:rsid w:val="002D0EE4"/>
    <w:rsid w:val="002D1496"/>
    <w:rsid w:val="002D1E33"/>
    <w:rsid w:val="002D1FCB"/>
    <w:rsid w:val="002D211F"/>
    <w:rsid w:val="002D2155"/>
    <w:rsid w:val="002D2223"/>
    <w:rsid w:val="002D2AF2"/>
    <w:rsid w:val="002D2E80"/>
    <w:rsid w:val="002D3177"/>
    <w:rsid w:val="002D3A46"/>
    <w:rsid w:val="002D47CD"/>
    <w:rsid w:val="002D5A80"/>
    <w:rsid w:val="002D5DFF"/>
    <w:rsid w:val="002D75D0"/>
    <w:rsid w:val="002E039C"/>
    <w:rsid w:val="002E0821"/>
    <w:rsid w:val="002E1262"/>
    <w:rsid w:val="002E1315"/>
    <w:rsid w:val="002E16C4"/>
    <w:rsid w:val="002E16E0"/>
    <w:rsid w:val="002E1A35"/>
    <w:rsid w:val="002E219A"/>
    <w:rsid w:val="002E21A5"/>
    <w:rsid w:val="002E23A8"/>
    <w:rsid w:val="002E26E2"/>
    <w:rsid w:val="002E2B2C"/>
    <w:rsid w:val="002E2D3F"/>
    <w:rsid w:val="002E2E26"/>
    <w:rsid w:val="002E3B1B"/>
    <w:rsid w:val="002E3D06"/>
    <w:rsid w:val="002E3D8B"/>
    <w:rsid w:val="002E3E5E"/>
    <w:rsid w:val="002E40A9"/>
    <w:rsid w:val="002E5FA6"/>
    <w:rsid w:val="002E636D"/>
    <w:rsid w:val="002E679D"/>
    <w:rsid w:val="002E6B5E"/>
    <w:rsid w:val="002E7427"/>
    <w:rsid w:val="002E7E31"/>
    <w:rsid w:val="002E7F84"/>
    <w:rsid w:val="002F199C"/>
    <w:rsid w:val="002F1E19"/>
    <w:rsid w:val="002F1FC7"/>
    <w:rsid w:val="002F23F5"/>
    <w:rsid w:val="002F2888"/>
    <w:rsid w:val="002F28FD"/>
    <w:rsid w:val="002F3249"/>
    <w:rsid w:val="002F343E"/>
    <w:rsid w:val="002F3834"/>
    <w:rsid w:val="002F4036"/>
    <w:rsid w:val="002F4B73"/>
    <w:rsid w:val="002F5951"/>
    <w:rsid w:val="002F59B1"/>
    <w:rsid w:val="002F6D33"/>
    <w:rsid w:val="002F7262"/>
    <w:rsid w:val="002F75AD"/>
    <w:rsid w:val="002F7EC4"/>
    <w:rsid w:val="00300464"/>
    <w:rsid w:val="003004A1"/>
    <w:rsid w:val="00300696"/>
    <w:rsid w:val="003007C1"/>
    <w:rsid w:val="0030107C"/>
    <w:rsid w:val="0030112E"/>
    <w:rsid w:val="003029D3"/>
    <w:rsid w:val="00302D87"/>
    <w:rsid w:val="00303762"/>
    <w:rsid w:val="00304124"/>
    <w:rsid w:val="0030469A"/>
    <w:rsid w:val="00304807"/>
    <w:rsid w:val="00304855"/>
    <w:rsid w:val="00304C3F"/>
    <w:rsid w:val="00304DFF"/>
    <w:rsid w:val="003055D5"/>
    <w:rsid w:val="00305839"/>
    <w:rsid w:val="00305FBE"/>
    <w:rsid w:val="00306526"/>
    <w:rsid w:val="00306A7A"/>
    <w:rsid w:val="00307A86"/>
    <w:rsid w:val="00307D2B"/>
    <w:rsid w:val="00307EFF"/>
    <w:rsid w:val="00310521"/>
    <w:rsid w:val="0031071F"/>
    <w:rsid w:val="003108CB"/>
    <w:rsid w:val="003110FF"/>
    <w:rsid w:val="003116FC"/>
    <w:rsid w:val="00311AEA"/>
    <w:rsid w:val="00312460"/>
    <w:rsid w:val="003125D7"/>
    <w:rsid w:val="0031270A"/>
    <w:rsid w:val="00312748"/>
    <w:rsid w:val="00312A60"/>
    <w:rsid w:val="00312C28"/>
    <w:rsid w:val="00312CE8"/>
    <w:rsid w:val="00313A06"/>
    <w:rsid w:val="00313B67"/>
    <w:rsid w:val="003140F4"/>
    <w:rsid w:val="003145CE"/>
    <w:rsid w:val="00315029"/>
    <w:rsid w:val="00315952"/>
    <w:rsid w:val="0031597E"/>
    <w:rsid w:val="00315F04"/>
    <w:rsid w:val="003164E9"/>
    <w:rsid w:val="003169C2"/>
    <w:rsid w:val="00317AD9"/>
    <w:rsid w:val="003206D3"/>
    <w:rsid w:val="00321216"/>
    <w:rsid w:val="00322715"/>
    <w:rsid w:val="00324C06"/>
    <w:rsid w:val="00325195"/>
    <w:rsid w:val="0032533B"/>
    <w:rsid w:val="00326856"/>
    <w:rsid w:val="00326F10"/>
    <w:rsid w:val="003305D4"/>
    <w:rsid w:val="003327DB"/>
    <w:rsid w:val="00333190"/>
    <w:rsid w:val="003333DF"/>
    <w:rsid w:val="00333DD6"/>
    <w:rsid w:val="00334635"/>
    <w:rsid w:val="00335507"/>
    <w:rsid w:val="00335BD8"/>
    <w:rsid w:val="00336003"/>
    <w:rsid w:val="00336165"/>
    <w:rsid w:val="0033630C"/>
    <w:rsid w:val="00336547"/>
    <w:rsid w:val="00336DF4"/>
    <w:rsid w:val="00337078"/>
    <w:rsid w:val="0033721D"/>
    <w:rsid w:val="00337235"/>
    <w:rsid w:val="00340396"/>
    <w:rsid w:val="00340E3B"/>
    <w:rsid w:val="003412C0"/>
    <w:rsid w:val="00341DA8"/>
    <w:rsid w:val="00341DEE"/>
    <w:rsid w:val="00342170"/>
    <w:rsid w:val="00342B6A"/>
    <w:rsid w:val="00343967"/>
    <w:rsid w:val="00343C88"/>
    <w:rsid w:val="00343E95"/>
    <w:rsid w:val="0034535B"/>
    <w:rsid w:val="0034537B"/>
    <w:rsid w:val="003455CC"/>
    <w:rsid w:val="00346C15"/>
    <w:rsid w:val="00346CDA"/>
    <w:rsid w:val="00347946"/>
    <w:rsid w:val="003503ED"/>
    <w:rsid w:val="00350550"/>
    <w:rsid w:val="00351621"/>
    <w:rsid w:val="00351678"/>
    <w:rsid w:val="003519AA"/>
    <w:rsid w:val="00352000"/>
    <w:rsid w:val="003521A9"/>
    <w:rsid w:val="0035227B"/>
    <w:rsid w:val="003532C8"/>
    <w:rsid w:val="00353E92"/>
    <w:rsid w:val="0035484A"/>
    <w:rsid w:val="00354C8F"/>
    <w:rsid w:val="00354FE8"/>
    <w:rsid w:val="00355BC2"/>
    <w:rsid w:val="00355EB0"/>
    <w:rsid w:val="003564DA"/>
    <w:rsid w:val="00356C37"/>
    <w:rsid w:val="00356D92"/>
    <w:rsid w:val="00357AA6"/>
    <w:rsid w:val="00357B03"/>
    <w:rsid w:val="00360B8B"/>
    <w:rsid w:val="003618B8"/>
    <w:rsid w:val="00362684"/>
    <w:rsid w:val="00362D49"/>
    <w:rsid w:val="003635C7"/>
    <w:rsid w:val="003635DB"/>
    <w:rsid w:val="003637E7"/>
    <w:rsid w:val="00363C1D"/>
    <w:rsid w:val="0036459C"/>
    <w:rsid w:val="0036497A"/>
    <w:rsid w:val="003656E2"/>
    <w:rsid w:val="0036589C"/>
    <w:rsid w:val="00365949"/>
    <w:rsid w:val="00365A29"/>
    <w:rsid w:val="00365EC9"/>
    <w:rsid w:val="00365FEB"/>
    <w:rsid w:val="0036639C"/>
    <w:rsid w:val="00366B82"/>
    <w:rsid w:val="00366BB8"/>
    <w:rsid w:val="00366DAF"/>
    <w:rsid w:val="003679DF"/>
    <w:rsid w:val="0037115C"/>
    <w:rsid w:val="003713A8"/>
    <w:rsid w:val="003714CB"/>
    <w:rsid w:val="00371CB3"/>
    <w:rsid w:val="003721DD"/>
    <w:rsid w:val="00372221"/>
    <w:rsid w:val="00372784"/>
    <w:rsid w:val="0037350C"/>
    <w:rsid w:val="00373B2D"/>
    <w:rsid w:val="00373B59"/>
    <w:rsid w:val="00374629"/>
    <w:rsid w:val="00374FA5"/>
    <w:rsid w:val="0037584E"/>
    <w:rsid w:val="003766DF"/>
    <w:rsid w:val="00376E39"/>
    <w:rsid w:val="003770FE"/>
    <w:rsid w:val="003776DD"/>
    <w:rsid w:val="00380121"/>
    <w:rsid w:val="003808F6"/>
    <w:rsid w:val="00380C01"/>
    <w:rsid w:val="003819A6"/>
    <w:rsid w:val="00382A04"/>
    <w:rsid w:val="003833E1"/>
    <w:rsid w:val="00383C0A"/>
    <w:rsid w:val="00383DE7"/>
    <w:rsid w:val="0038404B"/>
    <w:rsid w:val="00384508"/>
    <w:rsid w:val="003845FE"/>
    <w:rsid w:val="0038521E"/>
    <w:rsid w:val="00385791"/>
    <w:rsid w:val="00385942"/>
    <w:rsid w:val="00385A58"/>
    <w:rsid w:val="00385E96"/>
    <w:rsid w:val="00386068"/>
    <w:rsid w:val="00386D6B"/>
    <w:rsid w:val="00386D79"/>
    <w:rsid w:val="003874A5"/>
    <w:rsid w:val="00387565"/>
    <w:rsid w:val="00387811"/>
    <w:rsid w:val="003878EE"/>
    <w:rsid w:val="003901F6"/>
    <w:rsid w:val="003903F1"/>
    <w:rsid w:val="00390DC0"/>
    <w:rsid w:val="00391DFE"/>
    <w:rsid w:val="003928B5"/>
    <w:rsid w:val="003931B3"/>
    <w:rsid w:val="00393405"/>
    <w:rsid w:val="003954DB"/>
    <w:rsid w:val="00395831"/>
    <w:rsid w:val="0039631F"/>
    <w:rsid w:val="00396E91"/>
    <w:rsid w:val="003971D6"/>
    <w:rsid w:val="003A075F"/>
    <w:rsid w:val="003A0C6D"/>
    <w:rsid w:val="003A1106"/>
    <w:rsid w:val="003A13F9"/>
    <w:rsid w:val="003A1DE8"/>
    <w:rsid w:val="003A222F"/>
    <w:rsid w:val="003A365C"/>
    <w:rsid w:val="003A385D"/>
    <w:rsid w:val="003A411E"/>
    <w:rsid w:val="003A4426"/>
    <w:rsid w:val="003A4F9D"/>
    <w:rsid w:val="003A52A5"/>
    <w:rsid w:val="003A53A2"/>
    <w:rsid w:val="003A556E"/>
    <w:rsid w:val="003A576D"/>
    <w:rsid w:val="003A595F"/>
    <w:rsid w:val="003A5BA4"/>
    <w:rsid w:val="003A5CAA"/>
    <w:rsid w:val="003A7033"/>
    <w:rsid w:val="003A7703"/>
    <w:rsid w:val="003B0DCD"/>
    <w:rsid w:val="003B0FD0"/>
    <w:rsid w:val="003B0FEA"/>
    <w:rsid w:val="003B10E4"/>
    <w:rsid w:val="003B1199"/>
    <w:rsid w:val="003B1801"/>
    <w:rsid w:val="003B19BB"/>
    <w:rsid w:val="003B1D07"/>
    <w:rsid w:val="003B1E56"/>
    <w:rsid w:val="003B28E2"/>
    <w:rsid w:val="003B3233"/>
    <w:rsid w:val="003B41DD"/>
    <w:rsid w:val="003B4C92"/>
    <w:rsid w:val="003B4E99"/>
    <w:rsid w:val="003B6395"/>
    <w:rsid w:val="003B6630"/>
    <w:rsid w:val="003B672A"/>
    <w:rsid w:val="003B6A4F"/>
    <w:rsid w:val="003B74CB"/>
    <w:rsid w:val="003B778D"/>
    <w:rsid w:val="003B7830"/>
    <w:rsid w:val="003B7C16"/>
    <w:rsid w:val="003B7CBD"/>
    <w:rsid w:val="003C051C"/>
    <w:rsid w:val="003C05D2"/>
    <w:rsid w:val="003C05EA"/>
    <w:rsid w:val="003C088E"/>
    <w:rsid w:val="003C115E"/>
    <w:rsid w:val="003C2346"/>
    <w:rsid w:val="003C2668"/>
    <w:rsid w:val="003C29BE"/>
    <w:rsid w:val="003C2D2D"/>
    <w:rsid w:val="003C3308"/>
    <w:rsid w:val="003C3FCC"/>
    <w:rsid w:val="003C40FD"/>
    <w:rsid w:val="003C41FC"/>
    <w:rsid w:val="003C45B4"/>
    <w:rsid w:val="003C4CFA"/>
    <w:rsid w:val="003C4D37"/>
    <w:rsid w:val="003C4E27"/>
    <w:rsid w:val="003C53E3"/>
    <w:rsid w:val="003C5B9E"/>
    <w:rsid w:val="003C5D38"/>
    <w:rsid w:val="003C5D4F"/>
    <w:rsid w:val="003C5E7D"/>
    <w:rsid w:val="003C5F81"/>
    <w:rsid w:val="003C646A"/>
    <w:rsid w:val="003C651F"/>
    <w:rsid w:val="003C6BDD"/>
    <w:rsid w:val="003C6C1A"/>
    <w:rsid w:val="003C7CD3"/>
    <w:rsid w:val="003D0D22"/>
    <w:rsid w:val="003D2BEA"/>
    <w:rsid w:val="003D2FA4"/>
    <w:rsid w:val="003D30DB"/>
    <w:rsid w:val="003D3135"/>
    <w:rsid w:val="003D375A"/>
    <w:rsid w:val="003D3EF9"/>
    <w:rsid w:val="003D5741"/>
    <w:rsid w:val="003D5EC2"/>
    <w:rsid w:val="003D5F57"/>
    <w:rsid w:val="003D6542"/>
    <w:rsid w:val="003D6927"/>
    <w:rsid w:val="003D6C50"/>
    <w:rsid w:val="003D6EDB"/>
    <w:rsid w:val="003E08E7"/>
    <w:rsid w:val="003E0D93"/>
    <w:rsid w:val="003E150A"/>
    <w:rsid w:val="003E2BF1"/>
    <w:rsid w:val="003E2F2D"/>
    <w:rsid w:val="003E3760"/>
    <w:rsid w:val="003E3FF8"/>
    <w:rsid w:val="003E41E4"/>
    <w:rsid w:val="003E5B3F"/>
    <w:rsid w:val="003E6177"/>
    <w:rsid w:val="003E64F6"/>
    <w:rsid w:val="003E6915"/>
    <w:rsid w:val="003E6A42"/>
    <w:rsid w:val="003E6DB0"/>
    <w:rsid w:val="003E7338"/>
    <w:rsid w:val="003E7FD4"/>
    <w:rsid w:val="003F0305"/>
    <w:rsid w:val="003F07F9"/>
    <w:rsid w:val="003F088E"/>
    <w:rsid w:val="003F0B54"/>
    <w:rsid w:val="003F1167"/>
    <w:rsid w:val="003F203B"/>
    <w:rsid w:val="003F288C"/>
    <w:rsid w:val="003F2BD5"/>
    <w:rsid w:val="003F3594"/>
    <w:rsid w:val="003F3FD6"/>
    <w:rsid w:val="003F45CE"/>
    <w:rsid w:val="003F4903"/>
    <w:rsid w:val="003F4FC3"/>
    <w:rsid w:val="003F55DD"/>
    <w:rsid w:val="003F5DBD"/>
    <w:rsid w:val="003F621A"/>
    <w:rsid w:val="003F625E"/>
    <w:rsid w:val="003F7C8C"/>
    <w:rsid w:val="003F7EFD"/>
    <w:rsid w:val="004000FA"/>
    <w:rsid w:val="00400189"/>
    <w:rsid w:val="00400754"/>
    <w:rsid w:val="004007AE"/>
    <w:rsid w:val="004009CB"/>
    <w:rsid w:val="004026C0"/>
    <w:rsid w:val="004029D2"/>
    <w:rsid w:val="00403264"/>
    <w:rsid w:val="004033DD"/>
    <w:rsid w:val="00403458"/>
    <w:rsid w:val="004037F9"/>
    <w:rsid w:val="00403AF2"/>
    <w:rsid w:val="00403FDE"/>
    <w:rsid w:val="004045BC"/>
    <w:rsid w:val="0040495B"/>
    <w:rsid w:val="004050C1"/>
    <w:rsid w:val="0040521A"/>
    <w:rsid w:val="004060BE"/>
    <w:rsid w:val="004061F0"/>
    <w:rsid w:val="00407AEA"/>
    <w:rsid w:val="00407DC0"/>
    <w:rsid w:val="00410200"/>
    <w:rsid w:val="004113AB"/>
    <w:rsid w:val="00412426"/>
    <w:rsid w:val="004127EA"/>
    <w:rsid w:val="00412F79"/>
    <w:rsid w:val="00415278"/>
    <w:rsid w:val="00415AE6"/>
    <w:rsid w:val="00416493"/>
    <w:rsid w:val="004176CE"/>
    <w:rsid w:val="00417C54"/>
    <w:rsid w:val="0042162A"/>
    <w:rsid w:val="00421644"/>
    <w:rsid w:val="00422327"/>
    <w:rsid w:val="00422CC3"/>
    <w:rsid w:val="00422FAF"/>
    <w:rsid w:val="00423967"/>
    <w:rsid w:val="0042458E"/>
    <w:rsid w:val="00424AAE"/>
    <w:rsid w:val="00424F32"/>
    <w:rsid w:val="004276CC"/>
    <w:rsid w:val="0043092D"/>
    <w:rsid w:val="004312C2"/>
    <w:rsid w:val="0043148A"/>
    <w:rsid w:val="00431975"/>
    <w:rsid w:val="004324E6"/>
    <w:rsid w:val="00432716"/>
    <w:rsid w:val="0043383F"/>
    <w:rsid w:val="00433B25"/>
    <w:rsid w:val="00433F62"/>
    <w:rsid w:val="00433F65"/>
    <w:rsid w:val="004344DF"/>
    <w:rsid w:val="00434B06"/>
    <w:rsid w:val="004352C5"/>
    <w:rsid w:val="004358E6"/>
    <w:rsid w:val="00435AB5"/>
    <w:rsid w:val="0043621C"/>
    <w:rsid w:val="004369AC"/>
    <w:rsid w:val="00437234"/>
    <w:rsid w:val="00437471"/>
    <w:rsid w:val="00440315"/>
    <w:rsid w:val="00440392"/>
    <w:rsid w:val="00440670"/>
    <w:rsid w:val="00441873"/>
    <w:rsid w:val="004428C1"/>
    <w:rsid w:val="00442B73"/>
    <w:rsid w:val="00443099"/>
    <w:rsid w:val="00443190"/>
    <w:rsid w:val="004433BC"/>
    <w:rsid w:val="00443A6D"/>
    <w:rsid w:val="00443BA5"/>
    <w:rsid w:val="00443D46"/>
    <w:rsid w:val="00444432"/>
    <w:rsid w:val="00444A18"/>
    <w:rsid w:val="004451CB"/>
    <w:rsid w:val="004459C6"/>
    <w:rsid w:val="00446170"/>
    <w:rsid w:val="00446314"/>
    <w:rsid w:val="004470D5"/>
    <w:rsid w:val="00447C1E"/>
    <w:rsid w:val="00451371"/>
    <w:rsid w:val="00451DEC"/>
    <w:rsid w:val="00451FF9"/>
    <w:rsid w:val="0045221D"/>
    <w:rsid w:val="00452E03"/>
    <w:rsid w:val="00452F51"/>
    <w:rsid w:val="004541A7"/>
    <w:rsid w:val="00454417"/>
    <w:rsid w:val="00454491"/>
    <w:rsid w:val="0045478E"/>
    <w:rsid w:val="00455134"/>
    <w:rsid w:val="00456A6E"/>
    <w:rsid w:val="00456EDC"/>
    <w:rsid w:val="00457346"/>
    <w:rsid w:val="004579C9"/>
    <w:rsid w:val="004600D7"/>
    <w:rsid w:val="004605E2"/>
    <w:rsid w:val="004608DD"/>
    <w:rsid w:val="00461EDC"/>
    <w:rsid w:val="00462B00"/>
    <w:rsid w:val="00462B4B"/>
    <w:rsid w:val="00462C4E"/>
    <w:rsid w:val="00463F0D"/>
    <w:rsid w:val="0046403B"/>
    <w:rsid w:val="0046423B"/>
    <w:rsid w:val="00464B5C"/>
    <w:rsid w:val="004650FE"/>
    <w:rsid w:val="00465AD6"/>
    <w:rsid w:val="00466434"/>
    <w:rsid w:val="00466865"/>
    <w:rsid w:val="00466983"/>
    <w:rsid w:val="00470278"/>
    <w:rsid w:val="004708FD"/>
    <w:rsid w:val="00471271"/>
    <w:rsid w:val="004714B1"/>
    <w:rsid w:val="004714E7"/>
    <w:rsid w:val="00472776"/>
    <w:rsid w:val="00472A8F"/>
    <w:rsid w:val="00472E23"/>
    <w:rsid w:val="00472F1D"/>
    <w:rsid w:val="00473BC7"/>
    <w:rsid w:val="004746C2"/>
    <w:rsid w:val="00474A8E"/>
    <w:rsid w:val="00475145"/>
    <w:rsid w:val="004752E2"/>
    <w:rsid w:val="0047544E"/>
    <w:rsid w:val="0047561A"/>
    <w:rsid w:val="0047585A"/>
    <w:rsid w:val="00475E90"/>
    <w:rsid w:val="00476676"/>
    <w:rsid w:val="004773C5"/>
    <w:rsid w:val="00477431"/>
    <w:rsid w:val="00477E91"/>
    <w:rsid w:val="0048021E"/>
    <w:rsid w:val="0048038E"/>
    <w:rsid w:val="00480436"/>
    <w:rsid w:val="00481A1A"/>
    <w:rsid w:val="0048338B"/>
    <w:rsid w:val="00483541"/>
    <w:rsid w:val="00483781"/>
    <w:rsid w:val="00483791"/>
    <w:rsid w:val="00483A88"/>
    <w:rsid w:val="00483ADC"/>
    <w:rsid w:val="00483CCC"/>
    <w:rsid w:val="00483F2C"/>
    <w:rsid w:val="00484237"/>
    <w:rsid w:val="004848D5"/>
    <w:rsid w:val="00484927"/>
    <w:rsid w:val="00484987"/>
    <w:rsid w:val="0048546D"/>
    <w:rsid w:val="0048553A"/>
    <w:rsid w:val="004860D4"/>
    <w:rsid w:val="004868BE"/>
    <w:rsid w:val="004870DC"/>
    <w:rsid w:val="00487E38"/>
    <w:rsid w:val="00490082"/>
    <w:rsid w:val="00490BC3"/>
    <w:rsid w:val="00492232"/>
    <w:rsid w:val="0049244D"/>
    <w:rsid w:val="004933E8"/>
    <w:rsid w:val="00494506"/>
    <w:rsid w:val="004946C7"/>
    <w:rsid w:val="00494A82"/>
    <w:rsid w:val="00495A5A"/>
    <w:rsid w:val="0049628D"/>
    <w:rsid w:val="00496CDA"/>
    <w:rsid w:val="00497966"/>
    <w:rsid w:val="004A0185"/>
    <w:rsid w:val="004A0426"/>
    <w:rsid w:val="004A086B"/>
    <w:rsid w:val="004A0BE2"/>
    <w:rsid w:val="004A1053"/>
    <w:rsid w:val="004A2495"/>
    <w:rsid w:val="004A24F6"/>
    <w:rsid w:val="004A2D34"/>
    <w:rsid w:val="004A2F08"/>
    <w:rsid w:val="004A3FEC"/>
    <w:rsid w:val="004A410A"/>
    <w:rsid w:val="004A48CA"/>
    <w:rsid w:val="004A543C"/>
    <w:rsid w:val="004A585F"/>
    <w:rsid w:val="004A5C00"/>
    <w:rsid w:val="004A6286"/>
    <w:rsid w:val="004A6581"/>
    <w:rsid w:val="004A6AB1"/>
    <w:rsid w:val="004A7264"/>
    <w:rsid w:val="004B0092"/>
    <w:rsid w:val="004B1444"/>
    <w:rsid w:val="004B1C57"/>
    <w:rsid w:val="004B333F"/>
    <w:rsid w:val="004B37C0"/>
    <w:rsid w:val="004B3C74"/>
    <w:rsid w:val="004B3F53"/>
    <w:rsid w:val="004B46EC"/>
    <w:rsid w:val="004B4825"/>
    <w:rsid w:val="004B4E9E"/>
    <w:rsid w:val="004B522A"/>
    <w:rsid w:val="004B5299"/>
    <w:rsid w:val="004B5412"/>
    <w:rsid w:val="004B5DD0"/>
    <w:rsid w:val="004B5E9F"/>
    <w:rsid w:val="004B60E3"/>
    <w:rsid w:val="004B791C"/>
    <w:rsid w:val="004C0E28"/>
    <w:rsid w:val="004C16BE"/>
    <w:rsid w:val="004C2369"/>
    <w:rsid w:val="004C2E49"/>
    <w:rsid w:val="004C3631"/>
    <w:rsid w:val="004C3F06"/>
    <w:rsid w:val="004C4047"/>
    <w:rsid w:val="004C40A0"/>
    <w:rsid w:val="004C4E64"/>
    <w:rsid w:val="004C4FA5"/>
    <w:rsid w:val="004C50AE"/>
    <w:rsid w:val="004C55CC"/>
    <w:rsid w:val="004C615B"/>
    <w:rsid w:val="004C69A7"/>
    <w:rsid w:val="004C78F0"/>
    <w:rsid w:val="004D04AD"/>
    <w:rsid w:val="004D1CBD"/>
    <w:rsid w:val="004D1FDB"/>
    <w:rsid w:val="004D2F06"/>
    <w:rsid w:val="004D3638"/>
    <w:rsid w:val="004D36BB"/>
    <w:rsid w:val="004D396B"/>
    <w:rsid w:val="004D3F7B"/>
    <w:rsid w:val="004D43D3"/>
    <w:rsid w:val="004D46A6"/>
    <w:rsid w:val="004D4F87"/>
    <w:rsid w:val="004D596E"/>
    <w:rsid w:val="004D5E86"/>
    <w:rsid w:val="004D64F0"/>
    <w:rsid w:val="004D6763"/>
    <w:rsid w:val="004D6A1F"/>
    <w:rsid w:val="004D6C37"/>
    <w:rsid w:val="004D7552"/>
    <w:rsid w:val="004D7924"/>
    <w:rsid w:val="004D7B96"/>
    <w:rsid w:val="004E09A7"/>
    <w:rsid w:val="004E09E7"/>
    <w:rsid w:val="004E11D8"/>
    <w:rsid w:val="004E13D4"/>
    <w:rsid w:val="004E160F"/>
    <w:rsid w:val="004E1A51"/>
    <w:rsid w:val="004E1F83"/>
    <w:rsid w:val="004E2F07"/>
    <w:rsid w:val="004E3EE1"/>
    <w:rsid w:val="004E4210"/>
    <w:rsid w:val="004E4959"/>
    <w:rsid w:val="004E5592"/>
    <w:rsid w:val="004E5D8C"/>
    <w:rsid w:val="004E5F80"/>
    <w:rsid w:val="004E60AD"/>
    <w:rsid w:val="004E6BFA"/>
    <w:rsid w:val="004E6E43"/>
    <w:rsid w:val="004E72D3"/>
    <w:rsid w:val="004E7651"/>
    <w:rsid w:val="004E7D57"/>
    <w:rsid w:val="004E7FD0"/>
    <w:rsid w:val="004E7FE5"/>
    <w:rsid w:val="004F0550"/>
    <w:rsid w:val="004F0DEE"/>
    <w:rsid w:val="004F171C"/>
    <w:rsid w:val="004F23B6"/>
    <w:rsid w:val="004F2540"/>
    <w:rsid w:val="004F2A3F"/>
    <w:rsid w:val="004F2E9F"/>
    <w:rsid w:val="004F2F54"/>
    <w:rsid w:val="004F3482"/>
    <w:rsid w:val="004F3827"/>
    <w:rsid w:val="004F38E1"/>
    <w:rsid w:val="004F471A"/>
    <w:rsid w:val="004F4886"/>
    <w:rsid w:val="004F48F9"/>
    <w:rsid w:val="004F4D7A"/>
    <w:rsid w:val="004F4EE6"/>
    <w:rsid w:val="004F4F02"/>
    <w:rsid w:val="004F5074"/>
    <w:rsid w:val="004F6EDF"/>
    <w:rsid w:val="004F72C7"/>
    <w:rsid w:val="004F7456"/>
    <w:rsid w:val="004F74C0"/>
    <w:rsid w:val="004F77ED"/>
    <w:rsid w:val="005011C5"/>
    <w:rsid w:val="00501EE0"/>
    <w:rsid w:val="0050255B"/>
    <w:rsid w:val="005037B5"/>
    <w:rsid w:val="00503920"/>
    <w:rsid w:val="00503E0B"/>
    <w:rsid w:val="00503F52"/>
    <w:rsid w:val="0050413C"/>
    <w:rsid w:val="005047ED"/>
    <w:rsid w:val="00504E0F"/>
    <w:rsid w:val="00505C81"/>
    <w:rsid w:val="00506D32"/>
    <w:rsid w:val="005071F6"/>
    <w:rsid w:val="005072CD"/>
    <w:rsid w:val="0050740C"/>
    <w:rsid w:val="005078C4"/>
    <w:rsid w:val="00507BA7"/>
    <w:rsid w:val="00510169"/>
    <w:rsid w:val="00510518"/>
    <w:rsid w:val="0051085D"/>
    <w:rsid w:val="00510D25"/>
    <w:rsid w:val="00511375"/>
    <w:rsid w:val="005115C6"/>
    <w:rsid w:val="00511668"/>
    <w:rsid w:val="00511684"/>
    <w:rsid w:val="00511934"/>
    <w:rsid w:val="00512221"/>
    <w:rsid w:val="00512C6B"/>
    <w:rsid w:val="0051380B"/>
    <w:rsid w:val="005138EA"/>
    <w:rsid w:val="00513DE3"/>
    <w:rsid w:val="00513E31"/>
    <w:rsid w:val="0051454E"/>
    <w:rsid w:val="0051460A"/>
    <w:rsid w:val="00514DD4"/>
    <w:rsid w:val="00515A2A"/>
    <w:rsid w:val="00515BC0"/>
    <w:rsid w:val="00515F09"/>
    <w:rsid w:val="0051654B"/>
    <w:rsid w:val="00520083"/>
    <w:rsid w:val="00520A94"/>
    <w:rsid w:val="00520AB8"/>
    <w:rsid w:val="00523117"/>
    <w:rsid w:val="00523284"/>
    <w:rsid w:val="005234BE"/>
    <w:rsid w:val="0052522E"/>
    <w:rsid w:val="005266CA"/>
    <w:rsid w:val="0052749E"/>
    <w:rsid w:val="0052767D"/>
    <w:rsid w:val="00527C8A"/>
    <w:rsid w:val="00530598"/>
    <w:rsid w:val="00531075"/>
    <w:rsid w:val="00532574"/>
    <w:rsid w:val="005326C2"/>
    <w:rsid w:val="00532D0D"/>
    <w:rsid w:val="00533583"/>
    <w:rsid w:val="00533ABF"/>
    <w:rsid w:val="005348FE"/>
    <w:rsid w:val="005358BC"/>
    <w:rsid w:val="00535BCD"/>
    <w:rsid w:val="005364A3"/>
    <w:rsid w:val="0053713F"/>
    <w:rsid w:val="005378C4"/>
    <w:rsid w:val="00540608"/>
    <w:rsid w:val="00541041"/>
    <w:rsid w:val="005413D6"/>
    <w:rsid w:val="00542038"/>
    <w:rsid w:val="00542051"/>
    <w:rsid w:val="00542BE8"/>
    <w:rsid w:val="00542C4F"/>
    <w:rsid w:val="00543156"/>
    <w:rsid w:val="00544144"/>
    <w:rsid w:val="005441B8"/>
    <w:rsid w:val="005445BE"/>
    <w:rsid w:val="00545890"/>
    <w:rsid w:val="00546634"/>
    <w:rsid w:val="00547AFD"/>
    <w:rsid w:val="00550A3B"/>
    <w:rsid w:val="00550E21"/>
    <w:rsid w:val="0055107E"/>
    <w:rsid w:val="0055158F"/>
    <w:rsid w:val="00551634"/>
    <w:rsid w:val="005521B1"/>
    <w:rsid w:val="005524A2"/>
    <w:rsid w:val="005529F6"/>
    <w:rsid w:val="005532B9"/>
    <w:rsid w:val="00554364"/>
    <w:rsid w:val="005547E1"/>
    <w:rsid w:val="00557C4E"/>
    <w:rsid w:val="005601C3"/>
    <w:rsid w:val="00560A01"/>
    <w:rsid w:val="00560BF4"/>
    <w:rsid w:val="00560CE5"/>
    <w:rsid w:val="005622CF"/>
    <w:rsid w:val="0056237B"/>
    <w:rsid w:val="00563EAF"/>
    <w:rsid w:val="00564B63"/>
    <w:rsid w:val="0056518C"/>
    <w:rsid w:val="00565D5B"/>
    <w:rsid w:val="00565DAB"/>
    <w:rsid w:val="00565E82"/>
    <w:rsid w:val="005674F7"/>
    <w:rsid w:val="00567CF1"/>
    <w:rsid w:val="00567DE7"/>
    <w:rsid w:val="00570F16"/>
    <w:rsid w:val="00571BAA"/>
    <w:rsid w:val="00572181"/>
    <w:rsid w:val="005721E3"/>
    <w:rsid w:val="00572800"/>
    <w:rsid w:val="00572A7A"/>
    <w:rsid w:val="0057356C"/>
    <w:rsid w:val="0057375B"/>
    <w:rsid w:val="005743D0"/>
    <w:rsid w:val="00575F30"/>
    <w:rsid w:val="0057658A"/>
    <w:rsid w:val="00576C1F"/>
    <w:rsid w:val="00580507"/>
    <w:rsid w:val="00580855"/>
    <w:rsid w:val="00581246"/>
    <w:rsid w:val="00581422"/>
    <w:rsid w:val="00581638"/>
    <w:rsid w:val="005818D8"/>
    <w:rsid w:val="00581A4E"/>
    <w:rsid w:val="00581E48"/>
    <w:rsid w:val="005827E8"/>
    <w:rsid w:val="005829C1"/>
    <w:rsid w:val="00582BBA"/>
    <w:rsid w:val="005834A4"/>
    <w:rsid w:val="005844A4"/>
    <w:rsid w:val="00584BD1"/>
    <w:rsid w:val="00584E04"/>
    <w:rsid w:val="00585977"/>
    <w:rsid w:val="00585E05"/>
    <w:rsid w:val="00586CA4"/>
    <w:rsid w:val="00586F6C"/>
    <w:rsid w:val="00586F8E"/>
    <w:rsid w:val="00590450"/>
    <w:rsid w:val="005906EF"/>
    <w:rsid w:val="005912FB"/>
    <w:rsid w:val="005917B8"/>
    <w:rsid w:val="00591AD7"/>
    <w:rsid w:val="00593284"/>
    <w:rsid w:val="005935A2"/>
    <w:rsid w:val="0059377F"/>
    <w:rsid w:val="005940EB"/>
    <w:rsid w:val="0059528E"/>
    <w:rsid w:val="0059545A"/>
    <w:rsid w:val="005955C7"/>
    <w:rsid w:val="005961E9"/>
    <w:rsid w:val="0059656E"/>
    <w:rsid w:val="00596675"/>
    <w:rsid w:val="005967BB"/>
    <w:rsid w:val="00596E26"/>
    <w:rsid w:val="00597200"/>
    <w:rsid w:val="0059770D"/>
    <w:rsid w:val="00597A9D"/>
    <w:rsid w:val="00597B0A"/>
    <w:rsid w:val="00597CF5"/>
    <w:rsid w:val="00597E83"/>
    <w:rsid w:val="005A0B3B"/>
    <w:rsid w:val="005A0C2E"/>
    <w:rsid w:val="005A1987"/>
    <w:rsid w:val="005A23B7"/>
    <w:rsid w:val="005A34D6"/>
    <w:rsid w:val="005A3F80"/>
    <w:rsid w:val="005A4F79"/>
    <w:rsid w:val="005A5482"/>
    <w:rsid w:val="005A598F"/>
    <w:rsid w:val="005A6465"/>
    <w:rsid w:val="005A6682"/>
    <w:rsid w:val="005A6736"/>
    <w:rsid w:val="005A6A99"/>
    <w:rsid w:val="005A6C52"/>
    <w:rsid w:val="005A6E4D"/>
    <w:rsid w:val="005A722F"/>
    <w:rsid w:val="005A7E6B"/>
    <w:rsid w:val="005B172E"/>
    <w:rsid w:val="005B18E2"/>
    <w:rsid w:val="005B2A87"/>
    <w:rsid w:val="005B589C"/>
    <w:rsid w:val="005B6126"/>
    <w:rsid w:val="005B740D"/>
    <w:rsid w:val="005C03F2"/>
    <w:rsid w:val="005C04BB"/>
    <w:rsid w:val="005C18C6"/>
    <w:rsid w:val="005C1A7F"/>
    <w:rsid w:val="005C2692"/>
    <w:rsid w:val="005C286E"/>
    <w:rsid w:val="005C32A8"/>
    <w:rsid w:val="005C33B4"/>
    <w:rsid w:val="005C3511"/>
    <w:rsid w:val="005C3832"/>
    <w:rsid w:val="005C423C"/>
    <w:rsid w:val="005C4638"/>
    <w:rsid w:val="005C50FC"/>
    <w:rsid w:val="005C54B0"/>
    <w:rsid w:val="005C5C52"/>
    <w:rsid w:val="005C5E28"/>
    <w:rsid w:val="005C6321"/>
    <w:rsid w:val="005C76B0"/>
    <w:rsid w:val="005D021A"/>
    <w:rsid w:val="005D0689"/>
    <w:rsid w:val="005D1BF0"/>
    <w:rsid w:val="005D22DE"/>
    <w:rsid w:val="005D2314"/>
    <w:rsid w:val="005D2849"/>
    <w:rsid w:val="005D2995"/>
    <w:rsid w:val="005D35CB"/>
    <w:rsid w:val="005D3831"/>
    <w:rsid w:val="005D38C2"/>
    <w:rsid w:val="005D3FE4"/>
    <w:rsid w:val="005D4603"/>
    <w:rsid w:val="005D532E"/>
    <w:rsid w:val="005D66AC"/>
    <w:rsid w:val="005D690C"/>
    <w:rsid w:val="005D7CB2"/>
    <w:rsid w:val="005D7CF3"/>
    <w:rsid w:val="005E0A1A"/>
    <w:rsid w:val="005E0F51"/>
    <w:rsid w:val="005E22A5"/>
    <w:rsid w:val="005E2808"/>
    <w:rsid w:val="005E292E"/>
    <w:rsid w:val="005E2FED"/>
    <w:rsid w:val="005E36D8"/>
    <w:rsid w:val="005E42A3"/>
    <w:rsid w:val="005E44A6"/>
    <w:rsid w:val="005E58F4"/>
    <w:rsid w:val="005E5C02"/>
    <w:rsid w:val="005E6A3C"/>
    <w:rsid w:val="005E6E0E"/>
    <w:rsid w:val="005E6E61"/>
    <w:rsid w:val="005E6EE5"/>
    <w:rsid w:val="005E7295"/>
    <w:rsid w:val="005F064D"/>
    <w:rsid w:val="005F0A77"/>
    <w:rsid w:val="005F237D"/>
    <w:rsid w:val="005F25EF"/>
    <w:rsid w:val="005F2A5A"/>
    <w:rsid w:val="005F2D36"/>
    <w:rsid w:val="005F31C0"/>
    <w:rsid w:val="005F414D"/>
    <w:rsid w:val="005F43D7"/>
    <w:rsid w:val="005F44FD"/>
    <w:rsid w:val="005F4517"/>
    <w:rsid w:val="005F5185"/>
    <w:rsid w:val="005F5FFE"/>
    <w:rsid w:val="005F60E8"/>
    <w:rsid w:val="005F632D"/>
    <w:rsid w:val="005F6624"/>
    <w:rsid w:val="005F6830"/>
    <w:rsid w:val="005F7C5A"/>
    <w:rsid w:val="00600B07"/>
    <w:rsid w:val="00600B7F"/>
    <w:rsid w:val="00600F05"/>
    <w:rsid w:val="00600FA3"/>
    <w:rsid w:val="00601259"/>
    <w:rsid w:val="00601973"/>
    <w:rsid w:val="00603FF7"/>
    <w:rsid w:val="0060481A"/>
    <w:rsid w:val="00604BE2"/>
    <w:rsid w:val="00604D7D"/>
    <w:rsid w:val="006056A0"/>
    <w:rsid w:val="006059DF"/>
    <w:rsid w:val="00605B4F"/>
    <w:rsid w:val="00605F38"/>
    <w:rsid w:val="0060707B"/>
    <w:rsid w:val="006077A6"/>
    <w:rsid w:val="00607B53"/>
    <w:rsid w:val="006104E0"/>
    <w:rsid w:val="00610DD1"/>
    <w:rsid w:val="0061106C"/>
    <w:rsid w:val="00611594"/>
    <w:rsid w:val="0061182E"/>
    <w:rsid w:val="00614B37"/>
    <w:rsid w:val="00614B6D"/>
    <w:rsid w:val="00615401"/>
    <w:rsid w:val="00616086"/>
    <w:rsid w:val="00616358"/>
    <w:rsid w:val="00616E88"/>
    <w:rsid w:val="00616EDF"/>
    <w:rsid w:val="00616F8A"/>
    <w:rsid w:val="00617B1B"/>
    <w:rsid w:val="00620099"/>
    <w:rsid w:val="006204B6"/>
    <w:rsid w:val="0062126F"/>
    <w:rsid w:val="00621403"/>
    <w:rsid w:val="0062164F"/>
    <w:rsid w:val="0062182F"/>
    <w:rsid w:val="0062241E"/>
    <w:rsid w:val="006226A2"/>
    <w:rsid w:val="0062272D"/>
    <w:rsid w:val="006228E2"/>
    <w:rsid w:val="00623E21"/>
    <w:rsid w:val="006247DD"/>
    <w:rsid w:val="0062567E"/>
    <w:rsid w:val="00625939"/>
    <w:rsid w:val="0062603C"/>
    <w:rsid w:val="00626691"/>
    <w:rsid w:val="00627251"/>
    <w:rsid w:val="00627A1E"/>
    <w:rsid w:val="00627B72"/>
    <w:rsid w:val="00627DE4"/>
    <w:rsid w:val="00630281"/>
    <w:rsid w:val="00630444"/>
    <w:rsid w:val="00630A69"/>
    <w:rsid w:val="00630B23"/>
    <w:rsid w:val="00630C90"/>
    <w:rsid w:val="00631860"/>
    <w:rsid w:val="0063244C"/>
    <w:rsid w:val="0063325F"/>
    <w:rsid w:val="00634425"/>
    <w:rsid w:val="00634AE6"/>
    <w:rsid w:val="00634DE7"/>
    <w:rsid w:val="00634E66"/>
    <w:rsid w:val="00635F6B"/>
    <w:rsid w:val="00636735"/>
    <w:rsid w:val="0063688D"/>
    <w:rsid w:val="0064017B"/>
    <w:rsid w:val="00640767"/>
    <w:rsid w:val="006407CB"/>
    <w:rsid w:val="00640F0A"/>
    <w:rsid w:val="00640F22"/>
    <w:rsid w:val="00640F7D"/>
    <w:rsid w:val="00642172"/>
    <w:rsid w:val="0064229A"/>
    <w:rsid w:val="00645E51"/>
    <w:rsid w:val="006469D1"/>
    <w:rsid w:val="00646DDA"/>
    <w:rsid w:val="0065006B"/>
    <w:rsid w:val="00650CA9"/>
    <w:rsid w:val="00650EBF"/>
    <w:rsid w:val="006513F6"/>
    <w:rsid w:val="006526A3"/>
    <w:rsid w:val="00652CAA"/>
    <w:rsid w:val="00653200"/>
    <w:rsid w:val="00653988"/>
    <w:rsid w:val="00654A61"/>
    <w:rsid w:val="00655439"/>
    <w:rsid w:val="00655AA9"/>
    <w:rsid w:val="00655CAA"/>
    <w:rsid w:val="00655D39"/>
    <w:rsid w:val="00655F98"/>
    <w:rsid w:val="0065657E"/>
    <w:rsid w:val="00656BE2"/>
    <w:rsid w:val="00656C3D"/>
    <w:rsid w:val="00660238"/>
    <w:rsid w:val="0066025F"/>
    <w:rsid w:val="0066069C"/>
    <w:rsid w:val="00660C25"/>
    <w:rsid w:val="00661AF9"/>
    <w:rsid w:val="00661B51"/>
    <w:rsid w:val="00662B09"/>
    <w:rsid w:val="00662CF6"/>
    <w:rsid w:val="006639BA"/>
    <w:rsid w:val="006639C5"/>
    <w:rsid w:val="00663AF4"/>
    <w:rsid w:val="0066417A"/>
    <w:rsid w:val="00664AD0"/>
    <w:rsid w:val="00664C48"/>
    <w:rsid w:val="00664C7C"/>
    <w:rsid w:val="006652B0"/>
    <w:rsid w:val="0066583A"/>
    <w:rsid w:val="00665B4D"/>
    <w:rsid w:val="0066688F"/>
    <w:rsid w:val="00666F6E"/>
    <w:rsid w:val="00667829"/>
    <w:rsid w:val="0067018B"/>
    <w:rsid w:val="00670C68"/>
    <w:rsid w:val="00670DB1"/>
    <w:rsid w:val="006715AE"/>
    <w:rsid w:val="00672CD9"/>
    <w:rsid w:val="00672E5B"/>
    <w:rsid w:val="00672E66"/>
    <w:rsid w:val="00673E6A"/>
    <w:rsid w:val="00674F8E"/>
    <w:rsid w:val="0067524C"/>
    <w:rsid w:val="00675797"/>
    <w:rsid w:val="00675EDB"/>
    <w:rsid w:val="0067607B"/>
    <w:rsid w:val="006763B8"/>
    <w:rsid w:val="00676E4D"/>
    <w:rsid w:val="00677034"/>
    <w:rsid w:val="00677BC6"/>
    <w:rsid w:val="0068014E"/>
    <w:rsid w:val="0068067E"/>
    <w:rsid w:val="00680E05"/>
    <w:rsid w:val="0068149A"/>
    <w:rsid w:val="00682090"/>
    <w:rsid w:val="00682606"/>
    <w:rsid w:val="00682BA6"/>
    <w:rsid w:val="0068319C"/>
    <w:rsid w:val="006841EB"/>
    <w:rsid w:val="00685E16"/>
    <w:rsid w:val="00686481"/>
    <w:rsid w:val="00686BB3"/>
    <w:rsid w:val="00687077"/>
    <w:rsid w:val="006874AD"/>
    <w:rsid w:val="006875C6"/>
    <w:rsid w:val="00687C66"/>
    <w:rsid w:val="00690D5A"/>
    <w:rsid w:val="00691119"/>
    <w:rsid w:val="00691F70"/>
    <w:rsid w:val="00692735"/>
    <w:rsid w:val="00692800"/>
    <w:rsid w:val="006929FB"/>
    <w:rsid w:val="006937A9"/>
    <w:rsid w:val="00694161"/>
    <w:rsid w:val="00694620"/>
    <w:rsid w:val="0069488C"/>
    <w:rsid w:val="00694A12"/>
    <w:rsid w:val="006951AC"/>
    <w:rsid w:val="00695911"/>
    <w:rsid w:val="00695E68"/>
    <w:rsid w:val="0069625E"/>
    <w:rsid w:val="00696634"/>
    <w:rsid w:val="00696C2E"/>
    <w:rsid w:val="00697488"/>
    <w:rsid w:val="00697733"/>
    <w:rsid w:val="006A02D7"/>
    <w:rsid w:val="006A077C"/>
    <w:rsid w:val="006A0F69"/>
    <w:rsid w:val="006A131B"/>
    <w:rsid w:val="006A14E5"/>
    <w:rsid w:val="006A174B"/>
    <w:rsid w:val="006A1B37"/>
    <w:rsid w:val="006A1F89"/>
    <w:rsid w:val="006A21A2"/>
    <w:rsid w:val="006A244B"/>
    <w:rsid w:val="006A283C"/>
    <w:rsid w:val="006A2CB1"/>
    <w:rsid w:val="006A37E3"/>
    <w:rsid w:val="006A3E01"/>
    <w:rsid w:val="006A49C4"/>
    <w:rsid w:val="006A558A"/>
    <w:rsid w:val="006A75B7"/>
    <w:rsid w:val="006A7A14"/>
    <w:rsid w:val="006A7F48"/>
    <w:rsid w:val="006A7F86"/>
    <w:rsid w:val="006B005F"/>
    <w:rsid w:val="006B0A11"/>
    <w:rsid w:val="006B1D2F"/>
    <w:rsid w:val="006B217B"/>
    <w:rsid w:val="006B285B"/>
    <w:rsid w:val="006B2877"/>
    <w:rsid w:val="006B2C35"/>
    <w:rsid w:val="006B3656"/>
    <w:rsid w:val="006B3BF8"/>
    <w:rsid w:val="006B4495"/>
    <w:rsid w:val="006B4827"/>
    <w:rsid w:val="006B4BFE"/>
    <w:rsid w:val="006B4C12"/>
    <w:rsid w:val="006B4C83"/>
    <w:rsid w:val="006B5979"/>
    <w:rsid w:val="006B60F5"/>
    <w:rsid w:val="006B6AC6"/>
    <w:rsid w:val="006C052E"/>
    <w:rsid w:val="006C09B1"/>
    <w:rsid w:val="006C0A86"/>
    <w:rsid w:val="006C0F33"/>
    <w:rsid w:val="006C115E"/>
    <w:rsid w:val="006C1811"/>
    <w:rsid w:val="006C25C2"/>
    <w:rsid w:val="006C2653"/>
    <w:rsid w:val="006C2B18"/>
    <w:rsid w:val="006C3C77"/>
    <w:rsid w:val="006C3FB3"/>
    <w:rsid w:val="006C4607"/>
    <w:rsid w:val="006C4942"/>
    <w:rsid w:val="006C4BE5"/>
    <w:rsid w:val="006C5470"/>
    <w:rsid w:val="006C571B"/>
    <w:rsid w:val="006C5EF0"/>
    <w:rsid w:val="006C60D2"/>
    <w:rsid w:val="006C6F61"/>
    <w:rsid w:val="006C7186"/>
    <w:rsid w:val="006C7B82"/>
    <w:rsid w:val="006D0EAD"/>
    <w:rsid w:val="006D0FF5"/>
    <w:rsid w:val="006D1448"/>
    <w:rsid w:val="006D2840"/>
    <w:rsid w:val="006D2901"/>
    <w:rsid w:val="006D2BA1"/>
    <w:rsid w:val="006D305D"/>
    <w:rsid w:val="006D3B98"/>
    <w:rsid w:val="006D4339"/>
    <w:rsid w:val="006D46A6"/>
    <w:rsid w:val="006D589E"/>
    <w:rsid w:val="006D5D1F"/>
    <w:rsid w:val="006D669F"/>
    <w:rsid w:val="006D6B2A"/>
    <w:rsid w:val="006D7835"/>
    <w:rsid w:val="006D7F88"/>
    <w:rsid w:val="006E0246"/>
    <w:rsid w:val="006E0756"/>
    <w:rsid w:val="006E37E6"/>
    <w:rsid w:val="006E3C46"/>
    <w:rsid w:val="006E4109"/>
    <w:rsid w:val="006E45BC"/>
    <w:rsid w:val="006E4AC6"/>
    <w:rsid w:val="006E4B7F"/>
    <w:rsid w:val="006E535E"/>
    <w:rsid w:val="006E5418"/>
    <w:rsid w:val="006E5A53"/>
    <w:rsid w:val="006E5E54"/>
    <w:rsid w:val="006E63D4"/>
    <w:rsid w:val="006E662A"/>
    <w:rsid w:val="006E6DF8"/>
    <w:rsid w:val="006F02F4"/>
    <w:rsid w:val="006F031F"/>
    <w:rsid w:val="006F05C3"/>
    <w:rsid w:val="006F0DE8"/>
    <w:rsid w:val="006F15B1"/>
    <w:rsid w:val="006F174B"/>
    <w:rsid w:val="006F23C0"/>
    <w:rsid w:val="006F2928"/>
    <w:rsid w:val="006F2A39"/>
    <w:rsid w:val="006F2B83"/>
    <w:rsid w:val="006F3032"/>
    <w:rsid w:val="006F346E"/>
    <w:rsid w:val="006F3CF4"/>
    <w:rsid w:val="006F5AE8"/>
    <w:rsid w:val="006F5B38"/>
    <w:rsid w:val="006F6489"/>
    <w:rsid w:val="006F6867"/>
    <w:rsid w:val="006F6A92"/>
    <w:rsid w:val="006F6A9F"/>
    <w:rsid w:val="006F7334"/>
    <w:rsid w:val="006F7692"/>
    <w:rsid w:val="00700579"/>
    <w:rsid w:val="0070075A"/>
    <w:rsid w:val="00700909"/>
    <w:rsid w:val="00700F3B"/>
    <w:rsid w:val="00700F5A"/>
    <w:rsid w:val="0070199F"/>
    <w:rsid w:val="00701E5A"/>
    <w:rsid w:val="007024D0"/>
    <w:rsid w:val="00702822"/>
    <w:rsid w:val="007033D0"/>
    <w:rsid w:val="0070367B"/>
    <w:rsid w:val="00703D2A"/>
    <w:rsid w:val="007041C3"/>
    <w:rsid w:val="00704592"/>
    <w:rsid w:val="00704674"/>
    <w:rsid w:val="00706784"/>
    <w:rsid w:val="0070693A"/>
    <w:rsid w:val="00707899"/>
    <w:rsid w:val="00707ABB"/>
    <w:rsid w:val="00707ED6"/>
    <w:rsid w:val="00710112"/>
    <w:rsid w:val="007105EC"/>
    <w:rsid w:val="00710C89"/>
    <w:rsid w:val="00710CF7"/>
    <w:rsid w:val="00710FDF"/>
    <w:rsid w:val="0071282D"/>
    <w:rsid w:val="0071291C"/>
    <w:rsid w:val="007135AF"/>
    <w:rsid w:val="007147AE"/>
    <w:rsid w:val="00714E06"/>
    <w:rsid w:val="00715ED3"/>
    <w:rsid w:val="007164C2"/>
    <w:rsid w:val="007173D8"/>
    <w:rsid w:val="00717835"/>
    <w:rsid w:val="00717909"/>
    <w:rsid w:val="00717C81"/>
    <w:rsid w:val="00720489"/>
    <w:rsid w:val="0072052B"/>
    <w:rsid w:val="0072072E"/>
    <w:rsid w:val="00720BC7"/>
    <w:rsid w:val="007217D3"/>
    <w:rsid w:val="007223AE"/>
    <w:rsid w:val="007226E1"/>
    <w:rsid w:val="0072282A"/>
    <w:rsid w:val="00722B78"/>
    <w:rsid w:val="007230F8"/>
    <w:rsid w:val="00723374"/>
    <w:rsid w:val="00723A74"/>
    <w:rsid w:val="00723F17"/>
    <w:rsid w:val="00724213"/>
    <w:rsid w:val="00724EC4"/>
    <w:rsid w:val="007259B8"/>
    <w:rsid w:val="00725F18"/>
    <w:rsid w:val="00726351"/>
    <w:rsid w:val="00726651"/>
    <w:rsid w:val="00726E54"/>
    <w:rsid w:val="00727F7E"/>
    <w:rsid w:val="007301F9"/>
    <w:rsid w:val="00730697"/>
    <w:rsid w:val="0073096B"/>
    <w:rsid w:val="00730F53"/>
    <w:rsid w:val="007317BC"/>
    <w:rsid w:val="00732D7F"/>
    <w:rsid w:val="007331C3"/>
    <w:rsid w:val="0073357B"/>
    <w:rsid w:val="00733A77"/>
    <w:rsid w:val="00733D71"/>
    <w:rsid w:val="007345EF"/>
    <w:rsid w:val="007347D0"/>
    <w:rsid w:val="0073499B"/>
    <w:rsid w:val="00734D74"/>
    <w:rsid w:val="007351D4"/>
    <w:rsid w:val="0073578D"/>
    <w:rsid w:val="00735AD2"/>
    <w:rsid w:val="00735F85"/>
    <w:rsid w:val="00736358"/>
    <w:rsid w:val="007363D2"/>
    <w:rsid w:val="00736CE0"/>
    <w:rsid w:val="007377F1"/>
    <w:rsid w:val="00737823"/>
    <w:rsid w:val="00737EF6"/>
    <w:rsid w:val="0074034B"/>
    <w:rsid w:val="007403EC"/>
    <w:rsid w:val="007419F0"/>
    <w:rsid w:val="0074205E"/>
    <w:rsid w:val="00742246"/>
    <w:rsid w:val="007429A6"/>
    <w:rsid w:val="007439F4"/>
    <w:rsid w:val="0074422F"/>
    <w:rsid w:val="007446EE"/>
    <w:rsid w:val="00745022"/>
    <w:rsid w:val="00745052"/>
    <w:rsid w:val="007455A4"/>
    <w:rsid w:val="00745F3B"/>
    <w:rsid w:val="0074676D"/>
    <w:rsid w:val="00746993"/>
    <w:rsid w:val="00747267"/>
    <w:rsid w:val="00747803"/>
    <w:rsid w:val="007505B0"/>
    <w:rsid w:val="007512BC"/>
    <w:rsid w:val="007517D0"/>
    <w:rsid w:val="00751946"/>
    <w:rsid w:val="00751A02"/>
    <w:rsid w:val="00753177"/>
    <w:rsid w:val="007532C9"/>
    <w:rsid w:val="00753679"/>
    <w:rsid w:val="00753EE1"/>
    <w:rsid w:val="00754981"/>
    <w:rsid w:val="00754C29"/>
    <w:rsid w:val="0075518C"/>
    <w:rsid w:val="00755298"/>
    <w:rsid w:val="00756119"/>
    <w:rsid w:val="00757D35"/>
    <w:rsid w:val="00760434"/>
    <w:rsid w:val="00760821"/>
    <w:rsid w:val="00761877"/>
    <w:rsid w:val="00761907"/>
    <w:rsid w:val="007625F9"/>
    <w:rsid w:val="00763D19"/>
    <w:rsid w:val="007643C1"/>
    <w:rsid w:val="00764674"/>
    <w:rsid w:val="00764AB6"/>
    <w:rsid w:val="007663D0"/>
    <w:rsid w:val="0076742F"/>
    <w:rsid w:val="00767CDB"/>
    <w:rsid w:val="00767D75"/>
    <w:rsid w:val="00767F3A"/>
    <w:rsid w:val="007704A9"/>
    <w:rsid w:val="00772867"/>
    <w:rsid w:val="00772B26"/>
    <w:rsid w:val="0077300D"/>
    <w:rsid w:val="0077330C"/>
    <w:rsid w:val="007739F6"/>
    <w:rsid w:val="00773B20"/>
    <w:rsid w:val="00773C24"/>
    <w:rsid w:val="00774664"/>
    <w:rsid w:val="00774B0B"/>
    <w:rsid w:val="00776954"/>
    <w:rsid w:val="00776D16"/>
    <w:rsid w:val="00777366"/>
    <w:rsid w:val="00777926"/>
    <w:rsid w:val="00777EB5"/>
    <w:rsid w:val="00780045"/>
    <w:rsid w:val="0078008C"/>
    <w:rsid w:val="00781D22"/>
    <w:rsid w:val="00782290"/>
    <w:rsid w:val="00782FFB"/>
    <w:rsid w:val="00783919"/>
    <w:rsid w:val="00783DA7"/>
    <w:rsid w:val="00784603"/>
    <w:rsid w:val="0078653A"/>
    <w:rsid w:val="007872FD"/>
    <w:rsid w:val="00787955"/>
    <w:rsid w:val="00787D1E"/>
    <w:rsid w:val="00787D38"/>
    <w:rsid w:val="0079016A"/>
    <w:rsid w:val="00790901"/>
    <w:rsid w:val="00790ECB"/>
    <w:rsid w:val="007911E3"/>
    <w:rsid w:val="007924B6"/>
    <w:rsid w:val="00792C32"/>
    <w:rsid w:val="00793CBD"/>
    <w:rsid w:val="00794704"/>
    <w:rsid w:val="0079477B"/>
    <w:rsid w:val="00794A1B"/>
    <w:rsid w:val="00794AFB"/>
    <w:rsid w:val="00794BB2"/>
    <w:rsid w:val="007970E5"/>
    <w:rsid w:val="00797164"/>
    <w:rsid w:val="007972B7"/>
    <w:rsid w:val="007974BB"/>
    <w:rsid w:val="00797A48"/>
    <w:rsid w:val="00797FEF"/>
    <w:rsid w:val="007A08B6"/>
    <w:rsid w:val="007A0BBB"/>
    <w:rsid w:val="007A238A"/>
    <w:rsid w:val="007A2430"/>
    <w:rsid w:val="007A293E"/>
    <w:rsid w:val="007A2AD3"/>
    <w:rsid w:val="007A2BBA"/>
    <w:rsid w:val="007A48C3"/>
    <w:rsid w:val="007A5453"/>
    <w:rsid w:val="007A5C75"/>
    <w:rsid w:val="007A5E7D"/>
    <w:rsid w:val="007A69D7"/>
    <w:rsid w:val="007A7123"/>
    <w:rsid w:val="007A7335"/>
    <w:rsid w:val="007A7F22"/>
    <w:rsid w:val="007B0003"/>
    <w:rsid w:val="007B008F"/>
    <w:rsid w:val="007B0938"/>
    <w:rsid w:val="007B104C"/>
    <w:rsid w:val="007B108C"/>
    <w:rsid w:val="007B13FA"/>
    <w:rsid w:val="007B17C2"/>
    <w:rsid w:val="007B21F2"/>
    <w:rsid w:val="007B3030"/>
    <w:rsid w:val="007B32AD"/>
    <w:rsid w:val="007B33E1"/>
    <w:rsid w:val="007B4776"/>
    <w:rsid w:val="007B4910"/>
    <w:rsid w:val="007B4A75"/>
    <w:rsid w:val="007B5111"/>
    <w:rsid w:val="007B52F6"/>
    <w:rsid w:val="007B53D7"/>
    <w:rsid w:val="007B5A69"/>
    <w:rsid w:val="007B7810"/>
    <w:rsid w:val="007C078B"/>
    <w:rsid w:val="007C07DB"/>
    <w:rsid w:val="007C089E"/>
    <w:rsid w:val="007C0BE8"/>
    <w:rsid w:val="007C0D2F"/>
    <w:rsid w:val="007C0EBF"/>
    <w:rsid w:val="007C0F99"/>
    <w:rsid w:val="007C14F6"/>
    <w:rsid w:val="007C1E6A"/>
    <w:rsid w:val="007C2127"/>
    <w:rsid w:val="007C31C5"/>
    <w:rsid w:val="007C39B2"/>
    <w:rsid w:val="007C3C6D"/>
    <w:rsid w:val="007C44DA"/>
    <w:rsid w:val="007C44E0"/>
    <w:rsid w:val="007C4881"/>
    <w:rsid w:val="007C5787"/>
    <w:rsid w:val="007C5E0D"/>
    <w:rsid w:val="007C6C31"/>
    <w:rsid w:val="007C7755"/>
    <w:rsid w:val="007D00AB"/>
    <w:rsid w:val="007D0844"/>
    <w:rsid w:val="007D176E"/>
    <w:rsid w:val="007D18F8"/>
    <w:rsid w:val="007D1CC9"/>
    <w:rsid w:val="007D1FBD"/>
    <w:rsid w:val="007D27EA"/>
    <w:rsid w:val="007D2FED"/>
    <w:rsid w:val="007D3852"/>
    <w:rsid w:val="007D4000"/>
    <w:rsid w:val="007D41DF"/>
    <w:rsid w:val="007D46EC"/>
    <w:rsid w:val="007D4A67"/>
    <w:rsid w:val="007D4C0C"/>
    <w:rsid w:val="007D4D5F"/>
    <w:rsid w:val="007D5CF8"/>
    <w:rsid w:val="007D6488"/>
    <w:rsid w:val="007D76FB"/>
    <w:rsid w:val="007D7909"/>
    <w:rsid w:val="007E0022"/>
    <w:rsid w:val="007E0B9B"/>
    <w:rsid w:val="007E3170"/>
    <w:rsid w:val="007E34BF"/>
    <w:rsid w:val="007E3862"/>
    <w:rsid w:val="007E4256"/>
    <w:rsid w:val="007E4BAB"/>
    <w:rsid w:val="007E51A7"/>
    <w:rsid w:val="007E5364"/>
    <w:rsid w:val="007E5ED2"/>
    <w:rsid w:val="007E5EE4"/>
    <w:rsid w:val="007E6083"/>
    <w:rsid w:val="007E6C90"/>
    <w:rsid w:val="007E7CA9"/>
    <w:rsid w:val="007F0881"/>
    <w:rsid w:val="007F0BB2"/>
    <w:rsid w:val="007F0C7F"/>
    <w:rsid w:val="007F1C3A"/>
    <w:rsid w:val="007F2B2C"/>
    <w:rsid w:val="007F3922"/>
    <w:rsid w:val="007F41D4"/>
    <w:rsid w:val="007F41F3"/>
    <w:rsid w:val="007F6646"/>
    <w:rsid w:val="007F7421"/>
    <w:rsid w:val="007F74BB"/>
    <w:rsid w:val="00800E04"/>
    <w:rsid w:val="00800EE9"/>
    <w:rsid w:val="00800FF5"/>
    <w:rsid w:val="00801786"/>
    <w:rsid w:val="00803229"/>
    <w:rsid w:val="00803F61"/>
    <w:rsid w:val="00805045"/>
    <w:rsid w:val="008050EE"/>
    <w:rsid w:val="008050FB"/>
    <w:rsid w:val="0080614E"/>
    <w:rsid w:val="008071C5"/>
    <w:rsid w:val="00810BB3"/>
    <w:rsid w:val="00812214"/>
    <w:rsid w:val="0081222F"/>
    <w:rsid w:val="008135D0"/>
    <w:rsid w:val="00813EE2"/>
    <w:rsid w:val="00814E8A"/>
    <w:rsid w:val="00815325"/>
    <w:rsid w:val="00815406"/>
    <w:rsid w:val="00816974"/>
    <w:rsid w:val="00816EB4"/>
    <w:rsid w:val="00817559"/>
    <w:rsid w:val="00817919"/>
    <w:rsid w:val="00817CA3"/>
    <w:rsid w:val="00820047"/>
    <w:rsid w:val="0082083D"/>
    <w:rsid w:val="00821569"/>
    <w:rsid w:val="00821AC8"/>
    <w:rsid w:val="008221AA"/>
    <w:rsid w:val="00822B59"/>
    <w:rsid w:val="008230F2"/>
    <w:rsid w:val="008234AD"/>
    <w:rsid w:val="008235CB"/>
    <w:rsid w:val="0082418D"/>
    <w:rsid w:val="0082448C"/>
    <w:rsid w:val="00824958"/>
    <w:rsid w:val="00826243"/>
    <w:rsid w:val="00826253"/>
    <w:rsid w:val="0082632B"/>
    <w:rsid w:val="008263C0"/>
    <w:rsid w:val="0082671D"/>
    <w:rsid w:val="00826DD8"/>
    <w:rsid w:val="008270DC"/>
    <w:rsid w:val="00830AC4"/>
    <w:rsid w:val="0083118E"/>
    <w:rsid w:val="0083146F"/>
    <w:rsid w:val="00831E4D"/>
    <w:rsid w:val="00831EA7"/>
    <w:rsid w:val="00831F3F"/>
    <w:rsid w:val="00832654"/>
    <w:rsid w:val="00833324"/>
    <w:rsid w:val="00834967"/>
    <w:rsid w:val="00835182"/>
    <w:rsid w:val="00835477"/>
    <w:rsid w:val="00835A63"/>
    <w:rsid w:val="00836E1B"/>
    <w:rsid w:val="008377B5"/>
    <w:rsid w:val="00837C5F"/>
    <w:rsid w:val="00840BC4"/>
    <w:rsid w:val="00841477"/>
    <w:rsid w:val="0084204A"/>
    <w:rsid w:val="00842D76"/>
    <w:rsid w:val="00842E02"/>
    <w:rsid w:val="008430A8"/>
    <w:rsid w:val="008433F2"/>
    <w:rsid w:val="0084494A"/>
    <w:rsid w:val="00844AD9"/>
    <w:rsid w:val="0084513E"/>
    <w:rsid w:val="008454C5"/>
    <w:rsid w:val="00845C95"/>
    <w:rsid w:val="008469C0"/>
    <w:rsid w:val="00846C16"/>
    <w:rsid w:val="0084797A"/>
    <w:rsid w:val="00847DB0"/>
    <w:rsid w:val="0085015F"/>
    <w:rsid w:val="008502C2"/>
    <w:rsid w:val="00850485"/>
    <w:rsid w:val="008505EC"/>
    <w:rsid w:val="008507EF"/>
    <w:rsid w:val="00850904"/>
    <w:rsid w:val="00850E41"/>
    <w:rsid w:val="0085128B"/>
    <w:rsid w:val="008517D0"/>
    <w:rsid w:val="00852074"/>
    <w:rsid w:val="00852091"/>
    <w:rsid w:val="008524E1"/>
    <w:rsid w:val="00852515"/>
    <w:rsid w:val="008525DD"/>
    <w:rsid w:val="00852924"/>
    <w:rsid w:val="008533F7"/>
    <w:rsid w:val="008534DE"/>
    <w:rsid w:val="008535FA"/>
    <w:rsid w:val="00853817"/>
    <w:rsid w:val="00853829"/>
    <w:rsid w:val="00853A64"/>
    <w:rsid w:val="00853BF9"/>
    <w:rsid w:val="00855071"/>
    <w:rsid w:val="008551DB"/>
    <w:rsid w:val="00855AFD"/>
    <w:rsid w:val="00855C32"/>
    <w:rsid w:val="0085607F"/>
    <w:rsid w:val="008566DE"/>
    <w:rsid w:val="00856744"/>
    <w:rsid w:val="00856AB0"/>
    <w:rsid w:val="00856ECF"/>
    <w:rsid w:val="00861FED"/>
    <w:rsid w:val="0086208C"/>
    <w:rsid w:val="0086267F"/>
    <w:rsid w:val="008628DF"/>
    <w:rsid w:val="00862A3F"/>
    <w:rsid w:val="00862D4B"/>
    <w:rsid w:val="00862D85"/>
    <w:rsid w:val="00862EB4"/>
    <w:rsid w:val="00862F46"/>
    <w:rsid w:val="008648BF"/>
    <w:rsid w:val="00866B4E"/>
    <w:rsid w:val="00866DD8"/>
    <w:rsid w:val="00866FBE"/>
    <w:rsid w:val="008671F7"/>
    <w:rsid w:val="00867C20"/>
    <w:rsid w:val="00870838"/>
    <w:rsid w:val="00870BB1"/>
    <w:rsid w:val="00871212"/>
    <w:rsid w:val="0087187D"/>
    <w:rsid w:val="00871E93"/>
    <w:rsid w:val="0087244B"/>
    <w:rsid w:val="00872812"/>
    <w:rsid w:val="00872A57"/>
    <w:rsid w:val="00872B95"/>
    <w:rsid w:val="008733D8"/>
    <w:rsid w:val="00873E9C"/>
    <w:rsid w:val="008745A8"/>
    <w:rsid w:val="00874727"/>
    <w:rsid w:val="00874F82"/>
    <w:rsid w:val="00875171"/>
    <w:rsid w:val="00875691"/>
    <w:rsid w:val="008766A3"/>
    <w:rsid w:val="00877F1F"/>
    <w:rsid w:val="00882350"/>
    <w:rsid w:val="0088245A"/>
    <w:rsid w:val="008832DB"/>
    <w:rsid w:val="0088368D"/>
    <w:rsid w:val="00883FFA"/>
    <w:rsid w:val="00884B5C"/>
    <w:rsid w:val="0088500E"/>
    <w:rsid w:val="00885191"/>
    <w:rsid w:val="00885CA0"/>
    <w:rsid w:val="00885E39"/>
    <w:rsid w:val="0088633E"/>
    <w:rsid w:val="00886955"/>
    <w:rsid w:val="00886AC1"/>
    <w:rsid w:val="00886C89"/>
    <w:rsid w:val="008876AB"/>
    <w:rsid w:val="00887AA0"/>
    <w:rsid w:val="0089032E"/>
    <w:rsid w:val="00890A97"/>
    <w:rsid w:val="00891240"/>
    <w:rsid w:val="008913CC"/>
    <w:rsid w:val="008915FB"/>
    <w:rsid w:val="008918BA"/>
    <w:rsid w:val="00891B7B"/>
    <w:rsid w:val="00894002"/>
    <w:rsid w:val="008948F4"/>
    <w:rsid w:val="0089577E"/>
    <w:rsid w:val="00895CB0"/>
    <w:rsid w:val="00896E3D"/>
    <w:rsid w:val="00897729"/>
    <w:rsid w:val="00897DE4"/>
    <w:rsid w:val="008A0CE0"/>
    <w:rsid w:val="008A14BB"/>
    <w:rsid w:val="008A1767"/>
    <w:rsid w:val="008A1A85"/>
    <w:rsid w:val="008A1D13"/>
    <w:rsid w:val="008A1F39"/>
    <w:rsid w:val="008A2948"/>
    <w:rsid w:val="008A3B28"/>
    <w:rsid w:val="008A42A0"/>
    <w:rsid w:val="008A4D80"/>
    <w:rsid w:val="008A5428"/>
    <w:rsid w:val="008A55C1"/>
    <w:rsid w:val="008A5863"/>
    <w:rsid w:val="008A6AA6"/>
    <w:rsid w:val="008A6B10"/>
    <w:rsid w:val="008A7380"/>
    <w:rsid w:val="008A7709"/>
    <w:rsid w:val="008B08B9"/>
    <w:rsid w:val="008B0A19"/>
    <w:rsid w:val="008B0F94"/>
    <w:rsid w:val="008B1373"/>
    <w:rsid w:val="008B1628"/>
    <w:rsid w:val="008B1D5C"/>
    <w:rsid w:val="008B2096"/>
    <w:rsid w:val="008B25E6"/>
    <w:rsid w:val="008B30AE"/>
    <w:rsid w:val="008B3B13"/>
    <w:rsid w:val="008B3E01"/>
    <w:rsid w:val="008B3FDA"/>
    <w:rsid w:val="008B44C3"/>
    <w:rsid w:val="008B456B"/>
    <w:rsid w:val="008B4683"/>
    <w:rsid w:val="008B472E"/>
    <w:rsid w:val="008B4DE2"/>
    <w:rsid w:val="008B50FE"/>
    <w:rsid w:val="008B5604"/>
    <w:rsid w:val="008B57A8"/>
    <w:rsid w:val="008B79A4"/>
    <w:rsid w:val="008C00B4"/>
    <w:rsid w:val="008C01EA"/>
    <w:rsid w:val="008C03E7"/>
    <w:rsid w:val="008C07BD"/>
    <w:rsid w:val="008C1668"/>
    <w:rsid w:val="008C272C"/>
    <w:rsid w:val="008C2EB3"/>
    <w:rsid w:val="008C34F5"/>
    <w:rsid w:val="008C36CC"/>
    <w:rsid w:val="008C3FAF"/>
    <w:rsid w:val="008C40CE"/>
    <w:rsid w:val="008C469D"/>
    <w:rsid w:val="008C478A"/>
    <w:rsid w:val="008C4A86"/>
    <w:rsid w:val="008C4D75"/>
    <w:rsid w:val="008C5114"/>
    <w:rsid w:val="008C53D9"/>
    <w:rsid w:val="008C5B4E"/>
    <w:rsid w:val="008C5FFE"/>
    <w:rsid w:val="008C62AD"/>
    <w:rsid w:val="008C62BA"/>
    <w:rsid w:val="008C6BEB"/>
    <w:rsid w:val="008C7535"/>
    <w:rsid w:val="008D006B"/>
    <w:rsid w:val="008D1717"/>
    <w:rsid w:val="008D174D"/>
    <w:rsid w:val="008D25E9"/>
    <w:rsid w:val="008D2E1A"/>
    <w:rsid w:val="008D2FF6"/>
    <w:rsid w:val="008D42B8"/>
    <w:rsid w:val="008D4A59"/>
    <w:rsid w:val="008D4CAD"/>
    <w:rsid w:val="008D51D8"/>
    <w:rsid w:val="008D554A"/>
    <w:rsid w:val="008D5B1A"/>
    <w:rsid w:val="008D5D91"/>
    <w:rsid w:val="008D5DC5"/>
    <w:rsid w:val="008D677F"/>
    <w:rsid w:val="008D7126"/>
    <w:rsid w:val="008D7BE5"/>
    <w:rsid w:val="008E04C9"/>
    <w:rsid w:val="008E05DC"/>
    <w:rsid w:val="008E0A5E"/>
    <w:rsid w:val="008E1DE0"/>
    <w:rsid w:val="008E2B05"/>
    <w:rsid w:val="008E3241"/>
    <w:rsid w:val="008E3274"/>
    <w:rsid w:val="008E4F82"/>
    <w:rsid w:val="008E569D"/>
    <w:rsid w:val="008E5D7D"/>
    <w:rsid w:val="008E5E24"/>
    <w:rsid w:val="008E6738"/>
    <w:rsid w:val="008E70A4"/>
    <w:rsid w:val="008E7E01"/>
    <w:rsid w:val="008F0099"/>
    <w:rsid w:val="008F021F"/>
    <w:rsid w:val="008F0605"/>
    <w:rsid w:val="008F0A60"/>
    <w:rsid w:val="008F14EA"/>
    <w:rsid w:val="008F16F4"/>
    <w:rsid w:val="008F1EF5"/>
    <w:rsid w:val="008F2547"/>
    <w:rsid w:val="008F2DEC"/>
    <w:rsid w:val="008F31D3"/>
    <w:rsid w:val="008F3F14"/>
    <w:rsid w:val="008F4A70"/>
    <w:rsid w:val="008F4D0E"/>
    <w:rsid w:val="008F5383"/>
    <w:rsid w:val="008F542A"/>
    <w:rsid w:val="008F5623"/>
    <w:rsid w:val="008F65A6"/>
    <w:rsid w:val="008F6C50"/>
    <w:rsid w:val="008F7326"/>
    <w:rsid w:val="008F758C"/>
    <w:rsid w:val="008F7CA8"/>
    <w:rsid w:val="008F7D03"/>
    <w:rsid w:val="008F7EC6"/>
    <w:rsid w:val="009027A3"/>
    <w:rsid w:val="00902E57"/>
    <w:rsid w:val="00903749"/>
    <w:rsid w:val="00903920"/>
    <w:rsid w:val="00904305"/>
    <w:rsid w:val="009047FB"/>
    <w:rsid w:val="009049D1"/>
    <w:rsid w:val="00904B63"/>
    <w:rsid w:val="00904D3A"/>
    <w:rsid w:val="00905A5F"/>
    <w:rsid w:val="009062BF"/>
    <w:rsid w:val="00906F7A"/>
    <w:rsid w:val="00907C34"/>
    <w:rsid w:val="009100D3"/>
    <w:rsid w:val="00910330"/>
    <w:rsid w:val="0091036D"/>
    <w:rsid w:val="00910824"/>
    <w:rsid w:val="00910A90"/>
    <w:rsid w:val="00910CCC"/>
    <w:rsid w:val="009116A2"/>
    <w:rsid w:val="00911746"/>
    <w:rsid w:val="009117FA"/>
    <w:rsid w:val="00911968"/>
    <w:rsid w:val="00911FB6"/>
    <w:rsid w:val="0091285F"/>
    <w:rsid w:val="00913C57"/>
    <w:rsid w:val="009141DF"/>
    <w:rsid w:val="00915089"/>
    <w:rsid w:val="009157B9"/>
    <w:rsid w:val="0091701E"/>
    <w:rsid w:val="00917120"/>
    <w:rsid w:val="009171A0"/>
    <w:rsid w:val="0091750B"/>
    <w:rsid w:val="00917830"/>
    <w:rsid w:val="00917DE8"/>
    <w:rsid w:val="00920077"/>
    <w:rsid w:val="00920164"/>
    <w:rsid w:val="009201DB"/>
    <w:rsid w:val="00920AE8"/>
    <w:rsid w:val="00920B77"/>
    <w:rsid w:val="00920B87"/>
    <w:rsid w:val="00921A94"/>
    <w:rsid w:val="0092248C"/>
    <w:rsid w:val="00922DEC"/>
    <w:rsid w:val="00922F66"/>
    <w:rsid w:val="00922FC1"/>
    <w:rsid w:val="009232EE"/>
    <w:rsid w:val="00923F25"/>
    <w:rsid w:val="0092466F"/>
    <w:rsid w:val="00924DBB"/>
    <w:rsid w:val="00925D56"/>
    <w:rsid w:val="00925DFD"/>
    <w:rsid w:val="00925E8D"/>
    <w:rsid w:val="009262DE"/>
    <w:rsid w:val="0092640D"/>
    <w:rsid w:val="0092668F"/>
    <w:rsid w:val="00926776"/>
    <w:rsid w:val="00926A2A"/>
    <w:rsid w:val="009306A7"/>
    <w:rsid w:val="009306C7"/>
    <w:rsid w:val="00930DAB"/>
    <w:rsid w:val="00930FCC"/>
    <w:rsid w:val="009316A9"/>
    <w:rsid w:val="00931C22"/>
    <w:rsid w:val="00931EE4"/>
    <w:rsid w:val="00932000"/>
    <w:rsid w:val="009323CD"/>
    <w:rsid w:val="00932B33"/>
    <w:rsid w:val="00933BE7"/>
    <w:rsid w:val="00934A2D"/>
    <w:rsid w:val="00935336"/>
    <w:rsid w:val="009356D2"/>
    <w:rsid w:val="00935EFA"/>
    <w:rsid w:val="00935F89"/>
    <w:rsid w:val="009361A2"/>
    <w:rsid w:val="009363B0"/>
    <w:rsid w:val="00937062"/>
    <w:rsid w:val="0093729F"/>
    <w:rsid w:val="009379DE"/>
    <w:rsid w:val="009404EF"/>
    <w:rsid w:val="0094179F"/>
    <w:rsid w:val="0094382D"/>
    <w:rsid w:val="00943BB4"/>
    <w:rsid w:val="0094436E"/>
    <w:rsid w:val="00944853"/>
    <w:rsid w:val="0094491C"/>
    <w:rsid w:val="0094492F"/>
    <w:rsid w:val="00945A99"/>
    <w:rsid w:val="00945DBD"/>
    <w:rsid w:val="00945DCE"/>
    <w:rsid w:val="009469CA"/>
    <w:rsid w:val="009500BC"/>
    <w:rsid w:val="00950552"/>
    <w:rsid w:val="009512FE"/>
    <w:rsid w:val="00951D62"/>
    <w:rsid w:val="00952816"/>
    <w:rsid w:val="00952CD6"/>
    <w:rsid w:val="009533C1"/>
    <w:rsid w:val="009536A2"/>
    <w:rsid w:val="0095435E"/>
    <w:rsid w:val="00954772"/>
    <w:rsid w:val="00954A38"/>
    <w:rsid w:val="00955493"/>
    <w:rsid w:val="009564EC"/>
    <w:rsid w:val="00956544"/>
    <w:rsid w:val="00956990"/>
    <w:rsid w:val="00956D8E"/>
    <w:rsid w:val="009570AD"/>
    <w:rsid w:val="00957503"/>
    <w:rsid w:val="009575CF"/>
    <w:rsid w:val="009579B8"/>
    <w:rsid w:val="00960370"/>
    <w:rsid w:val="009613BE"/>
    <w:rsid w:val="0096143E"/>
    <w:rsid w:val="00961994"/>
    <w:rsid w:val="00961AA9"/>
    <w:rsid w:val="00962014"/>
    <w:rsid w:val="00962F5F"/>
    <w:rsid w:val="0096348E"/>
    <w:rsid w:val="00964A3D"/>
    <w:rsid w:val="00964E59"/>
    <w:rsid w:val="00965044"/>
    <w:rsid w:val="009664A1"/>
    <w:rsid w:val="009666C0"/>
    <w:rsid w:val="00966799"/>
    <w:rsid w:val="00966860"/>
    <w:rsid w:val="00966945"/>
    <w:rsid w:val="0096719F"/>
    <w:rsid w:val="00967330"/>
    <w:rsid w:val="00967495"/>
    <w:rsid w:val="00967A8A"/>
    <w:rsid w:val="00967F46"/>
    <w:rsid w:val="009705D3"/>
    <w:rsid w:val="00970812"/>
    <w:rsid w:val="00970B43"/>
    <w:rsid w:val="00971150"/>
    <w:rsid w:val="009712AE"/>
    <w:rsid w:val="00971C3A"/>
    <w:rsid w:val="00971E81"/>
    <w:rsid w:val="00972641"/>
    <w:rsid w:val="009727E2"/>
    <w:rsid w:val="00972829"/>
    <w:rsid w:val="00973582"/>
    <w:rsid w:val="00973A02"/>
    <w:rsid w:val="00973B58"/>
    <w:rsid w:val="00973D07"/>
    <w:rsid w:val="00974979"/>
    <w:rsid w:val="00974A06"/>
    <w:rsid w:val="00974B18"/>
    <w:rsid w:val="009751DC"/>
    <w:rsid w:val="0097593E"/>
    <w:rsid w:val="00976048"/>
    <w:rsid w:val="0097665E"/>
    <w:rsid w:val="00977271"/>
    <w:rsid w:val="00980270"/>
    <w:rsid w:val="00980538"/>
    <w:rsid w:val="00980B3C"/>
    <w:rsid w:val="00980D53"/>
    <w:rsid w:val="009810FB"/>
    <w:rsid w:val="00981759"/>
    <w:rsid w:val="0098306F"/>
    <w:rsid w:val="00983ECF"/>
    <w:rsid w:val="00984318"/>
    <w:rsid w:val="009846F1"/>
    <w:rsid w:val="00984DB4"/>
    <w:rsid w:val="00985089"/>
    <w:rsid w:val="009853F5"/>
    <w:rsid w:val="00985454"/>
    <w:rsid w:val="00985B9D"/>
    <w:rsid w:val="00986A71"/>
    <w:rsid w:val="00986CFB"/>
    <w:rsid w:val="00990013"/>
    <w:rsid w:val="00990736"/>
    <w:rsid w:val="0099131D"/>
    <w:rsid w:val="00991650"/>
    <w:rsid w:val="0099174C"/>
    <w:rsid w:val="009919FB"/>
    <w:rsid w:val="00991FC3"/>
    <w:rsid w:val="00992593"/>
    <w:rsid w:val="00992CA5"/>
    <w:rsid w:val="00992ED2"/>
    <w:rsid w:val="00993A35"/>
    <w:rsid w:val="00993BC1"/>
    <w:rsid w:val="00994437"/>
    <w:rsid w:val="00994502"/>
    <w:rsid w:val="00994791"/>
    <w:rsid w:val="00994931"/>
    <w:rsid w:val="00994BF3"/>
    <w:rsid w:val="009955CB"/>
    <w:rsid w:val="00995929"/>
    <w:rsid w:val="00995AFF"/>
    <w:rsid w:val="009962A1"/>
    <w:rsid w:val="00996878"/>
    <w:rsid w:val="00996AC1"/>
    <w:rsid w:val="00997530"/>
    <w:rsid w:val="00997816"/>
    <w:rsid w:val="00997C7C"/>
    <w:rsid w:val="009A01E4"/>
    <w:rsid w:val="009A0616"/>
    <w:rsid w:val="009A07EC"/>
    <w:rsid w:val="009A11B4"/>
    <w:rsid w:val="009A1EAD"/>
    <w:rsid w:val="009A28AF"/>
    <w:rsid w:val="009A299B"/>
    <w:rsid w:val="009A29CA"/>
    <w:rsid w:val="009A2ADB"/>
    <w:rsid w:val="009A2E4C"/>
    <w:rsid w:val="009A36E0"/>
    <w:rsid w:val="009A3AAC"/>
    <w:rsid w:val="009A527A"/>
    <w:rsid w:val="009A529D"/>
    <w:rsid w:val="009A5A09"/>
    <w:rsid w:val="009A668E"/>
    <w:rsid w:val="009A6BE0"/>
    <w:rsid w:val="009A6E3B"/>
    <w:rsid w:val="009A77A0"/>
    <w:rsid w:val="009A7865"/>
    <w:rsid w:val="009A7BE0"/>
    <w:rsid w:val="009B03AE"/>
    <w:rsid w:val="009B0B20"/>
    <w:rsid w:val="009B172D"/>
    <w:rsid w:val="009B2E15"/>
    <w:rsid w:val="009B2FBF"/>
    <w:rsid w:val="009B3462"/>
    <w:rsid w:val="009B45ED"/>
    <w:rsid w:val="009B4B0D"/>
    <w:rsid w:val="009B4F6E"/>
    <w:rsid w:val="009B5690"/>
    <w:rsid w:val="009B57B7"/>
    <w:rsid w:val="009B5A58"/>
    <w:rsid w:val="009B5F26"/>
    <w:rsid w:val="009B6105"/>
    <w:rsid w:val="009B6339"/>
    <w:rsid w:val="009B7CBB"/>
    <w:rsid w:val="009B7FB1"/>
    <w:rsid w:val="009C1A67"/>
    <w:rsid w:val="009C32A5"/>
    <w:rsid w:val="009C4160"/>
    <w:rsid w:val="009C419C"/>
    <w:rsid w:val="009C455F"/>
    <w:rsid w:val="009C46F5"/>
    <w:rsid w:val="009C4B4B"/>
    <w:rsid w:val="009C5170"/>
    <w:rsid w:val="009C5B28"/>
    <w:rsid w:val="009C6634"/>
    <w:rsid w:val="009C6B1C"/>
    <w:rsid w:val="009C7411"/>
    <w:rsid w:val="009C75EC"/>
    <w:rsid w:val="009C7B4F"/>
    <w:rsid w:val="009C7E80"/>
    <w:rsid w:val="009D08EB"/>
    <w:rsid w:val="009D09C7"/>
    <w:rsid w:val="009D0BCE"/>
    <w:rsid w:val="009D10C0"/>
    <w:rsid w:val="009D1F1B"/>
    <w:rsid w:val="009D2E76"/>
    <w:rsid w:val="009D2EFA"/>
    <w:rsid w:val="009D2F27"/>
    <w:rsid w:val="009D3314"/>
    <w:rsid w:val="009D350F"/>
    <w:rsid w:val="009D3659"/>
    <w:rsid w:val="009D3D12"/>
    <w:rsid w:val="009D3D27"/>
    <w:rsid w:val="009D3DB1"/>
    <w:rsid w:val="009D4706"/>
    <w:rsid w:val="009D4AF5"/>
    <w:rsid w:val="009D5999"/>
    <w:rsid w:val="009D5A73"/>
    <w:rsid w:val="009D5B4E"/>
    <w:rsid w:val="009D5C70"/>
    <w:rsid w:val="009D617B"/>
    <w:rsid w:val="009D6D2F"/>
    <w:rsid w:val="009D6DBF"/>
    <w:rsid w:val="009D723C"/>
    <w:rsid w:val="009D7282"/>
    <w:rsid w:val="009D7554"/>
    <w:rsid w:val="009D7A98"/>
    <w:rsid w:val="009D7B32"/>
    <w:rsid w:val="009E07EA"/>
    <w:rsid w:val="009E0DFB"/>
    <w:rsid w:val="009E1059"/>
    <w:rsid w:val="009E120D"/>
    <w:rsid w:val="009E1234"/>
    <w:rsid w:val="009E1C19"/>
    <w:rsid w:val="009E20DB"/>
    <w:rsid w:val="009E2254"/>
    <w:rsid w:val="009E3311"/>
    <w:rsid w:val="009E3BE8"/>
    <w:rsid w:val="009E5A80"/>
    <w:rsid w:val="009E6159"/>
    <w:rsid w:val="009E6A09"/>
    <w:rsid w:val="009E73C1"/>
    <w:rsid w:val="009E7A7B"/>
    <w:rsid w:val="009F0360"/>
    <w:rsid w:val="009F0786"/>
    <w:rsid w:val="009F0EAB"/>
    <w:rsid w:val="009F0F23"/>
    <w:rsid w:val="009F104D"/>
    <w:rsid w:val="009F1121"/>
    <w:rsid w:val="009F146E"/>
    <w:rsid w:val="009F14CE"/>
    <w:rsid w:val="009F1A02"/>
    <w:rsid w:val="009F228E"/>
    <w:rsid w:val="009F2463"/>
    <w:rsid w:val="009F2511"/>
    <w:rsid w:val="009F2706"/>
    <w:rsid w:val="009F2E10"/>
    <w:rsid w:val="009F4161"/>
    <w:rsid w:val="009F43F4"/>
    <w:rsid w:val="009F4E13"/>
    <w:rsid w:val="009F4EA7"/>
    <w:rsid w:val="009F4F20"/>
    <w:rsid w:val="009F54AE"/>
    <w:rsid w:val="009F5C85"/>
    <w:rsid w:val="009F67CC"/>
    <w:rsid w:val="009F716E"/>
    <w:rsid w:val="009F7643"/>
    <w:rsid w:val="009F7D53"/>
    <w:rsid w:val="009F7E1A"/>
    <w:rsid w:val="00A00497"/>
    <w:rsid w:val="00A008BB"/>
    <w:rsid w:val="00A00DFD"/>
    <w:rsid w:val="00A00FA4"/>
    <w:rsid w:val="00A0217D"/>
    <w:rsid w:val="00A021C3"/>
    <w:rsid w:val="00A04846"/>
    <w:rsid w:val="00A04D12"/>
    <w:rsid w:val="00A06368"/>
    <w:rsid w:val="00A06B3C"/>
    <w:rsid w:val="00A06E0D"/>
    <w:rsid w:val="00A07884"/>
    <w:rsid w:val="00A10362"/>
    <w:rsid w:val="00A105D0"/>
    <w:rsid w:val="00A1154D"/>
    <w:rsid w:val="00A12DBA"/>
    <w:rsid w:val="00A12F3C"/>
    <w:rsid w:val="00A12F4D"/>
    <w:rsid w:val="00A13F72"/>
    <w:rsid w:val="00A140FE"/>
    <w:rsid w:val="00A14654"/>
    <w:rsid w:val="00A147CF"/>
    <w:rsid w:val="00A14D96"/>
    <w:rsid w:val="00A1533F"/>
    <w:rsid w:val="00A15D98"/>
    <w:rsid w:val="00A15E54"/>
    <w:rsid w:val="00A160BF"/>
    <w:rsid w:val="00A163EA"/>
    <w:rsid w:val="00A1656B"/>
    <w:rsid w:val="00A16F8F"/>
    <w:rsid w:val="00A171B1"/>
    <w:rsid w:val="00A171D3"/>
    <w:rsid w:val="00A17298"/>
    <w:rsid w:val="00A17489"/>
    <w:rsid w:val="00A17719"/>
    <w:rsid w:val="00A200E7"/>
    <w:rsid w:val="00A208EF"/>
    <w:rsid w:val="00A20EFB"/>
    <w:rsid w:val="00A2115F"/>
    <w:rsid w:val="00A21A16"/>
    <w:rsid w:val="00A22979"/>
    <w:rsid w:val="00A22B64"/>
    <w:rsid w:val="00A22D6B"/>
    <w:rsid w:val="00A23E1E"/>
    <w:rsid w:val="00A23F0A"/>
    <w:rsid w:val="00A247B7"/>
    <w:rsid w:val="00A24C1D"/>
    <w:rsid w:val="00A25AEF"/>
    <w:rsid w:val="00A275D2"/>
    <w:rsid w:val="00A27B3A"/>
    <w:rsid w:val="00A27E47"/>
    <w:rsid w:val="00A27E7B"/>
    <w:rsid w:val="00A308DB"/>
    <w:rsid w:val="00A3110D"/>
    <w:rsid w:val="00A31871"/>
    <w:rsid w:val="00A31B2A"/>
    <w:rsid w:val="00A31E89"/>
    <w:rsid w:val="00A32056"/>
    <w:rsid w:val="00A3238B"/>
    <w:rsid w:val="00A32543"/>
    <w:rsid w:val="00A3275A"/>
    <w:rsid w:val="00A32CA6"/>
    <w:rsid w:val="00A32D3D"/>
    <w:rsid w:val="00A3317C"/>
    <w:rsid w:val="00A34468"/>
    <w:rsid w:val="00A347E7"/>
    <w:rsid w:val="00A34D96"/>
    <w:rsid w:val="00A352F8"/>
    <w:rsid w:val="00A35517"/>
    <w:rsid w:val="00A37032"/>
    <w:rsid w:val="00A37C87"/>
    <w:rsid w:val="00A37D0B"/>
    <w:rsid w:val="00A40BFA"/>
    <w:rsid w:val="00A40EE1"/>
    <w:rsid w:val="00A42369"/>
    <w:rsid w:val="00A431C7"/>
    <w:rsid w:val="00A439DA"/>
    <w:rsid w:val="00A43DAD"/>
    <w:rsid w:val="00A44118"/>
    <w:rsid w:val="00A44347"/>
    <w:rsid w:val="00A44A90"/>
    <w:rsid w:val="00A45DE3"/>
    <w:rsid w:val="00A46705"/>
    <w:rsid w:val="00A46EB6"/>
    <w:rsid w:val="00A4776F"/>
    <w:rsid w:val="00A47B94"/>
    <w:rsid w:val="00A500EE"/>
    <w:rsid w:val="00A5116A"/>
    <w:rsid w:val="00A51D4E"/>
    <w:rsid w:val="00A51D62"/>
    <w:rsid w:val="00A5285F"/>
    <w:rsid w:val="00A52DAB"/>
    <w:rsid w:val="00A532E0"/>
    <w:rsid w:val="00A53437"/>
    <w:rsid w:val="00A53EC2"/>
    <w:rsid w:val="00A54B55"/>
    <w:rsid w:val="00A5591E"/>
    <w:rsid w:val="00A55B81"/>
    <w:rsid w:val="00A55E93"/>
    <w:rsid w:val="00A55F39"/>
    <w:rsid w:val="00A56CD3"/>
    <w:rsid w:val="00A56DAE"/>
    <w:rsid w:val="00A57164"/>
    <w:rsid w:val="00A57A9C"/>
    <w:rsid w:val="00A6006C"/>
    <w:rsid w:val="00A609D8"/>
    <w:rsid w:val="00A6108B"/>
    <w:rsid w:val="00A616E0"/>
    <w:rsid w:val="00A6191A"/>
    <w:rsid w:val="00A6232F"/>
    <w:rsid w:val="00A641B0"/>
    <w:rsid w:val="00A64291"/>
    <w:rsid w:val="00A64428"/>
    <w:rsid w:val="00A649BB"/>
    <w:rsid w:val="00A64C08"/>
    <w:rsid w:val="00A6541B"/>
    <w:rsid w:val="00A657DA"/>
    <w:rsid w:val="00A65C97"/>
    <w:rsid w:val="00A66DF7"/>
    <w:rsid w:val="00A6703B"/>
    <w:rsid w:val="00A67065"/>
    <w:rsid w:val="00A67339"/>
    <w:rsid w:val="00A675A4"/>
    <w:rsid w:val="00A70E02"/>
    <w:rsid w:val="00A7110D"/>
    <w:rsid w:val="00A7117A"/>
    <w:rsid w:val="00A713EA"/>
    <w:rsid w:val="00A71505"/>
    <w:rsid w:val="00A71E46"/>
    <w:rsid w:val="00A7252E"/>
    <w:rsid w:val="00A72809"/>
    <w:rsid w:val="00A73197"/>
    <w:rsid w:val="00A73507"/>
    <w:rsid w:val="00A7459E"/>
    <w:rsid w:val="00A749CE"/>
    <w:rsid w:val="00A74AB4"/>
    <w:rsid w:val="00A74BAB"/>
    <w:rsid w:val="00A75998"/>
    <w:rsid w:val="00A7609F"/>
    <w:rsid w:val="00A76767"/>
    <w:rsid w:val="00A7688B"/>
    <w:rsid w:val="00A80267"/>
    <w:rsid w:val="00A80BFE"/>
    <w:rsid w:val="00A80FAE"/>
    <w:rsid w:val="00A814EF"/>
    <w:rsid w:val="00A81B52"/>
    <w:rsid w:val="00A8274D"/>
    <w:rsid w:val="00A82AA1"/>
    <w:rsid w:val="00A82BB4"/>
    <w:rsid w:val="00A83FB0"/>
    <w:rsid w:val="00A840F7"/>
    <w:rsid w:val="00A848D3"/>
    <w:rsid w:val="00A85565"/>
    <w:rsid w:val="00A863A4"/>
    <w:rsid w:val="00A86657"/>
    <w:rsid w:val="00A86838"/>
    <w:rsid w:val="00A86C73"/>
    <w:rsid w:val="00A872A8"/>
    <w:rsid w:val="00A87B83"/>
    <w:rsid w:val="00A87DAC"/>
    <w:rsid w:val="00A905F5"/>
    <w:rsid w:val="00A909E1"/>
    <w:rsid w:val="00A9147F"/>
    <w:rsid w:val="00A91FAD"/>
    <w:rsid w:val="00A925C9"/>
    <w:rsid w:val="00A92629"/>
    <w:rsid w:val="00A92A65"/>
    <w:rsid w:val="00A92D91"/>
    <w:rsid w:val="00A92DAD"/>
    <w:rsid w:val="00A9334A"/>
    <w:rsid w:val="00A94043"/>
    <w:rsid w:val="00A95054"/>
    <w:rsid w:val="00A95724"/>
    <w:rsid w:val="00A95DB5"/>
    <w:rsid w:val="00A962AB"/>
    <w:rsid w:val="00A969EB"/>
    <w:rsid w:val="00A96B59"/>
    <w:rsid w:val="00A9726E"/>
    <w:rsid w:val="00A97A3A"/>
    <w:rsid w:val="00AA305C"/>
    <w:rsid w:val="00AA334F"/>
    <w:rsid w:val="00AA36E6"/>
    <w:rsid w:val="00AA4054"/>
    <w:rsid w:val="00AA466E"/>
    <w:rsid w:val="00AA4BF6"/>
    <w:rsid w:val="00AA55D2"/>
    <w:rsid w:val="00AA5D50"/>
    <w:rsid w:val="00AA66F2"/>
    <w:rsid w:val="00AA6AC8"/>
    <w:rsid w:val="00AA6B75"/>
    <w:rsid w:val="00AA6BEE"/>
    <w:rsid w:val="00AB0DD3"/>
    <w:rsid w:val="00AB1635"/>
    <w:rsid w:val="00AB19AA"/>
    <w:rsid w:val="00AB1C76"/>
    <w:rsid w:val="00AB27B7"/>
    <w:rsid w:val="00AB3312"/>
    <w:rsid w:val="00AB3442"/>
    <w:rsid w:val="00AB3F31"/>
    <w:rsid w:val="00AB44BA"/>
    <w:rsid w:val="00AB5F42"/>
    <w:rsid w:val="00AB67B2"/>
    <w:rsid w:val="00AB6B56"/>
    <w:rsid w:val="00AB6C92"/>
    <w:rsid w:val="00AB6CF1"/>
    <w:rsid w:val="00AB6E60"/>
    <w:rsid w:val="00AB790A"/>
    <w:rsid w:val="00AB7DC2"/>
    <w:rsid w:val="00AB7F5E"/>
    <w:rsid w:val="00AC0ADB"/>
    <w:rsid w:val="00AC0DA1"/>
    <w:rsid w:val="00AC13BB"/>
    <w:rsid w:val="00AC15BF"/>
    <w:rsid w:val="00AC1CF7"/>
    <w:rsid w:val="00AC238A"/>
    <w:rsid w:val="00AC256E"/>
    <w:rsid w:val="00AC25B3"/>
    <w:rsid w:val="00AC2B52"/>
    <w:rsid w:val="00AC46C8"/>
    <w:rsid w:val="00AC4C38"/>
    <w:rsid w:val="00AC4D80"/>
    <w:rsid w:val="00AC4E92"/>
    <w:rsid w:val="00AC5A33"/>
    <w:rsid w:val="00AC5AAD"/>
    <w:rsid w:val="00AC5CF3"/>
    <w:rsid w:val="00AC61A8"/>
    <w:rsid w:val="00AC639B"/>
    <w:rsid w:val="00AC76D3"/>
    <w:rsid w:val="00AD0448"/>
    <w:rsid w:val="00AD0497"/>
    <w:rsid w:val="00AD1B31"/>
    <w:rsid w:val="00AD1E18"/>
    <w:rsid w:val="00AD20F3"/>
    <w:rsid w:val="00AD2642"/>
    <w:rsid w:val="00AD2800"/>
    <w:rsid w:val="00AD2C74"/>
    <w:rsid w:val="00AD426E"/>
    <w:rsid w:val="00AD4629"/>
    <w:rsid w:val="00AD516F"/>
    <w:rsid w:val="00AD5731"/>
    <w:rsid w:val="00AD6108"/>
    <w:rsid w:val="00AD666B"/>
    <w:rsid w:val="00AD6901"/>
    <w:rsid w:val="00AD6A79"/>
    <w:rsid w:val="00AD6ECF"/>
    <w:rsid w:val="00AD7827"/>
    <w:rsid w:val="00AE0DA1"/>
    <w:rsid w:val="00AE168F"/>
    <w:rsid w:val="00AE28CB"/>
    <w:rsid w:val="00AE2B3F"/>
    <w:rsid w:val="00AE2B5D"/>
    <w:rsid w:val="00AE2BF7"/>
    <w:rsid w:val="00AE3121"/>
    <w:rsid w:val="00AE39EE"/>
    <w:rsid w:val="00AE3A89"/>
    <w:rsid w:val="00AE4A0C"/>
    <w:rsid w:val="00AE4EDC"/>
    <w:rsid w:val="00AE4F48"/>
    <w:rsid w:val="00AE53F4"/>
    <w:rsid w:val="00AE565B"/>
    <w:rsid w:val="00AE58D2"/>
    <w:rsid w:val="00AE5974"/>
    <w:rsid w:val="00AE62AD"/>
    <w:rsid w:val="00AE6A0B"/>
    <w:rsid w:val="00AE7A2F"/>
    <w:rsid w:val="00AF07AE"/>
    <w:rsid w:val="00AF1326"/>
    <w:rsid w:val="00AF143D"/>
    <w:rsid w:val="00AF15A0"/>
    <w:rsid w:val="00AF1FC4"/>
    <w:rsid w:val="00AF2181"/>
    <w:rsid w:val="00AF32EA"/>
    <w:rsid w:val="00AF330C"/>
    <w:rsid w:val="00AF3737"/>
    <w:rsid w:val="00AF3B66"/>
    <w:rsid w:val="00AF41B5"/>
    <w:rsid w:val="00AF48E7"/>
    <w:rsid w:val="00AF532C"/>
    <w:rsid w:val="00AF55EF"/>
    <w:rsid w:val="00AF7921"/>
    <w:rsid w:val="00AF7AC8"/>
    <w:rsid w:val="00B00449"/>
    <w:rsid w:val="00B007B9"/>
    <w:rsid w:val="00B01286"/>
    <w:rsid w:val="00B01769"/>
    <w:rsid w:val="00B01A8B"/>
    <w:rsid w:val="00B01B54"/>
    <w:rsid w:val="00B01B6B"/>
    <w:rsid w:val="00B0235C"/>
    <w:rsid w:val="00B0283E"/>
    <w:rsid w:val="00B02E2C"/>
    <w:rsid w:val="00B02F8B"/>
    <w:rsid w:val="00B038A8"/>
    <w:rsid w:val="00B03F13"/>
    <w:rsid w:val="00B04183"/>
    <w:rsid w:val="00B04C69"/>
    <w:rsid w:val="00B0647F"/>
    <w:rsid w:val="00B066B9"/>
    <w:rsid w:val="00B06908"/>
    <w:rsid w:val="00B06B54"/>
    <w:rsid w:val="00B06CD9"/>
    <w:rsid w:val="00B06DEE"/>
    <w:rsid w:val="00B07420"/>
    <w:rsid w:val="00B10DE3"/>
    <w:rsid w:val="00B12139"/>
    <w:rsid w:val="00B126AA"/>
    <w:rsid w:val="00B12DF1"/>
    <w:rsid w:val="00B12FBB"/>
    <w:rsid w:val="00B1339E"/>
    <w:rsid w:val="00B13A5B"/>
    <w:rsid w:val="00B13CB9"/>
    <w:rsid w:val="00B13D09"/>
    <w:rsid w:val="00B15EBE"/>
    <w:rsid w:val="00B16F01"/>
    <w:rsid w:val="00B1751F"/>
    <w:rsid w:val="00B17AE3"/>
    <w:rsid w:val="00B17F9C"/>
    <w:rsid w:val="00B20BD0"/>
    <w:rsid w:val="00B20E43"/>
    <w:rsid w:val="00B20F52"/>
    <w:rsid w:val="00B2117C"/>
    <w:rsid w:val="00B21A66"/>
    <w:rsid w:val="00B21C7C"/>
    <w:rsid w:val="00B222F2"/>
    <w:rsid w:val="00B22613"/>
    <w:rsid w:val="00B22E0E"/>
    <w:rsid w:val="00B22E94"/>
    <w:rsid w:val="00B237F7"/>
    <w:rsid w:val="00B2386F"/>
    <w:rsid w:val="00B23EEC"/>
    <w:rsid w:val="00B24BFF"/>
    <w:rsid w:val="00B24C34"/>
    <w:rsid w:val="00B24FA2"/>
    <w:rsid w:val="00B25A01"/>
    <w:rsid w:val="00B25C04"/>
    <w:rsid w:val="00B277C1"/>
    <w:rsid w:val="00B303B9"/>
    <w:rsid w:val="00B30A20"/>
    <w:rsid w:val="00B320B0"/>
    <w:rsid w:val="00B3288D"/>
    <w:rsid w:val="00B335C9"/>
    <w:rsid w:val="00B3361D"/>
    <w:rsid w:val="00B33626"/>
    <w:rsid w:val="00B33C97"/>
    <w:rsid w:val="00B33FB9"/>
    <w:rsid w:val="00B340B8"/>
    <w:rsid w:val="00B34230"/>
    <w:rsid w:val="00B343F9"/>
    <w:rsid w:val="00B34467"/>
    <w:rsid w:val="00B34EBD"/>
    <w:rsid w:val="00B35040"/>
    <w:rsid w:val="00B35C36"/>
    <w:rsid w:val="00B35F66"/>
    <w:rsid w:val="00B36D92"/>
    <w:rsid w:val="00B37F46"/>
    <w:rsid w:val="00B400B8"/>
    <w:rsid w:val="00B4010D"/>
    <w:rsid w:val="00B40E2C"/>
    <w:rsid w:val="00B40F0B"/>
    <w:rsid w:val="00B410B9"/>
    <w:rsid w:val="00B410C1"/>
    <w:rsid w:val="00B4117A"/>
    <w:rsid w:val="00B41391"/>
    <w:rsid w:val="00B4194F"/>
    <w:rsid w:val="00B41E6C"/>
    <w:rsid w:val="00B41EB3"/>
    <w:rsid w:val="00B42633"/>
    <w:rsid w:val="00B42A4C"/>
    <w:rsid w:val="00B42BB7"/>
    <w:rsid w:val="00B44520"/>
    <w:rsid w:val="00B45036"/>
    <w:rsid w:val="00B4509F"/>
    <w:rsid w:val="00B4523F"/>
    <w:rsid w:val="00B455A5"/>
    <w:rsid w:val="00B46119"/>
    <w:rsid w:val="00B4663B"/>
    <w:rsid w:val="00B46F05"/>
    <w:rsid w:val="00B472E3"/>
    <w:rsid w:val="00B47618"/>
    <w:rsid w:val="00B5016E"/>
    <w:rsid w:val="00B501CB"/>
    <w:rsid w:val="00B502BF"/>
    <w:rsid w:val="00B51248"/>
    <w:rsid w:val="00B51F08"/>
    <w:rsid w:val="00B529FB"/>
    <w:rsid w:val="00B52C79"/>
    <w:rsid w:val="00B52E23"/>
    <w:rsid w:val="00B534DA"/>
    <w:rsid w:val="00B5368B"/>
    <w:rsid w:val="00B5380F"/>
    <w:rsid w:val="00B53BDB"/>
    <w:rsid w:val="00B542B0"/>
    <w:rsid w:val="00B5449C"/>
    <w:rsid w:val="00B54ABD"/>
    <w:rsid w:val="00B55CA4"/>
    <w:rsid w:val="00B568ED"/>
    <w:rsid w:val="00B56A13"/>
    <w:rsid w:val="00B56BFB"/>
    <w:rsid w:val="00B57237"/>
    <w:rsid w:val="00B578C8"/>
    <w:rsid w:val="00B60316"/>
    <w:rsid w:val="00B60402"/>
    <w:rsid w:val="00B616CD"/>
    <w:rsid w:val="00B62726"/>
    <w:rsid w:val="00B62E12"/>
    <w:rsid w:val="00B64D8B"/>
    <w:rsid w:val="00B65535"/>
    <w:rsid w:val="00B6562C"/>
    <w:rsid w:val="00B659B8"/>
    <w:rsid w:val="00B66241"/>
    <w:rsid w:val="00B67269"/>
    <w:rsid w:val="00B677F2"/>
    <w:rsid w:val="00B7217D"/>
    <w:rsid w:val="00B72AA1"/>
    <w:rsid w:val="00B72C3A"/>
    <w:rsid w:val="00B73492"/>
    <w:rsid w:val="00B73637"/>
    <w:rsid w:val="00B73E82"/>
    <w:rsid w:val="00B74056"/>
    <w:rsid w:val="00B7491E"/>
    <w:rsid w:val="00B74FBE"/>
    <w:rsid w:val="00B75F38"/>
    <w:rsid w:val="00B76550"/>
    <w:rsid w:val="00B77259"/>
    <w:rsid w:val="00B773B4"/>
    <w:rsid w:val="00B77958"/>
    <w:rsid w:val="00B77B55"/>
    <w:rsid w:val="00B77C3D"/>
    <w:rsid w:val="00B82318"/>
    <w:rsid w:val="00B8358D"/>
    <w:rsid w:val="00B8362B"/>
    <w:rsid w:val="00B84367"/>
    <w:rsid w:val="00B84782"/>
    <w:rsid w:val="00B848B8"/>
    <w:rsid w:val="00B84976"/>
    <w:rsid w:val="00B9001E"/>
    <w:rsid w:val="00B90934"/>
    <w:rsid w:val="00B9119B"/>
    <w:rsid w:val="00B925AF"/>
    <w:rsid w:val="00B92B02"/>
    <w:rsid w:val="00B92C27"/>
    <w:rsid w:val="00B92DC1"/>
    <w:rsid w:val="00B9315A"/>
    <w:rsid w:val="00B932BE"/>
    <w:rsid w:val="00B93432"/>
    <w:rsid w:val="00B9352B"/>
    <w:rsid w:val="00B93A5E"/>
    <w:rsid w:val="00B93FD1"/>
    <w:rsid w:val="00B94086"/>
    <w:rsid w:val="00B942FD"/>
    <w:rsid w:val="00B94BB9"/>
    <w:rsid w:val="00B952D3"/>
    <w:rsid w:val="00B9566D"/>
    <w:rsid w:val="00B95B69"/>
    <w:rsid w:val="00B95C8B"/>
    <w:rsid w:val="00B96662"/>
    <w:rsid w:val="00B96700"/>
    <w:rsid w:val="00B96DA3"/>
    <w:rsid w:val="00B97305"/>
    <w:rsid w:val="00B97DCB"/>
    <w:rsid w:val="00B97F9C"/>
    <w:rsid w:val="00BA0965"/>
    <w:rsid w:val="00BA20AC"/>
    <w:rsid w:val="00BA2630"/>
    <w:rsid w:val="00BA2AEB"/>
    <w:rsid w:val="00BA2E7F"/>
    <w:rsid w:val="00BA4BA8"/>
    <w:rsid w:val="00BA4FB0"/>
    <w:rsid w:val="00BA5435"/>
    <w:rsid w:val="00BA58F8"/>
    <w:rsid w:val="00BA64AF"/>
    <w:rsid w:val="00BA6F49"/>
    <w:rsid w:val="00BA740F"/>
    <w:rsid w:val="00BA7468"/>
    <w:rsid w:val="00BA74F7"/>
    <w:rsid w:val="00BB00FA"/>
    <w:rsid w:val="00BB0CDB"/>
    <w:rsid w:val="00BB12BB"/>
    <w:rsid w:val="00BB1681"/>
    <w:rsid w:val="00BB20F2"/>
    <w:rsid w:val="00BB3C75"/>
    <w:rsid w:val="00BB3DBE"/>
    <w:rsid w:val="00BB4720"/>
    <w:rsid w:val="00BB4B24"/>
    <w:rsid w:val="00BB4F53"/>
    <w:rsid w:val="00BB5C8D"/>
    <w:rsid w:val="00BB6B52"/>
    <w:rsid w:val="00BB6BB6"/>
    <w:rsid w:val="00BB6F56"/>
    <w:rsid w:val="00BB7C87"/>
    <w:rsid w:val="00BC0AD3"/>
    <w:rsid w:val="00BC0E6A"/>
    <w:rsid w:val="00BC1BC5"/>
    <w:rsid w:val="00BC1F50"/>
    <w:rsid w:val="00BC207F"/>
    <w:rsid w:val="00BC23B8"/>
    <w:rsid w:val="00BC275F"/>
    <w:rsid w:val="00BC2775"/>
    <w:rsid w:val="00BC2AA3"/>
    <w:rsid w:val="00BC2E6D"/>
    <w:rsid w:val="00BC34E3"/>
    <w:rsid w:val="00BC3B18"/>
    <w:rsid w:val="00BC41E1"/>
    <w:rsid w:val="00BC42B6"/>
    <w:rsid w:val="00BC57F4"/>
    <w:rsid w:val="00BC5E14"/>
    <w:rsid w:val="00BC6ABA"/>
    <w:rsid w:val="00BD0AEB"/>
    <w:rsid w:val="00BD107E"/>
    <w:rsid w:val="00BD1B02"/>
    <w:rsid w:val="00BD1DD0"/>
    <w:rsid w:val="00BD2016"/>
    <w:rsid w:val="00BD232D"/>
    <w:rsid w:val="00BD29F1"/>
    <w:rsid w:val="00BD3344"/>
    <w:rsid w:val="00BD3952"/>
    <w:rsid w:val="00BD3C08"/>
    <w:rsid w:val="00BD455B"/>
    <w:rsid w:val="00BD4DF6"/>
    <w:rsid w:val="00BD5404"/>
    <w:rsid w:val="00BD5862"/>
    <w:rsid w:val="00BD63BE"/>
    <w:rsid w:val="00BD6624"/>
    <w:rsid w:val="00BD6A4E"/>
    <w:rsid w:val="00BD6F9A"/>
    <w:rsid w:val="00BE0B08"/>
    <w:rsid w:val="00BE11E9"/>
    <w:rsid w:val="00BE294C"/>
    <w:rsid w:val="00BE2A16"/>
    <w:rsid w:val="00BE308A"/>
    <w:rsid w:val="00BE4515"/>
    <w:rsid w:val="00BE4553"/>
    <w:rsid w:val="00BE5423"/>
    <w:rsid w:val="00BE56C9"/>
    <w:rsid w:val="00BE589F"/>
    <w:rsid w:val="00BE5A6F"/>
    <w:rsid w:val="00BE662B"/>
    <w:rsid w:val="00BF0D45"/>
    <w:rsid w:val="00BF0F97"/>
    <w:rsid w:val="00BF1840"/>
    <w:rsid w:val="00BF19FB"/>
    <w:rsid w:val="00BF1EB1"/>
    <w:rsid w:val="00BF210C"/>
    <w:rsid w:val="00BF2B93"/>
    <w:rsid w:val="00BF2C13"/>
    <w:rsid w:val="00BF2C40"/>
    <w:rsid w:val="00BF2DF4"/>
    <w:rsid w:val="00BF32B5"/>
    <w:rsid w:val="00BF3A8F"/>
    <w:rsid w:val="00BF3E47"/>
    <w:rsid w:val="00BF4B90"/>
    <w:rsid w:val="00BF59AB"/>
    <w:rsid w:val="00BF5C01"/>
    <w:rsid w:val="00BF66F3"/>
    <w:rsid w:val="00BF6745"/>
    <w:rsid w:val="00BF71CC"/>
    <w:rsid w:val="00BF780B"/>
    <w:rsid w:val="00BF79F7"/>
    <w:rsid w:val="00C00128"/>
    <w:rsid w:val="00C01781"/>
    <w:rsid w:val="00C017B5"/>
    <w:rsid w:val="00C0197B"/>
    <w:rsid w:val="00C02236"/>
    <w:rsid w:val="00C02363"/>
    <w:rsid w:val="00C02B95"/>
    <w:rsid w:val="00C02C23"/>
    <w:rsid w:val="00C02C6A"/>
    <w:rsid w:val="00C02C89"/>
    <w:rsid w:val="00C03EFB"/>
    <w:rsid w:val="00C040B9"/>
    <w:rsid w:val="00C04DA2"/>
    <w:rsid w:val="00C05032"/>
    <w:rsid w:val="00C052C6"/>
    <w:rsid w:val="00C05443"/>
    <w:rsid w:val="00C05589"/>
    <w:rsid w:val="00C05EFB"/>
    <w:rsid w:val="00C06FB0"/>
    <w:rsid w:val="00C0741F"/>
    <w:rsid w:val="00C075A4"/>
    <w:rsid w:val="00C07CAC"/>
    <w:rsid w:val="00C07D0B"/>
    <w:rsid w:val="00C102A2"/>
    <w:rsid w:val="00C1040B"/>
    <w:rsid w:val="00C10D1F"/>
    <w:rsid w:val="00C1169E"/>
    <w:rsid w:val="00C12436"/>
    <w:rsid w:val="00C124A4"/>
    <w:rsid w:val="00C12928"/>
    <w:rsid w:val="00C129DF"/>
    <w:rsid w:val="00C12B66"/>
    <w:rsid w:val="00C13E67"/>
    <w:rsid w:val="00C14333"/>
    <w:rsid w:val="00C14963"/>
    <w:rsid w:val="00C15742"/>
    <w:rsid w:val="00C15AB7"/>
    <w:rsid w:val="00C16031"/>
    <w:rsid w:val="00C1693A"/>
    <w:rsid w:val="00C16C6E"/>
    <w:rsid w:val="00C17434"/>
    <w:rsid w:val="00C17A13"/>
    <w:rsid w:val="00C17A1B"/>
    <w:rsid w:val="00C17DB7"/>
    <w:rsid w:val="00C17DD9"/>
    <w:rsid w:val="00C17FDF"/>
    <w:rsid w:val="00C20621"/>
    <w:rsid w:val="00C207DF"/>
    <w:rsid w:val="00C22EF9"/>
    <w:rsid w:val="00C231F9"/>
    <w:rsid w:val="00C23D75"/>
    <w:rsid w:val="00C24080"/>
    <w:rsid w:val="00C2413C"/>
    <w:rsid w:val="00C24355"/>
    <w:rsid w:val="00C247B6"/>
    <w:rsid w:val="00C24C23"/>
    <w:rsid w:val="00C25057"/>
    <w:rsid w:val="00C25696"/>
    <w:rsid w:val="00C2676B"/>
    <w:rsid w:val="00C26965"/>
    <w:rsid w:val="00C2696E"/>
    <w:rsid w:val="00C26FB8"/>
    <w:rsid w:val="00C279DD"/>
    <w:rsid w:val="00C30036"/>
    <w:rsid w:val="00C304C7"/>
    <w:rsid w:val="00C308C3"/>
    <w:rsid w:val="00C308F5"/>
    <w:rsid w:val="00C30F7C"/>
    <w:rsid w:val="00C315EE"/>
    <w:rsid w:val="00C318DD"/>
    <w:rsid w:val="00C31CCD"/>
    <w:rsid w:val="00C320C4"/>
    <w:rsid w:val="00C3232A"/>
    <w:rsid w:val="00C326DB"/>
    <w:rsid w:val="00C32B1D"/>
    <w:rsid w:val="00C32C39"/>
    <w:rsid w:val="00C32DEF"/>
    <w:rsid w:val="00C3322D"/>
    <w:rsid w:val="00C333A0"/>
    <w:rsid w:val="00C34045"/>
    <w:rsid w:val="00C34450"/>
    <w:rsid w:val="00C34D0E"/>
    <w:rsid w:val="00C351B7"/>
    <w:rsid w:val="00C36395"/>
    <w:rsid w:val="00C364C4"/>
    <w:rsid w:val="00C365BA"/>
    <w:rsid w:val="00C36AAC"/>
    <w:rsid w:val="00C36E90"/>
    <w:rsid w:val="00C375BB"/>
    <w:rsid w:val="00C37760"/>
    <w:rsid w:val="00C379C4"/>
    <w:rsid w:val="00C40899"/>
    <w:rsid w:val="00C408EC"/>
    <w:rsid w:val="00C40BC0"/>
    <w:rsid w:val="00C40F40"/>
    <w:rsid w:val="00C416F5"/>
    <w:rsid w:val="00C41780"/>
    <w:rsid w:val="00C417D3"/>
    <w:rsid w:val="00C41E75"/>
    <w:rsid w:val="00C41F2C"/>
    <w:rsid w:val="00C4225F"/>
    <w:rsid w:val="00C427D6"/>
    <w:rsid w:val="00C42A9D"/>
    <w:rsid w:val="00C42B02"/>
    <w:rsid w:val="00C43AA0"/>
    <w:rsid w:val="00C44026"/>
    <w:rsid w:val="00C447A5"/>
    <w:rsid w:val="00C44A0E"/>
    <w:rsid w:val="00C44E9E"/>
    <w:rsid w:val="00C4502B"/>
    <w:rsid w:val="00C45064"/>
    <w:rsid w:val="00C4592B"/>
    <w:rsid w:val="00C45A45"/>
    <w:rsid w:val="00C467B9"/>
    <w:rsid w:val="00C4724A"/>
    <w:rsid w:val="00C47ACC"/>
    <w:rsid w:val="00C47C22"/>
    <w:rsid w:val="00C4C2C3"/>
    <w:rsid w:val="00C5004A"/>
    <w:rsid w:val="00C503C6"/>
    <w:rsid w:val="00C50B44"/>
    <w:rsid w:val="00C50C82"/>
    <w:rsid w:val="00C50D1A"/>
    <w:rsid w:val="00C50FF2"/>
    <w:rsid w:val="00C51802"/>
    <w:rsid w:val="00C51954"/>
    <w:rsid w:val="00C5231E"/>
    <w:rsid w:val="00C5330F"/>
    <w:rsid w:val="00C54A1A"/>
    <w:rsid w:val="00C557D4"/>
    <w:rsid w:val="00C55A6C"/>
    <w:rsid w:val="00C56154"/>
    <w:rsid w:val="00C5617B"/>
    <w:rsid w:val="00C56BF7"/>
    <w:rsid w:val="00C5766C"/>
    <w:rsid w:val="00C576FF"/>
    <w:rsid w:val="00C57771"/>
    <w:rsid w:val="00C57BC5"/>
    <w:rsid w:val="00C6025D"/>
    <w:rsid w:val="00C619D0"/>
    <w:rsid w:val="00C61B06"/>
    <w:rsid w:val="00C61B37"/>
    <w:rsid w:val="00C61C1B"/>
    <w:rsid w:val="00C61DFD"/>
    <w:rsid w:val="00C62320"/>
    <w:rsid w:val="00C63BC3"/>
    <w:rsid w:val="00C63D1C"/>
    <w:rsid w:val="00C63E2B"/>
    <w:rsid w:val="00C674CB"/>
    <w:rsid w:val="00C7097C"/>
    <w:rsid w:val="00C70A3B"/>
    <w:rsid w:val="00C70AD9"/>
    <w:rsid w:val="00C71E27"/>
    <w:rsid w:val="00C720CE"/>
    <w:rsid w:val="00C72374"/>
    <w:rsid w:val="00C72AE5"/>
    <w:rsid w:val="00C73615"/>
    <w:rsid w:val="00C73A66"/>
    <w:rsid w:val="00C77545"/>
    <w:rsid w:val="00C778C4"/>
    <w:rsid w:val="00C77CDA"/>
    <w:rsid w:val="00C81187"/>
    <w:rsid w:val="00C82226"/>
    <w:rsid w:val="00C82339"/>
    <w:rsid w:val="00C8247B"/>
    <w:rsid w:val="00C827D9"/>
    <w:rsid w:val="00C82975"/>
    <w:rsid w:val="00C840FB"/>
    <w:rsid w:val="00C84D5A"/>
    <w:rsid w:val="00C851FC"/>
    <w:rsid w:val="00C8536D"/>
    <w:rsid w:val="00C860DE"/>
    <w:rsid w:val="00C865EC"/>
    <w:rsid w:val="00C867A6"/>
    <w:rsid w:val="00C867FB"/>
    <w:rsid w:val="00C86D09"/>
    <w:rsid w:val="00C86DD3"/>
    <w:rsid w:val="00C87437"/>
    <w:rsid w:val="00C87CC9"/>
    <w:rsid w:val="00C90227"/>
    <w:rsid w:val="00C915DE"/>
    <w:rsid w:val="00C925A4"/>
    <w:rsid w:val="00C927B1"/>
    <w:rsid w:val="00C929DD"/>
    <w:rsid w:val="00C93698"/>
    <w:rsid w:val="00C93B43"/>
    <w:rsid w:val="00C9586A"/>
    <w:rsid w:val="00C95F09"/>
    <w:rsid w:val="00C962F1"/>
    <w:rsid w:val="00C96485"/>
    <w:rsid w:val="00C96881"/>
    <w:rsid w:val="00C9695D"/>
    <w:rsid w:val="00C97395"/>
    <w:rsid w:val="00C9746C"/>
    <w:rsid w:val="00CA0412"/>
    <w:rsid w:val="00CA138A"/>
    <w:rsid w:val="00CA1AD9"/>
    <w:rsid w:val="00CA1F00"/>
    <w:rsid w:val="00CA1F51"/>
    <w:rsid w:val="00CA2043"/>
    <w:rsid w:val="00CA2EE6"/>
    <w:rsid w:val="00CA33C7"/>
    <w:rsid w:val="00CA389A"/>
    <w:rsid w:val="00CA475D"/>
    <w:rsid w:val="00CA5F04"/>
    <w:rsid w:val="00CA5FC8"/>
    <w:rsid w:val="00CA61A0"/>
    <w:rsid w:val="00CA64F8"/>
    <w:rsid w:val="00CA7432"/>
    <w:rsid w:val="00CA743E"/>
    <w:rsid w:val="00CA7B49"/>
    <w:rsid w:val="00CA7CC3"/>
    <w:rsid w:val="00CB022F"/>
    <w:rsid w:val="00CB0C15"/>
    <w:rsid w:val="00CB0FBD"/>
    <w:rsid w:val="00CB1877"/>
    <w:rsid w:val="00CB2238"/>
    <w:rsid w:val="00CB2F50"/>
    <w:rsid w:val="00CB312F"/>
    <w:rsid w:val="00CB3A42"/>
    <w:rsid w:val="00CB4156"/>
    <w:rsid w:val="00CB462E"/>
    <w:rsid w:val="00CB480D"/>
    <w:rsid w:val="00CB4BAA"/>
    <w:rsid w:val="00CB5457"/>
    <w:rsid w:val="00CB596A"/>
    <w:rsid w:val="00CB59CE"/>
    <w:rsid w:val="00CB78CB"/>
    <w:rsid w:val="00CB7E6B"/>
    <w:rsid w:val="00CC02E4"/>
    <w:rsid w:val="00CC03DA"/>
    <w:rsid w:val="00CC1029"/>
    <w:rsid w:val="00CC2A3D"/>
    <w:rsid w:val="00CC2FAF"/>
    <w:rsid w:val="00CC3B51"/>
    <w:rsid w:val="00CC400E"/>
    <w:rsid w:val="00CC46A6"/>
    <w:rsid w:val="00CC47AF"/>
    <w:rsid w:val="00CC4C02"/>
    <w:rsid w:val="00CC50B9"/>
    <w:rsid w:val="00CC56E4"/>
    <w:rsid w:val="00CC5EE3"/>
    <w:rsid w:val="00CC62C8"/>
    <w:rsid w:val="00CC78E0"/>
    <w:rsid w:val="00CC7997"/>
    <w:rsid w:val="00CC7D21"/>
    <w:rsid w:val="00CD0154"/>
    <w:rsid w:val="00CD0A95"/>
    <w:rsid w:val="00CD0E25"/>
    <w:rsid w:val="00CD11B6"/>
    <w:rsid w:val="00CD169B"/>
    <w:rsid w:val="00CD1FC5"/>
    <w:rsid w:val="00CD27E2"/>
    <w:rsid w:val="00CD3388"/>
    <w:rsid w:val="00CD3C3A"/>
    <w:rsid w:val="00CD3CCC"/>
    <w:rsid w:val="00CD4AFE"/>
    <w:rsid w:val="00CD4E0F"/>
    <w:rsid w:val="00CD4EFE"/>
    <w:rsid w:val="00CD7357"/>
    <w:rsid w:val="00CD74E2"/>
    <w:rsid w:val="00CD7870"/>
    <w:rsid w:val="00CD7BCB"/>
    <w:rsid w:val="00CD7F6E"/>
    <w:rsid w:val="00CD7FC4"/>
    <w:rsid w:val="00CE0520"/>
    <w:rsid w:val="00CE0C73"/>
    <w:rsid w:val="00CE0F76"/>
    <w:rsid w:val="00CE1203"/>
    <w:rsid w:val="00CE18AB"/>
    <w:rsid w:val="00CE1F20"/>
    <w:rsid w:val="00CE214D"/>
    <w:rsid w:val="00CE23FB"/>
    <w:rsid w:val="00CE2868"/>
    <w:rsid w:val="00CE2D3C"/>
    <w:rsid w:val="00CE2F33"/>
    <w:rsid w:val="00CE2FCC"/>
    <w:rsid w:val="00CE3099"/>
    <w:rsid w:val="00CE3B81"/>
    <w:rsid w:val="00CE4484"/>
    <w:rsid w:val="00CE5717"/>
    <w:rsid w:val="00CE5DF7"/>
    <w:rsid w:val="00CF0312"/>
    <w:rsid w:val="00CF08B4"/>
    <w:rsid w:val="00CF0BBA"/>
    <w:rsid w:val="00CF198E"/>
    <w:rsid w:val="00CF1A65"/>
    <w:rsid w:val="00CF20FE"/>
    <w:rsid w:val="00CF2939"/>
    <w:rsid w:val="00CF29BD"/>
    <w:rsid w:val="00CF2AB3"/>
    <w:rsid w:val="00CF2F46"/>
    <w:rsid w:val="00CF3028"/>
    <w:rsid w:val="00CF3116"/>
    <w:rsid w:val="00CF3965"/>
    <w:rsid w:val="00CF45E0"/>
    <w:rsid w:val="00CF6BCA"/>
    <w:rsid w:val="00CF70D7"/>
    <w:rsid w:val="00CF7201"/>
    <w:rsid w:val="00CF7384"/>
    <w:rsid w:val="00CF7CB1"/>
    <w:rsid w:val="00CF7DCF"/>
    <w:rsid w:val="00D0059B"/>
    <w:rsid w:val="00D0063E"/>
    <w:rsid w:val="00D00E0A"/>
    <w:rsid w:val="00D01018"/>
    <w:rsid w:val="00D01E3E"/>
    <w:rsid w:val="00D03FC9"/>
    <w:rsid w:val="00D048F2"/>
    <w:rsid w:val="00D04910"/>
    <w:rsid w:val="00D04B01"/>
    <w:rsid w:val="00D04CFA"/>
    <w:rsid w:val="00D04E48"/>
    <w:rsid w:val="00D05768"/>
    <w:rsid w:val="00D05999"/>
    <w:rsid w:val="00D05B28"/>
    <w:rsid w:val="00D06C1C"/>
    <w:rsid w:val="00D07218"/>
    <w:rsid w:val="00D076D5"/>
    <w:rsid w:val="00D100BF"/>
    <w:rsid w:val="00D1043D"/>
    <w:rsid w:val="00D10515"/>
    <w:rsid w:val="00D10E1C"/>
    <w:rsid w:val="00D10FF8"/>
    <w:rsid w:val="00D10FFF"/>
    <w:rsid w:val="00D111A5"/>
    <w:rsid w:val="00D12812"/>
    <w:rsid w:val="00D12870"/>
    <w:rsid w:val="00D12BE9"/>
    <w:rsid w:val="00D12E01"/>
    <w:rsid w:val="00D12EC1"/>
    <w:rsid w:val="00D13013"/>
    <w:rsid w:val="00D135D8"/>
    <w:rsid w:val="00D1368E"/>
    <w:rsid w:val="00D13EF7"/>
    <w:rsid w:val="00D14116"/>
    <w:rsid w:val="00D14E6F"/>
    <w:rsid w:val="00D15723"/>
    <w:rsid w:val="00D17751"/>
    <w:rsid w:val="00D1795D"/>
    <w:rsid w:val="00D17C4B"/>
    <w:rsid w:val="00D17F46"/>
    <w:rsid w:val="00D200F2"/>
    <w:rsid w:val="00D20A4D"/>
    <w:rsid w:val="00D21060"/>
    <w:rsid w:val="00D21538"/>
    <w:rsid w:val="00D2213B"/>
    <w:rsid w:val="00D227C2"/>
    <w:rsid w:val="00D239BB"/>
    <w:rsid w:val="00D24459"/>
    <w:rsid w:val="00D245FB"/>
    <w:rsid w:val="00D24A15"/>
    <w:rsid w:val="00D24A6A"/>
    <w:rsid w:val="00D254A5"/>
    <w:rsid w:val="00D2691D"/>
    <w:rsid w:val="00D26ABB"/>
    <w:rsid w:val="00D26EE6"/>
    <w:rsid w:val="00D2707B"/>
    <w:rsid w:val="00D270E1"/>
    <w:rsid w:val="00D307E0"/>
    <w:rsid w:val="00D30EEE"/>
    <w:rsid w:val="00D31D77"/>
    <w:rsid w:val="00D31D9F"/>
    <w:rsid w:val="00D32015"/>
    <w:rsid w:val="00D32788"/>
    <w:rsid w:val="00D33132"/>
    <w:rsid w:val="00D3331D"/>
    <w:rsid w:val="00D33375"/>
    <w:rsid w:val="00D333A9"/>
    <w:rsid w:val="00D33664"/>
    <w:rsid w:val="00D35174"/>
    <w:rsid w:val="00D352D9"/>
    <w:rsid w:val="00D35C38"/>
    <w:rsid w:val="00D36140"/>
    <w:rsid w:val="00D362C9"/>
    <w:rsid w:val="00D36FCE"/>
    <w:rsid w:val="00D373E1"/>
    <w:rsid w:val="00D3753F"/>
    <w:rsid w:val="00D37753"/>
    <w:rsid w:val="00D378DA"/>
    <w:rsid w:val="00D37A4B"/>
    <w:rsid w:val="00D40BD3"/>
    <w:rsid w:val="00D413C2"/>
    <w:rsid w:val="00D41FA8"/>
    <w:rsid w:val="00D41FB7"/>
    <w:rsid w:val="00D422D6"/>
    <w:rsid w:val="00D42417"/>
    <w:rsid w:val="00D4297F"/>
    <w:rsid w:val="00D439F1"/>
    <w:rsid w:val="00D43C1F"/>
    <w:rsid w:val="00D442F0"/>
    <w:rsid w:val="00D44413"/>
    <w:rsid w:val="00D44A67"/>
    <w:rsid w:val="00D453BE"/>
    <w:rsid w:val="00D459AE"/>
    <w:rsid w:val="00D45B6E"/>
    <w:rsid w:val="00D45C11"/>
    <w:rsid w:val="00D45C84"/>
    <w:rsid w:val="00D4609E"/>
    <w:rsid w:val="00D464FE"/>
    <w:rsid w:val="00D46764"/>
    <w:rsid w:val="00D46D94"/>
    <w:rsid w:val="00D46DB3"/>
    <w:rsid w:val="00D46FFC"/>
    <w:rsid w:val="00D4719E"/>
    <w:rsid w:val="00D47E95"/>
    <w:rsid w:val="00D50E94"/>
    <w:rsid w:val="00D50FF5"/>
    <w:rsid w:val="00D5163A"/>
    <w:rsid w:val="00D5257C"/>
    <w:rsid w:val="00D528DB"/>
    <w:rsid w:val="00D52DE6"/>
    <w:rsid w:val="00D52FBB"/>
    <w:rsid w:val="00D533C5"/>
    <w:rsid w:val="00D53B70"/>
    <w:rsid w:val="00D53D45"/>
    <w:rsid w:val="00D545E0"/>
    <w:rsid w:val="00D54AC3"/>
    <w:rsid w:val="00D55267"/>
    <w:rsid w:val="00D554D2"/>
    <w:rsid w:val="00D55B8A"/>
    <w:rsid w:val="00D571DE"/>
    <w:rsid w:val="00D57DE9"/>
    <w:rsid w:val="00D60210"/>
    <w:rsid w:val="00D603FC"/>
    <w:rsid w:val="00D60B55"/>
    <w:rsid w:val="00D61B62"/>
    <w:rsid w:val="00D621AB"/>
    <w:rsid w:val="00D632CA"/>
    <w:rsid w:val="00D63505"/>
    <w:rsid w:val="00D638F4"/>
    <w:rsid w:val="00D64255"/>
    <w:rsid w:val="00D64D51"/>
    <w:rsid w:val="00D6508B"/>
    <w:rsid w:val="00D65BA8"/>
    <w:rsid w:val="00D65FFD"/>
    <w:rsid w:val="00D66261"/>
    <w:rsid w:val="00D66655"/>
    <w:rsid w:val="00D66F89"/>
    <w:rsid w:val="00D6715A"/>
    <w:rsid w:val="00D674C6"/>
    <w:rsid w:val="00D675B6"/>
    <w:rsid w:val="00D67F02"/>
    <w:rsid w:val="00D7035E"/>
    <w:rsid w:val="00D704CC"/>
    <w:rsid w:val="00D70CA0"/>
    <w:rsid w:val="00D713CE"/>
    <w:rsid w:val="00D71982"/>
    <w:rsid w:val="00D71DFC"/>
    <w:rsid w:val="00D71E5C"/>
    <w:rsid w:val="00D72116"/>
    <w:rsid w:val="00D725DE"/>
    <w:rsid w:val="00D726F8"/>
    <w:rsid w:val="00D73942"/>
    <w:rsid w:val="00D739A3"/>
    <w:rsid w:val="00D74A84"/>
    <w:rsid w:val="00D74C92"/>
    <w:rsid w:val="00D752AD"/>
    <w:rsid w:val="00D7624B"/>
    <w:rsid w:val="00D764D1"/>
    <w:rsid w:val="00D76594"/>
    <w:rsid w:val="00D76876"/>
    <w:rsid w:val="00D76CF7"/>
    <w:rsid w:val="00D77B69"/>
    <w:rsid w:val="00D77F76"/>
    <w:rsid w:val="00D803BD"/>
    <w:rsid w:val="00D8098D"/>
    <w:rsid w:val="00D80F86"/>
    <w:rsid w:val="00D81023"/>
    <w:rsid w:val="00D815E8"/>
    <w:rsid w:val="00D82746"/>
    <w:rsid w:val="00D83082"/>
    <w:rsid w:val="00D83489"/>
    <w:rsid w:val="00D8379F"/>
    <w:rsid w:val="00D839A2"/>
    <w:rsid w:val="00D84706"/>
    <w:rsid w:val="00D84A2B"/>
    <w:rsid w:val="00D84A56"/>
    <w:rsid w:val="00D84C83"/>
    <w:rsid w:val="00D85326"/>
    <w:rsid w:val="00D860BB"/>
    <w:rsid w:val="00D8744A"/>
    <w:rsid w:val="00D87EEE"/>
    <w:rsid w:val="00D913D0"/>
    <w:rsid w:val="00D91400"/>
    <w:rsid w:val="00D9142D"/>
    <w:rsid w:val="00D91589"/>
    <w:rsid w:val="00D91AEE"/>
    <w:rsid w:val="00D91BC2"/>
    <w:rsid w:val="00D91CEF"/>
    <w:rsid w:val="00D93106"/>
    <w:rsid w:val="00D931F9"/>
    <w:rsid w:val="00D93485"/>
    <w:rsid w:val="00D93B6B"/>
    <w:rsid w:val="00D93BDC"/>
    <w:rsid w:val="00D93DB0"/>
    <w:rsid w:val="00D9493D"/>
    <w:rsid w:val="00D94CD1"/>
    <w:rsid w:val="00D957E0"/>
    <w:rsid w:val="00D95BD6"/>
    <w:rsid w:val="00D96AD7"/>
    <w:rsid w:val="00D96C21"/>
    <w:rsid w:val="00D96D03"/>
    <w:rsid w:val="00D97863"/>
    <w:rsid w:val="00DA00D6"/>
    <w:rsid w:val="00DA0504"/>
    <w:rsid w:val="00DA0E06"/>
    <w:rsid w:val="00DA17FC"/>
    <w:rsid w:val="00DA203E"/>
    <w:rsid w:val="00DA2645"/>
    <w:rsid w:val="00DA2C3B"/>
    <w:rsid w:val="00DA2E8A"/>
    <w:rsid w:val="00DA38A5"/>
    <w:rsid w:val="00DA3ABE"/>
    <w:rsid w:val="00DA40F0"/>
    <w:rsid w:val="00DA415C"/>
    <w:rsid w:val="00DA48B2"/>
    <w:rsid w:val="00DA5801"/>
    <w:rsid w:val="00DA5EBB"/>
    <w:rsid w:val="00DA6090"/>
    <w:rsid w:val="00DA67B8"/>
    <w:rsid w:val="00DA6CF2"/>
    <w:rsid w:val="00DA724C"/>
    <w:rsid w:val="00DA759B"/>
    <w:rsid w:val="00DA7600"/>
    <w:rsid w:val="00DA79CC"/>
    <w:rsid w:val="00DA7ECE"/>
    <w:rsid w:val="00DB0A78"/>
    <w:rsid w:val="00DB0BC5"/>
    <w:rsid w:val="00DB150F"/>
    <w:rsid w:val="00DB2060"/>
    <w:rsid w:val="00DB213C"/>
    <w:rsid w:val="00DB3059"/>
    <w:rsid w:val="00DB3328"/>
    <w:rsid w:val="00DB3BFB"/>
    <w:rsid w:val="00DB3E8B"/>
    <w:rsid w:val="00DB4132"/>
    <w:rsid w:val="00DB4209"/>
    <w:rsid w:val="00DB43E4"/>
    <w:rsid w:val="00DB48E4"/>
    <w:rsid w:val="00DB4C55"/>
    <w:rsid w:val="00DB5C7B"/>
    <w:rsid w:val="00DB6AC6"/>
    <w:rsid w:val="00DB6E08"/>
    <w:rsid w:val="00DB71BA"/>
    <w:rsid w:val="00DB739F"/>
    <w:rsid w:val="00DB7E31"/>
    <w:rsid w:val="00DC02CC"/>
    <w:rsid w:val="00DC1BD4"/>
    <w:rsid w:val="00DC27D5"/>
    <w:rsid w:val="00DC3AF5"/>
    <w:rsid w:val="00DC3BC0"/>
    <w:rsid w:val="00DC3D06"/>
    <w:rsid w:val="00DC3ED1"/>
    <w:rsid w:val="00DC4628"/>
    <w:rsid w:val="00DC554F"/>
    <w:rsid w:val="00DC6BEA"/>
    <w:rsid w:val="00DC706B"/>
    <w:rsid w:val="00DC727C"/>
    <w:rsid w:val="00DC74F6"/>
    <w:rsid w:val="00DC7EDC"/>
    <w:rsid w:val="00DD12B3"/>
    <w:rsid w:val="00DD1995"/>
    <w:rsid w:val="00DD1A9F"/>
    <w:rsid w:val="00DD1AF7"/>
    <w:rsid w:val="00DD2920"/>
    <w:rsid w:val="00DD29C9"/>
    <w:rsid w:val="00DD3AA7"/>
    <w:rsid w:val="00DD4661"/>
    <w:rsid w:val="00DD491B"/>
    <w:rsid w:val="00DD522E"/>
    <w:rsid w:val="00DD59E0"/>
    <w:rsid w:val="00DD5C89"/>
    <w:rsid w:val="00DD5ECD"/>
    <w:rsid w:val="00DD6393"/>
    <w:rsid w:val="00DD6A9C"/>
    <w:rsid w:val="00DD6E6C"/>
    <w:rsid w:val="00DD70B8"/>
    <w:rsid w:val="00DD722A"/>
    <w:rsid w:val="00DD756A"/>
    <w:rsid w:val="00DD7880"/>
    <w:rsid w:val="00DD7A23"/>
    <w:rsid w:val="00DE086D"/>
    <w:rsid w:val="00DE13FD"/>
    <w:rsid w:val="00DE1D1B"/>
    <w:rsid w:val="00DE22BE"/>
    <w:rsid w:val="00DE23F4"/>
    <w:rsid w:val="00DE2494"/>
    <w:rsid w:val="00DE283C"/>
    <w:rsid w:val="00DE318A"/>
    <w:rsid w:val="00DE35EF"/>
    <w:rsid w:val="00DE3A68"/>
    <w:rsid w:val="00DE3EF4"/>
    <w:rsid w:val="00DE4085"/>
    <w:rsid w:val="00DE51B5"/>
    <w:rsid w:val="00DE537C"/>
    <w:rsid w:val="00DE5B2B"/>
    <w:rsid w:val="00DE6BB1"/>
    <w:rsid w:val="00DE6BE6"/>
    <w:rsid w:val="00DE7CFB"/>
    <w:rsid w:val="00DF0354"/>
    <w:rsid w:val="00DF03EF"/>
    <w:rsid w:val="00DF1AA2"/>
    <w:rsid w:val="00DF1AE6"/>
    <w:rsid w:val="00DF2659"/>
    <w:rsid w:val="00DF2C39"/>
    <w:rsid w:val="00DF2F7E"/>
    <w:rsid w:val="00DF3E2B"/>
    <w:rsid w:val="00DF4041"/>
    <w:rsid w:val="00DF423F"/>
    <w:rsid w:val="00DF47F3"/>
    <w:rsid w:val="00DF54E9"/>
    <w:rsid w:val="00DF55A8"/>
    <w:rsid w:val="00DF5756"/>
    <w:rsid w:val="00DF57F1"/>
    <w:rsid w:val="00DF6256"/>
    <w:rsid w:val="00DF70D9"/>
    <w:rsid w:val="00E00927"/>
    <w:rsid w:val="00E01504"/>
    <w:rsid w:val="00E019C4"/>
    <w:rsid w:val="00E02827"/>
    <w:rsid w:val="00E02E14"/>
    <w:rsid w:val="00E0371E"/>
    <w:rsid w:val="00E03B56"/>
    <w:rsid w:val="00E0467A"/>
    <w:rsid w:val="00E0529D"/>
    <w:rsid w:val="00E057DC"/>
    <w:rsid w:val="00E06442"/>
    <w:rsid w:val="00E06672"/>
    <w:rsid w:val="00E072C9"/>
    <w:rsid w:val="00E1019A"/>
    <w:rsid w:val="00E108BE"/>
    <w:rsid w:val="00E10AB6"/>
    <w:rsid w:val="00E10ED9"/>
    <w:rsid w:val="00E11964"/>
    <w:rsid w:val="00E11A38"/>
    <w:rsid w:val="00E11ADD"/>
    <w:rsid w:val="00E12489"/>
    <w:rsid w:val="00E13003"/>
    <w:rsid w:val="00E13BBF"/>
    <w:rsid w:val="00E13F85"/>
    <w:rsid w:val="00E14FDF"/>
    <w:rsid w:val="00E15563"/>
    <w:rsid w:val="00E16AF8"/>
    <w:rsid w:val="00E16D12"/>
    <w:rsid w:val="00E16D1A"/>
    <w:rsid w:val="00E1774E"/>
    <w:rsid w:val="00E20861"/>
    <w:rsid w:val="00E210AE"/>
    <w:rsid w:val="00E21C46"/>
    <w:rsid w:val="00E22384"/>
    <w:rsid w:val="00E227D6"/>
    <w:rsid w:val="00E23083"/>
    <w:rsid w:val="00E23F87"/>
    <w:rsid w:val="00E24C4B"/>
    <w:rsid w:val="00E25278"/>
    <w:rsid w:val="00E25408"/>
    <w:rsid w:val="00E26291"/>
    <w:rsid w:val="00E26CFF"/>
    <w:rsid w:val="00E27695"/>
    <w:rsid w:val="00E279C3"/>
    <w:rsid w:val="00E27A49"/>
    <w:rsid w:val="00E27BE9"/>
    <w:rsid w:val="00E315C8"/>
    <w:rsid w:val="00E322AE"/>
    <w:rsid w:val="00E32544"/>
    <w:rsid w:val="00E326E2"/>
    <w:rsid w:val="00E3278B"/>
    <w:rsid w:val="00E33887"/>
    <w:rsid w:val="00E3442F"/>
    <w:rsid w:val="00E34526"/>
    <w:rsid w:val="00E34B62"/>
    <w:rsid w:val="00E3515D"/>
    <w:rsid w:val="00E35708"/>
    <w:rsid w:val="00E35B7D"/>
    <w:rsid w:val="00E368D6"/>
    <w:rsid w:val="00E369DE"/>
    <w:rsid w:val="00E36A37"/>
    <w:rsid w:val="00E37B85"/>
    <w:rsid w:val="00E37CF7"/>
    <w:rsid w:val="00E37FEA"/>
    <w:rsid w:val="00E403BF"/>
    <w:rsid w:val="00E41672"/>
    <w:rsid w:val="00E41819"/>
    <w:rsid w:val="00E41939"/>
    <w:rsid w:val="00E42160"/>
    <w:rsid w:val="00E42618"/>
    <w:rsid w:val="00E426D1"/>
    <w:rsid w:val="00E42EC9"/>
    <w:rsid w:val="00E4401A"/>
    <w:rsid w:val="00E44980"/>
    <w:rsid w:val="00E449F6"/>
    <w:rsid w:val="00E44AE6"/>
    <w:rsid w:val="00E45761"/>
    <w:rsid w:val="00E45BC6"/>
    <w:rsid w:val="00E46C7D"/>
    <w:rsid w:val="00E46F4B"/>
    <w:rsid w:val="00E46F66"/>
    <w:rsid w:val="00E47212"/>
    <w:rsid w:val="00E47383"/>
    <w:rsid w:val="00E50F2F"/>
    <w:rsid w:val="00E51ACD"/>
    <w:rsid w:val="00E51F09"/>
    <w:rsid w:val="00E520FF"/>
    <w:rsid w:val="00E52126"/>
    <w:rsid w:val="00E528C1"/>
    <w:rsid w:val="00E534EB"/>
    <w:rsid w:val="00E53539"/>
    <w:rsid w:val="00E54361"/>
    <w:rsid w:val="00E5460E"/>
    <w:rsid w:val="00E546CF"/>
    <w:rsid w:val="00E54F19"/>
    <w:rsid w:val="00E5519F"/>
    <w:rsid w:val="00E55327"/>
    <w:rsid w:val="00E55D46"/>
    <w:rsid w:val="00E563A4"/>
    <w:rsid w:val="00E56684"/>
    <w:rsid w:val="00E570B3"/>
    <w:rsid w:val="00E57A43"/>
    <w:rsid w:val="00E606B2"/>
    <w:rsid w:val="00E60A94"/>
    <w:rsid w:val="00E62AA2"/>
    <w:rsid w:val="00E63695"/>
    <w:rsid w:val="00E63ADA"/>
    <w:rsid w:val="00E63BDA"/>
    <w:rsid w:val="00E64004"/>
    <w:rsid w:val="00E6463E"/>
    <w:rsid w:val="00E64737"/>
    <w:rsid w:val="00E65D40"/>
    <w:rsid w:val="00E65EEC"/>
    <w:rsid w:val="00E674D5"/>
    <w:rsid w:val="00E67572"/>
    <w:rsid w:val="00E67DEA"/>
    <w:rsid w:val="00E67FFE"/>
    <w:rsid w:val="00E70123"/>
    <w:rsid w:val="00E70ABD"/>
    <w:rsid w:val="00E70EB9"/>
    <w:rsid w:val="00E711E2"/>
    <w:rsid w:val="00E717D7"/>
    <w:rsid w:val="00E71F86"/>
    <w:rsid w:val="00E724EC"/>
    <w:rsid w:val="00E730BC"/>
    <w:rsid w:val="00E730C6"/>
    <w:rsid w:val="00E748D6"/>
    <w:rsid w:val="00E75344"/>
    <w:rsid w:val="00E757B4"/>
    <w:rsid w:val="00E75FA8"/>
    <w:rsid w:val="00E7640A"/>
    <w:rsid w:val="00E765EC"/>
    <w:rsid w:val="00E76826"/>
    <w:rsid w:val="00E7700F"/>
    <w:rsid w:val="00E7758F"/>
    <w:rsid w:val="00E779B7"/>
    <w:rsid w:val="00E779E7"/>
    <w:rsid w:val="00E77A50"/>
    <w:rsid w:val="00E80135"/>
    <w:rsid w:val="00E8064F"/>
    <w:rsid w:val="00E8084A"/>
    <w:rsid w:val="00E810A3"/>
    <w:rsid w:val="00E812B2"/>
    <w:rsid w:val="00E81402"/>
    <w:rsid w:val="00E83643"/>
    <w:rsid w:val="00E83836"/>
    <w:rsid w:val="00E83A08"/>
    <w:rsid w:val="00E84E10"/>
    <w:rsid w:val="00E852C0"/>
    <w:rsid w:val="00E852EC"/>
    <w:rsid w:val="00E85547"/>
    <w:rsid w:val="00E8579E"/>
    <w:rsid w:val="00E85CFC"/>
    <w:rsid w:val="00E86CD7"/>
    <w:rsid w:val="00E87424"/>
    <w:rsid w:val="00E87BB2"/>
    <w:rsid w:val="00E87D3B"/>
    <w:rsid w:val="00E87E01"/>
    <w:rsid w:val="00E900A5"/>
    <w:rsid w:val="00E900CF"/>
    <w:rsid w:val="00E90236"/>
    <w:rsid w:val="00E905D4"/>
    <w:rsid w:val="00E90689"/>
    <w:rsid w:val="00E919CF"/>
    <w:rsid w:val="00E91C37"/>
    <w:rsid w:val="00E91FD4"/>
    <w:rsid w:val="00E929B1"/>
    <w:rsid w:val="00E92D9C"/>
    <w:rsid w:val="00E92E5D"/>
    <w:rsid w:val="00E92E6A"/>
    <w:rsid w:val="00E92FB8"/>
    <w:rsid w:val="00E936BC"/>
    <w:rsid w:val="00E936E9"/>
    <w:rsid w:val="00E940C4"/>
    <w:rsid w:val="00E948E1"/>
    <w:rsid w:val="00E948E4"/>
    <w:rsid w:val="00E9492E"/>
    <w:rsid w:val="00E94BD5"/>
    <w:rsid w:val="00E94D70"/>
    <w:rsid w:val="00E94D94"/>
    <w:rsid w:val="00E962B0"/>
    <w:rsid w:val="00E96345"/>
    <w:rsid w:val="00E96E76"/>
    <w:rsid w:val="00E96F99"/>
    <w:rsid w:val="00E97081"/>
    <w:rsid w:val="00E973BF"/>
    <w:rsid w:val="00E975B2"/>
    <w:rsid w:val="00E9778A"/>
    <w:rsid w:val="00E97E45"/>
    <w:rsid w:val="00EA0B2F"/>
    <w:rsid w:val="00EA0C3D"/>
    <w:rsid w:val="00EA184A"/>
    <w:rsid w:val="00EA1EA8"/>
    <w:rsid w:val="00EA238D"/>
    <w:rsid w:val="00EA294E"/>
    <w:rsid w:val="00EA2F5B"/>
    <w:rsid w:val="00EA301C"/>
    <w:rsid w:val="00EA369C"/>
    <w:rsid w:val="00EA3C99"/>
    <w:rsid w:val="00EA4770"/>
    <w:rsid w:val="00EA5076"/>
    <w:rsid w:val="00EA52B6"/>
    <w:rsid w:val="00EA580D"/>
    <w:rsid w:val="00EA5B71"/>
    <w:rsid w:val="00EA6713"/>
    <w:rsid w:val="00EA755E"/>
    <w:rsid w:val="00EB0163"/>
    <w:rsid w:val="00EB126F"/>
    <w:rsid w:val="00EB1349"/>
    <w:rsid w:val="00EB2A7D"/>
    <w:rsid w:val="00EB3353"/>
    <w:rsid w:val="00EB3358"/>
    <w:rsid w:val="00EB3649"/>
    <w:rsid w:val="00EB3985"/>
    <w:rsid w:val="00EB4A80"/>
    <w:rsid w:val="00EB5CD3"/>
    <w:rsid w:val="00EB7628"/>
    <w:rsid w:val="00EB7D33"/>
    <w:rsid w:val="00EC0443"/>
    <w:rsid w:val="00EC07BA"/>
    <w:rsid w:val="00EC07F7"/>
    <w:rsid w:val="00EC0AC0"/>
    <w:rsid w:val="00EC17A9"/>
    <w:rsid w:val="00EC1D6A"/>
    <w:rsid w:val="00EC1EF4"/>
    <w:rsid w:val="00EC2B04"/>
    <w:rsid w:val="00EC2B44"/>
    <w:rsid w:val="00EC2D67"/>
    <w:rsid w:val="00EC35EA"/>
    <w:rsid w:val="00EC3826"/>
    <w:rsid w:val="00EC3871"/>
    <w:rsid w:val="00EC3930"/>
    <w:rsid w:val="00EC3938"/>
    <w:rsid w:val="00EC45F3"/>
    <w:rsid w:val="00EC5D1D"/>
    <w:rsid w:val="00EC64FA"/>
    <w:rsid w:val="00EC6954"/>
    <w:rsid w:val="00EC75BF"/>
    <w:rsid w:val="00ED0D52"/>
    <w:rsid w:val="00ED1AED"/>
    <w:rsid w:val="00ED1EE4"/>
    <w:rsid w:val="00ED228E"/>
    <w:rsid w:val="00ED28F2"/>
    <w:rsid w:val="00ED3074"/>
    <w:rsid w:val="00ED3465"/>
    <w:rsid w:val="00ED387D"/>
    <w:rsid w:val="00ED3E7D"/>
    <w:rsid w:val="00ED44EC"/>
    <w:rsid w:val="00ED46B3"/>
    <w:rsid w:val="00ED4A39"/>
    <w:rsid w:val="00ED4A56"/>
    <w:rsid w:val="00ED5039"/>
    <w:rsid w:val="00ED5F1D"/>
    <w:rsid w:val="00ED6656"/>
    <w:rsid w:val="00ED75EA"/>
    <w:rsid w:val="00ED7D46"/>
    <w:rsid w:val="00EE0069"/>
    <w:rsid w:val="00EE150D"/>
    <w:rsid w:val="00EE22AC"/>
    <w:rsid w:val="00EE2725"/>
    <w:rsid w:val="00EE50D2"/>
    <w:rsid w:val="00EE574A"/>
    <w:rsid w:val="00EE59C2"/>
    <w:rsid w:val="00EE5AFF"/>
    <w:rsid w:val="00EE6BB6"/>
    <w:rsid w:val="00EE6C1E"/>
    <w:rsid w:val="00EE6C44"/>
    <w:rsid w:val="00EE76C5"/>
    <w:rsid w:val="00EF05F8"/>
    <w:rsid w:val="00EF07AD"/>
    <w:rsid w:val="00EF22D3"/>
    <w:rsid w:val="00EF23EF"/>
    <w:rsid w:val="00EF249A"/>
    <w:rsid w:val="00EF2E9E"/>
    <w:rsid w:val="00EF31C4"/>
    <w:rsid w:val="00EF347D"/>
    <w:rsid w:val="00EF3E6A"/>
    <w:rsid w:val="00EF415A"/>
    <w:rsid w:val="00EF4314"/>
    <w:rsid w:val="00EF46A2"/>
    <w:rsid w:val="00EF6C32"/>
    <w:rsid w:val="00EF77F5"/>
    <w:rsid w:val="00F00082"/>
    <w:rsid w:val="00F00259"/>
    <w:rsid w:val="00F00D13"/>
    <w:rsid w:val="00F017CD"/>
    <w:rsid w:val="00F026D5"/>
    <w:rsid w:val="00F028D8"/>
    <w:rsid w:val="00F02BFD"/>
    <w:rsid w:val="00F05414"/>
    <w:rsid w:val="00F0560B"/>
    <w:rsid w:val="00F05ABA"/>
    <w:rsid w:val="00F05D0F"/>
    <w:rsid w:val="00F05D6B"/>
    <w:rsid w:val="00F0618C"/>
    <w:rsid w:val="00F06C33"/>
    <w:rsid w:val="00F06E37"/>
    <w:rsid w:val="00F06E63"/>
    <w:rsid w:val="00F07336"/>
    <w:rsid w:val="00F07830"/>
    <w:rsid w:val="00F10753"/>
    <w:rsid w:val="00F10EA5"/>
    <w:rsid w:val="00F10FA6"/>
    <w:rsid w:val="00F11E69"/>
    <w:rsid w:val="00F129A0"/>
    <w:rsid w:val="00F13654"/>
    <w:rsid w:val="00F14475"/>
    <w:rsid w:val="00F15363"/>
    <w:rsid w:val="00F155BC"/>
    <w:rsid w:val="00F1599B"/>
    <w:rsid w:val="00F15ACC"/>
    <w:rsid w:val="00F17052"/>
    <w:rsid w:val="00F175B2"/>
    <w:rsid w:val="00F178A6"/>
    <w:rsid w:val="00F20AEF"/>
    <w:rsid w:val="00F20D00"/>
    <w:rsid w:val="00F215DD"/>
    <w:rsid w:val="00F22A97"/>
    <w:rsid w:val="00F22BA1"/>
    <w:rsid w:val="00F23533"/>
    <w:rsid w:val="00F23D18"/>
    <w:rsid w:val="00F23D7E"/>
    <w:rsid w:val="00F23E7C"/>
    <w:rsid w:val="00F248CD"/>
    <w:rsid w:val="00F24988"/>
    <w:rsid w:val="00F249D2"/>
    <w:rsid w:val="00F24AEC"/>
    <w:rsid w:val="00F24D5E"/>
    <w:rsid w:val="00F2503E"/>
    <w:rsid w:val="00F25542"/>
    <w:rsid w:val="00F26232"/>
    <w:rsid w:val="00F268B0"/>
    <w:rsid w:val="00F26DB2"/>
    <w:rsid w:val="00F26E4E"/>
    <w:rsid w:val="00F27614"/>
    <w:rsid w:val="00F30051"/>
    <w:rsid w:val="00F305A7"/>
    <w:rsid w:val="00F30853"/>
    <w:rsid w:val="00F31B83"/>
    <w:rsid w:val="00F31DC7"/>
    <w:rsid w:val="00F326B3"/>
    <w:rsid w:val="00F35099"/>
    <w:rsid w:val="00F35474"/>
    <w:rsid w:val="00F35577"/>
    <w:rsid w:val="00F35584"/>
    <w:rsid w:val="00F36057"/>
    <w:rsid w:val="00F3619A"/>
    <w:rsid w:val="00F36940"/>
    <w:rsid w:val="00F37E14"/>
    <w:rsid w:val="00F4115C"/>
    <w:rsid w:val="00F411CB"/>
    <w:rsid w:val="00F41400"/>
    <w:rsid w:val="00F41726"/>
    <w:rsid w:val="00F4256C"/>
    <w:rsid w:val="00F430E9"/>
    <w:rsid w:val="00F438DA"/>
    <w:rsid w:val="00F443C6"/>
    <w:rsid w:val="00F4474F"/>
    <w:rsid w:val="00F449A8"/>
    <w:rsid w:val="00F44D46"/>
    <w:rsid w:val="00F44DC7"/>
    <w:rsid w:val="00F45160"/>
    <w:rsid w:val="00F4554A"/>
    <w:rsid w:val="00F45742"/>
    <w:rsid w:val="00F46D33"/>
    <w:rsid w:val="00F473B3"/>
    <w:rsid w:val="00F47B87"/>
    <w:rsid w:val="00F5042F"/>
    <w:rsid w:val="00F506BB"/>
    <w:rsid w:val="00F507F6"/>
    <w:rsid w:val="00F514A2"/>
    <w:rsid w:val="00F51A73"/>
    <w:rsid w:val="00F51D3E"/>
    <w:rsid w:val="00F52A2F"/>
    <w:rsid w:val="00F54087"/>
    <w:rsid w:val="00F54C8C"/>
    <w:rsid w:val="00F55900"/>
    <w:rsid w:val="00F55F14"/>
    <w:rsid w:val="00F56207"/>
    <w:rsid w:val="00F56824"/>
    <w:rsid w:val="00F570E0"/>
    <w:rsid w:val="00F5724D"/>
    <w:rsid w:val="00F57DC0"/>
    <w:rsid w:val="00F608E8"/>
    <w:rsid w:val="00F615A9"/>
    <w:rsid w:val="00F617BE"/>
    <w:rsid w:val="00F62E54"/>
    <w:rsid w:val="00F62ED1"/>
    <w:rsid w:val="00F63398"/>
    <w:rsid w:val="00F637F7"/>
    <w:rsid w:val="00F63FAF"/>
    <w:rsid w:val="00F64651"/>
    <w:rsid w:val="00F648E6"/>
    <w:rsid w:val="00F64EFC"/>
    <w:rsid w:val="00F65818"/>
    <w:rsid w:val="00F6590A"/>
    <w:rsid w:val="00F659D3"/>
    <w:rsid w:val="00F65AA8"/>
    <w:rsid w:val="00F673EB"/>
    <w:rsid w:val="00F673EE"/>
    <w:rsid w:val="00F7052B"/>
    <w:rsid w:val="00F716BE"/>
    <w:rsid w:val="00F71701"/>
    <w:rsid w:val="00F72593"/>
    <w:rsid w:val="00F72A8A"/>
    <w:rsid w:val="00F73C13"/>
    <w:rsid w:val="00F73EB6"/>
    <w:rsid w:val="00F74E79"/>
    <w:rsid w:val="00F7632B"/>
    <w:rsid w:val="00F763CA"/>
    <w:rsid w:val="00F766A4"/>
    <w:rsid w:val="00F770FB"/>
    <w:rsid w:val="00F804A4"/>
    <w:rsid w:val="00F80606"/>
    <w:rsid w:val="00F80F6C"/>
    <w:rsid w:val="00F81449"/>
    <w:rsid w:val="00F81800"/>
    <w:rsid w:val="00F81DC4"/>
    <w:rsid w:val="00F824DF"/>
    <w:rsid w:val="00F8269D"/>
    <w:rsid w:val="00F82BCE"/>
    <w:rsid w:val="00F82EEE"/>
    <w:rsid w:val="00F83901"/>
    <w:rsid w:val="00F8409E"/>
    <w:rsid w:val="00F840AB"/>
    <w:rsid w:val="00F84248"/>
    <w:rsid w:val="00F84B6D"/>
    <w:rsid w:val="00F85168"/>
    <w:rsid w:val="00F85475"/>
    <w:rsid w:val="00F854FE"/>
    <w:rsid w:val="00F85CC3"/>
    <w:rsid w:val="00F863D4"/>
    <w:rsid w:val="00F868A2"/>
    <w:rsid w:val="00F87749"/>
    <w:rsid w:val="00F8793E"/>
    <w:rsid w:val="00F904D6"/>
    <w:rsid w:val="00F91587"/>
    <w:rsid w:val="00F91D6A"/>
    <w:rsid w:val="00F91F6C"/>
    <w:rsid w:val="00F93934"/>
    <w:rsid w:val="00F93B2B"/>
    <w:rsid w:val="00F93F56"/>
    <w:rsid w:val="00F943AD"/>
    <w:rsid w:val="00F949BE"/>
    <w:rsid w:val="00F95373"/>
    <w:rsid w:val="00F960C4"/>
    <w:rsid w:val="00F96112"/>
    <w:rsid w:val="00F96207"/>
    <w:rsid w:val="00F9642A"/>
    <w:rsid w:val="00F96D3C"/>
    <w:rsid w:val="00F972E8"/>
    <w:rsid w:val="00F97372"/>
    <w:rsid w:val="00F975E1"/>
    <w:rsid w:val="00FA03F2"/>
    <w:rsid w:val="00FA153B"/>
    <w:rsid w:val="00FA1556"/>
    <w:rsid w:val="00FA16D2"/>
    <w:rsid w:val="00FA1DC5"/>
    <w:rsid w:val="00FA1E9F"/>
    <w:rsid w:val="00FA2369"/>
    <w:rsid w:val="00FA2602"/>
    <w:rsid w:val="00FA37DD"/>
    <w:rsid w:val="00FA3EF1"/>
    <w:rsid w:val="00FA4A0B"/>
    <w:rsid w:val="00FA4E21"/>
    <w:rsid w:val="00FA5256"/>
    <w:rsid w:val="00FA5918"/>
    <w:rsid w:val="00FA59C2"/>
    <w:rsid w:val="00FA635E"/>
    <w:rsid w:val="00FA72F9"/>
    <w:rsid w:val="00FA7473"/>
    <w:rsid w:val="00FA7BA0"/>
    <w:rsid w:val="00FB0473"/>
    <w:rsid w:val="00FB0F18"/>
    <w:rsid w:val="00FB141D"/>
    <w:rsid w:val="00FB1B0F"/>
    <w:rsid w:val="00FB2E70"/>
    <w:rsid w:val="00FB2F66"/>
    <w:rsid w:val="00FB3288"/>
    <w:rsid w:val="00FB32A3"/>
    <w:rsid w:val="00FB3D2A"/>
    <w:rsid w:val="00FB4050"/>
    <w:rsid w:val="00FB41E1"/>
    <w:rsid w:val="00FB6150"/>
    <w:rsid w:val="00FB62F9"/>
    <w:rsid w:val="00FB642B"/>
    <w:rsid w:val="00FB64E9"/>
    <w:rsid w:val="00FB6F0E"/>
    <w:rsid w:val="00FB7807"/>
    <w:rsid w:val="00FB7AB0"/>
    <w:rsid w:val="00FB7C44"/>
    <w:rsid w:val="00FB7C4E"/>
    <w:rsid w:val="00FC0B79"/>
    <w:rsid w:val="00FC0C31"/>
    <w:rsid w:val="00FC10F4"/>
    <w:rsid w:val="00FC26B5"/>
    <w:rsid w:val="00FC3A4B"/>
    <w:rsid w:val="00FC42CC"/>
    <w:rsid w:val="00FC4A94"/>
    <w:rsid w:val="00FC4BC7"/>
    <w:rsid w:val="00FC54F6"/>
    <w:rsid w:val="00FC5505"/>
    <w:rsid w:val="00FC5676"/>
    <w:rsid w:val="00FC5EF5"/>
    <w:rsid w:val="00FC6043"/>
    <w:rsid w:val="00FC6890"/>
    <w:rsid w:val="00FC6D98"/>
    <w:rsid w:val="00FC6E0D"/>
    <w:rsid w:val="00FC70ED"/>
    <w:rsid w:val="00FC7381"/>
    <w:rsid w:val="00FC7BC8"/>
    <w:rsid w:val="00FD0E53"/>
    <w:rsid w:val="00FD10CC"/>
    <w:rsid w:val="00FD14C0"/>
    <w:rsid w:val="00FD1B1E"/>
    <w:rsid w:val="00FD1D91"/>
    <w:rsid w:val="00FD23B9"/>
    <w:rsid w:val="00FD3F83"/>
    <w:rsid w:val="00FD48F4"/>
    <w:rsid w:val="00FD516A"/>
    <w:rsid w:val="00FD5906"/>
    <w:rsid w:val="00FD65F1"/>
    <w:rsid w:val="00FD71D3"/>
    <w:rsid w:val="00FD737B"/>
    <w:rsid w:val="00FE09E0"/>
    <w:rsid w:val="00FE0E01"/>
    <w:rsid w:val="00FE1B20"/>
    <w:rsid w:val="00FE1DCE"/>
    <w:rsid w:val="00FE21EF"/>
    <w:rsid w:val="00FE24B8"/>
    <w:rsid w:val="00FE2912"/>
    <w:rsid w:val="00FE37C1"/>
    <w:rsid w:val="00FE4482"/>
    <w:rsid w:val="00FE4809"/>
    <w:rsid w:val="00FE4AC5"/>
    <w:rsid w:val="00FE4DB3"/>
    <w:rsid w:val="00FE5ECA"/>
    <w:rsid w:val="00FE743E"/>
    <w:rsid w:val="00FE7978"/>
    <w:rsid w:val="00FE79FE"/>
    <w:rsid w:val="00FE7D9F"/>
    <w:rsid w:val="00FF21C1"/>
    <w:rsid w:val="00FF440A"/>
    <w:rsid w:val="00FF55A8"/>
    <w:rsid w:val="00FF5B04"/>
    <w:rsid w:val="00FF5DED"/>
    <w:rsid w:val="00FF704D"/>
    <w:rsid w:val="00FF7E68"/>
    <w:rsid w:val="0155029D"/>
    <w:rsid w:val="025A7A9E"/>
    <w:rsid w:val="039E6FA3"/>
    <w:rsid w:val="03B64336"/>
    <w:rsid w:val="049E67B8"/>
    <w:rsid w:val="04D0FAFB"/>
    <w:rsid w:val="0512CA24"/>
    <w:rsid w:val="051C936D"/>
    <w:rsid w:val="05E8B3FE"/>
    <w:rsid w:val="0876D0D2"/>
    <w:rsid w:val="0890D60B"/>
    <w:rsid w:val="091EC062"/>
    <w:rsid w:val="0CDFAF6E"/>
    <w:rsid w:val="0CF2104A"/>
    <w:rsid w:val="0DB1DA1A"/>
    <w:rsid w:val="0F728747"/>
    <w:rsid w:val="103FDA11"/>
    <w:rsid w:val="10836CF2"/>
    <w:rsid w:val="10905728"/>
    <w:rsid w:val="11752259"/>
    <w:rsid w:val="12D824D3"/>
    <w:rsid w:val="131D6903"/>
    <w:rsid w:val="1326B1D7"/>
    <w:rsid w:val="1423F40E"/>
    <w:rsid w:val="143D9942"/>
    <w:rsid w:val="14DDEA45"/>
    <w:rsid w:val="156831AB"/>
    <w:rsid w:val="1588D0C9"/>
    <w:rsid w:val="15AABA82"/>
    <w:rsid w:val="15DDC3DF"/>
    <w:rsid w:val="1AFE775E"/>
    <w:rsid w:val="1B3CE0B6"/>
    <w:rsid w:val="1BB34979"/>
    <w:rsid w:val="1BB9CB66"/>
    <w:rsid w:val="1BF126E2"/>
    <w:rsid w:val="1C8A951B"/>
    <w:rsid w:val="1CC0ECE6"/>
    <w:rsid w:val="1E8F4336"/>
    <w:rsid w:val="1EDB6955"/>
    <w:rsid w:val="1EE8FABD"/>
    <w:rsid w:val="1FE27BF6"/>
    <w:rsid w:val="239C82FE"/>
    <w:rsid w:val="23C95FBF"/>
    <w:rsid w:val="24B14E5F"/>
    <w:rsid w:val="25C70B75"/>
    <w:rsid w:val="2626ABDD"/>
    <w:rsid w:val="2737C0CA"/>
    <w:rsid w:val="2985D380"/>
    <w:rsid w:val="2A079A48"/>
    <w:rsid w:val="2ABB0C41"/>
    <w:rsid w:val="2B56FEB9"/>
    <w:rsid w:val="2C011351"/>
    <w:rsid w:val="2C154142"/>
    <w:rsid w:val="2D84AF0E"/>
    <w:rsid w:val="2F80F59A"/>
    <w:rsid w:val="2FE26CFF"/>
    <w:rsid w:val="2FFA4B95"/>
    <w:rsid w:val="3069AFC6"/>
    <w:rsid w:val="3070AE62"/>
    <w:rsid w:val="31CEC4C6"/>
    <w:rsid w:val="320B000E"/>
    <w:rsid w:val="32562339"/>
    <w:rsid w:val="326A4402"/>
    <w:rsid w:val="3353C224"/>
    <w:rsid w:val="33632A14"/>
    <w:rsid w:val="3385984C"/>
    <w:rsid w:val="340CD224"/>
    <w:rsid w:val="3453F13E"/>
    <w:rsid w:val="348EF75B"/>
    <w:rsid w:val="351072AA"/>
    <w:rsid w:val="36A235E9"/>
    <w:rsid w:val="3774E2F9"/>
    <w:rsid w:val="37A7F8E2"/>
    <w:rsid w:val="37C93CEE"/>
    <w:rsid w:val="37D49BBC"/>
    <w:rsid w:val="3A4046E0"/>
    <w:rsid w:val="3A6E7946"/>
    <w:rsid w:val="3A7AF24F"/>
    <w:rsid w:val="3B6F76F2"/>
    <w:rsid w:val="3C1EED1C"/>
    <w:rsid w:val="3F3D42DB"/>
    <w:rsid w:val="40DB6566"/>
    <w:rsid w:val="412A11AE"/>
    <w:rsid w:val="4143DCB0"/>
    <w:rsid w:val="4193DAC8"/>
    <w:rsid w:val="42242A4E"/>
    <w:rsid w:val="4355F211"/>
    <w:rsid w:val="446558AE"/>
    <w:rsid w:val="44BA74D6"/>
    <w:rsid w:val="46132067"/>
    <w:rsid w:val="46385400"/>
    <w:rsid w:val="4646F0A3"/>
    <w:rsid w:val="475CE370"/>
    <w:rsid w:val="4873B4C6"/>
    <w:rsid w:val="488D583B"/>
    <w:rsid w:val="48C2F360"/>
    <w:rsid w:val="495CEC4D"/>
    <w:rsid w:val="496BB709"/>
    <w:rsid w:val="49ABCD9F"/>
    <w:rsid w:val="49FE6106"/>
    <w:rsid w:val="4A04A8E9"/>
    <w:rsid w:val="4A500DE4"/>
    <w:rsid w:val="4B06E193"/>
    <w:rsid w:val="4B2262A7"/>
    <w:rsid w:val="4C097510"/>
    <w:rsid w:val="4DBD8F4E"/>
    <w:rsid w:val="4ECF12DD"/>
    <w:rsid w:val="4ED18387"/>
    <w:rsid w:val="4F3D572C"/>
    <w:rsid w:val="4F65EABD"/>
    <w:rsid w:val="4FC948E1"/>
    <w:rsid w:val="4FE94C9D"/>
    <w:rsid w:val="503777DD"/>
    <w:rsid w:val="51678A96"/>
    <w:rsid w:val="54584EF4"/>
    <w:rsid w:val="550B0719"/>
    <w:rsid w:val="562FDF45"/>
    <w:rsid w:val="567CC232"/>
    <w:rsid w:val="574F414D"/>
    <w:rsid w:val="575D6619"/>
    <w:rsid w:val="576B0D7F"/>
    <w:rsid w:val="57E0130F"/>
    <w:rsid w:val="580E435E"/>
    <w:rsid w:val="592BC017"/>
    <w:rsid w:val="5A3F38F5"/>
    <w:rsid w:val="5A543E76"/>
    <w:rsid w:val="5AD7809E"/>
    <w:rsid w:val="5BDB676C"/>
    <w:rsid w:val="5D866F32"/>
    <w:rsid w:val="5DB36CDE"/>
    <w:rsid w:val="5E38185A"/>
    <w:rsid w:val="5F060004"/>
    <w:rsid w:val="5F1B08E6"/>
    <w:rsid w:val="61490569"/>
    <w:rsid w:val="6180AFAE"/>
    <w:rsid w:val="62674A01"/>
    <w:rsid w:val="63BF12F8"/>
    <w:rsid w:val="6469BFDE"/>
    <w:rsid w:val="64E619B7"/>
    <w:rsid w:val="658A6E08"/>
    <w:rsid w:val="65E8F674"/>
    <w:rsid w:val="6A1E56B5"/>
    <w:rsid w:val="6AEF6B86"/>
    <w:rsid w:val="6BBEE6D6"/>
    <w:rsid w:val="6BFA514A"/>
    <w:rsid w:val="6C5F149C"/>
    <w:rsid w:val="6D806773"/>
    <w:rsid w:val="6DBBC6AA"/>
    <w:rsid w:val="6DEDD875"/>
    <w:rsid w:val="6E614BB3"/>
    <w:rsid w:val="6FB2F665"/>
    <w:rsid w:val="70A00FB5"/>
    <w:rsid w:val="713C233D"/>
    <w:rsid w:val="729757E8"/>
    <w:rsid w:val="731F98F4"/>
    <w:rsid w:val="737D9664"/>
    <w:rsid w:val="73A045A6"/>
    <w:rsid w:val="74B18CC3"/>
    <w:rsid w:val="7568C626"/>
    <w:rsid w:val="7607FDC9"/>
    <w:rsid w:val="76525C99"/>
    <w:rsid w:val="76BA3DA1"/>
    <w:rsid w:val="77E9AFB5"/>
    <w:rsid w:val="77F7E97D"/>
    <w:rsid w:val="7801DE34"/>
    <w:rsid w:val="7906DF26"/>
    <w:rsid w:val="791F2639"/>
    <w:rsid w:val="7B281729"/>
    <w:rsid w:val="7B53F541"/>
    <w:rsid w:val="7B7BF225"/>
    <w:rsid w:val="7B8ED983"/>
    <w:rsid w:val="7CF6FF42"/>
    <w:rsid w:val="7DFA5C40"/>
    <w:rsid w:val="7E248C02"/>
    <w:rsid w:val="7E40A6B1"/>
    <w:rsid w:val="7F12BC35"/>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716823B4"/>
  <w15:docId w15:val="{12D55C69-B8B2-4419-8FE3-E3F80C2A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30322"/>
    <w:pPr>
      <w:widowControl w:val="0"/>
      <w:overflowPunct w:val="0"/>
      <w:autoSpaceDE w:val="0"/>
      <w:autoSpaceDN w:val="0"/>
      <w:adjustRightInd w:val="0"/>
      <w:textAlignment w:val="baseline"/>
    </w:pPr>
    <w:rPr>
      <w:sz w:val="24"/>
    </w:rPr>
  </w:style>
  <w:style w:type="paragraph" w:styleId="Heading1">
    <w:name w:val="heading 1"/>
    <w:basedOn w:val="Normal"/>
    <w:next w:val="Normal"/>
    <w:qFormat/>
    <w:rsid w:val="00E973BF"/>
    <w:pPr>
      <w:keepNext/>
      <w:tabs>
        <w:tab w:val="center" w:pos="4680"/>
      </w:tabs>
      <w:suppressAutoHyphens/>
      <w:outlineLvl w:val="0"/>
    </w:pPr>
    <w:rPr>
      <w:b/>
    </w:rPr>
  </w:style>
  <w:style w:type="paragraph" w:styleId="Heading2">
    <w:name w:val="heading 2"/>
    <w:basedOn w:val="Normal"/>
    <w:next w:val="Normal"/>
    <w:qFormat/>
    <w:rsid w:val="00E973BF"/>
    <w:pPr>
      <w:keepNext/>
      <w:tabs>
        <w:tab w:val="center" w:pos="4680"/>
      </w:tabs>
      <w:suppressAutoHyphens/>
      <w:jc w:val="center"/>
      <w:outlineLvl w:val="1"/>
    </w:pPr>
    <w:rPr>
      <w:b/>
    </w:rPr>
  </w:style>
  <w:style w:type="paragraph" w:styleId="Heading4">
    <w:name w:val="heading 4"/>
    <w:basedOn w:val="Normal"/>
    <w:next w:val="Normal"/>
    <w:link w:val="Heading4Char"/>
    <w:semiHidden/>
    <w:unhideWhenUsed/>
    <w:qFormat/>
    <w:rsid w:val="00AA334F"/>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AA334F"/>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E973BF"/>
  </w:style>
  <w:style w:type="character" w:styleId="EndnoteReference">
    <w:name w:val="endnote reference"/>
    <w:basedOn w:val="DefaultParagraphFont"/>
    <w:semiHidden/>
    <w:rsid w:val="00E973BF"/>
    <w:rPr>
      <w:vertAlign w:val="superscript"/>
    </w:rPr>
  </w:style>
  <w:style w:type="paragraph" w:styleId="FootnoteText">
    <w:name w:val="footnote text"/>
    <w:basedOn w:val="Normal"/>
    <w:semiHidden/>
    <w:rsid w:val="00E973BF"/>
  </w:style>
  <w:style w:type="character" w:styleId="FootnoteReference">
    <w:name w:val="footnote reference"/>
    <w:basedOn w:val="DefaultParagraphFont"/>
    <w:semiHidden/>
    <w:rsid w:val="00E973BF"/>
    <w:rPr>
      <w:vertAlign w:val="superscript"/>
    </w:rPr>
  </w:style>
  <w:style w:type="paragraph" w:styleId="TOC1">
    <w:name w:val="toc 1"/>
    <w:basedOn w:val="Normal"/>
    <w:next w:val="Normal"/>
    <w:uiPriority w:val="39"/>
    <w:rsid w:val="00905A5F"/>
    <w:pPr>
      <w:tabs>
        <w:tab w:val="right" w:leader="dot" w:pos="9350"/>
      </w:tabs>
      <w:spacing w:before="120" w:after="120"/>
    </w:pPr>
    <w:rPr>
      <w:b/>
      <w:bCs/>
      <w:caps/>
      <w:noProof/>
      <w:sz w:val="20"/>
    </w:rPr>
  </w:style>
  <w:style w:type="paragraph" w:styleId="TOC2">
    <w:name w:val="toc 2"/>
    <w:basedOn w:val="Normal"/>
    <w:next w:val="Normal"/>
    <w:semiHidden/>
    <w:rsid w:val="00E973BF"/>
    <w:pPr>
      <w:ind w:left="240"/>
    </w:pPr>
    <w:rPr>
      <w:rFonts w:asciiTheme="minorHAnsi" w:hAnsiTheme="minorHAnsi"/>
      <w:smallCaps/>
      <w:sz w:val="20"/>
    </w:rPr>
  </w:style>
  <w:style w:type="paragraph" w:styleId="TOC3">
    <w:name w:val="toc 3"/>
    <w:basedOn w:val="Normal"/>
    <w:next w:val="Normal"/>
    <w:semiHidden/>
    <w:rsid w:val="00E973BF"/>
    <w:pPr>
      <w:ind w:left="480"/>
    </w:pPr>
    <w:rPr>
      <w:rFonts w:asciiTheme="minorHAnsi" w:hAnsiTheme="minorHAnsi"/>
      <w:i/>
      <w:iCs/>
      <w:sz w:val="20"/>
    </w:rPr>
  </w:style>
  <w:style w:type="paragraph" w:styleId="TOC4">
    <w:name w:val="toc 4"/>
    <w:basedOn w:val="Normal"/>
    <w:next w:val="Normal"/>
    <w:semiHidden/>
    <w:rsid w:val="00E973BF"/>
    <w:pPr>
      <w:ind w:left="720"/>
    </w:pPr>
    <w:rPr>
      <w:rFonts w:asciiTheme="minorHAnsi" w:hAnsiTheme="minorHAnsi"/>
      <w:sz w:val="18"/>
      <w:szCs w:val="18"/>
    </w:rPr>
  </w:style>
  <w:style w:type="paragraph" w:styleId="TOC5">
    <w:name w:val="toc 5"/>
    <w:basedOn w:val="Normal"/>
    <w:next w:val="Normal"/>
    <w:semiHidden/>
    <w:rsid w:val="00E973BF"/>
    <w:pPr>
      <w:ind w:left="960"/>
    </w:pPr>
    <w:rPr>
      <w:rFonts w:asciiTheme="minorHAnsi" w:hAnsiTheme="minorHAnsi"/>
      <w:sz w:val="18"/>
      <w:szCs w:val="18"/>
    </w:rPr>
  </w:style>
  <w:style w:type="paragraph" w:styleId="TOC6">
    <w:name w:val="toc 6"/>
    <w:basedOn w:val="Normal"/>
    <w:next w:val="Normal"/>
    <w:semiHidden/>
    <w:rsid w:val="00E973BF"/>
    <w:pPr>
      <w:ind w:left="1200"/>
    </w:pPr>
    <w:rPr>
      <w:rFonts w:asciiTheme="minorHAnsi" w:hAnsiTheme="minorHAnsi"/>
      <w:sz w:val="18"/>
      <w:szCs w:val="18"/>
    </w:rPr>
  </w:style>
  <w:style w:type="paragraph" w:styleId="TOC7">
    <w:name w:val="toc 7"/>
    <w:basedOn w:val="Normal"/>
    <w:next w:val="Normal"/>
    <w:semiHidden/>
    <w:rsid w:val="00E973BF"/>
    <w:pPr>
      <w:ind w:left="1440"/>
    </w:pPr>
    <w:rPr>
      <w:rFonts w:asciiTheme="minorHAnsi" w:hAnsiTheme="minorHAnsi"/>
      <w:sz w:val="18"/>
      <w:szCs w:val="18"/>
    </w:rPr>
  </w:style>
  <w:style w:type="paragraph" w:styleId="TOC8">
    <w:name w:val="toc 8"/>
    <w:basedOn w:val="Normal"/>
    <w:next w:val="Normal"/>
    <w:semiHidden/>
    <w:rsid w:val="00E973BF"/>
    <w:pPr>
      <w:ind w:left="1680"/>
    </w:pPr>
    <w:rPr>
      <w:rFonts w:asciiTheme="minorHAnsi" w:hAnsiTheme="minorHAnsi"/>
      <w:sz w:val="18"/>
      <w:szCs w:val="18"/>
    </w:rPr>
  </w:style>
  <w:style w:type="paragraph" w:styleId="TOC9">
    <w:name w:val="toc 9"/>
    <w:basedOn w:val="Normal"/>
    <w:next w:val="Normal"/>
    <w:semiHidden/>
    <w:rsid w:val="00E973BF"/>
    <w:pPr>
      <w:ind w:left="1920"/>
    </w:pPr>
    <w:rPr>
      <w:rFonts w:asciiTheme="minorHAnsi" w:hAnsiTheme="minorHAnsi"/>
      <w:sz w:val="18"/>
      <w:szCs w:val="18"/>
    </w:rPr>
  </w:style>
  <w:style w:type="paragraph" w:styleId="Index1">
    <w:name w:val="index 1"/>
    <w:basedOn w:val="Normal"/>
    <w:next w:val="Normal"/>
    <w:semiHidden/>
    <w:rsid w:val="00E973BF"/>
    <w:pPr>
      <w:tabs>
        <w:tab w:val="right" w:leader="dot" w:pos="9360"/>
      </w:tabs>
      <w:suppressAutoHyphens/>
      <w:ind w:left="1440" w:right="720" w:hanging="1440"/>
    </w:pPr>
  </w:style>
  <w:style w:type="paragraph" w:styleId="Index2">
    <w:name w:val="index 2"/>
    <w:basedOn w:val="Normal"/>
    <w:next w:val="Normal"/>
    <w:semiHidden/>
    <w:rsid w:val="00E973BF"/>
    <w:pPr>
      <w:tabs>
        <w:tab w:val="right" w:leader="dot" w:pos="9360"/>
      </w:tabs>
      <w:suppressAutoHyphens/>
      <w:ind w:left="1440" w:right="720" w:hanging="720"/>
    </w:pPr>
  </w:style>
  <w:style w:type="paragraph" w:styleId="TOAHeading">
    <w:name w:val="toa heading"/>
    <w:basedOn w:val="Normal"/>
    <w:next w:val="Normal"/>
    <w:semiHidden/>
    <w:rsid w:val="00E973BF"/>
    <w:pPr>
      <w:tabs>
        <w:tab w:val="right" w:pos="9360"/>
      </w:tabs>
      <w:suppressAutoHyphens/>
    </w:pPr>
  </w:style>
  <w:style w:type="paragraph" w:styleId="Caption">
    <w:name w:val="caption"/>
    <w:basedOn w:val="Normal"/>
    <w:next w:val="Normal"/>
    <w:qFormat/>
    <w:rsid w:val="00E973BF"/>
  </w:style>
  <w:style w:type="character" w:customStyle="1" w:styleId="EquationCaption">
    <w:name w:val="_Equation Caption"/>
    <w:rsid w:val="00E973BF"/>
  </w:style>
  <w:style w:type="paragraph" w:styleId="Footer">
    <w:name w:val="footer"/>
    <w:basedOn w:val="Normal"/>
    <w:link w:val="FooterChar"/>
    <w:uiPriority w:val="99"/>
    <w:rsid w:val="00E973BF"/>
    <w:pPr>
      <w:tabs>
        <w:tab w:val="center" w:pos="4320"/>
        <w:tab w:val="right" w:pos="8640"/>
      </w:tabs>
    </w:pPr>
  </w:style>
  <w:style w:type="paragraph" w:styleId="BodyText">
    <w:name w:val="Body Text"/>
    <w:basedOn w:val="Normal"/>
    <w:link w:val="BodyTextChar"/>
    <w:rsid w:val="00E973BF"/>
    <w:pPr>
      <w:tabs>
        <w:tab w:val="left" w:pos="-720"/>
      </w:tabs>
      <w:suppressAutoHyphens/>
    </w:pPr>
    <w:rPr>
      <w:b/>
    </w:rPr>
  </w:style>
  <w:style w:type="paragraph" w:styleId="BodyTextIndent2">
    <w:name w:val="Body Text Indent 2"/>
    <w:basedOn w:val="Normal"/>
    <w:rsid w:val="00E973BF"/>
    <w:pPr>
      <w:widowControl/>
      <w:spacing w:line="360" w:lineRule="auto"/>
      <w:ind w:firstLine="720"/>
    </w:pPr>
    <w:rPr>
      <w:rFonts w:ascii="Georgia" w:hAnsi="Georgia"/>
      <w:color w:val="000000"/>
    </w:rPr>
  </w:style>
  <w:style w:type="paragraph" w:styleId="BodyTextIndent">
    <w:name w:val="Body Text Indent"/>
    <w:basedOn w:val="Normal"/>
    <w:link w:val="BodyTextIndentChar"/>
    <w:rsid w:val="00E973BF"/>
    <w:pPr>
      <w:widowControl/>
      <w:tabs>
        <w:tab w:val="left" w:pos="-720"/>
      </w:tabs>
      <w:suppressAutoHyphens/>
      <w:overflowPunct/>
      <w:autoSpaceDE/>
      <w:autoSpaceDN/>
      <w:adjustRightInd/>
      <w:ind w:left="720"/>
      <w:textAlignment w:val="auto"/>
    </w:pPr>
  </w:style>
  <w:style w:type="paragraph" w:styleId="BalloonText">
    <w:name w:val="Balloon Text"/>
    <w:basedOn w:val="Normal"/>
    <w:semiHidden/>
    <w:rsid w:val="00C00128"/>
    <w:rPr>
      <w:rFonts w:ascii="Tahoma" w:hAnsi="Tahoma" w:cs="Tahoma"/>
      <w:sz w:val="16"/>
      <w:szCs w:val="16"/>
    </w:rPr>
  </w:style>
  <w:style w:type="paragraph" w:styleId="HTMLPreformatted">
    <w:name w:val="HTML Preformatted"/>
    <w:basedOn w:val="Normal"/>
    <w:rsid w:val="00DA58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styleId="Strong">
    <w:name w:val="Strong"/>
    <w:basedOn w:val="DefaultParagraphFont"/>
    <w:qFormat/>
    <w:rsid w:val="008A1A85"/>
    <w:rPr>
      <w:b/>
      <w:bCs/>
    </w:rPr>
  </w:style>
  <w:style w:type="table" w:styleId="TableProfessional">
    <w:name w:val="Table Professional"/>
    <w:basedOn w:val="TableNormal"/>
    <w:rsid w:val="007E425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eader">
    <w:name w:val="header"/>
    <w:basedOn w:val="Normal"/>
    <w:rsid w:val="00650EBF"/>
    <w:pPr>
      <w:tabs>
        <w:tab w:val="center" w:pos="4320"/>
        <w:tab w:val="right" w:pos="8640"/>
      </w:tabs>
    </w:pPr>
  </w:style>
  <w:style w:type="character" w:styleId="CommentReference">
    <w:name w:val="annotation reference"/>
    <w:basedOn w:val="DefaultParagraphFont"/>
    <w:uiPriority w:val="99"/>
    <w:semiHidden/>
    <w:rsid w:val="00831EA7"/>
    <w:rPr>
      <w:sz w:val="16"/>
      <w:szCs w:val="16"/>
    </w:rPr>
  </w:style>
  <w:style w:type="paragraph" w:styleId="CommentText">
    <w:name w:val="annotation text"/>
    <w:basedOn w:val="Normal"/>
    <w:link w:val="CommentTextChar"/>
    <w:uiPriority w:val="99"/>
    <w:semiHidden/>
    <w:rsid w:val="008454C5"/>
    <w:rPr>
      <w:sz w:val="22"/>
    </w:rPr>
  </w:style>
  <w:style w:type="paragraph" w:styleId="CommentSubject">
    <w:name w:val="annotation subject"/>
    <w:basedOn w:val="CommentText"/>
    <w:next w:val="CommentText"/>
    <w:semiHidden/>
    <w:rsid w:val="00831EA7"/>
    <w:rPr>
      <w:b/>
      <w:bCs/>
    </w:rPr>
  </w:style>
  <w:style w:type="character" w:styleId="Hyperlink">
    <w:name w:val="Hyperlink"/>
    <w:basedOn w:val="DefaultParagraphFont"/>
    <w:uiPriority w:val="99"/>
    <w:rsid w:val="0043383F"/>
    <w:rPr>
      <w:color w:val="0000FF"/>
      <w:u w:val="single"/>
    </w:rPr>
  </w:style>
  <w:style w:type="character" w:styleId="FollowedHyperlink">
    <w:name w:val="FollowedHyperlink"/>
    <w:basedOn w:val="DefaultParagraphFont"/>
    <w:rsid w:val="000D724C"/>
    <w:rPr>
      <w:color w:val="800080"/>
      <w:u w:val="single"/>
    </w:rPr>
  </w:style>
  <w:style w:type="table" w:styleId="TableGrid">
    <w:name w:val="Table Grid"/>
    <w:basedOn w:val="TableNormal"/>
    <w:rsid w:val="00B4503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9D2F27"/>
    <w:rPr>
      <w:rFonts w:ascii="Courier" w:hAnsi="Courier"/>
      <w:sz w:val="24"/>
    </w:rPr>
  </w:style>
  <w:style w:type="paragraph" w:styleId="ListParagraph">
    <w:name w:val="List Paragraph"/>
    <w:basedOn w:val="Normal"/>
    <w:uiPriority w:val="34"/>
    <w:qFormat/>
    <w:rsid w:val="003333DF"/>
    <w:pPr>
      <w:tabs>
        <w:tab w:val="left" w:pos="-720"/>
      </w:tabs>
      <w:suppressAutoHyphens/>
      <w:overflowPunct/>
      <w:autoSpaceDE/>
      <w:autoSpaceDN/>
      <w:adjustRightInd/>
      <w:spacing w:line="480" w:lineRule="auto"/>
      <w:ind w:left="720"/>
      <w:contextualSpacing/>
      <w:textAlignment w:val="auto"/>
    </w:pPr>
    <w:rPr>
      <w:spacing w:val="-3"/>
    </w:rPr>
  </w:style>
  <w:style w:type="character" w:customStyle="1" w:styleId="FooterChar">
    <w:name w:val="Footer Char"/>
    <w:basedOn w:val="DefaultParagraphFont"/>
    <w:link w:val="Footer"/>
    <w:uiPriority w:val="99"/>
    <w:rsid w:val="002568E6"/>
    <w:rPr>
      <w:rFonts w:ascii="Courier" w:hAnsi="Courier"/>
      <w:sz w:val="24"/>
    </w:rPr>
  </w:style>
  <w:style w:type="paragraph" w:customStyle="1" w:styleId="Level2">
    <w:name w:val="Level 2"/>
    <w:basedOn w:val="Normal"/>
    <w:rsid w:val="00DA3ABE"/>
    <w:pPr>
      <w:overflowPunct/>
      <w:ind w:left="722" w:hanging="361"/>
      <w:textAlignment w:val="auto"/>
    </w:pPr>
    <w:rPr>
      <w:szCs w:val="24"/>
    </w:rPr>
  </w:style>
  <w:style w:type="paragraph" w:customStyle="1" w:styleId="Level1">
    <w:name w:val="Level 1"/>
    <w:basedOn w:val="Normal"/>
    <w:rsid w:val="00EC07F7"/>
    <w:pPr>
      <w:numPr>
        <w:numId w:val="2"/>
      </w:numPr>
      <w:overflowPunct/>
      <w:ind w:left="474" w:hanging="186"/>
      <w:textAlignment w:val="auto"/>
      <w:outlineLvl w:val="0"/>
    </w:pPr>
    <w:rPr>
      <w:szCs w:val="24"/>
    </w:rPr>
  </w:style>
  <w:style w:type="character" w:customStyle="1" w:styleId="Heading4Char">
    <w:name w:val="Heading 4 Char"/>
    <w:basedOn w:val="DefaultParagraphFont"/>
    <w:link w:val="Heading4"/>
    <w:semiHidden/>
    <w:rsid w:val="00AA334F"/>
    <w:rPr>
      <w:rFonts w:asciiTheme="majorHAnsi" w:eastAsiaTheme="majorEastAsia" w:hAnsiTheme="majorHAnsi" w:cstheme="majorBidi"/>
      <w:i/>
      <w:iCs/>
      <w:color w:val="365F91" w:themeColor="accent1" w:themeShade="BF"/>
      <w:sz w:val="24"/>
    </w:rPr>
  </w:style>
  <w:style w:type="character" w:customStyle="1" w:styleId="Heading5Char">
    <w:name w:val="Heading 5 Char"/>
    <w:basedOn w:val="DefaultParagraphFont"/>
    <w:link w:val="Heading5"/>
    <w:semiHidden/>
    <w:rsid w:val="00AA334F"/>
    <w:rPr>
      <w:rFonts w:asciiTheme="majorHAnsi" w:eastAsiaTheme="majorEastAsia" w:hAnsiTheme="majorHAnsi" w:cstheme="majorBidi"/>
      <w:color w:val="365F91" w:themeColor="accent1" w:themeShade="BF"/>
      <w:sz w:val="24"/>
    </w:rPr>
  </w:style>
  <w:style w:type="paragraph" w:styleId="NormalWeb">
    <w:name w:val="Normal (Web)"/>
    <w:basedOn w:val="Normal"/>
    <w:uiPriority w:val="99"/>
    <w:semiHidden/>
    <w:unhideWhenUsed/>
    <w:rsid w:val="00AA334F"/>
    <w:pPr>
      <w:widowControl/>
      <w:overflowPunct/>
      <w:autoSpaceDE/>
      <w:autoSpaceDN/>
      <w:adjustRightInd/>
      <w:spacing w:after="150" w:line="360" w:lineRule="atLeast"/>
      <w:textAlignment w:val="auto"/>
    </w:pPr>
    <w:rPr>
      <w:rFonts w:eastAsiaTheme="minorHAnsi"/>
      <w:sz w:val="23"/>
      <w:szCs w:val="23"/>
    </w:rPr>
  </w:style>
  <w:style w:type="character" w:customStyle="1" w:styleId="CommentTextChar">
    <w:name w:val="Comment Text Char"/>
    <w:basedOn w:val="DefaultParagraphFont"/>
    <w:link w:val="CommentText"/>
    <w:uiPriority w:val="99"/>
    <w:semiHidden/>
    <w:rsid w:val="008454C5"/>
    <w:rPr>
      <w:sz w:val="22"/>
    </w:rPr>
  </w:style>
  <w:style w:type="character" w:styleId="UnresolvedMention">
    <w:name w:val="Unresolved Mention"/>
    <w:basedOn w:val="DefaultParagraphFont"/>
    <w:uiPriority w:val="99"/>
    <w:unhideWhenUsed/>
    <w:rsid w:val="00D37753"/>
    <w:rPr>
      <w:color w:val="605E5C"/>
      <w:shd w:val="clear" w:color="auto" w:fill="E1DFDD"/>
    </w:rPr>
  </w:style>
  <w:style w:type="character" w:customStyle="1" w:styleId="BodyTextChar">
    <w:name w:val="Body Text Char"/>
    <w:basedOn w:val="DefaultParagraphFont"/>
    <w:link w:val="BodyText"/>
    <w:rsid w:val="008454C5"/>
    <w:rPr>
      <w:b/>
      <w:sz w:val="24"/>
    </w:rPr>
  </w:style>
  <w:style w:type="character" w:customStyle="1" w:styleId="BodyTextIndentChar">
    <w:name w:val="Body Text Indent Char"/>
    <w:basedOn w:val="DefaultParagraphFont"/>
    <w:link w:val="BodyTextIndent"/>
    <w:rsid w:val="008454C5"/>
    <w:rPr>
      <w:sz w:val="24"/>
    </w:rPr>
  </w:style>
  <w:style w:type="character" w:styleId="Mention">
    <w:name w:val="Mention"/>
    <w:basedOn w:val="DefaultParagraphFont"/>
    <w:uiPriority w:val="99"/>
    <w:unhideWhenUsed/>
    <w:rsid w:val="0030107C"/>
    <w:rPr>
      <w:color w:val="2B579A"/>
      <w:shd w:val="clear" w:color="auto" w:fill="E1DFDD"/>
    </w:rPr>
  </w:style>
  <w:style w:type="paragraph" w:customStyle="1" w:styleId="paragraph">
    <w:name w:val="paragraph"/>
    <w:basedOn w:val="Normal"/>
    <w:rsid w:val="00261B8D"/>
    <w:pPr>
      <w:widowControl/>
      <w:overflowPunct/>
      <w:autoSpaceDE/>
      <w:autoSpaceDN/>
      <w:adjustRightInd/>
      <w:spacing w:before="100" w:beforeAutospacing="1" w:after="100" w:afterAutospacing="1"/>
      <w:textAlignment w:val="auto"/>
    </w:pPr>
    <w:rPr>
      <w:szCs w:val="24"/>
    </w:rPr>
  </w:style>
  <w:style w:type="character" w:customStyle="1" w:styleId="normaltextrun">
    <w:name w:val="normaltextrun"/>
    <w:basedOn w:val="DefaultParagraphFont"/>
    <w:rsid w:val="00261B8D"/>
  </w:style>
  <w:style w:type="character" w:customStyle="1" w:styleId="eop">
    <w:name w:val="eop"/>
    <w:basedOn w:val="DefaultParagraphFont"/>
    <w:rsid w:val="00261B8D"/>
  </w:style>
  <w:style w:type="character" w:customStyle="1" w:styleId="superscript">
    <w:name w:val="superscript"/>
    <w:basedOn w:val="DefaultParagraphFont"/>
    <w:rsid w:val="00997C7C"/>
  </w:style>
  <w:style w:type="character" w:customStyle="1" w:styleId="advancedproofingissue">
    <w:name w:val="advancedproofingissue"/>
    <w:basedOn w:val="DefaultParagraphFont"/>
    <w:rsid w:val="00997C7C"/>
  </w:style>
  <w:style w:type="character" w:styleId="Emphasis">
    <w:name w:val="Emphasis"/>
    <w:basedOn w:val="DefaultParagraphFont"/>
    <w:uiPriority w:val="20"/>
    <w:qFormat/>
    <w:rsid w:val="0026344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7485">
      <w:bodyDiv w:val="1"/>
      <w:marLeft w:val="0"/>
      <w:marRight w:val="0"/>
      <w:marTop w:val="0"/>
      <w:marBottom w:val="0"/>
      <w:divBdr>
        <w:top w:val="none" w:sz="0" w:space="0" w:color="auto"/>
        <w:left w:val="none" w:sz="0" w:space="0" w:color="auto"/>
        <w:bottom w:val="none" w:sz="0" w:space="0" w:color="auto"/>
        <w:right w:val="none" w:sz="0" w:space="0" w:color="auto"/>
      </w:divBdr>
    </w:div>
    <w:div w:id="11541815">
      <w:bodyDiv w:val="1"/>
      <w:marLeft w:val="0"/>
      <w:marRight w:val="0"/>
      <w:marTop w:val="0"/>
      <w:marBottom w:val="0"/>
      <w:divBdr>
        <w:top w:val="none" w:sz="0" w:space="0" w:color="auto"/>
        <w:left w:val="none" w:sz="0" w:space="0" w:color="auto"/>
        <w:bottom w:val="none" w:sz="0" w:space="0" w:color="auto"/>
        <w:right w:val="none" w:sz="0" w:space="0" w:color="auto"/>
      </w:divBdr>
    </w:div>
    <w:div w:id="62486517">
      <w:bodyDiv w:val="1"/>
      <w:marLeft w:val="0"/>
      <w:marRight w:val="0"/>
      <w:marTop w:val="0"/>
      <w:marBottom w:val="0"/>
      <w:divBdr>
        <w:top w:val="none" w:sz="0" w:space="0" w:color="auto"/>
        <w:left w:val="none" w:sz="0" w:space="0" w:color="auto"/>
        <w:bottom w:val="none" w:sz="0" w:space="0" w:color="auto"/>
        <w:right w:val="none" w:sz="0" w:space="0" w:color="auto"/>
      </w:divBdr>
    </w:div>
    <w:div w:id="121926159">
      <w:bodyDiv w:val="1"/>
      <w:marLeft w:val="0"/>
      <w:marRight w:val="0"/>
      <w:marTop w:val="0"/>
      <w:marBottom w:val="0"/>
      <w:divBdr>
        <w:top w:val="none" w:sz="0" w:space="0" w:color="auto"/>
        <w:left w:val="none" w:sz="0" w:space="0" w:color="auto"/>
        <w:bottom w:val="none" w:sz="0" w:space="0" w:color="auto"/>
        <w:right w:val="none" w:sz="0" w:space="0" w:color="auto"/>
      </w:divBdr>
    </w:div>
    <w:div w:id="159466327">
      <w:bodyDiv w:val="1"/>
      <w:marLeft w:val="0"/>
      <w:marRight w:val="0"/>
      <w:marTop w:val="0"/>
      <w:marBottom w:val="0"/>
      <w:divBdr>
        <w:top w:val="none" w:sz="0" w:space="0" w:color="auto"/>
        <w:left w:val="none" w:sz="0" w:space="0" w:color="auto"/>
        <w:bottom w:val="none" w:sz="0" w:space="0" w:color="auto"/>
        <w:right w:val="none" w:sz="0" w:space="0" w:color="auto"/>
      </w:divBdr>
      <w:divsChild>
        <w:div w:id="313603669">
          <w:marLeft w:val="0"/>
          <w:marRight w:val="0"/>
          <w:marTop w:val="0"/>
          <w:marBottom w:val="0"/>
          <w:divBdr>
            <w:top w:val="none" w:sz="0" w:space="0" w:color="auto"/>
            <w:left w:val="none" w:sz="0" w:space="0" w:color="auto"/>
            <w:bottom w:val="none" w:sz="0" w:space="0" w:color="auto"/>
            <w:right w:val="none" w:sz="0" w:space="0" w:color="auto"/>
          </w:divBdr>
        </w:div>
        <w:div w:id="330453999">
          <w:marLeft w:val="0"/>
          <w:marRight w:val="0"/>
          <w:marTop w:val="0"/>
          <w:marBottom w:val="0"/>
          <w:divBdr>
            <w:top w:val="none" w:sz="0" w:space="0" w:color="auto"/>
            <w:left w:val="none" w:sz="0" w:space="0" w:color="auto"/>
            <w:bottom w:val="none" w:sz="0" w:space="0" w:color="auto"/>
            <w:right w:val="none" w:sz="0" w:space="0" w:color="auto"/>
          </w:divBdr>
          <w:divsChild>
            <w:div w:id="1146892462">
              <w:marLeft w:val="0"/>
              <w:marRight w:val="0"/>
              <w:marTop w:val="30"/>
              <w:marBottom w:val="30"/>
              <w:divBdr>
                <w:top w:val="none" w:sz="0" w:space="0" w:color="auto"/>
                <w:left w:val="none" w:sz="0" w:space="0" w:color="auto"/>
                <w:bottom w:val="none" w:sz="0" w:space="0" w:color="auto"/>
                <w:right w:val="none" w:sz="0" w:space="0" w:color="auto"/>
              </w:divBdr>
              <w:divsChild>
                <w:div w:id="58720379">
                  <w:marLeft w:val="0"/>
                  <w:marRight w:val="0"/>
                  <w:marTop w:val="0"/>
                  <w:marBottom w:val="0"/>
                  <w:divBdr>
                    <w:top w:val="none" w:sz="0" w:space="0" w:color="auto"/>
                    <w:left w:val="none" w:sz="0" w:space="0" w:color="auto"/>
                    <w:bottom w:val="none" w:sz="0" w:space="0" w:color="auto"/>
                    <w:right w:val="none" w:sz="0" w:space="0" w:color="auto"/>
                  </w:divBdr>
                  <w:divsChild>
                    <w:div w:id="2144999913">
                      <w:marLeft w:val="0"/>
                      <w:marRight w:val="0"/>
                      <w:marTop w:val="0"/>
                      <w:marBottom w:val="0"/>
                      <w:divBdr>
                        <w:top w:val="none" w:sz="0" w:space="0" w:color="auto"/>
                        <w:left w:val="none" w:sz="0" w:space="0" w:color="auto"/>
                        <w:bottom w:val="none" w:sz="0" w:space="0" w:color="auto"/>
                        <w:right w:val="none" w:sz="0" w:space="0" w:color="auto"/>
                      </w:divBdr>
                    </w:div>
                  </w:divsChild>
                </w:div>
                <w:div w:id="357241127">
                  <w:marLeft w:val="0"/>
                  <w:marRight w:val="0"/>
                  <w:marTop w:val="0"/>
                  <w:marBottom w:val="0"/>
                  <w:divBdr>
                    <w:top w:val="none" w:sz="0" w:space="0" w:color="auto"/>
                    <w:left w:val="none" w:sz="0" w:space="0" w:color="auto"/>
                    <w:bottom w:val="none" w:sz="0" w:space="0" w:color="auto"/>
                    <w:right w:val="none" w:sz="0" w:space="0" w:color="auto"/>
                  </w:divBdr>
                  <w:divsChild>
                    <w:div w:id="1492134408">
                      <w:marLeft w:val="0"/>
                      <w:marRight w:val="0"/>
                      <w:marTop w:val="0"/>
                      <w:marBottom w:val="0"/>
                      <w:divBdr>
                        <w:top w:val="none" w:sz="0" w:space="0" w:color="auto"/>
                        <w:left w:val="none" w:sz="0" w:space="0" w:color="auto"/>
                        <w:bottom w:val="none" w:sz="0" w:space="0" w:color="auto"/>
                        <w:right w:val="none" w:sz="0" w:space="0" w:color="auto"/>
                      </w:divBdr>
                    </w:div>
                  </w:divsChild>
                </w:div>
                <w:div w:id="494692385">
                  <w:marLeft w:val="0"/>
                  <w:marRight w:val="0"/>
                  <w:marTop w:val="0"/>
                  <w:marBottom w:val="0"/>
                  <w:divBdr>
                    <w:top w:val="none" w:sz="0" w:space="0" w:color="auto"/>
                    <w:left w:val="none" w:sz="0" w:space="0" w:color="auto"/>
                    <w:bottom w:val="none" w:sz="0" w:space="0" w:color="auto"/>
                    <w:right w:val="none" w:sz="0" w:space="0" w:color="auto"/>
                  </w:divBdr>
                  <w:divsChild>
                    <w:div w:id="1540163065">
                      <w:marLeft w:val="0"/>
                      <w:marRight w:val="0"/>
                      <w:marTop w:val="0"/>
                      <w:marBottom w:val="0"/>
                      <w:divBdr>
                        <w:top w:val="none" w:sz="0" w:space="0" w:color="auto"/>
                        <w:left w:val="none" w:sz="0" w:space="0" w:color="auto"/>
                        <w:bottom w:val="none" w:sz="0" w:space="0" w:color="auto"/>
                        <w:right w:val="none" w:sz="0" w:space="0" w:color="auto"/>
                      </w:divBdr>
                    </w:div>
                  </w:divsChild>
                </w:div>
                <w:div w:id="509373286">
                  <w:marLeft w:val="0"/>
                  <w:marRight w:val="0"/>
                  <w:marTop w:val="0"/>
                  <w:marBottom w:val="0"/>
                  <w:divBdr>
                    <w:top w:val="none" w:sz="0" w:space="0" w:color="auto"/>
                    <w:left w:val="none" w:sz="0" w:space="0" w:color="auto"/>
                    <w:bottom w:val="none" w:sz="0" w:space="0" w:color="auto"/>
                    <w:right w:val="none" w:sz="0" w:space="0" w:color="auto"/>
                  </w:divBdr>
                  <w:divsChild>
                    <w:div w:id="1388066470">
                      <w:marLeft w:val="0"/>
                      <w:marRight w:val="0"/>
                      <w:marTop w:val="0"/>
                      <w:marBottom w:val="0"/>
                      <w:divBdr>
                        <w:top w:val="none" w:sz="0" w:space="0" w:color="auto"/>
                        <w:left w:val="none" w:sz="0" w:space="0" w:color="auto"/>
                        <w:bottom w:val="none" w:sz="0" w:space="0" w:color="auto"/>
                        <w:right w:val="none" w:sz="0" w:space="0" w:color="auto"/>
                      </w:divBdr>
                    </w:div>
                  </w:divsChild>
                </w:div>
                <w:div w:id="531772091">
                  <w:marLeft w:val="0"/>
                  <w:marRight w:val="0"/>
                  <w:marTop w:val="0"/>
                  <w:marBottom w:val="0"/>
                  <w:divBdr>
                    <w:top w:val="none" w:sz="0" w:space="0" w:color="auto"/>
                    <w:left w:val="none" w:sz="0" w:space="0" w:color="auto"/>
                    <w:bottom w:val="none" w:sz="0" w:space="0" w:color="auto"/>
                    <w:right w:val="none" w:sz="0" w:space="0" w:color="auto"/>
                  </w:divBdr>
                  <w:divsChild>
                    <w:div w:id="1034844773">
                      <w:marLeft w:val="0"/>
                      <w:marRight w:val="0"/>
                      <w:marTop w:val="0"/>
                      <w:marBottom w:val="0"/>
                      <w:divBdr>
                        <w:top w:val="none" w:sz="0" w:space="0" w:color="auto"/>
                        <w:left w:val="none" w:sz="0" w:space="0" w:color="auto"/>
                        <w:bottom w:val="none" w:sz="0" w:space="0" w:color="auto"/>
                        <w:right w:val="none" w:sz="0" w:space="0" w:color="auto"/>
                      </w:divBdr>
                    </w:div>
                  </w:divsChild>
                </w:div>
                <w:div w:id="594902027">
                  <w:marLeft w:val="0"/>
                  <w:marRight w:val="0"/>
                  <w:marTop w:val="0"/>
                  <w:marBottom w:val="0"/>
                  <w:divBdr>
                    <w:top w:val="none" w:sz="0" w:space="0" w:color="auto"/>
                    <w:left w:val="none" w:sz="0" w:space="0" w:color="auto"/>
                    <w:bottom w:val="none" w:sz="0" w:space="0" w:color="auto"/>
                    <w:right w:val="none" w:sz="0" w:space="0" w:color="auto"/>
                  </w:divBdr>
                  <w:divsChild>
                    <w:div w:id="1975718057">
                      <w:marLeft w:val="0"/>
                      <w:marRight w:val="0"/>
                      <w:marTop w:val="0"/>
                      <w:marBottom w:val="0"/>
                      <w:divBdr>
                        <w:top w:val="none" w:sz="0" w:space="0" w:color="auto"/>
                        <w:left w:val="none" w:sz="0" w:space="0" w:color="auto"/>
                        <w:bottom w:val="none" w:sz="0" w:space="0" w:color="auto"/>
                        <w:right w:val="none" w:sz="0" w:space="0" w:color="auto"/>
                      </w:divBdr>
                    </w:div>
                  </w:divsChild>
                </w:div>
                <w:div w:id="600797005">
                  <w:marLeft w:val="0"/>
                  <w:marRight w:val="0"/>
                  <w:marTop w:val="0"/>
                  <w:marBottom w:val="0"/>
                  <w:divBdr>
                    <w:top w:val="none" w:sz="0" w:space="0" w:color="auto"/>
                    <w:left w:val="none" w:sz="0" w:space="0" w:color="auto"/>
                    <w:bottom w:val="none" w:sz="0" w:space="0" w:color="auto"/>
                    <w:right w:val="none" w:sz="0" w:space="0" w:color="auto"/>
                  </w:divBdr>
                  <w:divsChild>
                    <w:div w:id="1529561357">
                      <w:marLeft w:val="0"/>
                      <w:marRight w:val="0"/>
                      <w:marTop w:val="0"/>
                      <w:marBottom w:val="0"/>
                      <w:divBdr>
                        <w:top w:val="none" w:sz="0" w:space="0" w:color="auto"/>
                        <w:left w:val="none" w:sz="0" w:space="0" w:color="auto"/>
                        <w:bottom w:val="none" w:sz="0" w:space="0" w:color="auto"/>
                        <w:right w:val="none" w:sz="0" w:space="0" w:color="auto"/>
                      </w:divBdr>
                    </w:div>
                  </w:divsChild>
                </w:div>
                <w:div w:id="636108072">
                  <w:marLeft w:val="0"/>
                  <w:marRight w:val="0"/>
                  <w:marTop w:val="0"/>
                  <w:marBottom w:val="0"/>
                  <w:divBdr>
                    <w:top w:val="none" w:sz="0" w:space="0" w:color="auto"/>
                    <w:left w:val="none" w:sz="0" w:space="0" w:color="auto"/>
                    <w:bottom w:val="none" w:sz="0" w:space="0" w:color="auto"/>
                    <w:right w:val="none" w:sz="0" w:space="0" w:color="auto"/>
                  </w:divBdr>
                  <w:divsChild>
                    <w:div w:id="786899004">
                      <w:marLeft w:val="0"/>
                      <w:marRight w:val="0"/>
                      <w:marTop w:val="0"/>
                      <w:marBottom w:val="0"/>
                      <w:divBdr>
                        <w:top w:val="none" w:sz="0" w:space="0" w:color="auto"/>
                        <w:left w:val="none" w:sz="0" w:space="0" w:color="auto"/>
                        <w:bottom w:val="none" w:sz="0" w:space="0" w:color="auto"/>
                        <w:right w:val="none" w:sz="0" w:space="0" w:color="auto"/>
                      </w:divBdr>
                    </w:div>
                  </w:divsChild>
                </w:div>
                <w:div w:id="675226909">
                  <w:marLeft w:val="0"/>
                  <w:marRight w:val="0"/>
                  <w:marTop w:val="0"/>
                  <w:marBottom w:val="0"/>
                  <w:divBdr>
                    <w:top w:val="none" w:sz="0" w:space="0" w:color="auto"/>
                    <w:left w:val="none" w:sz="0" w:space="0" w:color="auto"/>
                    <w:bottom w:val="none" w:sz="0" w:space="0" w:color="auto"/>
                    <w:right w:val="none" w:sz="0" w:space="0" w:color="auto"/>
                  </w:divBdr>
                  <w:divsChild>
                    <w:div w:id="1592424280">
                      <w:marLeft w:val="0"/>
                      <w:marRight w:val="0"/>
                      <w:marTop w:val="0"/>
                      <w:marBottom w:val="0"/>
                      <w:divBdr>
                        <w:top w:val="none" w:sz="0" w:space="0" w:color="auto"/>
                        <w:left w:val="none" w:sz="0" w:space="0" w:color="auto"/>
                        <w:bottom w:val="none" w:sz="0" w:space="0" w:color="auto"/>
                        <w:right w:val="none" w:sz="0" w:space="0" w:color="auto"/>
                      </w:divBdr>
                    </w:div>
                  </w:divsChild>
                </w:div>
                <w:div w:id="728261202">
                  <w:marLeft w:val="0"/>
                  <w:marRight w:val="0"/>
                  <w:marTop w:val="0"/>
                  <w:marBottom w:val="0"/>
                  <w:divBdr>
                    <w:top w:val="none" w:sz="0" w:space="0" w:color="auto"/>
                    <w:left w:val="none" w:sz="0" w:space="0" w:color="auto"/>
                    <w:bottom w:val="none" w:sz="0" w:space="0" w:color="auto"/>
                    <w:right w:val="none" w:sz="0" w:space="0" w:color="auto"/>
                  </w:divBdr>
                  <w:divsChild>
                    <w:div w:id="1210848355">
                      <w:marLeft w:val="0"/>
                      <w:marRight w:val="0"/>
                      <w:marTop w:val="0"/>
                      <w:marBottom w:val="0"/>
                      <w:divBdr>
                        <w:top w:val="none" w:sz="0" w:space="0" w:color="auto"/>
                        <w:left w:val="none" w:sz="0" w:space="0" w:color="auto"/>
                        <w:bottom w:val="none" w:sz="0" w:space="0" w:color="auto"/>
                        <w:right w:val="none" w:sz="0" w:space="0" w:color="auto"/>
                      </w:divBdr>
                    </w:div>
                  </w:divsChild>
                </w:div>
                <w:div w:id="795366088">
                  <w:marLeft w:val="0"/>
                  <w:marRight w:val="0"/>
                  <w:marTop w:val="0"/>
                  <w:marBottom w:val="0"/>
                  <w:divBdr>
                    <w:top w:val="none" w:sz="0" w:space="0" w:color="auto"/>
                    <w:left w:val="none" w:sz="0" w:space="0" w:color="auto"/>
                    <w:bottom w:val="none" w:sz="0" w:space="0" w:color="auto"/>
                    <w:right w:val="none" w:sz="0" w:space="0" w:color="auto"/>
                  </w:divBdr>
                  <w:divsChild>
                    <w:div w:id="1328827328">
                      <w:marLeft w:val="0"/>
                      <w:marRight w:val="0"/>
                      <w:marTop w:val="0"/>
                      <w:marBottom w:val="0"/>
                      <w:divBdr>
                        <w:top w:val="none" w:sz="0" w:space="0" w:color="auto"/>
                        <w:left w:val="none" w:sz="0" w:space="0" w:color="auto"/>
                        <w:bottom w:val="none" w:sz="0" w:space="0" w:color="auto"/>
                        <w:right w:val="none" w:sz="0" w:space="0" w:color="auto"/>
                      </w:divBdr>
                    </w:div>
                  </w:divsChild>
                </w:div>
                <w:div w:id="878934897">
                  <w:marLeft w:val="0"/>
                  <w:marRight w:val="0"/>
                  <w:marTop w:val="0"/>
                  <w:marBottom w:val="0"/>
                  <w:divBdr>
                    <w:top w:val="none" w:sz="0" w:space="0" w:color="auto"/>
                    <w:left w:val="none" w:sz="0" w:space="0" w:color="auto"/>
                    <w:bottom w:val="none" w:sz="0" w:space="0" w:color="auto"/>
                    <w:right w:val="none" w:sz="0" w:space="0" w:color="auto"/>
                  </w:divBdr>
                  <w:divsChild>
                    <w:div w:id="2034375053">
                      <w:marLeft w:val="0"/>
                      <w:marRight w:val="0"/>
                      <w:marTop w:val="0"/>
                      <w:marBottom w:val="0"/>
                      <w:divBdr>
                        <w:top w:val="none" w:sz="0" w:space="0" w:color="auto"/>
                        <w:left w:val="none" w:sz="0" w:space="0" w:color="auto"/>
                        <w:bottom w:val="none" w:sz="0" w:space="0" w:color="auto"/>
                        <w:right w:val="none" w:sz="0" w:space="0" w:color="auto"/>
                      </w:divBdr>
                    </w:div>
                  </w:divsChild>
                </w:div>
                <w:div w:id="1043748519">
                  <w:marLeft w:val="0"/>
                  <w:marRight w:val="0"/>
                  <w:marTop w:val="0"/>
                  <w:marBottom w:val="0"/>
                  <w:divBdr>
                    <w:top w:val="none" w:sz="0" w:space="0" w:color="auto"/>
                    <w:left w:val="none" w:sz="0" w:space="0" w:color="auto"/>
                    <w:bottom w:val="none" w:sz="0" w:space="0" w:color="auto"/>
                    <w:right w:val="none" w:sz="0" w:space="0" w:color="auto"/>
                  </w:divBdr>
                  <w:divsChild>
                    <w:div w:id="999963807">
                      <w:marLeft w:val="0"/>
                      <w:marRight w:val="0"/>
                      <w:marTop w:val="0"/>
                      <w:marBottom w:val="0"/>
                      <w:divBdr>
                        <w:top w:val="none" w:sz="0" w:space="0" w:color="auto"/>
                        <w:left w:val="none" w:sz="0" w:space="0" w:color="auto"/>
                        <w:bottom w:val="none" w:sz="0" w:space="0" w:color="auto"/>
                        <w:right w:val="none" w:sz="0" w:space="0" w:color="auto"/>
                      </w:divBdr>
                    </w:div>
                  </w:divsChild>
                </w:div>
                <w:div w:id="1240939177">
                  <w:marLeft w:val="0"/>
                  <w:marRight w:val="0"/>
                  <w:marTop w:val="0"/>
                  <w:marBottom w:val="0"/>
                  <w:divBdr>
                    <w:top w:val="none" w:sz="0" w:space="0" w:color="auto"/>
                    <w:left w:val="none" w:sz="0" w:space="0" w:color="auto"/>
                    <w:bottom w:val="none" w:sz="0" w:space="0" w:color="auto"/>
                    <w:right w:val="none" w:sz="0" w:space="0" w:color="auto"/>
                  </w:divBdr>
                  <w:divsChild>
                    <w:div w:id="2076850392">
                      <w:marLeft w:val="0"/>
                      <w:marRight w:val="0"/>
                      <w:marTop w:val="0"/>
                      <w:marBottom w:val="0"/>
                      <w:divBdr>
                        <w:top w:val="none" w:sz="0" w:space="0" w:color="auto"/>
                        <w:left w:val="none" w:sz="0" w:space="0" w:color="auto"/>
                        <w:bottom w:val="none" w:sz="0" w:space="0" w:color="auto"/>
                        <w:right w:val="none" w:sz="0" w:space="0" w:color="auto"/>
                      </w:divBdr>
                    </w:div>
                  </w:divsChild>
                </w:div>
                <w:div w:id="1251767336">
                  <w:marLeft w:val="0"/>
                  <w:marRight w:val="0"/>
                  <w:marTop w:val="0"/>
                  <w:marBottom w:val="0"/>
                  <w:divBdr>
                    <w:top w:val="none" w:sz="0" w:space="0" w:color="auto"/>
                    <w:left w:val="none" w:sz="0" w:space="0" w:color="auto"/>
                    <w:bottom w:val="none" w:sz="0" w:space="0" w:color="auto"/>
                    <w:right w:val="none" w:sz="0" w:space="0" w:color="auto"/>
                  </w:divBdr>
                  <w:divsChild>
                    <w:div w:id="1612593401">
                      <w:marLeft w:val="0"/>
                      <w:marRight w:val="0"/>
                      <w:marTop w:val="0"/>
                      <w:marBottom w:val="0"/>
                      <w:divBdr>
                        <w:top w:val="none" w:sz="0" w:space="0" w:color="auto"/>
                        <w:left w:val="none" w:sz="0" w:space="0" w:color="auto"/>
                        <w:bottom w:val="none" w:sz="0" w:space="0" w:color="auto"/>
                        <w:right w:val="none" w:sz="0" w:space="0" w:color="auto"/>
                      </w:divBdr>
                    </w:div>
                  </w:divsChild>
                </w:div>
                <w:div w:id="1264802094">
                  <w:marLeft w:val="0"/>
                  <w:marRight w:val="0"/>
                  <w:marTop w:val="0"/>
                  <w:marBottom w:val="0"/>
                  <w:divBdr>
                    <w:top w:val="none" w:sz="0" w:space="0" w:color="auto"/>
                    <w:left w:val="none" w:sz="0" w:space="0" w:color="auto"/>
                    <w:bottom w:val="none" w:sz="0" w:space="0" w:color="auto"/>
                    <w:right w:val="none" w:sz="0" w:space="0" w:color="auto"/>
                  </w:divBdr>
                  <w:divsChild>
                    <w:div w:id="2101103827">
                      <w:marLeft w:val="0"/>
                      <w:marRight w:val="0"/>
                      <w:marTop w:val="0"/>
                      <w:marBottom w:val="0"/>
                      <w:divBdr>
                        <w:top w:val="none" w:sz="0" w:space="0" w:color="auto"/>
                        <w:left w:val="none" w:sz="0" w:space="0" w:color="auto"/>
                        <w:bottom w:val="none" w:sz="0" w:space="0" w:color="auto"/>
                        <w:right w:val="none" w:sz="0" w:space="0" w:color="auto"/>
                      </w:divBdr>
                    </w:div>
                  </w:divsChild>
                </w:div>
                <w:div w:id="1399866675">
                  <w:marLeft w:val="0"/>
                  <w:marRight w:val="0"/>
                  <w:marTop w:val="0"/>
                  <w:marBottom w:val="0"/>
                  <w:divBdr>
                    <w:top w:val="none" w:sz="0" w:space="0" w:color="auto"/>
                    <w:left w:val="none" w:sz="0" w:space="0" w:color="auto"/>
                    <w:bottom w:val="none" w:sz="0" w:space="0" w:color="auto"/>
                    <w:right w:val="none" w:sz="0" w:space="0" w:color="auto"/>
                  </w:divBdr>
                  <w:divsChild>
                    <w:div w:id="94907914">
                      <w:marLeft w:val="0"/>
                      <w:marRight w:val="0"/>
                      <w:marTop w:val="0"/>
                      <w:marBottom w:val="0"/>
                      <w:divBdr>
                        <w:top w:val="none" w:sz="0" w:space="0" w:color="auto"/>
                        <w:left w:val="none" w:sz="0" w:space="0" w:color="auto"/>
                        <w:bottom w:val="none" w:sz="0" w:space="0" w:color="auto"/>
                        <w:right w:val="none" w:sz="0" w:space="0" w:color="auto"/>
                      </w:divBdr>
                    </w:div>
                  </w:divsChild>
                </w:div>
                <w:div w:id="1427261885">
                  <w:marLeft w:val="0"/>
                  <w:marRight w:val="0"/>
                  <w:marTop w:val="0"/>
                  <w:marBottom w:val="0"/>
                  <w:divBdr>
                    <w:top w:val="none" w:sz="0" w:space="0" w:color="auto"/>
                    <w:left w:val="none" w:sz="0" w:space="0" w:color="auto"/>
                    <w:bottom w:val="none" w:sz="0" w:space="0" w:color="auto"/>
                    <w:right w:val="none" w:sz="0" w:space="0" w:color="auto"/>
                  </w:divBdr>
                  <w:divsChild>
                    <w:div w:id="457145301">
                      <w:marLeft w:val="0"/>
                      <w:marRight w:val="0"/>
                      <w:marTop w:val="0"/>
                      <w:marBottom w:val="0"/>
                      <w:divBdr>
                        <w:top w:val="none" w:sz="0" w:space="0" w:color="auto"/>
                        <w:left w:val="none" w:sz="0" w:space="0" w:color="auto"/>
                        <w:bottom w:val="none" w:sz="0" w:space="0" w:color="auto"/>
                        <w:right w:val="none" w:sz="0" w:space="0" w:color="auto"/>
                      </w:divBdr>
                    </w:div>
                  </w:divsChild>
                </w:div>
                <w:div w:id="1578519136">
                  <w:marLeft w:val="0"/>
                  <w:marRight w:val="0"/>
                  <w:marTop w:val="0"/>
                  <w:marBottom w:val="0"/>
                  <w:divBdr>
                    <w:top w:val="none" w:sz="0" w:space="0" w:color="auto"/>
                    <w:left w:val="none" w:sz="0" w:space="0" w:color="auto"/>
                    <w:bottom w:val="none" w:sz="0" w:space="0" w:color="auto"/>
                    <w:right w:val="none" w:sz="0" w:space="0" w:color="auto"/>
                  </w:divBdr>
                  <w:divsChild>
                    <w:div w:id="1233661120">
                      <w:marLeft w:val="0"/>
                      <w:marRight w:val="0"/>
                      <w:marTop w:val="0"/>
                      <w:marBottom w:val="0"/>
                      <w:divBdr>
                        <w:top w:val="none" w:sz="0" w:space="0" w:color="auto"/>
                        <w:left w:val="none" w:sz="0" w:space="0" w:color="auto"/>
                        <w:bottom w:val="none" w:sz="0" w:space="0" w:color="auto"/>
                        <w:right w:val="none" w:sz="0" w:space="0" w:color="auto"/>
                      </w:divBdr>
                    </w:div>
                  </w:divsChild>
                </w:div>
                <w:div w:id="1601908639">
                  <w:marLeft w:val="0"/>
                  <w:marRight w:val="0"/>
                  <w:marTop w:val="0"/>
                  <w:marBottom w:val="0"/>
                  <w:divBdr>
                    <w:top w:val="none" w:sz="0" w:space="0" w:color="auto"/>
                    <w:left w:val="none" w:sz="0" w:space="0" w:color="auto"/>
                    <w:bottom w:val="none" w:sz="0" w:space="0" w:color="auto"/>
                    <w:right w:val="none" w:sz="0" w:space="0" w:color="auto"/>
                  </w:divBdr>
                  <w:divsChild>
                    <w:div w:id="1401253631">
                      <w:marLeft w:val="0"/>
                      <w:marRight w:val="0"/>
                      <w:marTop w:val="0"/>
                      <w:marBottom w:val="0"/>
                      <w:divBdr>
                        <w:top w:val="none" w:sz="0" w:space="0" w:color="auto"/>
                        <w:left w:val="none" w:sz="0" w:space="0" w:color="auto"/>
                        <w:bottom w:val="none" w:sz="0" w:space="0" w:color="auto"/>
                        <w:right w:val="none" w:sz="0" w:space="0" w:color="auto"/>
                      </w:divBdr>
                    </w:div>
                  </w:divsChild>
                </w:div>
                <w:div w:id="1639532170">
                  <w:marLeft w:val="0"/>
                  <w:marRight w:val="0"/>
                  <w:marTop w:val="0"/>
                  <w:marBottom w:val="0"/>
                  <w:divBdr>
                    <w:top w:val="none" w:sz="0" w:space="0" w:color="auto"/>
                    <w:left w:val="none" w:sz="0" w:space="0" w:color="auto"/>
                    <w:bottom w:val="none" w:sz="0" w:space="0" w:color="auto"/>
                    <w:right w:val="none" w:sz="0" w:space="0" w:color="auto"/>
                  </w:divBdr>
                  <w:divsChild>
                    <w:div w:id="270354563">
                      <w:marLeft w:val="0"/>
                      <w:marRight w:val="0"/>
                      <w:marTop w:val="0"/>
                      <w:marBottom w:val="0"/>
                      <w:divBdr>
                        <w:top w:val="none" w:sz="0" w:space="0" w:color="auto"/>
                        <w:left w:val="none" w:sz="0" w:space="0" w:color="auto"/>
                        <w:bottom w:val="none" w:sz="0" w:space="0" w:color="auto"/>
                        <w:right w:val="none" w:sz="0" w:space="0" w:color="auto"/>
                      </w:divBdr>
                    </w:div>
                  </w:divsChild>
                </w:div>
                <w:div w:id="1743525142">
                  <w:marLeft w:val="0"/>
                  <w:marRight w:val="0"/>
                  <w:marTop w:val="0"/>
                  <w:marBottom w:val="0"/>
                  <w:divBdr>
                    <w:top w:val="none" w:sz="0" w:space="0" w:color="auto"/>
                    <w:left w:val="none" w:sz="0" w:space="0" w:color="auto"/>
                    <w:bottom w:val="none" w:sz="0" w:space="0" w:color="auto"/>
                    <w:right w:val="none" w:sz="0" w:space="0" w:color="auto"/>
                  </w:divBdr>
                  <w:divsChild>
                    <w:div w:id="592010569">
                      <w:marLeft w:val="0"/>
                      <w:marRight w:val="0"/>
                      <w:marTop w:val="0"/>
                      <w:marBottom w:val="0"/>
                      <w:divBdr>
                        <w:top w:val="none" w:sz="0" w:space="0" w:color="auto"/>
                        <w:left w:val="none" w:sz="0" w:space="0" w:color="auto"/>
                        <w:bottom w:val="none" w:sz="0" w:space="0" w:color="auto"/>
                        <w:right w:val="none" w:sz="0" w:space="0" w:color="auto"/>
                      </w:divBdr>
                    </w:div>
                  </w:divsChild>
                </w:div>
                <w:div w:id="1778721137">
                  <w:marLeft w:val="0"/>
                  <w:marRight w:val="0"/>
                  <w:marTop w:val="0"/>
                  <w:marBottom w:val="0"/>
                  <w:divBdr>
                    <w:top w:val="none" w:sz="0" w:space="0" w:color="auto"/>
                    <w:left w:val="none" w:sz="0" w:space="0" w:color="auto"/>
                    <w:bottom w:val="none" w:sz="0" w:space="0" w:color="auto"/>
                    <w:right w:val="none" w:sz="0" w:space="0" w:color="auto"/>
                  </w:divBdr>
                  <w:divsChild>
                    <w:div w:id="1982491651">
                      <w:marLeft w:val="0"/>
                      <w:marRight w:val="0"/>
                      <w:marTop w:val="0"/>
                      <w:marBottom w:val="0"/>
                      <w:divBdr>
                        <w:top w:val="none" w:sz="0" w:space="0" w:color="auto"/>
                        <w:left w:val="none" w:sz="0" w:space="0" w:color="auto"/>
                        <w:bottom w:val="none" w:sz="0" w:space="0" w:color="auto"/>
                        <w:right w:val="none" w:sz="0" w:space="0" w:color="auto"/>
                      </w:divBdr>
                    </w:div>
                  </w:divsChild>
                </w:div>
                <w:div w:id="1809279538">
                  <w:marLeft w:val="0"/>
                  <w:marRight w:val="0"/>
                  <w:marTop w:val="0"/>
                  <w:marBottom w:val="0"/>
                  <w:divBdr>
                    <w:top w:val="none" w:sz="0" w:space="0" w:color="auto"/>
                    <w:left w:val="none" w:sz="0" w:space="0" w:color="auto"/>
                    <w:bottom w:val="none" w:sz="0" w:space="0" w:color="auto"/>
                    <w:right w:val="none" w:sz="0" w:space="0" w:color="auto"/>
                  </w:divBdr>
                  <w:divsChild>
                    <w:div w:id="1656568412">
                      <w:marLeft w:val="0"/>
                      <w:marRight w:val="0"/>
                      <w:marTop w:val="0"/>
                      <w:marBottom w:val="0"/>
                      <w:divBdr>
                        <w:top w:val="none" w:sz="0" w:space="0" w:color="auto"/>
                        <w:left w:val="none" w:sz="0" w:space="0" w:color="auto"/>
                        <w:bottom w:val="none" w:sz="0" w:space="0" w:color="auto"/>
                        <w:right w:val="none" w:sz="0" w:space="0" w:color="auto"/>
                      </w:divBdr>
                    </w:div>
                  </w:divsChild>
                </w:div>
                <w:div w:id="1990748367">
                  <w:marLeft w:val="0"/>
                  <w:marRight w:val="0"/>
                  <w:marTop w:val="0"/>
                  <w:marBottom w:val="0"/>
                  <w:divBdr>
                    <w:top w:val="none" w:sz="0" w:space="0" w:color="auto"/>
                    <w:left w:val="none" w:sz="0" w:space="0" w:color="auto"/>
                    <w:bottom w:val="none" w:sz="0" w:space="0" w:color="auto"/>
                    <w:right w:val="none" w:sz="0" w:space="0" w:color="auto"/>
                  </w:divBdr>
                  <w:divsChild>
                    <w:div w:id="367294482">
                      <w:marLeft w:val="0"/>
                      <w:marRight w:val="0"/>
                      <w:marTop w:val="0"/>
                      <w:marBottom w:val="0"/>
                      <w:divBdr>
                        <w:top w:val="none" w:sz="0" w:space="0" w:color="auto"/>
                        <w:left w:val="none" w:sz="0" w:space="0" w:color="auto"/>
                        <w:bottom w:val="none" w:sz="0" w:space="0" w:color="auto"/>
                        <w:right w:val="none" w:sz="0" w:space="0" w:color="auto"/>
                      </w:divBdr>
                    </w:div>
                  </w:divsChild>
                </w:div>
                <w:div w:id="1993438835">
                  <w:marLeft w:val="0"/>
                  <w:marRight w:val="0"/>
                  <w:marTop w:val="0"/>
                  <w:marBottom w:val="0"/>
                  <w:divBdr>
                    <w:top w:val="none" w:sz="0" w:space="0" w:color="auto"/>
                    <w:left w:val="none" w:sz="0" w:space="0" w:color="auto"/>
                    <w:bottom w:val="none" w:sz="0" w:space="0" w:color="auto"/>
                    <w:right w:val="none" w:sz="0" w:space="0" w:color="auto"/>
                  </w:divBdr>
                  <w:divsChild>
                    <w:div w:id="235091344">
                      <w:marLeft w:val="0"/>
                      <w:marRight w:val="0"/>
                      <w:marTop w:val="0"/>
                      <w:marBottom w:val="0"/>
                      <w:divBdr>
                        <w:top w:val="none" w:sz="0" w:space="0" w:color="auto"/>
                        <w:left w:val="none" w:sz="0" w:space="0" w:color="auto"/>
                        <w:bottom w:val="none" w:sz="0" w:space="0" w:color="auto"/>
                        <w:right w:val="none" w:sz="0" w:space="0" w:color="auto"/>
                      </w:divBdr>
                    </w:div>
                  </w:divsChild>
                </w:div>
                <w:div w:id="2057662776">
                  <w:marLeft w:val="0"/>
                  <w:marRight w:val="0"/>
                  <w:marTop w:val="0"/>
                  <w:marBottom w:val="0"/>
                  <w:divBdr>
                    <w:top w:val="none" w:sz="0" w:space="0" w:color="auto"/>
                    <w:left w:val="none" w:sz="0" w:space="0" w:color="auto"/>
                    <w:bottom w:val="none" w:sz="0" w:space="0" w:color="auto"/>
                    <w:right w:val="none" w:sz="0" w:space="0" w:color="auto"/>
                  </w:divBdr>
                  <w:divsChild>
                    <w:div w:id="200180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515108">
      <w:bodyDiv w:val="1"/>
      <w:marLeft w:val="0"/>
      <w:marRight w:val="0"/>
      <w:marTop w:val="0"/>
      <w:marBottom w:val="0"/>
      <w:divBdr>
        <w:top w:val="none" w:sz="0" w:space="0" w:color="auto"/>
        <w:left w:val="none" w:sz="0" w:space="0" w:color="auto"/>
        <w:bottom w:val="none" w:sz="0" w:space="0" w:color="auto"/>
        <w:right w:val="none" w:sz="0" w:space="0" w:color="auto"/>
      </w:divBdr>
    </w:div>
    <w:div w:id="238563706">
      <w:bodyDiv w:val="1"/>
      <w:marLeft w:val="0"/>
      <w:marRight w:val="0"/>
      <w:marTop w:val="0"/>
      <w:marBottom w:val="0"/>
      <w:divBdr>
        <w:top w:val="none" w:sz="0" w:space="0" w:color="auto"/>
        <w:left w:val="none" w:sz="0" w:space="0" w:color="auto"/>
        <w:bottom w:val="none" w:sz="0" w:space="0" w:color="auto"/>
        <w:right w:val="none" w:sz="0" w:space="0" w:color="auto"/>
      </w:divBdr>
    </w:div>
    <w:div w:id="352347433">
      <w:bodyDiv w:val="1"/>
      <w:marLeft w:val="0"/>
      <w:marRight w:val="0"/>
      <w:marTop w:val="0"/>
      <w:marBottom w:val="0"/>
      <w:divBdr>
        <w:top w:val="none" w:sz="0" w:space="0" w:color="auto"/>
        <w:left w:val="none" w:sz="0" w:space="0" w:color="auto"/>
        <w:bottom w:val="none" w:sz="0" w:space="0" w:color="auto"/>
        <w:right w:val="none" w:sz="0" w:space="0" w:color="auto"/>
      </w:divBdr>
    </w:div>
    <w:div w:id="354229598">
      <w:bodyDiv w:val="1"/>
      <w:marLeft w:val="0"/>
      <w:marRight w:val="0"/>
      <w:marTop w:val="0"/>
      <w:marBottom w:val="0"/>
      <w:divBdr>
        <w:top w:val="none" w:sz="0" w:space="0" w:color="auto"/>
        <w:left w:val="none" w:sz="0" w:space="0" w:color="auto"/>
        <w:bottom w:val="none" w:sz="0" w:space="0" w:color="auto"/>
        <w:right w:val="none" w:sz="0" w:space="0" w:color="auto"/>
      </w:divBdr>
    </w:div>
    <w:div w:id="373702872">
      <w:bodyDiv w:val="1"/>
      <w:marLeft w:val="0"/>
      <w:marRight w:val="0"/>
      <w:marTop w:val="0"/>
      <w:marBottom w:val="0"/>
      <w:divBdr>
        <w:top w:val="none" w:sz="0" w:space="0" w:color="auto"/>
        <w:left w:val="none" w:sz="0" w:space="0" w:color="auto"/>
        <w:bottom w:val="none" w:sz="0" w:space="0" w:color="auto"/>
        <w:right w:val="none" w:sz="0" w:space="0" w:color="auto"/>
      </w:divBdr>
    </w:div>
    <w:div w:id="396586451">
      <w:bodyDiv w:val="1"/>
      <w:marLeft w:val="0"/>
      <w:marRight w:val="0"/>
      <w:marTop w:val="0"/>
      <w:marBottom w:val="0"/>
      <w:divBdr>
        <w:top w:val="none" w:sz="0" w:space="0" w:color="auto"/>
        <w:left w:val="none" w:sz="0" w:space="0" w:color="auto"/>
        <w:bottom w:val="none" w:sz="0" w:space="0" w:color="auto"/>
        <w:right w:val="none" w:sz="0" w:space="0" w:color="auto"/>
      </w:divBdr>
    </w:div>
    <w:div w:id="480317950">
      <w:bodyDiv w:val="1"/>
      <w:marLeft w:val="0"/>
      <w:marRight w:val="0"/>
      <w:marTop w:val="0"/>
      <w:marBottom w:val="0"/>
      <w:divBdr>
        <w:top w:val="none" w:sz="0" w:space="0" w:color="auto"/>
        <w:left w:val="none" w:sz="0" w:space="0" w:color="auto"/>
        <w:bottom w:val="none" w:sz="0" w:space="0" w:color="auto"/>
        <w:right w:val="none" w:sz="0" w:space="0" w:color="auto"/>
      </w:divBdr>
    </w:div>
    <w:div w:id="518469458">
      <w:bodyDiv w:val="1"/>
      <w:marLeft w:val="0"/>
      <w:marRight w:val="0"/>
      <w:marTop w:val="0"/>
      <w:marBottom w:val="0"/>
      <w:divBdr>
        <w:top w:val="none" w:sz="0" w:space="0" w:color="auto"/>
        <w:left w:val="none" w:sz="0" w:space="0" w:color="auto"/>
        <w:bottom w:val="none" w:sz="0" w:space="0" w:color="auto"/>
        <w:right w:val="none" w:sz="0" w:space="0" w:color="auto"/>
      </w:divBdr>
    </w:div>
    <w:div w:id="582640462">
      <w:bodyDiv w:val="1"/>
      <w:marLeft w:val="0"/>
      <w:marRight w:val="0"/>
      <w:marTop w:val="0"/>
      <w:marBottom w:val="0"/>
      <w:divBdr>
        <w:top w:val="none" w:sz="0" w:space="0" w:color="auto"/>
        <w:left w:val="none" w:sz="0" w:space="0" w:color="auto"/>
        <w:bottom w:val="none" w:sz="0" w:space="0" w:color="auto"/>
        <w:right w:val="none" w:sz="0" w:space="0" w:color="auto"/>
      </w:divBdr>
    </w:div>
    <w:div w:id="585380679">
      <w:bodyDiv w:val="1"/>
      <w:marLeft w:val="0"/>
      <w:marRight w:val="0"/>
      <w:marTop w:val="0"/>
      <w:marBottom w:val="0"/>
      <w:divBdr>
        <w:top w:val="none" w:sz="0" w:space="0" w:color="auto"/>
        <w:left w:val="none" w:sz="0" w:space="0" w:color="auto"/>
        <w:bottom w:val="none" w:sz="0" w:space="0" w:color="auto"/>
        <w:right w:val="none" w:sz="0" w:space="0" w:color="auto"/>
      </w:divBdr>
    </w:div>
    <w:div w:id="618999807">
      <w:bodyDiv w:val="1"/>
      <w:marLeft w:val="0"/>
      <w:marRight w:val="0"/>
      <w:marTop w:val="0"/>
      <w:marBottom w:val="0"/>
      <w:divBdr>
        <w:top w:val="none" w:sz="0" w:space="0" w:color="auto"/>
        <w:left w:val="none" w:sz="0" w:space="0" w:color="auto"/>
        <w:bottom w:val="none" w:sz="0" w:space="0" w:color="auto"/>
        <w:right w:val="none" w:sz="0" w:space="0" w:color="auto"/>
      </w:divBdr>
    </w:div>
    <w:div w:id="689263682">
      <w:bodyDiv w:val="1"/>
      <w:marLeft w:val="0"/>
      <w:marRight w:val="0"/>
      <w:marTop w:val="0"/>
      <w:marBottom w:val="0"/>
      <w:divBdr>
        <w:top w:val="none" w:sz="0" w:space="0" w:color="auto"/>
        <w:left w:val="none" w:sz="0" w:space="0" w:color="auto"/>
        <w:bottom w:val="none" w:sz="0" w:space="0" w:color="auto"/>
        <w:right w:val="none" w:sz="0" w:space="0" w:color="auto"/>
      </w:divBdr>
    </w:div>
    <w:div w:id="712655354">
      <w:bodyDiv w:val="1"/>
      <w:marLeft w:val="0"/>
      <w:marRight w:val="0"/>
      <w:marTop w:val="0"/>
      <w:marBottom w:val="0"/>
      <w:divBdr>
        <w:top w:val="none" w:sz="0" w:space="0" w:color="auto"/>
        <w:left w:val="none" w:sz="0" w:space="0" w:color="auto"/>
        <w:bottom w:val="none" w:sz="0" w:space="0" w:color="auto"/>
        <w:right w:val="none" w:sz="0" w:space="0" w:color="auto"/>
      </w:divBdr>
    </w:div>
    <w:div w:id="723262331">
      <w:bodyDiv w:val="1"/>
      <w:marLeft w:val="0"/>
      <w:marRight w:val="0"/>
      <w:marTop w:val="0"/>
      <w:marBottom w:val="0"/>
      <w:divBdr>
        <w:top w:val="none" w:sz="0" w:space="0" w:color="auto"/>
        <w:left w:val="none" w:sz="0" w:space="0" w:color="auto"/>
        <w:bottom w:val="none" w:sz="0" w:space="0" w:color="auto"/>
        <w:right w:val="none" w:sz="0" w:space="0" w:color="auto"/>
      </w:divBdr>
    </w:div>
    <w:div w:id="749929087">
      <w:bodyDiv w:val="1"/>
      <w:marLeft w:val="0"/>
      <w:marRight w:val="0"/>
      <w:marTop w:val="0"/>
      <w:marBottom w:val="0"/>
      <w:divBdr>
        <w:top w:val="none" w:sz="0" w:space="0" w:color="auto"/>
        <w:left w:val="none" w:sz="0" w:space="0" w:color="auto"/>
        <w:bottom w:val="none" w:sz="0" w:space="0" w:color="auto"/>
        <w:right w:val="none" w:sz="0" w:space="0" w:color="auto"/>
      </w:divBdr>
    </w:div>
    <w:div w:id="767114079">
      <w:bodyDiv w:val="1"/>
      <w:marLeft w:val="0"/>
      <w:marRight w:val="0"/>
      <w:marTop w:val="0"/>
      <w:marBottom w:val="0"/>
      <w:divBdr>
        <w:top w:val="none" w:sz="0" w:space="0" w:color="auto"/>
        <w:left w:val="none" w:sz="0" w:space="0" w:color="auto"/>
        <w:bottom w:val="none" w:sz="0" w:space="0" w:color="auto"/>
        <w:right w:val="none" w:sz="0" w:space="0" w:color="auto"/>
      </w:divBdr>
    </w:div>
    <w:div w:id="801770373">
      <w:bodyDiv w:val="1"/>
      <w:marLeft w:val="0"/>
      <w:marRight w:val="0"/>
      <w:marTop w:val="0"/>
      <w:marBottom w:val="0"/>
      <w:divBdr>
        <w:top w:val="none" w:sz="0" w:space="0" w:color="auto"/>
        <w:left w:val="none" w:sz="0" w:space="0" w:color="auto"/>
        <w:bottom w:val="none" w:sz="0" w:space="0" w:color="auto"/>
        <w:right w:val="none" w:sz="0" w:space="0" w:color="auto"/>
      </w:divBdr>
    </w:div>
    <w:div w:id="817376707">
      <w:bodyDiv w:val="1"/>
      <w:marLeft w:val="0"/>
      <w:marRight w:val="0"/>
      <w:marTop w:val="0"/>
      <w:marBottom w:val="0"/>
      <w:divBdr>
        <w:top w:val="none" w:sz="0" w:space="0" w:color="auto"/>
        <w:left w:val="none" w:sz="0" w:space="0" w:color="auto"/>
        <w:bottom w:val="none" w:sz="0" w:space="0" w:color="auto"/>
        <w:right w:val="none" w:sz="0" w:space="0" w:color="auto"/>
      </w:divBdr>
    </w:div>
    <w:div w:id="822892517">
      <w:bodyDiv w:val="1"/>
      <w:marLeft w:val="0"/>
      <w:marRight w:val="0"/>
      <w:marTop w:val="0"/>
      <w:marBottom w:val="0"/>
      <w:divBdr>
        <w:top w:val="none" w:sz="0" w:space="0" w:color="auto"/>
        <w:left w:val="none" w:sz="0" w:space="0" w:color="auto"/>
        <w:bottom w:val="none" w:sz="0" w:space="0" w:color="auto"/>
        <w:right w:val="none" w:sz="0" w:space="0" w:color="auto"/>
      </w:divBdr>
    </w:div>
    <w:div w:id="871655549">
      <w:bodyDiv w:val="1"/>
      <w:marLeft w:val="0"/>
      <w:marRight w:val="0"/>
      <w:marTop w:val="0"/>
      <w:marBottom w:val="0"/>
      <w:divBdr>
        <w:top w:val="none" w:sz="0" w:space="0" w:color="auto"/>
        <w:left w:val="none" w:sz="0" w:space="0" w:color="auto"/>
        <w:bottom w:val="none" w:sz="0" w:space="0" w:color="auto"/>
        <w:right w:val="none" w:sz="0" w:space="0" w:color="auto"/>
      </w:divBdr>
    </w:div>
    <w:div w:id="888155233">
      <w:bodyDiv w:val="1"/>
      <w:marLeft w:val="0"/>
      <w:marRight w:val="0"/>
      <w:marTop w:val="0"/>
      <w:marBottom w:val="0"/>
      <w:divBdr>
        <w:top w:val="none" w:sz="0" w:space="0" w:color="auto"/>
        <w:left w:val="none" w:sz="0" w:space="0" w:color="auto"/>
        <w:bottom w:val="none" w:sz="0" w:space="0" w:color="auto"/>
        <w:right w:val="none" w:sz="0" w:space="0" w:color="auto"/>
      </w:divBdr>
    </w:div>
    <w:div w:id="898129485">
      <w:bodyDiv w:val="1"/>
      <w:marLeft w:val="0"/>
      <w:marRight w:val="0"/>
      <w:marTop w:val="0"/>
      <w:marBottom w:val="0"/>
      <w:divBdr>
        <w:top w:val="none" w:sz="0" w:space="0" w:color="auto"/>
        <w:left w:val="none" w:sz="0" w:space="0" w:color="auto"/>
        <w:bottom w:val="none" w:sz="0" w:space="0" w:color="auto"/>
        <w:right w:val="none" w:sz="0" w:space="0" w:color="auto"/>
      </w:divBdr>
    </w:div>
    <w:div w:id="922910050">
      <w:bodyDiv w:val="1"/>
      <w:marLeft w:val="0"/>
      <w:marRight w:val="0"/>
      <w:marTop w:val="0"/>
      <w:marBottom w:val="0"/>
      <w:divBdr>
        <w:top w:val="none" w:sz="0" w:space="0" w:color="auto"/>
        <w:left w:val="none" w:sz="0" w:space="0" w:color="auto"/>
        <w:bottom w:val="none" w:sz="0" w:space="0" w:color="auto"/>
        <w:right w:val="none" w:sz="0" w:space="0" w:color="auto"/>
      </w:divBdr>
    </w:div>
    <w:div w:id="924727223">
      <w:bodyDiv w:val="1"/>
      <w:marLeft w:val="0"/>
      <w:marRight w:val="0"/>
      <w:marTop w:val="0"/>
      <w:marBottom w:val="0"/>
      <w:divBdr>
        <w:top w:val="none" w:sz="0" w:space="0" w:color="auto"/>
        <w:left w:val="none" w:sz="0" w:space="0" w:color="auto"/>
        <w:bottom w:val="none" w:sz="0" w:space="0" w:color="auto"/>
        <w:right w:val="none" w:sz="0" w:space="0" w:color="auto"/>
      </w:divBdr>
    </w:div>
    <w:div w:id="952052456">
      <w:bodyDiv w:val="1"/>
      <w:marLeft w:val="0"/>
      <w:marRight w:val="0"/>
      <w:marTop w:val="0"/>
      <w:marBottom w:val="0"/>
      <w:divBdr>
        <w:top w:val="none" w:sz="0" w:space="0" w:color="auto"/>
        <w:left w:val="none" w:sz="0" w:space="0" w:color="auto"/>
        <w:bottom w:val="none" w:sz="0" w:space="0" w:color="auto"/>
        <w:right w:val="none" w:sz="0" w:space="0" w:color="auto"/>
      </w:divBdr>
    </w:div>
    <w:div w:id="982390770">
      <w:bodyDiv w:val="1"/>
      <w:marLeft w:val="0"/>
      <w:marRight w:val="0"/>
      <w:marTop w:val="0"/>
      <w:marBottom w:val="0"/>
      <w:divBdr>
        <w:top w:val="none" w:sz="0" w:space="0" w:color="auto"/>
        <w:left w:val="none" w:sz="0" w:space="0" w:color="auto"/>
        <w:bottom w:val="none" w:sz="0" w:space="0" w:color="auto"/>
        <w:right w:val="none" w:sz="0" w:space="0" w:color="auto"/>
      </w:divBdr>
    </w:div>
    <w:div w:id="1031609817">
      <w:bodyDiv w:val="1"/>
      <w:marLeft w:val="0"/>
      <w:marRight w:val="0"/>
      <w:marTop w:val="0"/>
      <w:marBottom w:val="0"/>
      <w:divBdr>
        <w:top w:val="none" w:sz="0" w:space="0" w:color="auto"/>
        <w:left w:val="none" w:sz="0" w:space="0" w:color="auto"/>
        <w:bottom w:val="none" w:sz="0" w:space="0" w:color="auto"/>
        <w:right w:val="none" w:sz="0" w:space="0" w:color="auto"/>
      </w:divBdr>
    </w:div>
    <w:div w:id="1047870693">
      <w:bodyDiv w:val="1"/>
      <w:marLeft w:val="0"/>
      <w:marRight w:val="0"/>
      <w:marTop w:val="0"/>
      <w:marBottom w:val="0"/>
      <w:divBdr>
        <w:top w:val="none" w:sz="0" w:space="0" w:color="auto"/>
        <w:left w:val="none" w:sz="0" w:space="0" w:color="auto"/>
        <w:bottom w:val="none" w:sz="0" w:space="0" w:color="auto"/>
        <w:right w:val="none" w:sz="0" w:space="0" w:color="auto"/>
      </w:divBdr>
    </w:div>
    <w:div w:id="1100679214">
      <w:bodyDiv w:val="1"/>
      <w:marLeft w:val="0"/>
      <w:marRight w:val="0"/>
      <w:marTop w:val="0"/>
      <w:marBottom w:val="0"/>
      <w:divBdr>
        <w:top w:val="none" w:sz="0" w:space="0" w:color="auto"/>
        <w:left w:val="none" w:sz="0" w:space="0" w:color="auto"/>
        <w:bottom w:val="none" w:sz="0" w:space="0" w:color="auto"/>
        <w:right w:val="none" w:sz="0" w:space="0" w:color="auto"/>
      </w:divBdr>
    </w:div>
    <w:div w:id="1168248343">
      <w:bodyDiv w:val="1"/>
      <w:marLeft w:val="0"/>
      <w:marRight w:val="0"/>
      <w:marTop w:val="0"/>
      <w:marBottom w:val="0"/>
      <w:divBdr>
        <w:top w:val="none" w:sz="0" w:space="0" w:color="auto"/>
        <w:left w:val="none" w:sz="0" w:space="0" w:color="auto"/>
        <w:bottom w:val="none" w:sz="0" w:space="0" w:color="auto"/>
        <w:right w:val="none" w:sz="0" w:space="0" w:color="auto"/>
      </w:divBdr>
    </w:div>
    <w:div w:id="1242836437">
      <w:bodyDiv w:val="1"/>
      <w:marLeft w:val="0"/>
      <w:marRight w:val="0"/>
      <w:marTop w:val="0"/>
      <w:marBottom w:val="0"/>
      <w:divBdr>
        <w:top w:val="none" w:sz="0" w:space="0" w:color="auto"/>
        <w:left w:val="none" w:sz="0" w:space="0" w:color="auto"/>
        <w:bottom w:val="none" w:sz="0" w:space="0" w:color="auto"/>
        <w:right w:val="none" w:sz="0" w:space="0" w:color="auto"/>
      </w:divBdr>
    </w:div>
    <w:div w:id="1248463678">
      <w:bodyDiv w:val="1"/>
      <w:marLeft w:val="0"/>
      <w:marRight w:val="0"/>
      <w:marTop w:val="0"/>
      <w:marBottom w:val="0"/>
      <w:divBdr>
        <w:top w:val="none" w:sz="0" w:space="0" w:color="auto"/>
        <w:left w:val="none" w:sz="0" w:space="0" w:color="auto"/>
        <w:bottom w:val="none" w:sz="0" w:space="0" w:color="auto"/>
        <w:right w:val="none" w:sz="0" w:space="0" w:color="auto"/>
      </w:divBdr>
    </w:div>
    <w:div w:id="1250653147">
      <w:bodyDiv w:val="1"/>
      <w:marLeft w:val="0"/>
      <w:marRight w:val="0"/>
      <w:marTop w:val="0"/>
      <w:marBottom w:val="0"/>
      <w:divBdr>
        <w:top w:val="none" w:sz="0" w:space="0" w:color="auto"/>
        <w:left w:val="none" w:sz="0" w:space="0" w:color="auto"/>
        <w:bottom w:val="none" w:sz="0" w:space="0" w:color="auto"/>
        <w:right w:val="none" w:sz="0" w:space="0" w:color="auto"/>
      </w:divBdr>
    </w:div>
    <w:div w:id="1275790502">
      <w:bodyDiv w:val="1"/>
      <w:marLeft w:val="0"/>
      <w:marRight w:val="0"/>
      <w:marTop w:val="0"/>
      <w:marBottom w:val="0"/>
      <w:divBdr>
        <w:top w:val="none" w:sz="0" w:space="0" w:color="auto"/>
        <w:left w:val="none" w:sz="0" w:space="0" w:color="auto"/>
        <w:bottom w:val="none" w:sz="0" w:space="0" w:color="auto"/>
        <w:right w:val="none" w:sz="0" w:space="0" w:color="auto"/>
      </w:divBdr>
    </w:div>
    <w:div w:id="1326276066">
      <w:bodyDiv w:val="1"/>
      <w:marLeft w:val="0"/>
      <w:marRight w:val="0"/>
      <w:marTop w:val="0"/>
      <w:marBottom w:val="0"/>
      <w:divBdr>
        <w:top w:val="none" w:sz="0" w:space="0" w:color="auto"/>
        <w:left w:val="none" w:sz="0" w:space="0" w:color="auto"/>
        <w:bottom w:val="none" w:sz="0" w:space="0" w:color="auto"/>
        <w:right w:val="none" w:sz="0" w:space="0" w:color="auto"/>
      </w:divBdr>
    </w:div>
    <w:div w:id="1331903591">
      <w:bodyDiv w:val="1"/>
      <w:marLeft w:val="0"/>
      <w:marRight w:val="0"/>
      <w:marTop w:val="0"/>
      <w:marBottom w:val="0"/>
      <w:divBdr>
        <w:top w:val="none" w:sz="0" w:space="0" w:color="auto"/>
        <w:left w:val="none" w:sz="0" w:space="0" w:color="auto"/>
        <w:bottom w:val="none" w:sz="0" w:space="0" w:color="auto"/>
        <w:right w:val="none" w:sz="0" w:space="0" w:color="auto"/>
      </w:divBdr>
    </w:div>
    <w:div w:id="1364093283">
      <w:bodyDiv w:val="1"/>
      <w:marLeft w:val="0"/>
      <w:marRight w:val="0"/>
      <w:marTop w:val="0"/>
      <w:marBottom w:val="0"/>
      <w:divBdr>
        <w:top w:val="none" w:sz="0" w:space="0" w:color="auto"/>
        <w:left w:val="none" w:sz="0" w:space="0" w:color="auto"/>
        <w:bottom w:val="none" w:sz="0" w:space="0" w:color="auto"/>
        <w:right w:val="none" w:sz="0" w:space="0" w:color="auto"/>
      </w:divBdr>
      <w:divsChild>
        <w:div w:id="1321692123">
          <w:marLeft w:val="0"/>
          <w:marRight w:val="0"/>
          <w:marTop w:val="0"/>
          <w:marBottom w:val="0"/>
          <w:divBdr>
            <w:top w:val="none" w:sz="0" w:space="0" w:color="auto"/>
            <w:left w:val="none" w:sz="0" w:space="0" w:color="auto"/>
            <w:bottom w:val="none" w:sz="0" w:space="0" w:color="auto"/>
            <w:right w:val="none" w:sz="0" w:space="0" w:color="auto"/>
          </w:divBdr>
        </w:div>
        <w:div w:id="1390420260">
          <w:marLeft w:val="0"/>
          <w:marRight w:val="0"/>
          <w:marTop w:val="0"/>
          <w:marBottom w:val="0"/>
          <w:divBdr>
            <w:top w:val="none" w:sz="0" w:space="0" w:color="auto"/>
            <w:left w:val="none" w:sz="0" w:space="0" w:color="auto"/>
            <w:bottom w:val="none" w:sz="0" w:space="0" w:color="auto"/>
            <w:right w:val="none" w:sz="0" w:space="0" w:color="auto"/>
          </w:divBdr>
        </w:div>
        <w:div w:id="1688630867">
          <w:marLeft w:val="0"/>
          <w:marRight w:val="0"/>
          <w:marTop w:val="0"/>
          <w:marBottom w:val="0"/>
          <w:divBdr>
            <w:top w:val="none" w:sz="0" w:space="0" w:color="auto"/>
            <w:left w:val="none" w:sz="0" w:space="0" w:color="auto"/>
            <w:bottom w:val="none" w:sz="0" w:space="0" w:color="auto"/>
            <w:right w:val="none" w:sz="0" w:space="0" w:color="auto"/>
          </w:divBdr>
        </w:div>
        <w:div w:id="1835488711">
          <w:marLeft w:val="0"/>
          <w:marRight w:val="0"/>
          <w:marTop w:val="0"/>
          <w:marBottom w:val="0"/>
          <w:divBdr>
            <w:top w:val="none" w:sz="0" w:space="0" w:color="auto"/>
            <w:left w:val="none" w:sz="0" w:space="0" w:color="auto"/>
            <w:bottom w:val="none" w:sz="0" w:space="0" w:color="auto"/>
            <w:right w:val="none" w:sz="0" w:space="0" w:color="auto"/>
          </w:divBdr>
        </w:div>
        <w:div w:id="2039381236">
          <w:marLeft w:val="0"/>
          <w:marRight w:val="0"/>
          <w:marTop w:val="0"/>
          <w:marBottom w:val="0"/>
          <w:divBdr>
            <w:top w:val="none" w:sz="0" w:space="0" w:color="auto"/>
            <w:left w:val="none" w:sz="0" w:space="0" w:color="auto"/>
            <w:bottom w:val="none" w:sz="0" w:space="0" w:color="auto"/>
            <w:right w:val="none" w:sz="0" w:space="0" w:color="auto"/>
          </w:divBdr>
        </w:div>
      </w:divsChild>
    </w:div>
    <w:div w:id="1422600485">
      <w:bodyDiv w:val="1"/>
      <w:marLeft w:val="0"/>
      <w:marRight w:val="0"/>
      <w:marTop w:val="0"/>
      <w:marBottom w:val="0"/>
      <w:divBdr>
        <w:top w:val="none" w:sz="0" w:space="0" w:color="auto"/>
        <w:left w:val="none" w:sz="0" w:space="0" w:color="auto"/>
        <w:bottom w:val="none" w:sz="0" w:space="0" w:color="auto"/>
        <w:right w:val="none" w:sz="0" w:space="0" w:color="auto"/>
      </w:divBdr>
    </w:div>
    <w:div w:id="1424381405">
      <w:bodyDiv w:val="1"/>
      <w:marLeft w:val="0"/>
      <w:marRight w:val="0"/>
      <w:marTop w:val="0"/>
      <w:marBottom w:val="0"/>
      <w:divBdr>
        <w:top w:val="none" w:sz="0" w:space="0" w:color="auto"/>
        <w:left w:val="none" w:sz="0" w:space="0" w:color="auto"/>
        <w:bottom w:val="none" w:sz="0" w:space="0" w:color="auto"/>
        <w:right w:val="none" w:sz="0" w:space="0" w:color="auto"/>
      </w:divBdr>
    </w:div>
    <w:div w:id="1477914069">
      <w:bodyDiv w:val="1"/>
      <w:marLeft w:val="0"/>
      <w:marRight w:val="0"/>
      <w:marTop w:val="0"/>
      <w:marBottom w:val="0"/>
      <w:divBdr>
        <w:top w:val="none" w:sz="0" w:space="0" w:color="auto"/>
        <w:left w:val="none" w:sz="0" w:space="0" w:color="auto"/>
        <w:bottom w:val="none" w:sz="0" w:space="0" w:color="auto"/>
        <w:right w:val="none" w:sz="0" w:space="0" w:color="auto"/>
      </w:divBdr>
    </w:div>
    <w:div w:id="1505389965">
      <w:bodyDiv w:val="1"/>
      <w:marLeft w:val="0"/>
      <w:marRight w:val="0"/>
      <w:marTop w:val="0"/>
      <w:marBottom w:val="0"/>
      <w:divBdr>
        <w:top w:val="none" w:sz="0" w:space="0" w:color="auto"/>
        <w:left w:val="none" w:sz="0" w:space="0" w:color="auto"/>
        <w:bottom w:val="none" w:sz="0" w:space="0" w:color="auto"/>
        <w:right w:val="none" w:sz="0" w:space="0" w:color="auto"/>
      </w:divBdr>
    </w:div>
    <w:div w:id="1529752478">
      <w:bodyDiv w:val="1"/>
      <w:marLeft w:val="0"/>
      <w:marRight w:val="0"/>
      <w:marTop w:val="0"/>
      <w:marBottom w:val="0"/>
      <w:divBdr>
        <w:top w:val="none" w:sz="0" w:space="0" w:color="auto"/>
        <w:left w:val="none" w:sz="0" w:space="0" w:color="auto"/>
        <w:bottom w:val="none" w:sz="0" w:space="0" w:color="auto"/>
        <w:right w:val="none" w:sz="0" w:space="0" w:color="auto"/>
      </w:divBdr>
    </w:div>
    <w:div w:id="1551305854">
      <w:bodyDiv w:val="1"/>
      <w:marLeft w:val="0"/>
      <w:marRight w:val="0"/>
      <w:marTop w:val="0"/>
      <w:marBottom w:val="0"/>
      <w:divBdr>
        <w:top w:val="none" w:sz="0" w:space="0" w:color="auto"/>
        <w:left w:val="none" w:sz="0" w:space="0" w:color="auto"/>
        <w:bottom w:val="none" w:sz="0" w:space="0" w:color="auto"/>
        <w:right w:val="none" w:sz="0" w:space="0" w:color="auto"/>
      </w:divBdr>
    </w:div>
    <w:div w:id="1554582462">
      <w:bodyDiv w:val="1"/>
      <w:marLeft w:val="0"/>
      <w:marRight w:val="0"/>
      <w:marTop w:val="0"/>
      <w:marBottom w:val="0"/>
      <w:divBdr>
        <w:top w:val="none" w:sz="0" w:space="0" w:color="auto"/>
        <w:left w:val="none" w:sz="0" w:space="0" w:color="auto"/>
        <w:bottom w:val="none" w:sz="0" w:space="0" w:color="auto"/>
        <w:right w:val="none" w:sz="0" w:space="0" w:color="auto"/>
      </w:divBdr>
    </w:div>
    <w:div w:id="1629820460">
      <w:bodyDiv w:val="1"/>
      <w:marLeft w:val="0"/>
      <w:marRight w:val="0"/>
      <w:marTop w:val="0"/>
      <w:marBottom w:val="0"/>
      <w:divBdr>
        <w:top w:val="none" w:sz="0" w:space="0" w:color="auto"/>
        <w:left w:val="none" w:sz="0" w:space="0" w:color="auto"/>
        <w:bottom w:val="none" w:sz="0" w:space="0" w:color="auto"/>
        <w:right w:val="none" w:sz="0" w:space="0" w:color="auto"/>
      </w:divBdr>
    </w:div>
    <w:div w:id="1646885167">
      <w:bodyDiv w:val="1"/>
      <w:marLeft w:val="0"/>
      <w:marRight w:val="0"/>
      <w:marTop w:val="0"/>
      <w:marBottom w:val="0"/>
      <w:divBdr>
        <w:top w:val="none" w:sz="0" w:space="0" w:color="auto"/>
        <w:left w:val="none" w:sz="0" w:space="0" w:color="auto"/>
        <w:bottom w:val="none" w:sz="0" w:space="0" w:color="auto"/>
        <w:right w:val="none" w:sz="0" w:space="0" w:color="auto"/>
      </w:divBdr>
    </w:div>
    <w:div w:id="1709376948">
      <w:bodyDiv w:val="1"/>
      <w:marLeft w:val="0"/>
      <w:marRight w:val="0"/>
      <w:marTop w:val="0"/>
      <w:marBottom w:val="0"/>
      <w:divBdr>
        <w:top w:val="none" w:sz="0" w:space="0" w:color="auto"/>
        <w:left w:val="none" w:sz="0" w:space="0" w:color="auto"/>
        <w:bottom w:val="none" w:sz="0" w:space="0" w:color="auto"/>
        <w:right w:val="none" w:sz="0" w:space="0" w:color="auto"/>
      </w:divBdr>
    </w:div>
    <w:div w:id="1744064571">
      <w:bodyDiv w:val="1"/>
      <w:marLeft w:val="0"/>
      <w:marRight w:val="0"/>
      <w:marTop w:val="0"/>
      <w:marBottom w:val="0"/>
      <w:divBdr>
        <w:top w:val="none" w:sz="0" w:space="0" w:color="auto"/>
        <w:left w:val="none" w:sz="0" w:space="0" w:color="auto"/>
        <w:bottom w:val="none" w:sz="0" w:space="0" w:color="auto"/>
        <w:right w:val="none" w:sz="0" w:space="0" w:color="auto"/>
      </w:divBdr>
    </w:div>
    <w:div w:id="1759323129">
      <w:bodyDiv w:val="1"/>
      <w:marLeft w:val="0"/>
      <w:marRight w:val="0"/>
      <w:marTop w:val="0"/>
      <w:marBottom w:val="0"/>
      <w:divBdr>
        <w:top w:val="none" w:sz="0" w:space="0" w:color="auto"/>
        <w:left w:val="none" w:sz="0" w:space="0" w:color="auto"/>
        <w:bottom w:val="none" w:sz="0" w:space="0" w:color="auto"/>
        <w:right w:val="none" w:sz="0" w:space="0" w:color="auto"/>
      </w:divBdr>
    </w:div>
    <w:div w:id="1768189330">
      <w:bodyDiv w:val="1"/>
      <w:marLeft w:val="0"/>
      <w:marRight w:val="0"/>
      <w:marTop w:val="0"/>
      <w:marBottom w:val="0"/>
      <w:divBdr>
        <w:top w:val="none" w:sz="0" w:space="0" w:color="auto"/>
        <w:left w:val="none" w:sz="0" w:space="0" w:color="auto"/>
        <w:bottom w:val="none" w:sz="0" w:space="0" w:color="auto"/>
        <w:right w:val="none" w:sz="0" w:space="0" w:color="auto"/>
      </w:divBdr>
    </w:div>
    <w:div w:id="1770737653">
      <w:bodyDiv w:val="1"/>
      <w:marLeft w:val="0"/>
      <w:marRight w:val="0"/>
      <w:marTop w:val="0"/>
      <w:marBottom w:val="0"/>
      <w:divBdr>
        <w:top w:val="none" w:sz="0" w:space="0" w:color="auto"/>
        <w:left w:val="none" w:sz="0" w:space="0" w:color="auto"/>
        <w:bottom w:val="none" w:sz="0" w:space="0" w:color="auto"/>
        <w:right w:val="none" w:sz="0" w:space="0" w:color="auto"/>
      </w:divBdr>
    </w:div>
    <w:div w:id="1826628191">
      <w:bodyDiv w:val="1"/>
      <w:marLeft w:val="0"/>
      <w:marRight w:val="0"/>
      <w:marTop w:val="0"/>
      <w:marBottom w:val="0"/>
      <w:divBdr>
        <w:top w:val="none" w:sz="0" w:space="0" w:color="auto"/>
        <w:left w:val="none" w:sz="0" w:space="0" w:color="auto"/>
        <w:bottom w:val="none" w:sz="0" w:space="0" w:color="auto"/>
        <w:right w:val="none" w:sz="0" w:space="0" w:color="auto"/>
      </w:divBdr>
    </w:div>
    <w:div w:id="1872498169">
      <w:bodyDiv w:val="1"/>
      <w:marLeft w:val="0"/>
      <w:marRight w:val="0"/>
      <w:marTop w:val="0"/>
      <w:marBottom w:val="0"/>
      <w:divBdr>
        <w:top w:val="none" w:sz="0" w:space="0" w:color="auto"/>
        <w:left w:val="none" w:sz="0" w:space="0" w:color="auto"/>
        <w:bottom w:val="none" w:sz="0" w:space="0" w:color="auto"/>
        <w:right w:val="none" w:sz="0" w:space="0" w:color="auto"/>
      </w:divBdr>
    </w:div>
    <w:div w:id="1929733658">
      <w:bodyDiv w:val="1"/>
      <w:marLeft w:val="0"/>
      <w:marRight w:val="0"/>
      <w:marTop w:val="0"/>
      <w:marBottom w:val="0"/>
      <w:divBdr>
        <w:top w:val="none" w:sz="0" w:space="0" w:color="auto"/>
        <w:left w:val="none" w:sz="0" w:space="0" w:color="auto"/>
        <w:bottom w:val="none" w:sz="0" w:space="0" w:color="auto"/>
        <w:right w:val="none" w:sz="0" w:space="0" w:color="auto"/>
      </w:divBdr>
    </w:div>
    <w:div w:id="2031487402">
      <w:bodyDiv w:val="1"/>
      <w:marLeft w:val="0"/>
      <w:marRight w:val="0"/>
      <w:marTop w:val="0"/>
      <w:marBottom w:val="0"/>
      <w:divBdr>
        <w:top w:val="none" w:sz="0" w:space="0" w:color="auto"/>
        <w:left w:val="none" w:sz="0" w:space="0" w:color="auto"/>
        <w:bottom w:val="none" w:sz="0" w:space="0" w:color="auto"/>
        <w:right w:val="none" w:sz="0" w:space="0" w:color="auto"/>
      </w:divBdr>
    </w:div>
    <w:div w:id="2062052835">
      <w:bodyDiv w:val="1"/>
      <w:marLeft w:val="0"/>
      <w:marRight w:val="0"/>
      <w:marTop w:val="0"/>
      <w:marBottom w:val="0"/>
      <w:divBdr>
        <w:top w:val="none" w:sz="0" w:space="0" w:color="auto"/>
        <w:left w:val="none" w:sz="0" w:space="0" w:color="auto"/>
        <w:bottom w:val="none" w:sz="0" w:space="0" w:color="auto"/>
        <w:right w:val="none" w:sz="0" w:space="0" w:color="auto"/>
      </w:divBdr>
    </w:div>
    <w:div w:id="2129353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www.regulations.gov" TargetMode="Externa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yperlink" Target="https://www.bls.gov/oes/current/oessrci.htm" TargetMode="External" /><Relationship Id="rId14" Type="http://schemas.openxmlformats.org/officeDocument/2006/relationships/hyperlink" Target="https://data.bls.gov/oes/" TargetMode="External" /><Relationship Id="rId15" Type="http://schemas.openxmlformats.org/officeDocument/2006/relationships/hyperlink" Target="https://www.dol.gov/whd/minimumwage.htm" TargetMode="Externa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_rels/footnotes.xml.rels><?xml version="1.0" encoding="utf-8" standalone="yes"?><Relationships xmlns="http://schemas.openxmlformats.org/package/2006/relationships"><Relationship Id="rId1" Type="http://schemas.openxmlformats.org/officeDocument/2006/relationships/hyperlink" Target="https://www.fns.usda.gov/wic/third-national-survey-wic-participant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SharedWithUsers xmlns="e9b88139-34a0-4075-aa81-f7ef6b341e88">
      <UserInfo>
        <DisplayName>Bush, Alexander - FNS</DisplayName>
        <AccountId>30</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F8608471AB9664C9D24C852BAB3C90C" ma:contentTypeVersion="7" ma:contentTypeDescription="Create a new document." ma:contentTypeScope="" ma:versionID="9a7c471c4ae4ac6d69eefbd570262599">
  <xsd:schema xmlns:xsd="http://www.w3.org/2001/XMLSchema" xmlns:xs="http://www.w3.org/2001/XMLSchema" xmlns:p="http://schemas.microsoft.com/office/2006/metadata/properties" xmlns:ns2="8b4169a3-4bdc-481e-af9a-a81c34375271" xmlns:ns3="e9b88139-34a0-4075-aa81-f7ef6b341e88" targetNamespace="http://schemas.microsoft.com/office/2006/metadata/properties" ma:root="true" ma:fieldsID="8ff11b12dec819dbf8b5fdba19bf4aaa" ns2:_="" ns3:_="">
    <xsd:import namespace="8b4169a3-4bdc-481e-af9a-a81c34375271"/>
    <xsd:import namespace="e9b88139-34a0-4075-aa81-f7ef6b341e8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4169a3-4bdc-481e-af9a-a81c343752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BillingMetadata" ma:index="1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b88139-34a0-4075-aa81-f7ef6b341e8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AE8565-82CC-4B01-88D8-D63C9D4FC898}">
  <ds:schemaRefs>
    <ds:schemaRef ds:uri="http://schemas.openxmlformats.org/officeDocument/2006/bibliography"/>
  </ds:schemaRefs>
</ds:datastoreItem>
</file>

<file path=customXml/itemProps2.xml><?xml version="1.0" encoding="utf-8"?>
<ds:datastoreItem xmlns:ds="http://schemas.openxmlformats.org/officeDocument/2006/customXml" ds:itemID="{C5DD7420-095D-468C-BC80-9E7A41869B57}">
  <ds:schemaRefs>
    <ds:schemaRef ds:uri="http://schemas.microsoft.com/office/2006/metadata/properties"/>
    <ds:schemaRef ds:uri="e9b88139-34a0-4075-aa81-f7ef6b341e88"/>
  </ds:schemaRefs>
</ds:datastoreItem>
</file>

<file path=customXml/itemProps3.xml><?xml version="1.0" encoding="utf-8"?>
<ds:datastoreItem xmlns:ds="http://schemas.openxmlformats.org/officeDocument/2006/customXml" ds:itemID="{99583243-EB13-46B1-A3D1-0DB865F5F7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4169a3-4bdc-481e-af9a-a81c34375271"/>
    <ds:schemaRef ds:uri="e9b88139-34a0-4075-aa81-f7ef6b341e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03C59E-8F3A-431A-BF85-36005A4BD2AB}">
  <ds:schemaRefs>
    <ds:schemaRef ds:uri="http://schemas.microsoft.com/sharepoint/v3/contenttype/forms"/>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0</TotalTime>
  <Pages>35</Pages>
  <Words>8941</Words>
  <Characters>50970</Characters>
  <Application>Microsoft Office Word</Application>
  <DocSecurity>0</DocSecurity>
  <Lines>424</Lines>
  <Paragraphs>119</Paragraphs>
  <ScaleCrop>false</ScaleCrop>
  <Company>USDA/FNS</Company>
  <LinksUpToDate>false</LinksUpToDate>
  <CharactersWithSpaces>59792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OMB No</dc:title>
  <dc:creator>USDA</dc:creator>
  <cp:lastModifiedBy>Duncan-Hughes, Dionne - FNA</cp:lastModifiedBy>
  <cp:revision>2</cp:revision>
  <cp:lastPrinted>2017-04-21T04:24:00Z</cp:lastPrinted>
  <dcterms:created xsi:type="dcterms:W3CDTF">2026-09-16T18:42:00Z</dcterms:created>
  <dcterms:modified xsi:type="dcterms:W3CDTF">2026-09-16T18:42:00Z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0x010100CF8608471AB9664C9D24C852BAB3C90C</vt:lpwstr>
  </property>
  <property fmtid="{D5CDD505-2E9C-101B-9397-08002B2CF9AE}" pid="3" name="MediaServiceImageTags">
    <vt:lpwstr/>
  </property>
  <property fmtid="{D5CDD505-2E9C-101B-9397-08002B2CF9AE}" pid="4" name="Order">
    <vt:r8>500</vt:r8>
  </property>
</Properties>
</file>