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2082" w14:paraId="46C4EC64"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jc w:val="center"/>
        <w:rPr>
          <w:rFonts w:ascii="Tahoma" w:hAnsi="Tahoma" w:cs="Tahoma"/>
          <w:b/>
          <w:bCs/>
          <w:i/>
          <w:iCs/>
          <w:color w:val="3366FF"/>
          <w:sz w:val="22"/>
          <w:szCs w:val="22"/>
          <w:u w:val="single"/>
        </w:rPr>
      </w:pPr>
    </w:p>
    <w:p w:rsidR="00162082" w14:paraId="0BAD9EE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jc w:val="center"/>
        <w:rPr>
          <w:rFonts w:ascii="Tahoma" w:hAnsi="Tahoma" w:cs="Tahoma"/>
          <w:b/>
          <w:bCs/>
          <w:i/>
          <w:iCs/>
          <w:color w:val="3366FF"/>
          <w:sz w:val="22"/>
          <w:szCs w:val="22"/>
          <w:u w:val="single"/>
        </w:rPr>
      </w:pPr>
    </w:p>
    <w:p w:rsidR="00504B59" w:rsidRPr="000D53A4" w14:paraId="1EB5F7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jc w:val="center"/>
        <w:rPr>
          <w:rFonts w:ascii="Tahoma" w:hAnsi="Tahoma" w:cs="Tahoma"/>
          <w:b/>
          <w:bCs/>
          <w:i/>
          <w:iCs/>
          <w:color w:val="3366FF"/>
          <w:sz w:val="16"/>
          <w:szCs w:val="16"/>
          <w:u w:val="single"/>
        </w:rPr>
      </w:pPr>
    </w:p>
    <w:p w:rsidR="00C37CD8" w:rsidRPr="00504B59" w14:paraId="45DD610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i/>
          <w:iCs/>
          <w:color w:val="33CCCC"/>
          <w:sz w:val="22"/>
          <w:szCs w:val="22"/>
          <w:u w:val="single"/>
        </w:rPr>
      </w:pPr>
    </w:p>
    <w:p w:rsidR="00C37CD8" w:rsidP="00EC10FF" w14:paraId="58E0F0E9"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The Supporting</w:t>
      </w:r>
      <w:r w:rsidRPr="00EC10FF">
        <w:rPr>
          <w:rFonts w:ascii="Tahoma" w:hAnsi="Tahoma" w:cs="Tahoma"/>
          <w:b/>
          <w:bCs/>
          <w:sz w:val="28"/>
          <w:szCs w:val="28"/>
          <w:u w:val="single"/>
        </w:rPr>
        <w:t xml:space="preserve"> Statement </w:t>
      </w:r>
      <w:r w:rsidR="00162082">
        <w:rPr>
          <w:rFonts w:ascii="Tahoma" w:hAnsi="Tahoma" w:cs="Tahoma"/>
          <w:b/>
          <w:bCs/>
          <w:sz w:val="28"/>
          <w:szCs w:val="28"/>
          <w:u w:val="single"/>
        </w:rPr>
        <w:t xml:space="preserve">A </w:t>
      </w:r>
      <w:r w:rsidRPr="00EC10FF">
        <w:rPr>
          <w:rFonts w:ascii="Tahoma" w:hAnsi="Tahoma" w:cs="Tahoma"/>
          <w:b/>
          <w:bCs/>
          <w:sz w:val="28"/>
          <w:szCs w:val="28"/>
          <w:u w:val="single"/>
        </w:rPr>
        <w:t>for OMB 0596-</w:t>
      </w:r>
      <w:r w:rsidR="00162082">
        <w:rPr>
          <w:rFonts w:ascii="Tahoma" w:hAnsi="Tahoma" w:cs="Tahoma"/>
          <w:b/>
          <w:bCs/>
          <w:sz w:val="28"/>
          <w:szCs w:val="28"/>
          <w:u w:val="single"/>
        </w:rPr>
        <w:t>0101</w:t>
      </w:r>
      <w:r w:rsidRPr="00EC10FF">
        <w:rPr>
          <w:rFonts w:ascii="Tahoma" w:hAnsi="Tahoma" w:cs="Tahoma"/>
          <w:sz w:val="28"/>
          <w:szCs w:val="28"/>
          <w:u w:val="single"/>
        </w:rPr>
        <w:t xml:space="preserve"> </w:t>
      </w:r>
    </w:p>
    <w:p w:rsidR="00162082" w:rsidRPr="00925522" w:rsidP="00162082" w14:paraId="4886F5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jc w:val="center"/>
        <w:rPr>
          <w:rFonts w:ascii="Tahoma" w:hAnsi="Tahoma" w:cs="Tahoma"/>
          <w:b/>
          <w:bCs/>
          <w:sz w:val="22"/>
          <w:szCs w:val="22"/>
        </w:rPr>
      </w:pPr>
      <w:r w:rsidRPr="00925522">
        <w:rPr>
          <w:rFonts w:ascii="Tahoma" w:hAnsi="Tahoma" w:cs="Tahoma"/>
          <w:b/>
          <w:bCs/>
          <w:sz w:val="22"/>
          <w:szCs w:val="22"/>
        </w:rPr>
        <w:t>Oil and Gas Resources</w:t>
      </w:r>
    </w:p>
    <w:p w:rsidR="00162082" w:rsidRPr="00925522" w:rsidP="00162082" w14:paraId="7C8648E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jc w:val="center"/>
        <w:rPr>
          <w:rFonts w:ascii="Tahoma" w:hAnsi="Tahoma" w:cs="Tahoma"/>
          <w:b/>
          <w:bCs/>
          <w:sz w:val="22"/>
          <w:szCs w:val="22"/>
        </w:rPr>
      </w:pPr>
      <w:r w:rsidRPr="00925522">
        <w:rPr>
          <w:rFonts w:ascii="Tahoma" w:hAnsi="Tahoma" w:cs="Tahoma"/>
          <w:b/>
          <w:bCs/>
          <w:sz w:val="22"/>
          <w:szCs w:val="22"/>
        </w:rPr>
        <w:t>36 CFR, Part 228, Subpart E</w:t>
      </w:r>
    </w:p>
    <w:p w:rsidR="008C325F" w:rsidRPr="008C325F" w:rsidP="00EC10FF" w14:paraId="46A7D8B4"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p>
    <w:p w:rsidR="00EC10FF" w:rsidRPr="000D53A4" w14:paraId="303144F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rsidR="009768A1" w:rsidP="000D53A4" w14:paraId="6D2E72F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Pr>
          <w:rFonts w:ascii="Tahoma" w:hAnsi="Tahoma" w:cs="Tahoma"/>
          <w:b/>
          <w:bCs/>
          <w:sz w:val="28"/>
          <w:szCs w:val="28"/>
        </w:rPr>
        <w:t>Terms of Clearance</w:t>
      </w:r>
    </w:p>
    <w:p w:rsidR="00734363" w:rsidP="00734363" w14:paraId="29FD6E62" w14:textId="77777777">
      <w:pPr>
        <w:rPr>
          <w:rFonts w:eastAsia="Calibri"/>
        </w:rPr>
      </w:pPr>
      <w:r w:rsidRPr="00ED7B3D">
        <w:rPr>
          <w:rFonts w:eastAsia="Calibri"/>
        </w:rPr>
        <w:t>Th</w:t>
      </w:r>
      <w:r w:rsidR="00925522">
        <w:rPr>
          <w:rFonts w:eastAsia="Calibri"/>
        </w:rPr>
        <w:t>e</w:t>
      </w:r>
      <w:r w:rsidRPr="00ED7B3D">
        <w:rPr>
          <w:rFonts w:eastAsia="Calibri"/>
        </w:rPr>
        <w:t xml:space="preserve"> rule contains a collection of information for which the Agency is seeking Office of Management and Budget (OMB) approval under the Paperwork Reduction Act (PRA) (44 U.S.C. 3501 et seq.). To accomplish the information collection approval, the Agency is currently seeking reinstatement of OMB Control No. 0596-0101, which has previously been approved for collection of information associated with the </w:t>
      </w:r>
      <w:r>
        <w:rPr>
          <w:rFonts w:eastAsia="Calibri"/>
        </w:rPr>
        <w:t>existing</w:t>
      </w:r>
      <w:r w:rsidRPr="00ED7B3D">
        <w:rPr>
          <w:rFonts w:eastAsia="Calibri"/>
        </w:rPr>
        <w:t xml:space="preserve"> 36 CFR </w:t>
      </w:r>
      <w:r>
        <w:rPr>
          <w:rFonts w:eastAsia="Calibri"/>
        </w:rPr>
        <w:t>p</w:t>
      </w:r>
      <w:r w:rsidRPr="00ED7B3D">
        <w:rPr>
          <w:rFonts w:eastAsia="Calibri"/>
        </w:rPr>
        <w:t xml:space="preserve">art 228, </w:t>
      </w:r>
      <w:r>
        <w:rPr>
          <w:rFonts w:eastAsia="Calibri"/>
        </w:rPr>
        <w:t>s</w:t>
      </w:r>
      <w:r w:rsidRPr="00ED7B3D">
        <w:rPr>
          <w:rFonts w:eastAsia="Calibri"/>
        </w:rPr>
        <w:t>ubpart E.</w:t>
      </w:r>
      <w:r>
        <w:rPr>
          <w:rFonts w:eastAsia="Calibri"/>
        </w:rPr>
        <w:t xml:space="preserve"> </w:t>
      </w:r>
      <w:r w:rsidRPr="00ED7B3D">
        <w:rPr>
          <w:rFonts w:eastAsia="Calibri"/>
        </w:rPr>
        <w:t>Th</w:t>
      </w:r>
      <w:r w:rsidR="00925522">
        <w:rPr>
          <w:rFonts w:eastAsia="Calibri"/>
        </w:rPr>
        <w:t xml:space="preserve">is </w:t>
      </w:r>
      <w:r w:rsidR="00451B2C">
        <w:rPr>
          <w:rFonts w:eastAsia="Calibri"/>
        </w:rPr>
        <w:t xml:space="preserve">request for reinstatement </w:t>
      </w:r>
      <w:r w:rsidRPr="00ED7B3D">
        <w:rPr>
          <w:rFonts w:eastAsia="Calibri"/>
        </w:rPr>
        <w:t>does not establish any new information collection requirements not previously approved under OMB Control No. 0596-0101.</w:t>
      </w:r>
      <w:r>
        <w:rPr>
          <w:rFonts w:eastAsia="Calibri"/>
        </w:rPr>
        <w:t xml:space="preserve"> </w:t>
      </w:r>
    </w:p>
    <w:p w:rsidR="009768A1" w:rsidP="00162082" w14:paraId="7A807ACB"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eastAsia="Calibri"/>
        </w:rPr>
      </w:pPr>
    </w:p>
    <w:p w:rsidR="00162082" w:rsidRPr="000D53A4" w:rsidP="00EC10FF" w14:paraId="2DF3ABB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rsidR="00C37CD8" w:rsidRPr="00EC10FF" w:rsidP="00EC10FF" w14:paraId="7810645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C10FF">
        <w:rPr>
          <w:rFonts w:ascii="Tahoma" w:hAnsi="Tahoma" w:cs="Tahoma"/>
          <w:b/>
          <w:bCs/>
          <w:sz w:val="28"/>
          <w:szCs w:val="28"/>
        </w:rPr>
        <w:t>A.  Justification</w:t>
      </w:r>
    </w:p>
    <w:p w:rsidR="00C03E9F" w:rsidP="00C03E9F" w14:paraId="27E7943D" w14:textId="77777777">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925522" w:rsidP="00925522" w14:paraId="7A2EA838" w14:textId="77777777">
      <w:pPr>
        <w:pStyle w:val="BodyTextIndent2"/>
        <w:tabs>
          <w:tab w:val="clear" w:pos="361"/>
        </w:tabs>
        <w:spacing w:after="80"/>
        <w:jc w:val="both"/>
        <w:rPr>
          <w:rFonts w:ascii="Tahoma" w:hAnsi="Tahoma" w:cs="Tahoma"/>
          <w:sz w:val="22"/>
          <w:szCs w:val="22"/>
        </w:rPr>
      </w:pPr>
    </w:p>
    <w:p w:rsidR="00925522" w:rsidP="00197F9A" w14:paraId="6AF87828" w14:textId="77777777">
      <w:pPr>
        <w:pStyle w:val="BodyTextIndent2"/>
        <w:tabs>
          <w:tab w:val="clear" w:pos="0"/>
          <w:tab w:val="clear" w:pos="361"/>
          <w:tab w:val="clear" w:pos="722"/>
        </w:tabs>
        <w:spacing w:after="80"/>
        <w:jc w:val="both"/>
        <w:rPr>
          <w:rFonts w:eastAsia="Calibri"/>
          <w:b w:val="0"/>
          <w:bCs w:val="0"/>
        </w:rPr>
      </w:pPr>
      <w:r w:rsidRPr="00925522">
        <w:rPr>
          <w:rFonts w:eastAsia="Calibri"/>
          <w:b w:val="0"/>
          <w:bCs w:val="0"/>
        </w:rPr>
        <w:t xml:space="preserve">The current rule contains procedures the Forest Service, USDA will use to accomplish the purposes of the Federal Onshore Oil and Gas Leasing Reform Act of 1987, and other applicable mineral leasing and environmental protection statutes, in offering oil and gas leases and managing the development of oil and gas resources on National Forest System lands. The Leasing Reform Act authorizes the Secretary of Agriculture to develop procedures and regulations governing leasing for oil and gas resources. including bonding and reclamation requirements, within the National Forest System. </w:t>
      </w:r>
      <w:bookmarkStart w:id="0" w:name="_Hlk123641904"/>
      <w:r w:rsidRPr="00925522">
        <w:rPr>
          <w:rFonts w:eastAsia="Calibri"/>
          <w:b w:val="0"/>
          <w:bCs w:val="0"/>
        </w:rPr>
        <w:t xml:space="preserve">This authority was formerly exercised by the Bureau of Land Management. </w:t>
      </w:r>
      <w:bookmarkStart w:id="1" w:name="_Hlk123641973"/>
      <w:bookmarkEnd w:id="0"/>
      <w:r w:rsidRPr="00925522">
        <w:rPr>
          <w:rFonts w:eastAsia="Calibri"/>
          <w:b w:val="0"/>
          <w:bCs w:val="0"/>
        </w:rPr>
        <w:t xml:space="preserve">These regulations achieve our primary objectives of ensuring effective compliance with all applicable environmental protection statutes, as most recently construed by the Federal Courts, in conjunction </w:t>
      </w:r>
      <w:r w:rsidRPr="00925522">
        <w:rPr>
          <w:rFonts w:eastAsia="Calibri"/>
          <w:b w:val="0"/>
          <w:bCs w:val="0"/>
        </w:rPr>
        <w:t>with meeting</w:t>
      </w:r>
      <w:r w:rsidRPr="00925522">
        <w:rPr>
          <w:rFonts w:eastAsia="Calibri"/>
          <w:b w:val="0"/>
          <w:bCs w:val="0"/>
        </w:rPr>
        <w:t xml:space="preserve"> the intent of Congress codified in the Leasing Reform Act. These regulations have been designed to work in coordination with similar regulations of the Department of the Interior, and to promote a cooperative process between the Federal agencies, the oil and gas industry, and members of the public who are interested in the management of Federal lands and resources.</w:t>
      </w:r>
      <w:bookmarkEnd w:id="1"/>
    </w:p>
    <w:p w:rsidR="00925522" w:rsidRPr="00925522" w:rsidP="00197F9A" w14:paraId="592694A2" w14:textId="77777777">
      <w:pPr>
        <w:pStyle w:val="BodyTextIndent2"/>
        <w:tabs>
          <w:tab w:val="clear" w:pos="0"/>
          <w:tab w:val="clear" w:pos="361"/>
          <w:tab w:val="clear" w:pos="722"/>
        </w:tabs>
        <w:spacing w:after="80"/>
        <w:jc w:val="both"/>
        <w:rPr>
          <w:rFonts w:eastAsia="Calibri"/>
          <w:b w:val="0"/>
          <w:bCs w:val="0"/>
        </w:rPr>
      </w:pPr>
    </w:p>
    <w:p w:rsidR="00C37CD8" w:rsidP="00197F9A" w14:paraId="3820FFAA" w14:textId="77777777">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 xml:space="preserve">Indicate how, by whom, and for </w:t>
      </w:r>
      <w:r w:rsidRPr="00504B59">
        <w:rPr>
          <w:rFonts w:ascii="Tahoma" w:hAnsi="Tahoma" w:cs="Tahoma"/>
          <w:sz w:val="22"/>
          <w:szCs w:val="22"/>
        </w:rPr>
        <w:t>what pur</w:t>
      </w:r>
      <w:r w:rsidRPr="00504B59">
        <w:rPr>
          <w:rFonts w:ascii="Tahoma" w:hAnsi="Tahoma" w:cs="Tahoma"/>
          <w:sz w:val="22"/>
          <w:szCs w:val="22"/>
        </w:rPr>
        <w:softHyphen/>
        <w:t>pose</w:t>
      </w:r>
      <w:r w:rsidRPr="00504B59">
        <w:rPr>
          <w:rFonts w:ascii="Tahoma" w:hAnsi="Tahoma" w:cs="Tahoma"/>
          <w:sz w:val="22"/>
          <w:szCs w:val="22"/>
        </w:rPr>
        <w:t xml:space="preserv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P="00197F9A" w14:paraId="64FCFD6A" w14:textId="77777777">
      <w:pPr>
        <w:pStyle w:val="BodyTextIndent"/>
        <w:numPr>
          <w:ilvl w:val="0"/>
          <w:numId w:val="11"/>
        </w:numPr>
        <w:tabs>
          <w:tab w:val="clear" w:pos="0"/>
          <w:tab w:val="clear" w:pos="361"/>
          <w:tab w:val="left" w:pos="720"/>
          <w:tab w:val="clear" w:pos="1083"/>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C17B26" w:rsidRPr="00504B59" w:rsidP="00C17B26" w14:paraId="5892B17C" w14:textId="77777777">
      <w:pPr>
        <w:pStyle w:val="BodyTextIndent"/>
        <w:tabs>
          <w:tab w:val="clear" w:pos="0"/>
          <w:tab w:val="clear" w:pos="361"/>
          <w:tab w:val="clear" w:pos="1083"/>
        </w:tabs>
        <w:spacing w:after="80"/>
        <w:ind w:left="720"/>
        <w:jc w:val="both"/>
        <w:rPr>
          <w:rFonts w:ascii="Tahoma" w:hAnsi="Tahoma" w:cs="Tahoma"/>
          <w:b/>
          <w:bCs/>
          <w:sz w:val="22"/>
          <w:szCs w:val="22"/>
        </w:rPr>
      </w:pPr>
    </w:p>
    <w:p w:rsidR="00734363" w:rsidP="00734363" w14:paraId="0EAFC40E" w14:textId="77777777">
      <w:pPr>
        <w:ind w:left="360"/>
        <w:rPr>
          <w:rFonts w:eastAsia="Calibri"/>
        </w:rPr>
      </w:pPr>
      <w:r w:rsidRPr="00ED7B3D">
        <w:rPr>
          <w:rFonts w:eastAsia="Calibri"/>
        </w:rPr>
        <w:t xml:space="preserve">It is important to note that the information collection requirements of this subpart are supplemental to the Bureau of Land Management’s various OMB information collection approvals for issuing and managing operations on </w:t>
      </w:r>
      <w:r>
        <w:rPr>
          <w:rFonts w:eastAsia="Calibri"/>
        </w:rPr>
        <w:t>F</w:t>
      </w:r>
      <w:r w:rsidRPr="00ED7B3D">
        <w:rPr>
          <w:rFonts w:eastAsia="Calibri"/>
        </w:rPr>
        <w:t>ederal oil and gas leases.</w:t>
      </w:r>
    </w:p>
    <w:p w:rsidR="00734363" w:rsidP="00734363" w14:paraId="0801170B" w14:textId="77777777">
      <w:pPr>
        <w:ind w:left="360"/>
        <w:rPr>
          <w:rFonts w:eastAsia="Calibri"/>
        </w:rPr>
      </w:pPr>
    </w:p>
    <w:p w:rsidR="00734363" w:rsidP="00734363" w14:paraId="2CDDBF30" w14:textId="77777777">
      <w:pPr>
        <w:ind w:left="360"/>
        <w:rPr>
          <w:rFonts w:eastAsia="Calibri"/>
        </w:rPr>
      </w:pPr>
      <w:r w:rsidRPr="00ED7B3D">
        <w:rPr>
          <w:rFonts w:eastAsia="Calibri"/>
        </w:rPr>
        <w:t xml:space="preserve">The following sections of </w:t>
      </w:r>
      <w:r w:rsidR="00D55FAE">
        <w:rPr>
          <w:rFonts w:eastAsia="Calibri"/>
        </w:rPr>
        <w:t xml:space="preserve">the </w:t>
      </w:r>
      <w:r>
        <w:rPr>
          <w:rFonts w:eastAsia="Calibri"/>
        </w:rPr>
        <w:t>final</w:t>
      </w:r>
      <w:r w:rsidRPr="00ED7B3D">
        <w:rPr>
          <w:rFonts w:eastAsia="Calibri"/>
        </w:rPr>
        <w:t xml:space="preserve"> </w:t>
      </w:r>
      <w:r>
        <w:rPr>
          <w:rFonts w:eastAsia="Calibri"/>
        </w:rPr>
        <w:t>s</w:t>
      </w:r>
      <w:r w:rsidRPr="00ED7B3D">
        <w:rPr>
          <w:rFonts w:eastAsia="Calibri"/>
        </w:rPr>
        <w:t xml:space="preserve">ubpart E </w:t>
      </w:r>
      <w:r w:rsidR="00D55FAE">
        <w:rPr>
          <w:rFonts w:eastAsia="Calibri"/>
        </w:rPr>
        <w:t xml:space="preserve">oil and gas resources rule </w:t>
      </w:r>
      <w:r w:rsidRPr="00ED7B3D">
        <w:rPr>
          <w:rFonts w:eastAsia="Calibri"/>
        </w:rPr>
        <w:t>contain information requirement</w:t>
      </w:r>
      <w:r>
        <w:rPr>
          <w:rFonts w:eastAsia="Calibri"/>
        </w:rPr>
        <w:t>s as defined in 5 CFR part 1320:</w:t>
      </w:r>
    </w:p>
    <w:p w:rsidR="00734363" w:rsidRPr="00ED7B3D" w:rsidP="00734363" w14:paraId="51FC6522" w14:textId="77777777">
      <w:pPr>
        <w:ind w:left="360"/>
        <w:rPr>
          <w:rFonts w:eastAsia="Calibri"/>
        </w:rPr>
      </w:pPr>
    </w:p>
    <w:p w:rsidR="00451B2C" w:rsidP="00451B2C" w14:paraId="5AC0BB3E" w14:textId="77777777">
      <w:pPr>
        <w:ind w:left="360"/>
        <w:rPr>
          <w:rFonts w:eastAsia="Calibri"/>
        </w:rPr>
      </w:pPr>
      <w:r w:rsidRPr="00ED7B3D">
        <w:rPr>
          <w:rFonts w:eastAsia="Calibri"/>
          <w:i/>
        </w:rPr>
        <w:t xml:space="preserve">Section 228.104 – Consideration of Requests to Waive, Except, or Modify Lease Stipulations. </w:t>
      </w:r>
      <w:r w:rsidRPr="00ED7B3D">
        <w:rPr>
          <w:rFonts w:eastAsia="Calibri"/>
        </w:rPr>
        <w:t>Under the Bureau of Land Management regulations at 43 CFR 3101.1-4, the Bureau of Land Management may waive, except, or modify a lease stipulation. For leases on National Forest System lands, the</w:t>
      </w:r>
      <w:r w:rsidRPr="0000794A">
        <w:t xml:space="preserve"> </w:t>
      </w:r>
      <w:r w:rsidRPr="00ED7B3D">
        <w:rPr>
          <w:rFonts w:eastAsia="Calibri"/>
        </w:rPr>
        <w:t>Bureau of Land Management must obtain approval from the Forest Service before granting such a request. Section 228(c) provides criteria for approval that the Authorized Forest Service officer must determine are in place to grant approval.</w:t>
      </w:r>
      <w:r>
        <w:rPr>
          <w:rFonts w:eastAsia="Calibri"/>
        </w:rPr>
        <w:t xml:space="preserve"> </w:t>
      </w:r>
      <w:r w:rsidRPr="00ED7B3D">
        <w:rPr>
          <w:rFonts w:eastAsia="Calibri"/>
        </w:rPr>
        <w:t xml:space="preserve">The additional information collection burden estimate is for the extra time </w:t>
      </w:r>
      <w:r>
        <w:rPr>
          <w:rFonts w:eastAsia="Calibri"/>
        </w:rPr>
        <w:t xml:space="preserve">an operator would take to organize </w:t>
      </w:r>
      <w:r w:rsidRPr="00ED7B3D">
        <w:rPr>
          <w:rFonts w:eastAsia="Calibri"/>
        </w:rPr>
        <w:t>and focus its request to assist the Forest Service in its review and consideration for approval.</w:t>
      </w:r>
      <w:r>
        <w:rPr>
          <w:rFonts w:eastAsia="Calibri"/>
        </w:rPr>
        <w:t xml:space="preserve"> </w:t>
      </w:r>
      <w:r w:rsidRPr="00ED7B3D">
        <w:rPr>
          <w:rFonts w:eastAsia="Calibri"/>
        </w:rPr>
        <w:t xml:space="preserve">This is an information collection specific to </w:t>
      </w:r>
      <w:r>
        <w:rPr>
          <w:rFonts w:eastAsia="Calibri"/>
        </w:rPr>
        <w:t>s</w:t>
      </w:r>
      <w:r w:rsidRPr="00ED7B3D">
        <w:rPr>
          <w:rFonts w:eastAsia="Calibri"/>
        </w:rPr>
        <w:t>ubpart E regulations.</w:t>
      </w:r>
    </w:p>
    <w:p w:rsidR="00734363" w:rsidRPr="00ED7B3D" w:rsidP="00D55FAE" w14:paraId="2EDC16F6" w14:textId="77777777">
      <w:pPr>
        <w:rPr>
          <w:rFonts w:eastAsia="Calibri"/>
        </w:rPr>
      </w:pPr>
    </w:p>
    <w:p w:rsidR="00734363" w:rsidP="00734363" w14:paraId="4C69A240" w14:textId="77777777">
      <w:pPr>
        <w:ind w:left="360"/>
        <w:rPr>
          <w:rFonts w:eastAsia="Calibri"/>
        </w:rPr>
      </w:pPr>
      <w:r w:rsidRPr="00ED7B3D">
        <w:rPr>
          <w:rFonts w:eastAsia="Calibri"/>
          <w:i/>
        </w:rPr>
        <w:t xml:space="preserve">Section 228.109(e) Bond Release. </w:t>
      </w:r>
      <w:r w:rsidRPr="00ED7B3D">
        <w:rPr>
          <w:rFonts w:eastAsia="Calibri"/>
        </w:rPr>
        <w:t xml:space="preserve">This section </w:t>
      </w:r>
      <w:r>
        <w:rPr>
          <w:rFonts w:eastAsia="Calibri"/>
        </w:rPr>
        <w:t xml:space="preserve">would </w:t>
      </w:r>
      <w:r w:rsidRPr="00ED7B3D">
        <w:rPr>
          <w:rFonts w:eastAsia="Calibri"/>
        </w:rPr>
        <w:t xml:space="preserve">provide an </w:t>
      </w:r>
      <w:r w:rsidRPr="00ED7B3D">
        <w:rPr>
          <w:rFonts w:eastAsia="Calibri"/>
        </w:rPr>
        <w:t>operator</w:t>
      </w:r>
      <w:r w:rsidRPr="00ED7B3D">
        <w:rPr>
          <w:rFonts w:eastAsia="Calibri"/>
        </w:rPr>
        <w:t xml:space="preserve"> the ability to seek an incremental reduction in the performance bond based on partial completion of the reclamation requirements of the approved Surface Use Plan of Operations.</w:t>
      </w:r>
      <w:r>
        <w:rPr>
          <w:rFonts w:eastAsia="Calibri"/>
        </w:rPr>
        <w:t xml:space="preserve"> </w:t>
      </w:r>
      <w:r w:rsidRPr="00ED7B3D">
        <w:rPr>
          <w:rFonts w:eastAsia="Calibri"/>
        </w:rPr>
        <w:t xml:space="preserve">This is an information collection specific to </w:t>
      </w:r>
      <w:r>
        <w:rPr>
          <w:rFonts w:eastAsia="Calibri"/>
        </w:rPr>
        <w:t>s</w:t>
      </w:r>
      <w:r w:rsidRPr="00ED7B3D">
        <w:rPr>
          <w:rFonts w:eastAsia="Calibri"/>
        </w:rPr>
        <w:t>ubpart E regulations.</w:t>
      </w:r>
    </w:p>
    <w:p w:rsidR="00734363" w:rsidRPr="00ED7B3D" w:rsidP="00734363" w14:paraId="0B8244A6" w14:textId="77777777">
      <w:pPr>
        <w:ind w:left="360"/>
        <w:rPr>
          <w:rFonts w:eastAsia="Calibri"/>
        </w:rPr>
      </w:pPr>
    </w:p>
    <w:p w:rsidR="00734363" w:rsidP="00734363" w14:paraId="1F904E27" w14:textId="77777777">
      <w:pPr>
        <w:ind w:left="360"/>
        <w:rPr>
          <w:rFonts w:eastAsia="Calibri"/>
        </w:rPr>
      </w:pPr>
      <w:r w:rsidRPr="00ED7B3D">
        <w:rPr>
          <w:rFonts w:eastAsia="Calibri"/>
          <w:i/>
        </w:rPr>
        <w:t xml:space="preserve">Section 228.110(a) Notice of Temporary Cessation of Operations. </w:t>
      </w:r>
      <w:r w:rsidRPr="00ED7B3D">
        <w:rPr>
          <w:rFonts w:eastAsia="Calibri"/>
        </w:rPr>
        <w:t xml:space="preserve">This section </w:t>
      </w:r>
      <w:r>
        <w:rPr>
          <w:rFonts w:eastAsia="Calibri"/>
        </w:rPr>
        <w:t xml:space="preserve">would </w:t>
      </w:r>
      <w:r w:rsidRPr="00ED7B3D">
        <w:rPr>
          <w:rFonts w:eastAsia="Calibri"/>
        </w:rPr>
        <w:t xml:space="preserve">require an operator to provide verbal notification followed by a written statement to the Forest Service if operations </w:t>
      </w:r>
      <w:r w:rsidRPr="00ED7B3D">
        <w:rPr>
          <w:rFonts w:eastAsia="Calibri"/>
        </w:rPr>
        <w:t>will be</w:t>
      </w:r>
      <w:r w:rsidRPr="00ED7B3D">
        <w:rPr>
          <w:rFonts w:eastAsia="Calibri"/>
        </w:rPr>
        <w:t xml:space="preserve"> temporarily paused for a period of 45 days or more. This is an information collection specific to </w:t>
      </w:r>
      <w:r>
        <w:rPr>
          <w:rFonts w:eastAsia="Calibri"/>
        </w:rPr>
        <w:t>s</w:t>
      </w:r>
      <w:r w:rsidRPr="00ED7B3D">
        <w:rPr>
          <w:rFonts w:eastAsia="Calibri"/>
        </w:rPr>
        <w:t>ubpart E regulations.</w:t>
      </w:r>
    </w:p>
    <w:p w:rsidR="00734363" w:rsidRPr="00ED7B3D" w:rsidP="00734363" w14:paraId="7E12EA55" w14:textId="77777777">
      <w:pPr>
        <w:ind w:left="360"/>
        <w:rPr>
          <w:rFonts w:eastAsia="Calibri"/>
        </w:rPr>
      </w:pPr>
    </w:p>
    <w:p w:rsidR="00734363" w:rsidP="00734363" w14:paraId="36B4B99D" w14:textId="77777777">
      <w:pPr>
        <w:ind w:left="360"/>
        <w:rPr>
          <w:rFonts w:eastAsia="Calibri"/>
        </w:rPr>
      </w:pPr>
      <w:r w:rsidRPr="00ED7B3D">
        <w:rPr>
          <w:rFonts w:eastAsia="Calibri"/>
          <w:i/>
        </w:rPr>
        <w:t xml:space="preserve">Section 228.112(c) Extension of Deadline in Notice of Noncompliance. </w:t>
      </w:r>
      <w:r>
        <w:rPr>
          <w:rFonts w:eastAsia="Calibri"/>
        </w:rPr>
        <w:t>Under this section, w</w:t>
      </w:r>
      <w:r w:rsidRPr="00ED7B3D">
        <w:rPr>
          <w:rFonts w:eastAsia="Calibri"/>
        </w:rPr>
        <w:t xml:space="preserve">hen issued a notice of noncompliance an operator may request an extension of </w:t>
      </w:r>
      <w:r>
        <w:rPr>
          <w:rFonts w:eastAsia="Calibri"/>
        </w:rPr>
        <w:t xml:space="preserve">the </w:t>
      </w:r>
      <w:r w:rsidRPr="00ED7B3D">
        <w:rPr>
          <w:rFonts w:eastAsia="Calibri"/>
        </w:rPr>
        <w:t xml:space="preserve">deadline contained within the notice. In its request, an operator would provide the rationale for the </w:t>
      </w:r>
      <w:r w:rsidRPr="00ED7B3D">
        <w:rPr>
          <w:rFonts w:eastAsia="Calibri"/>
        </w:rPr>
        <w:t>needed delay</w:t>
      </w:r>
      <w:r w:rsidRPr="00ED7B3D">
        <w:rPr>
          <w:rFonts w:eastAsia="Calibri"/>
        </w:rPr>
        <w:t xml:space="preserve"> for it to come into compliance. This is an information collection specific to </w:t>
      </w:r>
      <w:r>
        <w:rPr>
          <w:rFonts w:eastAsia="Calibri"/>
        </w:rPr>
        <w:t>s</w:t>
      </w:r>
      <w:r w:rsidRPr="00ED7B3D">
        <w:rPr>
          <w:rFonts w:eastAsia="Calibri"/>
        </w:rPr>
        <w:t>ubpart E regulations.</w:t>
      </w:r>
    </w:p>
    <w:p w:rsidR="00734363" w:rsidRPr="00ED7B3D" w:rsidP="00734363" w14:paraId="4E4183E4" w14:textId="77777777">
      <w:pPr>
        <w:ind w:left="360"/>
        <w:rPr>
          <w:rFonts w:eastAsia="Calibri"/>
        </w:rPr>
      </w:pPr>
    </w:p>
    <w:p w:rsidR="00C17B26" w:rsidP="00734363" w14:paraId="426DA316" w14:textId="77777777">
      <w:pPr>
        <w:pStyle w:val="BodyTextIndent"/>
        <w:tabs>
          <w:tab w:val="clear" w:pos="0"/>
          <w:tab w:val="clear" w:pos="361"/>
          <w:tab w:val="left" w:pos="720"/>
          <w:tab w:val="clear" w:pos="1083"/>
        </w:tabs>
        <w:spacing w:after="80"/>
        <w:jc w:val="both"/>
        <w:rPr>
          <w:rFonts w:eastAsia="Calibri"/>
        </w:rPr>
      </w:pPr>
      <w:r w:rsidRPr="00ED7B3D">
        <w:rPr>
          <w:rFonts w:eastAsia="Calibri"/>
          <w:i/>
        </w:rPr>
        <w:t xml:space="preserve">Section 228.113(b)(2) – Response to a Referral of Material Noncompliance. </w:t>
      </w:r>
      <w:r w:rsidRPr="00ED7B3D">
        <w:rPr>
          <w:rFonts w:eastAsia="Calibri"/>
        </w:rPr>
        <w:t xml:space="preserve">When the Agency determines that an operator has failed to remedy a state of noncompliance and is being referred to the Compliance Officer for a determination </w:t>
      </w:r>
      <w:r>
        <w:rPr>
          <w:rFonts w:eastAsia="Calibri"/>
        </w:rPr>
        <w:t xml:space="preserve">of </w:t>
      </w:r>
      <w:r w:rsidRPr="00ED7B3D">
        <w:rPr>
          <w:rFonts w:eastAsia="Calibri"/>
        </w:rPr>
        <w:t xml:space="preserve">material noncompliance, this section </w:t>
      </w:r>
      <w:r>
        <w:rPr>
          <w:rFonts w:eastAsia="Calibri"/>
        </w:rPr>
        <w:t xml:space="preserve">would </w:t>
      </w:r>
      <w:r w:rsidRPr="00ED7B3D">
        <w:rPr>
          <w:rFonts w:eastAsia="Calibri"/>
        </w:rPr>
        <w:t>inform an operator that it may submit a written response to the referral or request an oral presentation to the Compliance Officer.</w:t>
      </w:r>
    </w:p>
    <w:p w:rsidR="00734363" w:rsidRPr="009A769F" w:rsidP="00734363" w14:paraId="031653FE" w14:textId="77777777">
      <w:pPr>
        <w:pStyle w:val="BodyTextIndent"/>
        <w:tabs>
          <w:tab w:val="clear" w:pos="0"/>
          <w:tab w:val="clear" w:pos="361"/>
          <w:tab w:val="left" w:pos="720"/>
          <w:tab w:val="clear" w:pos="1083"/>
        </w:tabs>
        <w:spacing w:after="80"/>
        <w:jc w:val="both"/>
        <w:rPr>
          <w:rFonts w:ascii="Tahoma" w:hAnsi="Tahoma" w:cs="Tahoma"/>
          <w:color w:val="3366FF"/>
          <w:sz w:val="22"/>
          <w:szCs w:val="22"/>
        </w:rPr>
      </w:pPr>
    </w:p>
    <w:p w:rsidR="00504B59" w:rsidP="00197F9A" w14:paraId="0AA0F851"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w:t>
      </w:r>
      <w:r w:rsidRPr="00504B59">
        <w:rPr>
          <w:rFonts w:ascii="Tahoma" w:hAnsi="Tahoma" w:cs="Tahoma"/>
          <w:b/>
          <w:bCs/>
          <w:sz w:val="22"/>
          <w:szCs w:val="22"/>
        </w:rPr>
        <w:t>a bank</w:t>
      </w:r>
      <w:r w:rsidRPr="00504B59">
        <w:rPr>
          <w:rFonts w:ascii="Tahoma" w:hAnsi="Tahoma" w:cs="Tahoma"/>
          <w:b/>
          <w:bCs/>
          <w:sz w:val="22"/>
          <w:szCs w:val="22"/>
        </w:rPr>
        <w:t xml:space="preserve"> versus </w:t>
      </w:r>
      <w:r w:rsidRPr="00504B59">
        <w:rPr>
          <w:rFonts w:ascii="Tahoma" w:hAnsi="Tahoma" w:cs="Tahoma"/>
          <w:b/>
          <w:bCs/>
          <w:sz w:val="22"/>
          <w:szCs w:val="22"/>
        </w:rPr>
        <w:t>an appraiser</w:t>
      </w:r>
      <w:r w:rsidRPr="00504B59">
        <w:rPr>
          <w:rFonts w:ascii="Tahoma" w:hAnsi="Tahoma" w:cs="Tahoma"/>
          <w:b/>
          <w:bCs/>
          <w:sz w:val="22"/>
          <w:szCs w:val="22"/>
        </w:rPr>
        <w:t xml:space="preserve">), each should be described along with the type of collection activity that applies. </w:t>
      </w:r>
    </w:p>
    <w:p w:rsidR="00734363" w:rsidP="00734363" w14:paraId="5C62E20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rPr>
          <w:b/>
          <w:bCs/>
        </w:rPr>
      </w:pPr>
    </w:p>
    <w:p w:rsidR="00734363" w:rsidRPr="00ED7B3D" w:rsidP="00734363" w14:paraId="588592D4" w14:textId="77777777">
      <w:pPr>
        <w:ind w:left="720"/>
        <w:rPr>
          <w:rFonts w:eastAsia="Calibri"/>
        </w:rPr>
      </w:pPr>
      <w:r w:rsidRPr="00ED7B3D">
        <w:rPr>
          <w:rFonts w:eastAsia="Calibri"/>
        </w:rPr>
        <w:t xml:space="preserve">Individuals and private sector businesses who wish to engage in activities on National </w:t>
      </w:r>
      <w:r w:rsidRPr="00ED7B3D">
        <w:rPr>
          <w:rFonts w:eastAsia="Calibri"/>
        </w:rPr>
        <w:t xml:space="preserve">Forest System lands pursuant to a </w:t>
      </w:r>
      <w:r w:rsidR="00E11B88">
        <w:rPr>
          <w:rFonts w:eastAsia="Calibri"/>
        </w:rPr>
        <w:t>federal</w:t>
      </w:r>
      <w:r w:rsidRPr="00ED7B3D">
        <w:rPr>
          <w:rFonts w:eastAsia="Calibri"/>
        </w:rPr>
        <w:t xml:space="preserve"> oil and gas lease.</w:t>
      </w:r>
    </w:p>
    <w:p w:rsidR="00734363" w:rsidRPr="00734363" w:rsidP="00734363" w14:paraId="175EA257"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0" w:firstLine="0"/>
        <w:jc w:val="both"/>
        <w:rPr>
          <w:rFonts w:ascii="Tahoma" w:hAnsi="Tahoma" w:cs="Tahoma"/>
          <w:sz w:val="22"/>
          <w:szCs w:val="22"/>
        </w:rPr>
      </w:pPr>
    </w:p>
    <w:p w:rsidR="00504B59" w:rsidRPr="00504B59" w:rsidP="00197F9A" w14:paraId="2486967C"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000B2AEB" w:rsidP="00197F9A" w14:paraId="5A47D356" w14:textId="77777777">
      <w:pPr>
        <w:pStyle w:val="BodyTextIndent"/>
        <w:tabs>
          <w:tab w:val="clear" w:pos="0"/>
          <w:tab w:val="clear" w:pos="361"/>
          <w:tab w:val="left" w:pos="720"/>
          <w:tab w:val="clear" w:pos="1083"/>
        </w:tabs>
        <w:spacing w:after="80"/>
        <w:ind w:left="720"/>
        <w:jc w:val="both"/>
      </w:pPr>
    </w:p>
    <w:p w:rsidR="00325313" w:rsidP="00325313" w14:paraId="10835E3D" w14:textId="77777777">
      <w:pPr>
        <w:tabs>
          <w:tab w:val="left" w:pos="720"/>
        </w:tabs>
        <w:suppressAutoHyphens/>
        <w:spacing w:line="276" w:lineRule="auto"/>
        <w:ind w:left="720"/>
      </w:pPr>
      <w:r w:rsidRPr="00325313">
        <w:t xml:space="preserve">The </w:t>
      </w:r>
      <w:r>
        <w:t>Forest Service</w:t>
      </w:r>
      <w:r w:rsidRPr="00325313">
        <w:t xml:space="preserve"> uses the information </w:t>
      </w:r>
      <w:r>
        <w:t xml:space="preserve">to ensure Federal oil and gas lessees may exercise their rights in compliance with their lease and applicable laws and regulations, and </w:t>
      </w:r>
      <w:r w:rsidRPr="00325313">
        <w:t>in</w:t>
      </w:r>
      <w:r>
        <w:t xml:space="preserve"> keeping with the Forest Service’s surface management responsibilities.</w:t>
      </w:r>
    </w:p>
    <w:p w:rsidR="00325313" w:rsidP="00325313" w14:paraId="1AC31564" w14:textId="77777777">
      <w:pPr>
        <w:tabs>
          <w:tab w:val="left" w:pos="720"/>
        </w:tabs>
        <w:suppressAutoHyphens/>
        <w:spacing w:line="276" w:lineRule="auto"/>
        <w:ind w:left="720"/>
      </w:pPr>
    </w:p>
    <w:p w:rsidR="00325313" w:rsidP="00325313" w14:paraId="49185EE4" w14:textId="77777777">
      <w:pPr>
        <w:tabs>
          <w:tab w:val="left" w:pos="720"/>
        </w:tabs>
        <w:suppressAutoHyphens/>
        <w:spacing w:line="276" w:lineRule="auto"/>
        <w:ind w:left="720"/>
      </w:pPr>
      <w:r>
        <w:t>Specifically:</w:t>
      </w:r>
    </w:p>
    <w:p w:rsidR="00325313" w:rsidP="00325313" w14:paraId="46FD2832" w14:textId="77777777">
      <w:pPr>
        <w:tabs>
          <w:tab w:val="left" w:pos="720"/>
        </w:tabs>
        <w:suppressAutoHyphens/>
        <w:spacing w:line="276" w:lineRule="auto"/>
        <w:ind w:left="720"/>
      </w:pPr>
    </w:p>
    <w:p w:rsidR="00325313" w:rsidP="00325313" w14:paraId="78FBD80F" w14:textId="77777777">
      <w:pPr>
        <w:ind w:left="720"/>
        <w:rPr>
          <w:rFonts w:eastAsia="Calibri"/>
        </w:rPr>
      </w:pPr>
      <w:r w:rsidRPr="00ED7B3D">
        <w:rPr>
          <w:rFonts w:eastAsia="Calibri"/>
          <w:i/>
        </w:rPr>
        <w:t xml:space="preserve">Section 228.104 – Consideration of Requests to Waive, Except, or Modify Lease Stipulations. </w:t>
      </w:r>
      <w:r w:rsidRPr="00ED7B3D">
        <w:rPr>
          <w:rFonts w:eastAsia="Calibri"/>
        </w:rPr>
        <w:t>Section 228</w:t>
      </w:r>
      <w:r w:rsidR="00F0742E">
        <w:rPr>
          <w:rFonts w:eastAsia="Calibri"/>
        </w:rPr>
        <w:t>.104</w:t>
      </w:r>
      <w:r w:rsidRPr="00ED7B3D">
        <w:rPr>
          <w:rFonts w:eastAsia="Calibri"/>
        </w:rPr>
        <w:t>(c) provides criteria for approval that the Authorized Forest Service officer must determine are in place to grant approval</w:t>
      </w:r>
      <w:r w:rsidR="00F0742E">
        <w:rPr>
          <w:rFonts w:eastAsia="Calibri"/>
        </w:rPr>
        <w:t xml:space="preserve"> for a request to waive, except or modify lease stipulations</w:t>
      </w:r>
      <w:r w:rsidRPr="00ED7B3D">
        <w:rPr>
          <w:rFonts w:eastAsia="Calibri"/>
        </w:rPr>
        <w:t>.</w:t>
      </w:r>
      <w:r w:rsidR="00F0742E">
        <w:rPr>
          <w:rFonts w:eastAsia="Calibri"/>
        </w:rPr>
        <w:t xml:space="preserve"> The </w:t>
      </w:r>
      <w:r w:rsidR="00E13255">
        <w:rPr>
          <w:rFonts w:eastAsia="Calibri"/>
        </w:rPr>
        <w:t xml:space="preserve">information </w:t>
      </w:r>
      <w:r w:rsidRPr="00ED7B3D">
        <w:rPr>
          <w:rFonts w:eastAsia="Calibri"/>
        </w:rPr>
        <w:t xml:space="preserve">is </w:t>
      </w:r>
      <w:r w:rsidR="00E13255">
        <w:rPr>
          <w:rFonts w:eastAsia="Calibri"/>
        </w:rPr>
        <w:t xml:space="preserve">required </w:t>
      </w:r>
      <w:r w:rsidRPr="00ED7B3D">
        <w:rPr>
          <w:rFonts w:eastAsia="Calibri"/>
        </w:rPr>
        <w:t xml:space="preserve">to assist the Forest Service in </w:t>
      </w:r>
      <w:r w:rsidR="00F0742E">
        <w:rPr>
          <w:rFonts w:eastAsia="Calibri"/>
        </w:rPr>
        <w:t xml:space="preserve">determining that approval of a request would </w:t>
      </w:r>
      <w:r w:rsidR="00E13255">
        <w:rPr>
          <w:rFonts w:eastAsia="Calibri"/>
        </w:rPr>
        <w:t>be in compliance with</w:t>
      </w:r>
      <w:r w:rsidR="00E13255">
        <w:rPr>
          <w:rFonts w:eastAsia="Calibri"/>
        </w:rPr>
        <w:t xml:space="preserve"> its current land management plan, and t</w:t>
      </w:r>
      <w:r w:rsidRPr="00ED7B3D" w:rsidR="00F0742E">
        <w:t xml:space="preserve">he management objectives which led </w:t>
      </w:r>
      <w:r w:rsidR="00E13255">
        <w:t xml:space="preserve">to </w:t>
      </w:r>
      <w:r w:rsidRPr="00ED7B3D" w:rsidR="00F0742E">
        <w:t xml:space="preserve">inclusion of the stipulation </w:t>
      </w:r>
      <w:r w:rsidR="00E13255">
        <w:t>would still</w:t>
      </w:r>
      <w:r w:rsidRPr="00ED7B3D" w:rsidR="00F0742E">
        <w:t xml:space="preserve"> be met</w:t>
      </w:r>
      <w:r w:rsidR="00E13255">
        <w:t>.</w:t>
      </w:r>
    </w:p>
    <w:p w:rsidR="004A3386" w:rsidP="004A3386" w14:paraId="709CA5BE" w14:textId="77777777"/>
    <w:p w:rsidR="00325313" w:rsidP="004A3386" w14:paraId="448F5240" w14:textId="77777777">
      <w:pPr>
        <w:ind w:left="720"/>
        <w:rPr>
          <w:rFonts w:eastAsia="Calibri"/>
        </w:rPr>
      </w:pPr>
      <w:r w:rsidRPr="00ED7B3D">
        <w:rPr>
          <w:rFonts w:eastAsia="Calibri"/>
          <w:i/>
        </w:rPr>
        <w:t>Section 228.109(e) Bond Release.</w:t>
      </w:r>
      <w:r w:rsidR="001A4B4C">
        <w:rPr>
          <w:rFonts w:eastAsia="Calibri"/>
          <w:i/>
        </w:rPr>
        <w:t xml:space="preserve"> </w:t>
      </w:r>
      <w:r w:rsidRPr="00ED7B3D">
        <w:rPr>
          <w:rFonts w:eastAsia="Calibri"/>
        </w:rPr>
        <w:t>Th</w:t>
      </w:r>
      <w:r w:rsidR="004A3386">
        <w:rPr>
          <w:rFonts w:eastAsia="Calibri"/>
        </w:rPr>
        <w:t xml:space="preserve">e information collected </w:t>
      </w:r>
      <w:r w:rsidR="004A3386">
        <w:rPr>
          <w:rFonts w:eastAsia="Calibri"/>
        </w:rPr>
        <w:t>documents</w:t>
      </w:r>
      <w:r w:rsidR="004A3386">
        <w:rPr>
          <w:rFonts w:eastAsia="Calibri"/>
        </w:rPr>
        <w:t xml:space="preserve"> </w:t>
      </w:r>
      <w:r w:rsidR="00CD3315">
        <w:rPr>
          <w:rFonts w:eastAsia="Calibri"/>
        </w:rPr>
        <w:t xml:space="preserve">an operator’s </w:t>
      </w:r>
      <w:r w:rsidRPr="00ED7B3D" w:rsidR="00CD3315">
        <w:rPr>
          <w:rFonts w:eastAsia="Calibri"/>
        </w:rPr>
        <w:t>partial completion of the reclamation requirements of the approved Surface Use Plan of Operations</w:t>
      </w:r>
      <w:r w:rsidR="00CD3315">
        <w:rPr>
          <w:rFonts w:eastAsia="Calibri"/>
        </w:rPr>
        <w:t xml:space="preserve"> and is </w:t>
      </w:r>
      <w:r w:rsidR="004A3386">
        <w:rPr>
          <w:rFonts w:eastAsia="Calibri"/>
        </w:rPr>
        <w:t>used to evaluate an</w:t>
      </w:r>
      <w:r w:rsidRPr="00ED7B3D">
        <w:rPr>
          <w:rFonts w:eastAsia="Calibri"/>
        </w:rPr>
        <w:t xml:space="preserve"> operator</w:t>
      </w:r>
      <w:r w:rsidR="004A3386">
        <w:rPr>
          <w:rFonts w:eastAsia="Calibri"/>
        </w:rPr>
        <w:t>’s request for</w:t>
      </w:r>
      <w:r w:rsidRPr="00ED7B3D">
        <w:rPr>
          <w:rFonts w:eastAsia="Calibri"/>
        </w:rPr>
        <w:t xml:space="preserve"> an incremental reduction in the performance bond</w:t>
      </w:r>
      <w:r w:rsidR="00CD3315">
        <w:rPr>
          <w:rFonts w:eastAsia="Calibri"/>
        </w:rPr>
        <w:t xml:space="preserve"> amount.</w:t>
      </w:r>
    </w:p>
    <w:p w:rsidR="00325313" w:rsidRPr="00ED7B3D" w:rsidP="00325313" w14:paraId="49532E33" w14:textId="77777777">
      <w:pPr>
        <w:ind w:left="720"/>
        <w:rPr>
          <w:rFonts w:eastAsia="Calibri"/>
        </w:rPr>
      </w:pPr>
    </w:p>
    <w:p w:rsidR="00CD3315" w:rsidRPr="00ED7B3D" w:rsidP="00896302" w14:paraId="17204946" w14:textId="77777777">
      <w:pPr>
        <w:ind w:left="720"/>
      </w:pPr>
      <w:r w:rsidRPr="00ED7B3D">
        <w:rPr>
          <w:rFonts w:eastAsia="Calibri"/>
          <w:i/>
        </w:rPr>
        <w:t xml:space="preserve">Section 228.110(a) Notice of Temporary Cessation of Operations. </w:t>
      </w:r>
      <w:r w:rsidRPr="00ED7B3D">
        <w:rPr>
          <w:rFonts w:eastAsia="Calibri"/>
        </w:rPr>
        <w:t>Th</w:t>
      </w:r>
      <w:r>
        <w:rPr>
          <w:rFonts w:eastAsia="Calibri"/>
        </w:rPr>
        <w:t>ere are two separate information collections associated with Temporary Cessation of operations.</w:t>
      </w:r>
      <w:r w:rsidRPr="00ED7B3D">
        <w:rPr>
          <w:rFonts w:eastAsia="Calibri"/>
        </w:rPr>
        <w:t xml:space="preserve"> </w:t>
      </w:r>
      <w:r>
        <w:rPr>
          <w:rFonts w:eastAsia="Calibri"/>
        </w:rPr>
        <w:t>The first is a</w:t>
      </w:r>
      <w:r w:rsidRPr="00ED7B3D">
        <w:rPr>
          <w:rFonts w:eastAsia="Calibri"/>
        </w:rPr>
        <w:t xml:space="preserve"> verbal notification followed by a written statement to the Forest Service if operations will be temporarily paused for a period of 45 days or more. </w:t>
      </w:r>
      <w:r>
        <w:rPr>
          <w:rFonts w:eastAsia="Calibri"/>
        </w:rPr>
        <w:t>The information collection is used by t</w:t>
      </w:r>
      <w:r w:rsidRPr="00ED7B3D">
        <w:t xml:space="preserve">he authorized Forest Service officer </w:t>
      </w:r>
      <w:r>
        <w:t xml:space="preserve">to determine if </w:t>
      </w:r>
      <w:r w:rsidRPr="00ED7B3D">
        <w:t xml:space="preserve">the operator </w:t>
      </w:r>
      <w:r>
        <w:t xml:space="preserve">needs </w:t>
      </w:r>
      <w:r w:rsidRPr="00ED7B3D">
        <w:t>to take reasonable interim reclamation or erosion control measures to protect surface resources during temporary cessation of operations, including during cessation of operations resulting from adverse weather conditions.</w:t>
      </w:r>
      <w:r>
        <w:t xml:space="preserve"> The second information collection is a verbal notification</w:t>
      </w:r>
      <w:r w:rsidRPr="00ED7B3D">
        <w:t xml:space="preserve"> at least 48 hours prior to resuming operations following </w:t>
      </w:r>
      <w:r>
        <w:t xml:space="preserve">a </w:t>
      </w:r>
      <w:r w:rsidRPr="00ED7B3D">
        <w:t>temporary cessation</w:t>
      </w:r>
      <w:r>
        <w:t xml:space="preserve"> of 45 days or more</w:t>
      </w:r>
      <w:r w:rsidRPr="00ED7B3D">
        <w:t>.</w:t>
      </w:r>
      <w:r>
        <w:t xml:space="preserve"> The notification provides the Forest Service with an opportunity to monitor and inspect operation</w:t>
      </w:r>
      <w:r w:rsidR="007245E6">
        <w:t>s</w:t>
      </w:r>
      <w:r>
        <w:t xml:space="preserve"> as they resume.</w:t>
      </w:r>
    </w:p>
    <w:p w:rsidR="00325313" w:rsidRPr="00ED7B3D" w:rsidP="00896302" w14:paraId="4CA7C7BD" w14:textId="77777777">
      <w:pPr>
        <w:rPr>
          <w:rFonts w:eastAsia="Calibri"/>
        </w:rPr>
      </w:pPr>
    </w:p>
    <w:p w:rsidR="00325313" w:rsidP="00325313" w14:paraId="5BA6782C" w14:textId="77777777">
      <w:pPr>
        <w:ind w:left="720"/>
        <w:rPr>
          <w:rFonts w:eastAsia="Calibri"/>
        </w:rPr>
      </w:pPr>
      <w:r w:rsidRPr="00ED7B3D">
        <w:rPr>
          <w:rFonts w:eastAsia="Calibri"/>
          <w:i/>
        </w:rPr>
        <w:t xml:space="preserve">Section 228.112(c) Extension of Deadline in Notice of Noncompliance. </w:t>
      </w:r>
      <w:r w:rsidR="007245E6">
        <w:rPr>
          <w:rFonts w:eastAsia="Calibri"/>
        </w:rPr>
        <w:t>W</w:t>
      </w:r>
      <w:r w:rsidRPr="00ED7B3D">
        <w:rPr>
          <w:rFonts w:eastAsia="Calibri"/>
        </w:rPr>
        <w:t xml:space="preserve">hen issued a notice of noncompliance an operator may request an extension of </w:t>
      </w:r>
      <w:r>
        <w:rPr>
          <w:rFonts w:eastAsia="Calibri"/>
        </w:rPr>
        <w:t xml:space="preserve">the </w:t>
      </w:r>
      <w:r w:rsidRPr="00ED7B3D">
        <w:rPr>
          <w:rFonts w:eastAsia="Calibri"/>
        </w:rPr>
        <w:t xml:space="preserve">deadline contained within the notice. In its request, an operator would provide the rationale for the </w:t>
      </w:r>
      <w:r w:rsidRPr="00ED7B3D">
        <w:rPr>
          <w:rFonts w:eastAsia="Calibri"/>
        </w:rPr>
        <w:t>needed delay</w:t>
      </w:r>
      <w:r w:rsidRPr="00ED7B3D">
        <w:rPr>
          <w:rFonts w:eastAsia="Calibri"/>
        </w:rPr>
        <w:t xml:space="preserve"> for it to come into compliance. This is an information </w:t>
      </w:r>
      <w:r w:rsidRPr="00ED7B3D">
        <w:rPr>
          <w:rFonts w:eastAsia="Calibri"/>
        </w:rPr>
        <w:t>collection</w:t>
      </w:r>
      <w:r w:rsidR="007245E6">
        <w:rPr>
          <w:rFonts w:eastAsia="Calibri"/>
        </w:rPr>
        <w:t xml:space="preserve"> would be used to judge whether or not the Authorized Officer would grant the extension.</w:t>
      </w:r>
    </w:p>
    <w:p w:rsidR="00325313" w:rsidRPr="00ED7B3D" w:rsidP="00325313" w14:paraId="1C5D1A03" w14:textId="77777777">
      <w:pPr>
        <w:ind w:left="720"/>
        <w:rPr>
          <w:rFonts w:eastAsia="Calibri"/>
        </w:rPr>
      </w:pPr>
    </w:p>
    <w:p w:rsidR="000B2AEB" w:rsidP="00197F9A" w14:paraId="3ABB9964" w14:textId="77777777">
      <w:pPr>
        <w:pStyle w:val="BodyTextIndent"/>
        <w:tabs>
          <w:tab w:val="clear" w:pos="0"/>
          <w:tab w:val="clear" w:pos="361"/>
          <w:tab w:val="left" w:pos="720"/>
          <w:tab w:val="clear" w:pos="1083"/>
        </w:tabs>
        <w:spacing w:after="80"/>
        <w:ind w:left="720"/>
        <w:jc w:val="both"/>
        <w:rPr>
          <w:rFonts w:eastAsia="Calibri"/>
        </w:rPr>
      </w:pPr>
      <w:r w:rsidRPr="00ED7B3D">
        <w:rPr>
          <w:rFonts w:eastAsia="Calibri"/>
          <w:i/>
        </w:rPr>
        <w:t xml:space="preserve">Section 228.113(b)(2) Response to a Referral of Material Noncompliance. </w:t>
      </w:r>
      <w:r w:rsidRPr="00ED7B3D">
        <w:rPr>
          <w:rFonts w:eastAsia="Calibri"/>
        </w:rPr>
        <w:t xml:space="preserve">When the Agency determines that an operator has failed to remedy a state of noncompliance and is being referred to the Compliance Officer for a determination </w:t>
      </w:r>
      <w:r>
        <w:rPr>
          <w:rFonts w:eastAsia="Calibri"/>
        </w:rPr>
        <w:t xml:space="preserve">of </w:t>
      </w:r>
      <w:r w:rsidRPr="00ED7B3D">
        <w:rPr>
          <w:rFonts w:eastAsia="Calibri"/>
        </w:rPr>
        <w:t xml:space="preserve">material noncompliance, </w:t>
      </w:r>
      <w:r w:rsidR="007245E6">
        <w:rPr>
          <w:rFonts w:eastAsia="Calibri"/>
        </w:rPr>
        <w:t xml:space="preserve">the </w:t>
      </w:r>
      <w:r w:rsidRPr="00ED7B3D">
        <w:rPr>
          <w:rFonts w:eastAsia="Calibri"/>
        </w:rPr>
        <w:t xml:space="preserve">operator </w:t>
      </w:r>
      <w:r w:rsidR="007245E6">
        <w:rPr>
          <w:rFonts w:eastAsia="Calibri"/>
        </w:rPr>
        <w:t>is notified and given an opportunity to</w:t>
      </w:r>
      <w:r w:rsidRPr="00ED7B3D">
        <w:rPr>
          <w:rFonts w:eastAsia="Calibri"/>
        </w:rPr>
        <w:t xml:space="preserve"> submit a written response to the referral or request an oral presentation to the Compliance Officer.</w:t>
      </w:r>
      <w:r w:rsidR="007245E6">
        <w:rPr>
          <w:rFonts w:eastAsia="Calibri"/>
        </w:rPr>
        <w:t xml:space="preserve"> The information collection is used to determine the next steps in the compliance process.</w:t>
      </w:r>
    </w:p>
    <w:p w:rsidR="007245E6" w:rsidP="00197F9A" w14:paraId="49F862ED" w14:textId="77777777">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p>
    <w:p w:rsidR="00C37CD8" w:rsidP="00E11B88" w14:paraId="58F7F085"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7245E6" w:rsidRPr="00E11B88" w:rsidP="00E11B88" w14:paraId="3AD2F0A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2"/>
        <w:jc w:val="both"/>
      </w:pPr>
      <w:r>
        <w:t xml:space="preserve">Information collections specific to Forest Service do </w:t>
      </w:r>
      <w:r>
        <w:t>no</w:t>
      </w:r>
      <w:r>
        <w:t xml:space="preserve"> use forms. Most </w:t>
      </w:r>
      <w:r w:rsidRPr="00E11B88">
        <w:t>respondents typically submit information electronically via email</w:t>
      </w:r>
      <w:r w:rsidR="00D55FAE">
        <w:t xml:space="preserve">ed </w:t>
      </w:r>
      <w:r w:rsidR="00D55FAE">
        <w:t>letters</w:t>
      </w:r>
      <w:r>
        <w:t>, but</w:t>
      </w:r>
      <w:r>
        <w:t xml:space="preserve"> have the option of providing hard copies via mail or in person. Since the information collections are required to be in writing, face-to-face or phone call communication do not typically apply.</w:t>
      </w:r>
    </w:p>
    <w:p w:rsidR="007245E6" w:rsidRPr="00504B59" w:rsidP="007245E6" w14:paraId="49677523"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C37CD8" w:rsidP="00E11B88" w14:paraId="21058F3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E11B88" w:rsidP="000E7AAA" w14:paraId="6D54001A"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1"/>
        <w:jc w:val="both"/>
      </w:pPr>
      <w:r>
        <w:t xml:space="preserve">The Forest Service does not have </w:t>
      </w:r>
      <w:r w:rsidR="000E7AAA">
        <w:t xml:space="preserve">scheduled </w:t>
      </w:r>
      <w:r>
        <w:t>information</w:t>
      </w:r>
      <w:r w:rsidR="000E7AAA">
        <w:t xml:space="preserve"> collections such as monthly or annual reports. Information collections occur at the operator’s choosing as they seek </w:t>
      </w:r>
      <w:r w:rsidR="00D55FAE">
        <w:t>authorizations</w:t>
      </w:r>
      <w:r w:rsidR="000E7AAA">
        <w:t xml:space="preserve"> or make requests as described in Section 2.a.</w:t>
      </w:r>
    </w:p>
    <w:p w:rsidR="000E7AAA" w:rsidRPr="00E11B88" w:rsidP="000E7AAA" w14:paraId="4A94DE7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1"/>
        <w:jc w:val="both"/>
      </w:pPr>
    </w:p>
    <w:p w:rsidR="00C37CD8" w:rsidRPr="00504B59" w:rsidP="00197F9A" w14:paraId="4C26EF77"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0B2AEB" w:rsidP="00197F9A" w14:paraId="0CBD9495" w14:textId="77777777">
      <w:pPr>
        <w:pStyle w:val="BodyTextIndent"/>
        <w:tabs>
          <w:tab w:val="clear" w:pos="0"/>
          <w:tab w:val="clear" w:pos="361"/>
          <w:tab w:val="left" w:pos="720"/>
          <w:tab w:val="clear" w:pos="1083"/>
        </w:tabs>
        <w:spacing w:after="80"/>
        <w:ind w:left="720"/>
        <w:jc w:val="both"/>
      </w:pPr>
    </w:p>
    <w:p w:rsidR="000B2AEB" w:rsidRPr="000B2AEB" w:rsidP="00197F9A" w14:paraId="5FF9BE44" w14:textId="77777777">
      <w:pPr>
        <w:pStyle w:val="BodyTextIndent"/>
        <w:tabs>
          <w:tab w:val="clear" w:pos="0"/>
          <w:tab w:val="clear" w:pos="361"/>
          <w:tab w:val="left" w:pos="720"/>
          <w:tab w:val="clear" w:pos="1083"/>
        </w:tabs>
        <w:spacing w:after="80"/>
        <w:ind w:left="720"/>
        <w:jc w:val="both"/>
      </w:pPr>
      <w:r>
        <w:t xml:space="preserve">The information will be shared with the Bureau of Land Management. Information would not routinely be shared directly with organizations outside the government. </w:t>
      </w:r>
    </w:p>
    <w:p w:rsidR="000B2AEB" w:rsidP="00197F9A" w14:paraId="0B052201" w14:textId="77777777">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p>
    <w:p w:rsidR="00C37CD8" w:rsidP="00197F9A" w14:paraId="5EF63809"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925522" w:rsidRPr="00504B59" w:rsidP="00925522" w14:paraId="26D08989"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p>
    <w:p w:rsidR="00504B59" w:rsidRPr="00925522" w:rsidP="00197F9A" w14:paraId="29392590" w14:textId="77777777">
      <w:pPr>
        <w:pStyle w:val="BodyTextIndent"/>
        <w:tabs>
          <w:tab w:val="clear" w:pos="0"/>
          <w:tab w:val="clear" w:pos="361"/>
          <w:tab w:val="left" w:pos="720"/>
          <w:tab w:val="clear" w:pos="1083"/>
        </w:tabs>
        <w:spacing w:after="80"/>
        <w:ind w:left="720"/>
        <w:jc w:val="both"/>
      </w:pPr>
      <w:r w:rsidRPr="00925522">
        <w:t>This</w:t>
      </w:r>
      <w:r>
        <w:t xml:space="preserve"> is a</w:t>
      </w:r>
      <w:r w:rsidR="00B45F7A">
        <w:t xml:space="preserve"> rei</w:t>
      </w:r>
      <w:r>
        <w:t>n</w:t>
      </w:r>
      <w:r w:rsidR="00B45F7A">
        <w:t>statement of a previously approved</w:t>
      </w:r>
      <w:r>
        <w:t xml:space="preserve"> collection. The collection requirements are expected to remain the same for the foreseeable future.</w:t>
      </w:r>
    </w:p>
    <w:p w:rsidR="00925522" w:rsidRPr="009A769F" w:rsidP="00197F9A" w14:paraId="1062C228" w14:textId="77777777">
      <w:pPr>
        <w:pStyle w:val="BodyTextIndent"/>
        <w:tabs>
          <w:tab w:val="clear" w:pos="0"/>
          <w:tab w:val="clear" w:pos="361"/>
          <w:tab w:val="left" w:pos="720"/>
          <w:tab w:val="clear" w:pos="1083"/>
        </w:tabs>
        <w:spacing w:after="80"/>
        <w:ind w:left="720"/>
        <w:jc w:val="both"/>
        <w:rPr>
          <w:rFonts w:ascii="Tahoma" w:hAnsi="Tahoma" w:cs="Tahoma"/>
          <w:color w:val="3366FF"/>
          <w:sz w:val="22"/>
          <w:szCs w:val="22"/>
        </w:rPr>
      </w:pPr>
    </w:p>
    <w:p w:rsidR="007245E6" w:rsidRPr="00404C07" w:rsidP="007245E6" w14:paraId="37BF3EE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 xml:space="preserve">ical collection techniques or other forms of information </w:t>
      </w:r>
      <w:r w:rsidRPr="00504B59">
        <w:rPr>
          <w:rFonts w:ascii="Tahoma" w:hAnsi="Tahoma" w:cs="Tahoma"/>
          <w:b/>
          <w:bCs/>
          <w:sz w:val="22"/>
          <w:szCs w:val="22"/>
        </w:rPr>
        <w:t>technol</w:t>
      </w:r>
      <w:r w:rsidRPr="00504B59">
        <w:rPr>
          <w:rFonts w:ascii="Tahoma" w:hAnsi="Tahoma" w:cs="Tahoma"/>
          <w:b/>
          <w:bCs/>
          <w:sz w:val="22"/>
          <w:szCs w:val="22"/>
        </w:rPr>
        <w:softHyphen/>
        <w:t>o</w:t>
      </w:r>
      <w:r w:rsidRPr="00504B59">
        <w:rPr>
          <w:rFonts w:ascii="Tahoma" w:hAnsi="Tahoma" w:cs="Tahoma"/>
          <w:b/>
          <w:bCs/>
          <w:sz w:val="22"/>
          <w:szCs w:val="22"/>
        </w:rPr>
        <w:softHyphen/>
        <w:t>gy</w:t>
      </w:r>
      <w:r w:rsidRPr="00504B59">
        <w:rPr>
          <w:rFonts w:ascii="Tahoma" w:hAnsi="Tahoma" w:cs="Tahoma"/>
          <w:b/>
          <w:bCs/>
          <w:sz w:val="22"/>
          <w:szCs w:val="22"/>
        </w:rPr>
        <w:t xml:space="preserve">, e.g. </w:t>
      </w:r>
      <w:r w:rsidRPr="00504B59">
        <w:rPr>
          <w:rFonts w:ascii="Tahoma" w:hAnsi="Tahoma" w:cs="Tahoma"/>
          <w:b/>
          <w:bCs/>
          <w:sz w:val="22"/>
          <w:szCs w:val="22"/>
        </w:rPr>
        <w:t>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 xml:space="preserve">mission of </w:t>
      </w:r>
      <w:r w:rsidRPr="00504B59">
        <w:rPr>
          <w:rFonts w:ascii="Tahoma" w:hAnsi="Tahoma" w:cs="Tahoma"/>
          <w:b/>
          <w:bCs/>
          <w:sz w:val="22"/>
          <w:szCs w:val="22"/>
        </w:rPr>
        <w:t>respons</w:t>
      </w:r>
      <w:r w:rsidRPr="00504B59">
        <w:rPr>
          <w:rFonts w:ascii="Tahoma" w:hAnsi="Tahoma" w:cs="Tahoma"/>
          <w:b/>
          <w:bCs/>
          <w:sz w:val="22"/>
          <w:szCs w:val="22"/>
        </w:rPr>
        <w:softHyphen/>
        <w:t>es</w:t>
      </w:r>
      <w:r w:rsidRPr="00504B59">
        <w:rPr>
          <w:rFonts w:ascii="Tahoma" w:hAnsi="Tahoma" w:cs="Tahoma"/>
          <w:b/>
          <w:bCs/>
          <w:sz w:val="22"/>
          <w:szCs w:val="22"/>
        </w:rPr>
        <w:t xml:space="preserve">, and the basis for the decision for adopting this means of collection. Also describe any </w:t>
      </w:r>
      <w:r w:rsidRPr="00504B59">
        <w:rPr>
          <w:rFonts w:ascii="Tahoma" w:hAnsi="Tahoma" w:cs="Tahoma"/>
          <w:b/>
          <w:bCs/>
          <w:sz w:val="22"/>
          <w:szCs w:val="22"/>
        </w:rPr>
        <w:t>con</w:t>
      </w:r>
      <w:r w:rsidRPr="00504B59">
        <w:rPr>
          <w:rFonts w:ascii="Tahoma" w:hAnsi="Tahoma" w:cs="Tahoma"/>
          <w:b/>
          <w:bCs/>
          <w:sz w:val="22"/>
          <w:szCs w:val="22"/>
        </w:rPr>
        <w:softHyphen/>
        <w:t>sideration</w:t>
      </w:r>
      <w:r w:rsidRPr="00504B59">
        <w:rPr>
          <w:rFonts w:ascii="Tahoma" w:hAnsi="Tahoma" w:cs="Tahoma"/>
          <w:b/>
          <w:bCs/>
          <w:sz w:val="22"/>
          <w:szCs w:val="22"/>
        </w:rPr>
        <w:t xml:space="preserve">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 xml:space="preserve">gy </w:t>
      </w:r>
      <w:r w:rsidRPr="00504B59">
        <w:rPr>
          <w:rFonts w:ascii="Tahoma" w:hAnsi="Tahoma" w:cs="Tahoma"/>
          <w:b/>
          <w:bCs/>
          <w:sz w:val="22"/>
          <w:szCs w:val="22"/>
        </w:rPr>
        <w:t>to re</w:t>
      </w:r>
      <w:r w:rsidRPr="00504B59">
        <w:rPr>
          <w:rFonts w:ascii="Tahoma" w:hAnsi="Tahoma" w:cs="Tahoma"/>
          <w:b/>
          <w:bCs/>
          <w:sz w:val="22"/>
          <w:szCs w:val="22"/>
        </w:rPr>
        <w:softHyphen/>
        <w:t>duce bur</w:t>
      </w:r>
      <w:r w:rsidRPr="00504B59">
        <w:rPr>
          <w:rFonts w:ascii="Tahoma" w:hAnsi="Tahoma" w:cs="Tahoma"/>
          <w:b/>
          <w:bCs/>
          <w:sz w:val="22"/>
          <w:szCs w:val="22"/>
        </w:rPr>
        <w:softHyphen/>
        <w:t>den</w:t>
      </w:r>
      <w:r w:rsidRPr="00504B59">
        <w:rPr>
          <w:rFonts w:ascii="Tahoma" w:hAnsi="Tahoma" w:cs="Tahoma"/>
          <w:b/>
          <w:bCs/>
          <w:sz w:val="22"/>
          <w:szCs w:val="22"/>
        </w:rPr>
        <w:t>.</w:t>
      </w:r>
    </w:p>
    <w:p w:rsidR="003D6867" w:rsidRPr="00E11B88" w:rsidP="00E11B88" w14:paraId="3EDC79CF" w14:textId="77777777">
      <w:pPr>
        <w:tabs>
          <w:tab w:val="left" w:pos="720"/>
        </w:tabs>
        <w:suppressAutoHyphens/>
        <w:spacing w:after="120" w:line="276" w:lineRule="auto"/>
        <w:ind w:left="360"/>
      </w:pPr>
      <w:r w:rsidRPr="00E11B88">
        <w:t>For collections specific to the Forest Service, a</w:t>
      </w:r>
      <w:r w:rsidRPr="00E11B88" w:rsidR="002B1F50">
        <w:t>pproximately 90% of respondents typically submit information electronically via email.  The remaining 10% of respondents submit</w:t>
      </w:r>
      <w:r w:rsidR="00D55FAE">
        <w:t xml:space="preserve"> written</w:t>
      </w:r>
      <w:r w:rsidRPr="00E11B88" w:rsidR="002B1F50">
        <w:t xml:space="preserve"> information personally or through the U.S. Mail or other shipping service.</w:t>
      </w:r>
    </w:p>
    <w:p w:rsidR="00904480" w:rsidRPr="00E11B88" w:rsidP="00904480" w14:paraId="2B39D0E5" w14:textId="77777777">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rPr>
      </w:pPr>
    </w:p>
    <w:p w:rsidR="00C37CD8" w:rsidRPr="00504B59" w:rsidP="00197F9A" w14:paraId="640F9ABC"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890057" w:rsidP="00197F9A" w14:paraId="45B00B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3D6867" w:rsidP="00197F9A" w14:paraId="0DAF074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t>The Forest Service</w:t>
      </w:r>
      <w:r w:rsidR="00AD7A2E">
        <w:t xml:space="preserve"> has successfully avoided causing an operator to submit information to the Bureau of Land Management and then again to </w:t>
      </w:r>
      <w:r w:rsidR="00AD7A2E">
        <w:t>the Forest</w:t>
      </w:r>
      <w:r w:rsidR="00AD7A2E">
        <w:t xml:space="preserve"> Service</w:t>
      </w:r>
      <w:r w:rsidR="006179BC">
        <w:t>.</w:t>
      </w:r>
    </w:p>
    <w:p w:rsidR="006179BC" w:rsidP="00197F9A" w14:paraId="0EB71B5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eastAsia="Calibri"/>
          <w:iCs/>
        </w:rPr>
      </w:pPr>
      <w:r>
        <w:t xml:space="preserve">For collections specific to and provided directly to the Forest Service </w:t>
      </w:r>
      <w:r>
        <w:rPr>
          <w:rFonts w:eastAsia="Calibri"/>
          <w:i/>
        </w:rPr>
        <w:t>(</w:t>
      </w:r>
      <w:r w:rsidRPr="00ED7B3D">
        <w:rPr>
          <w:rFonts w:eastAsia="Calibri"/>
          <w:i/>
        </w:rPr>
        <w:t>Section 228.109(e) Bond Release</w:t>
      </w:r>
      <w:r>
        <w:rPr>
          <w:rFonts w:eastAsia="Calibri"/>
          <w:i/>
        </w:rPr>
        <w:t xml:space="preserve">, </w:t>
      </w:r>
      <w:r w:rsidRPr="00ED7B3D">
        <w:rPr>
          <w:rFonts w:eastAsia="Calibri"/>
          <w:i/>
        </w:rPr>
        <w:t xml:space="preserve">Section 228.110(a) Notice of Temporary Cessation of </w:t>
      </w:r>
      <w:r w:rsidRPr="00ED7B3D">
        <w:rPr>
          <w:rFonts w:eastAsia="Calibri"/>
          <w:i/>
        </w:rPr>
        <w:t>Operations..</w:t>
      </w:r>
      <w:r w:rsidRPr="006179BC">
        <w:rPr>
          <w:rFonts w:eastAsia="Calibri"/>
          <w:i/>
        </w:rPr>
        <w:t xml:space="preserve"> </w:t>
      </w:r>
      <w:r w:rsidRPr="00ED7B3D">
        <w:rPr>
          <w:rFonts w:eastAsia="Calibri"/>
          <w:i/>
        </w:rPr>
        <w:t>Section 228.112(c) Extension of Deadline in Notice of Noncompliance</w:t>
      </w:r>
      <w:r>
        <w:rPr>
          <w:rFonts w:eastAsia="Calibri"/>
          <w:i/>
        </w:rPr>
        <w:t xml:space="preserve">, and </w:t>
      </w:r>
      <w:r w:rsidRPr="00ED7B3D">
        <w:rPr>
          <w:rFonts w:eastAsia="Calibri"/>
          <w:i/>
        </w:rPr>
        <w:t>Section 228.113(b)(2) – Response to a Referral of Material Noncompliance</w:t>
      </w:r>
      <w:r>
        <w:rPr>
          <w:rFonts w:eastAsia="Calibri"/>
          <w:i/>
        </w:rPr>
        <w:t xml:space="preserve">), </w:t>
      </w:r>
      <w:r>
        <w:rPr>
          <w:rFonts w:eastAsia="Calibri"/>
          <w:iCs/>
        </w:rPr>
        <w:t>operators are not required to provide the information separately to the Bureau of Land Management. Where appropriate, the Forest Service shares information with the Bureau of Land Management.</w:t>
      </w:r>
    </w:p>
    <w:p w:rsidR="008A4AF0" w:rsidP="006E030D" w14:paraId="21A1A03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eastAsia="Calibri"/>
          <w:iCs/>
        </w:rPr>
      </w:pPr>
      <w:r>
        <w:rPr>
          <w:rFonts w:eastAsia="Calibri"/>
          <w:iCs/>
        </w:rPr>
        <w:t xml:space="preserve">For collections that are used by the Forest </w:t>
      </w:r>
      <w:r>
        <w:rPr>
          <w:rFonts w:eastAsia="Calibri"/>
          <w:iCs/>
        </w:rPr>
        <w:t>Service, but</w:t>
      </w:r>
      <w:r>
        <w:rPr>
          <w:rFonts w:eastAsia="Calibri"/>
          <w:iCs/>
        </w:rPr>
        <w:t xml:space="preserve"> provided directly to the Bureau of Land Management </w:t>
      </w:r>
      <w:r w:rsidRPr="008A4AF0">
        <w:rPr>
          <w:rFonts w:eastAsia="Calibri"/>
          <w:i/>
        </w:rPr>
        <w:t>(</w:t>
      </w:r>
      <w:r w:rsidRPr="00ED7B3D">
        <w:rPr>
          <w:rFonts w:eastAsia="Calibri"/>
          <w:i/>
        </w:rPr>
        <w:t>Section 228.104 – Consideration of Requests to Waive, Except, or Modify Lease Stipulations</w:t>
      </w:r>
      <w:r w:rsidR="00D55FAE">
        <w:rPr>
          <w:rFonts w:eastAsia="Calibri"/>
          <w:i/>
        </w:rPr>
        <w:t>)</w:t>
      </w:r>
      <w:r>
        <w:rPr>
          <w:rFonts w:eastAsia="Calibri"/>
          <w:iCs/>
        </w:rPr>
        <w:t>, the noted Forest Service regulation</w:t>
      </w:r>
      <w:r w:rsidR="006E030D">
        <w:rPr>
          <w:rFonts w:eastAsia="Calibri"/>
          <w:iCs/>
        </w:rPr>
        <w:t>s</w:t>
      </w:r>
      <w:r>
        <w:rPr>
          <w:rFonts w:eastAsia="Calibri"/>
          <w:iCs/>
        </w:rPr>
        <w:t xml:space="preserve"> specify additional information to be provided </w:t>
      </w:r>
      <w:r w:rsidR="006E030D">
        <w:rPr>
          <w:rFonts w:eastAsia="Calibri"/>
          <w:iCs/>
        </w:rPr>
        <w:t>to</w:t>
      </w:r>
      <w:r>
        <w:rPr>
          <w:rFonts w:eastAsia="Calibri"/>
          <w:iCs/>
        </w:rPr>
        <w:t xml:space="preserve"> the Bureau of Land Management </w:t>
      </w:r>
      <w:r w:rsidR="006E030D">
        <w:rPr>
          <w:rFonts w:eastAsia="Calibri"/>
          <w:iCs/>
        </w:rPr>
        <w:t>and do not duplicate. Where appropriate, the Bureau of Land Management shares information with the</w:t>
      </w:r>
      <w:r w:rsidRPr="006E030D" w:rsidR="006E030D">
        <w:rPr>
          <w:rFonts w:eastAsia="Calibri"/>
          <w:iCs/>
        </w:rPr>
        <w:t xml:space="preserve"> </w:t>
      </w:r>
      <w:r w:rsidR="006E030D">
        <w:rPr>
          <w:rFonts w:eastAsia="Calibri"/>
          <w:iCs/>
        </w:rPr>
        <w:t>Forest Service.</w:t>
      </w:r>
    </w:p>
    <w:p w:rsidR="003D6867" w:rsidP="00197F9A" w14:paraId="508B56B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eastAsia="Calibri"/>
          <w:iCs/>
        </w:rPr>
      </w:pPr>
      <w:r>
        <w:rPr>
          <w:rFonts w:eastAsia="Calibri"/>
          <w:iCs/>
        </w:rPr>
        <w:t xml:space="preserve">The components of the information collections are specific to an </w:t>
      </w:r>
      <w:r>
        <w:rPr>
          <w:rFonts w:eastAsia="Calibri"/>
          <w:iCs/>
        </w:rPr>
        <w:t>operators’</w:t>
      </w:r>
      <w:r>
        <w:rPr>
          <w:rFonts w:eastAsia="Calibri"/>
          <w:iCs/>
        </w:rPr>
        <w:t xml:space="preserve"> requests and not available from other sources.</w:t>
      </w:r>
    </w:p>
    <w:p w:rsidR="00D55FAE" w:rsidRPr="009A769F" w:rsidP="00197F9A" w14:paraId="0C8B497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P="00197F9A" w14:paraId="568DDB3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Pr="003D1ABD">
        <w:rPr>
          <w:rFonts w:ascii="Tahoma" w:hAnsi="Tahoma" w:cs="Tahoma"/>
          <w:b/>
          <w:bCs/>
          <w:sz w:val="22"/>
          <w:szCs w:val="22"/>
        </w:rPr>
        <w:t xml:space="preserve"> describe any methods used to </w:t>
      </w:r>
      <w:r w:rsidRPr="003D1ABD">
        <w:rPr>
          <w:rFonts w:ascii="Tahoma" w:hAnsi="Tahoma" w:cs="Tahoma"/>
          <w:b/>
          <w:bCs/>
          <w:sz w:val="22"/>
          <w:szCs w:val="22"/>
        </w:rPr>
        <w:t>mini</w:t>
      </w:r>
      <w:r w:rsidRPr="003D1ABD">
        <w:rPr>
          <w:rFonts w:ascii="Tahoma" w:hAnsi="Tahoma" w:cs="Tahoma"/>
          <w:b/>
          <w:bCs/>
          <w:sz w:val="22"/>
          <w:szCs w:val="22"/>
        </w:rPr>
        <w:softHyphen/>
        <w:t>mize</w:t>
      </w:r>
      <w:r w:rsidRPr="003D1ABD">
        <w:rPr>
          <w:rFonts w:ascii="Tahoma" w:hAnsi="Tahoma" w:cs="Tahoma"/>
          <w:b/>
          <w:bCs/>
          <w:sz w:val="22"/>
          <w:szCs w:val="22"/>
        </w:rPr>
        <w:t xml:space="preserve"> burden.</w:t>
      </w:r>
    </w:p>
    <w:p w:rsidR="00107D3B" w:rsidP="00107D3B" w14:paraId="1B1F4198" w14:textId="77777777">
      <w:pPr>
        <w:pStyle w:val="BodyTextIndent"/>
      </w:pPr>
      <w:r w:rsidRPr="00355F69">
        <w:t xml:space="preserve">The </w:t>
      </w:r>
      <w:r>
        <w:t>Forest Service</w:t>
      </w:r>
      <w:r w:rsidRPr="00355F69">
        <w:t xml:space="preserve"> considered the impacts of the rule on small entit</w:t>
      </w:r>
      <w:r>
        <w:t>ies,</w:t>
      </w:r>
      <w:r w:rsidRPr="00355F69">
        <w:t xml:space="preserve"> consistent with requirements of the Regulatory Flexibility Act (RFA), as amended by the Small Business Regulatory Enforcement Fairness Act of 1996 (SBREFA), and Executive Orders 13272 and 13563 (Proper Consideration of Small Entities in </w:t>
      </w:r>
      <w:r>
        <w:t>Agency Rulemaking).</w:t>
      </w:r>
      <w:r w:rsidRPr="00CC2901">
        <w:t xml:space="preserve"> </w:t>
      </w:r>
      <w:r w:rsidRPr="00355F69">
        <w:t>Small entities potentially impacted by the rule include small businesses (firms) involved in oil and gas extraction operations (</w:t>
      </w:r>
      <w:r w:rsidRPr="00355F69">
        <w:rPr>
          <w:bCs/>
        </w:rPr>
        <w:t>North American Industry Classification System (</w:t>
      </w:r>
      <w:r w:rsidRPr="00355F69">
        <w:t xml:space="preserve">NAICS) 211111), drilling oil and gas wells (NAICS 213111), and support activities for oil and gas operations (NAICS 213112). </w:t>
      </w:r>
    </w:p>
    <w:p w:rsidR="00107D3B" w:rsidRPr="00355F69" w:rsidP="00107D3B" w14:paraId="192426AF" w14:textId="77777777">
      <w:pPr>
        <w:pStyle w:val="BodyTextIndent"/>
      </w:pPr>
    </w:p>
    <w:p w:rsidR="00107D3B" w:rsidRPr="00F90DEC" w:rsidP="00404C07" w14:paraId="1AECBF79" w14:textId="77777777">
      <w:pPr>
        <w:pStyle w:val="BodyText"/>
        <w:spacing w:line="240" w:lineRule="auto"/>
        <w:ind w:left="360" w:firstLine="0"/>
      </w:pPr>
      <w:r w:rsidRPr="00404C07">
        <w:rPr>
          <w:szCs w:val="24"/>
        </w:rPr>
        <w:t xml:space="preserve">The aggregate impact of the </w:t>
      </w:r>
      <w:r w:rsidRPr="00404C07" w:rsidR="00404C07">
        <w:rPr>
          <w:szCs w:val="24"/>
        </w:rPr>
        <w:t xml:space="preserve">final </w:t>
      </w:r>
      <w:r w:rsidRPr="00404C07">
        <w:rPr>
          <w:szCs w:val="24"/>
        </w:rPr>
        <w:t>rule, compared to baseline regulatory conditions, is expected to be positive for a majority of the entities involved in oil and gas leasing, development, and operations on lands managed by the National Forest System</w:t>
      </w:r>
      <w:r w:rsidRPr="00404C07" w:rsidR="00404C07">
        <w:rPr>
          <w:szCs w:val="24"/>
        </w:rPr>
        <w:t>.</w:t>
      </w:r>
      <w:r w:rsidRPr="00404C07">
        <w:rPr>
          <w:szCs w:val="24"/>
        </w:rPr>
        <w:t xml:space="preserve"> </w:t>
      </w:r>
      <w:r>
        <w:rPr>
          <w:rStyle w:val="CommentReference"/>
        </w:rPr>
        <w:t xml:space="preserve"> </w:t>
      </w:r>
    </w:p>
    <w:p w:rsidR="006E030D" w:rsidRPr="000E7AAA" w:rsidP="000E7AAA" w14:paraId="077A4BC5" w14:textId="77777777">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404C07">
        <w:t>The</w:t>
      </w:r>
      <w:r>
        <w:t xml:space="preserve"> Forest</w:t>
      </w:r>
      <w:r>
        <w:t xml:space="preserve"> Service</w:t>
      </w:r>
      <w:r w:rsidRPr="00404C07">
        <w:t xml:space="preserve"> minimizes the burden on small businesses by only requiring the information necessary to allow us to make decisions on approving or disapproving </w:t>
      </w:r>
      <w:r>
        <w:t xml:space="preserve">operator requests </w:t>
      </w:r>
      <w:r w:rsidR="00AD0ABF">
        <w:t xml:space="preserve">or responding to notifications </w:t>
      </w:r>
      <w:r>
        <w:t>while</w:t>
      </w:r>
      <w:r w:rsidRPr="00404C07">
        <w:t xml:space="preserve"> meeting </w:t>
      </w:r>
      <w:r>
        <w:t>Service</w:t>
      </w:r>
      <w:r w:rsidRPr="00404C07">
        <w:t xml:space="preserve"> responsibilities under the laws and regulations to ensure protection of </w:t>
      </w:r>
      <w:r>
        <w:t>Forests Service</w:t>
      </w:r>
      <w:r w:rsidRPr="00404C07">
        <w:t xml:space="preserve"> resources</w:t>
      </w:r>
      <w:r>
        <w:t xml:space="preserve"> and land uses</w:t>
      </w:r>
      <w:r w:rsidRPr="00404C07">
        <w:t xml:space="preserve">.  </w:t>
      </w:r>
      <w:r w:rsidRPr="00404C07">
        <w:t xml:space="preserve">The </w:t>
      </w:r>
      <w:r>
        <w:t>Forest</w:t>
      </w:r>
      <w:r>
        <w:t xml:space="preserve"> Service</w:t>
      </w:r>
      <w:r w:rsidRPr="00404C07">
        <w:t xml:space="preserve"> encourages operators to contact appropriate staff for assistance in designing environmentally sound development strategies.</w:t>
      </w:r>
    </w:p>
    <w:p w:rsidR="00107D3B" w:rsidRPr="006E030D" w:rsidP="006E030D" w14:paraId="79B96AA0" w14:textId="77777777">
      <w:pPr>
        <w:tabs>
          <w:tab w:val="left" w:pos="720"/>
        </w:tabs>
        <w:suppressAutoHyphens/>
        <w:spacing w:line="276" w:lineRule="auto"/>
        <w:ind w:left="360"/>
        <w:rPr>
          <w:rFonts w:ascii="Calibri" w:hAnsi="Calibri" w:cs="Calibri"/>
          <w:sz w:val="22"/>
          <w:szCs w:val="22"/>
        </w:rPr>
      </w:pPr>
    </w:p>
    <w:p w:rsidR="00C37CD8" w:rsidRPr="003D1ABD" w:rsidP="00F1734F" w14:paraId="593C86D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3D1ABD">
        <w:rPr>
          <w:rFonts w:ascii="Tahoma" w:hAnsi="Tahoma" w:cs="Tahoma"/>
          <w:b/>
          <w:bCs/>
          <w:sz w:val="22"/>
          <w:szCs w:val="22"/>
        </w:rPr>
        <w:t xml:space="preserve">Describe the </w:t>
      </w:r>
      <w:r w:rsidRPr="003D1ABD">
        <w:rPr>
          <w:rFonts w:ascii="Tahoma" w:hAnsi="Tahoma" w:cs="Tahoma"/>
          <w:b/>
          <w:bCs/>
          <w:sz w:val="22"/>
          <w:szCs w:val="22"/>
        </w:rPr>
        <w:t>consequence</w:t>
      </w:r>
      <w:r w:rsidRPr="003D1ABD">
        <w:rPr>
          <w:rFonts w:ascii="Tahoma" w:hAnsi="Tahoma" w:cs="Tahoma"/>
          <w:b/>
          <w:bCs/>
          <w:sz w:val="22"/>
          <w:szCs w:val="22"/>
        </w:rPr>
        <w:t xml:space="preserve"> </w:t>
      </w:r>
      <w:r w:rsidRPr="003D1ABD">
        <w:rPr>
          <w:rFonts w:ascii="Tahoma" w:hAnsi="Tahoma" w:cs="Tahoma"/>
          <w:b/>
          <w:bCs/>
          <w:sz w:val="22"/>
          <w:szCs w:val="22"/>
        </w:rPr>
        <w:t>to Federal</w:t>
      </w:r>
      <w:r w:rsidRPr="003D1ABD">
        <w:rPr>
          <w:rFonts w:ascii="Tahoma" w:hAnsi="Tahoma" w:cs="Tahoma"/>
          <w:b/>
          <w:bCs/>
          <w:sz w:val="22"/>
          <w:szCs w:val="22"/>
        </w:rPr>
        <w:t xml:space="preserve"> program or policy activities if the collection is not conducted or </w:t>
      </w:r>
      <w:r w:rsidRPr="003D1ABD">
        <w:rPr>
          <w:rFonts w:ascii="Tahoma" w:hAnsi="Tahoma" w:cs="Tahoma"/>
          <w:b/>
          <w:bCs/>
          <w:sz w:val="22"/>
          <w:szCs w:val="22"/>
        </w:rPr>
        <w:t>is con</w:t>
      </w:r>
      <w:r w:rsidRPr="003D1ABD">
        <w:rPr>
          <w:rFonts w:ascii="Tahoma" w:hAnsi="Tahoma" w:cs="Tahoma"/>
          <w:b/>
          <w:bCs/>
          <w:sz w:val="22"/>
          <w:szCs w:val="22"/>
        </w:rPr>
        <w:softHyphen/>
      </w:r>
      <w:r w:rsidRPr="003D1ABD">
        <w:rPr>
          <w:rFonts w:ascii="Tahoma" w:hAnsi="Tahoma" w:cs="Tahoma"/>
          <w:b/>
          <w:bCs/>
          <w:sz w:val="22"/>
          <w:szCs w:val="22"/>
        </w:rPr>
        <w:t>ducted less fre</w:t>
      </w:r>
      <w:r w:rsidRPr="003D1ABD">
        <w:rPr>
          <w:rFonts w:ascii="Tahoma" w:hAnsi="Tahoma" w:cs="Tahoma"/>
          <w:b/>
          <w:bCs/>
          <w:sz w:val="22"/>
          <w:szCs w:val="22"/>
        </w:rPr>
        <w:softHyphen/>
        <w:t>quent</w:t>
      </w:r>
      <w:r w:rsidRPr="003D1ABD">
        <w:rPr>
          <w:rFonts w:ascii="Tahoma" w:hAnsi="Tahoma" w:cs="Tahoma"/>
          <w:b/>
          <w:bCs/>
          <w:sz w:val="22"/>
          <w:szCs w:val="22"/>
        </w:rPr>
        <w:softHyphen/>
        <w:t>ly, as well as any technical or legal obstacles to reducing burden.</w:t>
      </w:r>
    </w:p>
    <w:p w:rsidR="00F1734F" w:rsidP="00F1734F" w14:paraId="020CE229" w14:textId="77777777">
      <w:pPr>
        <w:tabs>
          <w:tab w:val="left" w:pos="720"/>
        </w:tabs>
        <w:suppressAutoHyphens/>
        <w:spacing w:line="276" w:lineRule="auto"/>
        <w:ind w:left="360"/>
      </w:pPr>
      <w:r w:rsidRPr="00F1734F">
        <w:t xml:space="preserve">If </w:t>
      </w:r>
      <w:r>
        <w:t xml:space="preserve">the Forest Service (and Bureau of Land Management) </w:t>
      </w:r>
      <w:r w:rsidRPr="00F1734F">
        <w:t xml:space="preserve">did not require operators to submit proposals </w:t>
      </w:r>
      <w:r>
        <w:t xml:space="preserve">or request for activities on federal oil and gas leases on National Forest Service </w:t>
      </w:r>
      <w:r>
        <w:t xml:space="preserve">Lands </w:t>
      </w:r>
      <w:r w:rsidRPr="00F1734F">
        <w:t xml:space="preserve">for review and approval prior to development, the </w:t>
      </w:r>
      <w:r>
        <w:t>Forest Service</w:t>
      </w:r>
      <w:r w:rsidRPr="00F1734F">
        <w:t xml:space="preserve"> would fail to carry out its statutory mandates and</w:t>
      </w:r>
      <w:r>
        <w:t xml:space="preserve"> federal </w:t>
      </w:r>
      <w:r w:rsidRPr="00F1734F">
        <w:t xml:space="preserve">oil and gas operations could </w:t>
      </w:r>
      <w:r w:rsidR="008963E9">
        <w:t xml:space="preserve">unnecessarily </w:t>
      </w:r>
      <w:r w:rsidRPr="00F1734F">
        <w:t xml:space="preserve">degrade </w:t>
      </w:r>
      <w:r>
        <w:t xml:space="preserve">Forest Service </w:t>
      </w:r>
      <w:r w:rsidRPr="00F1734F">
        <w:t>resources</w:t>
      </w:r>
      <w:r>
        <w:t xml:space="preserve">, </w:t>
      </w:r>
      <w:r w:rsidRPr="00F1734F">
        <w:t>jeopardize visitor safety</w:t>
      </w:r>
      <w:r>
        <w:t>, and unnecessarily conflict with other land uses</w:t>
      </w:r>
      <w:r w:rsidRPr="00F1734F">
        <w:t xml:space="preserve">.  Over the course of an operation, </w:t>
      </w:r>
      <w:r>
        <w:t>collection</w:t>
      </w:r>
      <w:r w:rsidRPr="00F1734F">
        <w:t xml:space="preserve"> require</w:t>
      </w:r>
      <w:r w:rsidR="00DD37D5">
        <w:t>ments are</w:t>
      </w:r>
      <w:r w:rsidRPr="00F1734F">
        <w:t xml:space="preserve"> a one-time submittal; therefore, </w:t>
      </w:r>
      <w:r w:rsidR="00DD37D5">
        <w:t>it is not possible to</w:t>
      </w:r>
      <w:r w:rsidRPr="00F1734F">
        <w:t xml:space="preserve"> reduce the frequency of collection. </w:t>
      </w:r>
    </w:p>
    <w:p w:rsidR="00F1734F" w:rsidRPr="00F1734F" w:rsidP="00F1734F" w14:paraId="434CF764" w14:textId="77777777">
      <w:pPr>
        <w:tabs>
          <w:tab w:val="left" w:pos="720"/>
        </w:tabs>
        <w:suppressAutoHyphens/>
        <w:spacing w:line="276" w:lineRule="auto"/>
        <w:ind w:left="360"/>
      </w:pPr>
    </w:p>
    <w:p w:rsidR="00C37CD8" w:rsidRPr="00504B59" w:rsidP="00197F9A" w14:paraId="7ABB8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 xml:space="preserve">on to </w:t>
      </w:r>
      <w:r w:rsidRPr="00504B59">
        <w:rPr>
          <w:rFonts w:ascii="Tahoma" w:hAnsi="Tahoma" w:cs="Tahoma"/>
          <w:b/>
          <w:bCs/>
          <w:sz w:val="22"/>
          <w:szCs w:val="22"/>
        </w:rPr>
        <w:t>be con</w:t>
      </w:r>
      <w:r w:rsidRPr="00504B59">
        <w:rPr>
          <w:rFonts w:ascii="Tahoma" w:hAnsi="Tahoma" w:cs="Tahoma"/>
          <w:b/>
          <w:bCs/>
          <w:sz w:val="22"/>
          <w:szCs w:val="22"/>
        </w:rPr>
        <w:softHyphen/>
        <w:t>ducted</w:t>
      </w:r>
      <w:r w:rsidRPr="00504B59">
        <w:rPr>
          <w:rFonts w:ascii="Tahoma" w:hAnsi="Tahoma" w:cs="Tahoma"/>
          <w:b/>
          <w:bCs/>
          <w:sz w:val="22"/>
          <w:szCs w:val="22"/>
        </w:rPr>
        <w:t xml:space="preserve"> in a manner:</w:t>
      </w:r>
    </w:p>
    <w:p w:rsidR="00C37CD8" w:rsidP="00197F9A" w14:paraId="087DCA25"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report informa</w:t>
      </w:r>
      <w:r w:rsidRPr="00504B59">
        <w:rPr>
          <w:rFonts w:ascii="Tahoma" w:hAnsi="Tahoma" w:cs="Tahoma"/>
          <w:b/>
          <w:bCs/>
          <w:sz w:val="22"/>
          <w:szCs w:val="22"/>
        </w:rPr>
        <w:softHyphen/>
        <w:t>tion to the agency more often than quarterly;</w:t>
      </w:r>
    </w:p>
    <w:p w:rsidR="00C37CD8" w:rsidP="00197F9A" w14:paraId="5CC0A569"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prepare a writ</w:t>
      </w:r>
      <w:r w:rsidRPr="00504B59">
        <w:rPr>
          <w:rFonts w:ascii="Tahoma" w:hAnsi="Tahoma" w:cs="Tahoma"/>
          <w:b/>
          <w:bCs/>
          <w:sz w:val="22"/>
          <w:szCs w:val="22"/>
        </w:rPr>
        <w:softHyphen/>
        <w:t>ten response to a collection of infor</w:t>
      </w:r>
      <w:r w:rsidRPr="00504B59">
        <w:rPr>
          <w:rFonts w:ascii="Tahoma" w:hAnsi="Tahoma" w:cs="Tahoma"/>
          <w:b/>
          <w:bCs/>
          <w:sz w:val="22"/>
          <w:szCs w:val="22"/>
        </w:rPr>
        <w:softHyphen/>
        <w:t>ma</w:t>
      </w:r>
      <w:r w:rsidRPr="00504B59">
        <w:rPr>
          <w:rFonts w:ascii="Tahoma" w:hAnsi="Tahoma" w:cs="Tahoma"/>
          <w:b/>
          <w:bCs/>
          <w:sz w:val="22"/>
          <w:szCs w:val="22"/>
        </w:rPr>
        <w:softHyphen/>
        <w:t>tion in fewer than 30 days after receipt of it;</w:t>
      </w:r>
    </w:p>
    <w:p w:rsidR="00C37CD8" w:rsidP="00197F9A" w14:paraId="6596A14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respondents to submit more than an original and two copies of any docu</w:t>
      </w:r>
      <w:r w:rsidRPr="00504B59">
        <w:rPr>
          <w:rFonts w:ascii="Tahoma" w:hAnsi="Tahoma" w:cs="Tahoma"/>
          <w:b/>
          <w:bCs/>
          <w:sz w:val="22"/>
          <w:szCs w:val="22"/>
        </w:rPr>
        <w:softHyphen/>
        <w:t>ment;</w:t>
      </w:r>
    </w:p>
    <w:p w:rsidR="00C37CD8" w:rsidP="00197F9A" w14:paraId="5EB635D3"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 xml:space="preserve">equiring respondents to </w:t>
      </w:r>
      <w:r w:rsidRPr="00504B59">
        <w:rPr>
          <w:rFonts w:ascii="Tahoma" w:hAnsi="Tahoma" w:cs="Tahoma"/>
          <w:b/>
          <w:bCs/>
          <w:sz w:val="22"/>
          <w:szCs w:val="22"/>
        </w:rPr>
        <w:t>retain re</w:t>
      </w:r>
      <w:r w:rsidRPr="00504B59">
        <w:rPr>
          <w:rFonts w:ascii="Tahoma" w:hAnsi="Tahoma" w:cs="Tahoma"/>
          <w:b/>
          <w:bCs/>
          <w:sz w:val="22"/>
          <w:szCs w:val="22"/>
        </w:rPr>
        <w:softHyphen/>
        <w:t>cords</w:t>
      </w:r>
      <w:r w:rsidRPr="00504B59">
        <w:rPr>
          <w:rFonts w:ascii="Tahoma" w:hAnsi="Tahoma" w:cs="Tahoma"/>
          <w:b/>
          <w:bCs/>
          <w:sz w:val="22"/>
          <w:szCs w:val="22"/>
        </w:rPr>
        <w:t>, other than health, medical, governm</w:t>
      </w:r>
      <w:r w:rsidRPr="00504B59">
        <w:rPr>
          <w:rFonts w:ascii="Tahoma" w:hAnsi="Tahoma" w:cs="Tahoma"/>
          <w:b/>
          <w:bCs/>
          <w:sz w:val="22"/>
          <w:szCs w:val="22"/>
        </w:rPr>
        <w:softHyphen/>
        <w:t>ent contract, grant-in-aid, or tax records for more than three years;</w:t>
      </w:r>
    </w:p>
    <w:p w:rsidR="00C37CD8" w:rsidP="00197F9A" w14:paraId="0F3BC45C"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Pr="00504B59">
        <w:rPr>
          <w:rFonts w:ascii="Tahoma" w:hAnsi="Tahoma" w:cs="Tahoma"/>
          <w:b/>
          <w:bCs/>
          <w:sz w:val="22"/>
          <w:szCs w:val="22"/>
        </w:rPr>
        <w:t>n connection with a statisti</w:t>
      </w:r>
      <w:r w:rsidRPr="00504B59">
        <w:rPr>
          <w:rFonts w:ascii="Tahoma" w:hAnsi="Tahoma" w:cs="Tahoma"/>
          <w:b/>
          <w:bCs/>
          <w:sz w:val="22"/>
          <w:szCs w:val="22"/>
        </w:rPr>
        <w:softHyphen/>
        <w:t>cal sur</w:t>
      </w:r>
      <w:r w:rsidRPr="00504B59">
        <w:rPr>
          <w:rFonts w:ascii="Tahoma" w:hAnsi="Tahoma" w:cs="Tahoma"/>
          <w:b/>
          <w:bCs/>
          <w:sz w:val="22"/>
          <w:szCs w:val="22"/>
        </w:rPr>
        <w:softHyphen/>
        <w:t>vey, that is not de</w:t>
      </w:r>
      <w:r w:rsidRPr="00504B59">
        <w:rPr>
          <w:rFonts w:ascii="Tahoma" w:hAnsi="Tahoma" w:cs="Tahoma"/>
          <w:b/>
          <w:bCs/>
          <w:sz w:val="22"/>
          <w:szCs w:val="22"/>
        </w:rPr>
        <w:softHyphen/>
        <w:t>signed to produce valid and reli</w:t>
      </w:r>
      <w:r w:rsidRPr="00504B59">
        <w:rPr>
          <w:rFonts w:ascii="Tahoma" w:hAnsi="Tahoma" w:cs="Tahoma"/>
          <w:b/>
          <w:bCs/>
          <w:sz w:val="22"/>
          <w:szCs w:val="22"/>
        </w:rPr>
        <w:softHyphen/>
        <w:t xml:space="preserve">able results that can be </w:t>
      </w:r>
      <w:r w:rsidRPr="00504B59">
        <w:rPr>
          <w:rFonts w:ascii="Tahoma" w:hAnsi="Tahoma" w:cs="Tahoma"/>
          <w:b/>
          <w:bCs/>
          <w:sz w:val="22"/>
          <w:szCs w:val="22"/>
        </w:rPr>
        <w:t>general</w:t>
      </w:r>
      <w:r w:rsidRPr="00504B59">
        <w:rPr>
          <w:rFonts w:ascii="Tahoma" w:hAnsi="Tahoma" w:cs="Tahoma"/>
          <w:b/>
          <w:bCs/>
          <w:sz w:val="22"/>
          <w:szCs w:val="22"/>
        </w:rPr>
        <w:softHyphen/>
        <w:t>ized</w:t>
      </w:r>
      <w:r w:rsidRPr="00504B59">
        <w:rPr>
          <w:rFonts w:ascii="Tahoma" w:hAnsi="Tahoma" w:cs="Tahoma"/>
          <w:b/>
          <w:bCs/>
          <w:sz w:val="22"/>
          <w:szCs w:val="22"/>
        </w:rPr>
        <w:t xml:space="preserve"> to </w:t>
      </w:r>
      <w:r w:rsidRPr="00504B59">
        <w:rPr>
          <w:rFonts w:ascii="Tahoma" w:hAnsi="Tahoma" w:cs="Tahoma"/>
          <w:b/>
          <w:bCs/>
          <w:sz w:val="22"/>
          <w:szCs w:val="22"/>
        </w:rPr>
        <w:t>the uni</w:t>
      </w:r>
      <w:r w:rsidRPr="00504B59">
        <w:rPr>
          <w:rFonts w:ascii="Tahoma" w:hAnsi="Tahoma" w:cs="Tahoma"/>
          <w:b/>
          <w:bCs/>
          <w:sz w:val="22"/>
          <w:szCs w:val="22"/>
        </w:rPr>
        <w:softHyphen/>
        <w:t>verse</w:t>
      </w:r>
      <w:r w:rsidRPr="00504B59">
        <w:rPr>
          <w:rFonts w:ascii="Tahoma" w:hAnsi="Tahoma" w:cs="Tahoma"/>
          <w:b/>
          <w:bCs/>
          <w:sz w:val="22"/>
          <w:szCs w:val="22"/>
        </w:rPr>
        <w:t xml:space="preserve"> of study;</w:t>
      </w:r>
    </w:p>
    <w:p w:rsidR="00C37CD8" w:rsidP="00197F9A" w14:paraId="02E8B5B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Pr="00504B59">
        <w:rPr>
          <w:rFonts w:ascii="Tahoma" w:hAnsi="Tahoma" w:cs="Tahoma"/>
          <w:b/>
          <w:bCs/>
          <w:sz w:val="22"/>
          <w:szCs w:val="22"/>
        </w:rPr>
        <w:t>equiring the use of a statis</w:t>
      </w:r>
      <w:r w:rsidRPr="00504B59">
        <w:rPr>
          <w:rFonts w:ascii="Tahoma" w:hAnsi="Tahoma" w:cs="Tahoma"/>
          <w:b/>
          <w:bCs/>
          <w:sz w:val="22"/>
          <w:szCs w:val="22"/>
        </w:rPr>
        <w:softHyphen/>
        <w:t>tical data classi</w:t>
      </w:r>
      <w:r w:rsidRPr="00504B59">
        <w:rPr>
          <w:rFonts w:ascii="Tahoma" w:hAnsi="Tahoma" w:cs="Tahoma"/>
          <w:b/>
          <w:bCs/>
          <w:sz w:val="22"/>
          <w:szCs w:val="22"/>
        </w:rPr>
        <w:softHyphen/>
        <w:t xml:space="preserve">fication that has not </w:t>
      </w:r>
      <w:r w:rsidRPr="00504B59">
        <w:rPr>
          <w:rFonts w:ascii="Tahoma" w:hAnsi="Tahoma" w:cs="Tahoma"/>
          <w:b/>
          <w:bCs/>
          <w:sz w:val="22"/>
          <w:szCs w:val="22"/>
        </w:rPr>
        <w:t>been re</w:t>
      </w:r>
      <w:r w:rsidRPr="00504B59">
        <w:rPr>
          <w:rFonts w:ascii="Tahoma" w:hAnsi="Tahoma" w:cs="Tahoma"/>
          <w:b/>
          <w:bCs/>
          <w:sz w:val="22"/>
          <w:szCs w:val="22"/>
        </w:rPr>
        <w:softHyphen/>
        <w:t>vie</w:t>
      </w:r>
      <w:r w:rsidRPr="00504B59">
        <w:rPr>
          <w:rFonts w:ascii="Tahoma" w:hAnsi="Tahoma" w:cs="Tahoma"/>
          <w:b/>
          <w:bCs/>
          <w:sz w:val="22"/>
          <w:szCs w:val="22"/>
        </w:rPr>
        <w:softHyphen/>
        <w:t>wed</w:t>
      </w:r>
      <w:r w:rsidRPr="00504B59">
        <w:rPr>
          <w:rFonts w:ascii="Tahoma" w:hAnsi="Tahoma" w:cs="Tahoma"/>
          <w:b/>
          <w:bCs/>
          <w:sz w:val="22"/>
          <w:szCs w:val="22"/>
        </w:rPr>
        <w:t xml:space="preserve"> and approved by OMB; </w:t>
      </w:r>
    </w:p>
    <w:p w:rsidR="00C37CD8" w:rsidRPr="00063823" w:rsidP="00197F9A" w14:paraId="348F30F3"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Pr="00504B59">
        <w:rPr>
          <w:rFonts w:ascii="Tahoma" w:hAnsi="Tahoma" w:cs="Tahoma"/>
          <w:b/>
          <w:bCs/>
          <w:sz w:val="22"/>
          <w:szCs w:val="22"/>
        </w:rPr>
        <w:t>ha</w:t>
      </w:r>
      <w:r>
        <w:rPr>
          <w:rFonts w:ascii="Tahoma" w:hAnsi="Tahoma" w:cs="Tahoma"/>
          <w:b/>
          <w:bCs/>
          <w:sz w:val="22"/>
          <w:szCs w:val="22"/>
        </w:rPr>
        <w:t>t includes a pledge of confidentiali</w:t>
      </w:r>
      <w:r w:rsidRPr="00504B59">
        <w:rPr>
          <w:rFonts w:ascii="Tahoma" w:hAnsi="Tahoma" w:cs="Tahoma"/>
          <w:b/>
          <w:bCs/>
          <w:sz w:val="22"/>
          <w:szCs w:val="22"/>
        </w:rPr>
        <w:t>ty that is not supported by au</w:t>
      </w:r>
      <w:r w:rsidRPr="00504B59">
        <w:rPr>
          <w:rFonts w:ascii="Tahoma" w:hAnsi="Tahoma" w:cs="Tahoma"/>
          <w:b/>
          <w:bCs/>
          <w:sz w:val="22"/>
          <w:szCs w:val="22"/>
        </w:rPr>
        <w:softHyphen/>
        <w:t>thority estab</w:t>
      </w:r>
      <w:r w:rsidRPr="00504B59">
        <w:rPr>
          <w:rFonts w:ascii="Tahoma" w:hAnsi="Tahoma" w:cs="Tahoma"/>
          <w:b/>
          <w:bCs/>
          <w:sz w:val="22"/>
          <w:szCs w:val="22"/>
        </w:rPr>
        <w:softHyphen/>
        <w:t>lished in statute or regu</w:t>
      </w:r>
      <w:r w:rsidRPr="00504B59">
        <w:rPr>
          <w:rFonts w:ascii="Tahoma" w:hAnsi="Tahoma" w:cs="Tahoma"/>
          <w:b/>
          <w:bCs/>
          <w:sz w:val="22"/>
          <w:szCs w:val="22"/>
        </w:rPr>
        <w:softHyphen/>
        <w:t>la</w:t>
      </w:r>
      <w:r w:rsidRPr="00504B59">
        <w:rPr>
          <w:rFonts w:ascii="Tahoma" w:hAnsi="Tahoma" w:cs="Tahoma"/>
          <w:b/>
          <w:bCs/>
          <w:sz w:val="22"/>
          <w:szCs w:val="22"/>
        </w:rPr>
        <w:softHyphen/>
        <w:t xml:space="preserve">tion, that is </w:t>
      </w:r>
      <w:r w:rsidRPr="00504B59">
        <w:rPr>
          <w:rFonts w:ascii="Tahoma" w:hAnsi="Tahoma" w:cs="Tahoma"/>
          <w:b/>
          <w:bCs/>
          <w:sz w:val="22"/>
          <w:szCs w:val="22"/>
        </w:rPr>
        <w:t>not sup</w:t>
      </w:r>
      <w:r w:rsidRPr="00504B59">
        <w:rPr>
          <w:rFonts w:ascii="Tahoma" w:hAnsi="Tahoma" w:cs="Tahoma"/>
          <w:b/>
          <w:bCs/>
          <w:sz w:val="22"/>
          <w:szCs w:val="22"/>
        </w:rPr>
        <w:softHyphen/>
      </w:r>
      <w:r w:rsidRPr="00504B59">
        <w:rPr>
          <w:rFonts w:ascii="Tahoma" w:hAnsi="Tahoma" w:cs="Tahoma"/>
          <w:b/>
          <w:bCs/>
          <w:sz w:val="22"/>
          <w:szCs w:val="22"/>
        </w:rPr>
        <w:t>ported by dis</w:t>
      </w:r>
      <w:r w:rsidRPr="00504B59">
        <w:rPr>
          <w:rFonts w:ascii="Tahoma" w:hAnsi="Tahoma" w:cs="Tahoma"/>
          <w:b/>
          <w:bCs/>
          <w:sz w:val="22"/>
          <w:szCs w:val="22"/>
        </w:rPr>
        <w:softHyphen/>
        <w:t>closure and data security policies that are consistent with the pledge, or which unneces</w:t>
      </w:r>
      <w:r w:rsidRPr="00504B59">
        <w:rPr>
          <w:rFonts w:ascii="Tahoma" w:hAnsi="Tahoma" w:cs="Tahoma"/>
          <w:b/>
          <w:bCs/>
          <w:sz w:val="22"/>
          <w:szCs w:val="22"/>
        </w:rPr>
        <w:softHyphen/>
        <w:t>sarily impedes shar</w:t>
      </w:r>
      <w:r w:rsidRPr="00504B59">
        <w:rPr>
          <w:rFonts w:ascii="Tahoma" w:hAnsi="Tahoma" w:cs="Tahoma"/>
          <w:b/>
          <w:bCs/>
          <w:sz w:val="22"/>
          <w:szCs w:val="22"/>
        </w:rPr>
        <w:softHyphen/>
        <w:t>ing of data with other agencies for com</w:t>
      </w:r>
      <w:r w:rsidRPr="00504B59">
        <w:rPr>
          <w:rFonts w:ascii="Tahoma" w:hAnsi="Tahoma" w:cs="Tahoma"/>
          <w:b/>
          <w:bCs/>
          <w:sz w:val="22"/>
          <w:szCs w:val="22"/>
        </w:rPr>
        <w:softHyphen/>
        <w:t>patible confiden</w:t>
      </w:r>
      <w:r w:rsidRPr="00504B59">
        <w:rPr>
          <w:rFonts w:ascii="Tahoma" w:hAnsi="Tahoma" w:cs="Tahoma"/>
          <w:b/>
          <w:bCs/>
          <w:sz w:val="22"/>
          <w:szCs w:val="22"/>
        </w:rPr>
        <w:softHyphen/>
        <w:t>tial use; or</w:t>
      </w:r>
    </w:p>
    <w:p w:rsidR="00C37CD8" w:rsidRPr="00063823" w:rsidP="00197F9A" w14:paraId="7455B87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Pr="00504B59">
        <w:rPr>
          <w:rFonts w:ascii="Tahoma" w:hAnsi="Tahoma" w:cs="Tahoma"/>
          <w:b/>
          <w:bCs/>
          <w:sz w:val="22"/>
          <w:szCs w:val="22"/>
        </w:rPr>
        <w:t>equiring respondents to submit propri</w:t>
      </w:r>
      <w:r w:rsidRPr="00504B59">
        <w:rPr>
          <w:rFonts w:ascii="Tahoma" w:hAnsi="Tahoma" w:cs="Tahoma"/>
          <w:b/>
          <w:bCs/>
          <w:sz w:val="22"/>
          <w:szCs w:val="22"/>
        </w:rPr>
        <w:softHyphen/>
        <w:t xml:space="preserve">etary trade secret, or other confidential </w:t>
      </w:r>
      <w:r w:rsidRPr="00504B59">
        <w:rPr>
          <w:rFonts w:ascii="Tahoma" w:hAnsi="Tahoma" w:cs="Tahoma"/>
          <w:b/>
          <w:bCs/>
          <w:sz w:val="22"/>
          <w:szCs w:val="22"/>
        </w:rPr>
        <w:t>information</w:t>
      </w:r>
      <w:r w:rsidRPr="00504B59">
        <w:rPr>
          <w:rFonts w:ascii="Tahoma" w:hAnsi="Tahoma" w:cs="Tahoma"/>
          <w:b/>
          <w:bCs/>
          <w:sz w:val="22"/>
          <w:szCs w:val="22"/>
        </w:rPr>
        <w:t xml:space="preserve"> unless the agency can demon</w:t>
      </w:r>
      <w:r w:rsidRPr="00504B59">
        <w:rPr>
          <w:rFonts w:ascii="Tahoma" w:hAnsi="Tahoma" w:cs="Tahoma"/>
          <w:b/>
          <w:bCs/>
          <w:sz w:val="22"/>
          <w:szCs w:val="22"/>
        </w:rPr>
        <w:softHyphen/>
        <w:t xml:space="preserve">strate that it has instituted procedures to protect the information's confidentiality to the extent </w:t>
      </w:r>
      <w:r w:rsidRPr="00504B59">
        <w:rPr>
          <w:rFonts w:ascii="Tahoma" w:hAnsi="Tahoma" w:cs="Tahoma"/>
          <w:b/>
          <w:bCs/>
          <w:sz w:val="22"/>
          <w:szCs w:val="22"/>
        </w:rPr>
        <w:t>permit</w:t>
      </w:r>
      <w:r w:rsidRPr="00504B59">
        <w:rPr>
          <w:rFonts w:ascii="Tahoma" w:hAnsi="Tahoma" w:cs="Tahoma"/>
          <w:b/>
          <w:bCs/>
          <w:sz w:val="22"/>
          <w:szCs w:val="22"/>
        </w:rPr>
        <w:softHyphen/>
        <w:t>ted</w:t>
      </w:r>
      <w:r w:rsidRPr="00504B59">
        <w:rPr>
          <w:rFonts w:ascii="Tahoma" w:hAnsi="Tahoma" w:cs="Tahoma"/>
          <w:b/>
          <w:bCs/>
          <w:sz w:val="22"/>
          <w:szCs w:val="22"/>
        </w:rPr>
        <w:t xml:space="preserve"> by law.</w:t>
      </w:r>
    </w:p>
    <w:p w:rsidR="003D1ABD" w:rsidRPr="000E7AAA" w:rsidP="00197F9A" w14:paraId="17928413" w14:textId="777777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pPr>
      <w:r w:rsidRPr="000E7AAA">
        <w:t>There are no special circumstances.  The collection of information is conducted in a manner consistent with the guidelines in 5 CFR 1320.6.</w:t>
      </w:r>
    </w:p>
    <w:p w:rsidR="00C37CD8" w:rsidRPr="00504B59" w:rsidP="00197F9A" w14:paraId="6AE19475"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00C37CD8" w:rsidRPr="00063823" w:rsidP="00197F9A" w14:paraId="6B09384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 xml:space="preserve">ments received on cost and hour burden. </w:t>
      </w:r>
    </w:p>
    <w:p w:rsidR="000E60F3" w:rsidP="000E60F3" w14:paraId="5BBFD0E1" w14:textId="77777777">
      <w:pPr>
        <w:ind w:left="360"/>
      </w:pPr>
      <w:r>
        <w:rPr>
          <w:rFonts w:eastAsia="Calibri"/>
        </w:rPr>
        <w:t xml:space="preserve">Along with its publication of a draft rule proposing revisions to 36 CFR, Part 228, Subpart E Oil and Gas Resources </w:t>
      </w:r>
      <w:r w:rsidRPr="00B45F7A">
        <w:rPr>
          <w:rFonts w:eastAsia="Calibri"/>
        </w:rPr>
        <w:t>regulation</w:t>
      </w:r>
      <w:r w:rsidRPr="00B45F7A" w:rsidR="00EB09AF">
        <w:rPr>
          <w:rFonts w:eastAsia="Calibri"/>
        </w:rPr>
        <w:t xml:space="preserve"> </w:t>
      </w:r>
      <w:r w:rsidRPr="00B45F7A" w:rsidR="00EB09AF">
        <w:t>(</w:t>
      </w:r>
      <w:r w:rsidRPr="00B45F7A" w:rsidR="008A67A9">
        <w:t>85 FR 54311)</w:t>
      </w:r>
      <w:r w:rsidRPr="00B45F7A">
        <w:rPr>
          <w:rFonts w:eastAsia="Calibri"/>
        </w:rPr>
        <w:t>, the</w:t>
      </w:r>
      <w:r>
        <w:rPr>
          <w:rFonts w:eastAsia="Calibri"/>
        </w:rPr>
        <w:t xml:space="preserve"> Forest Service </w:t>
      </w:r>
      <w:r>
        <w:t xml:space="preserve">sought </w:t>
      </w:r>
      <w:r w:rsidRPr="007B501C">
        <w:t>O</w:t>
      </w:r>
      <w:r>
        <w:t xml:space="preserve">ffice of </w:t>
      </w:r>
      <w:r w:rsidRPr="007B501C">
        <w:t>M</w:t>
      </w:r>
      <w:r>
        <w:t xml:space="preserve">anagement and </w:t>
      </w:r>
      <w:r w:rsidRPr="007B501C">
        <w:t>B</w:t>
      </w:r>
      <w:r>
        <w:t xml:space="preserve">udget </w:t>
      </w:r>
      <w:r w:rsidRPr="007B501C">
        <w:t xml:space="preserve">approval </w:t>
      </w:r>
      <w:r w:rsidR="00EB09AF">
        <w:t xml:space="preserve">an information collection </w:t>
      </w:r>
      <w:r w:rsidRPr="007B501C">
        <w:t>under</w:t>
      </w:r>
      <w:r>
        <w:t xml:space="preserve"> </w:t>
      </w:r>
      <w:r w:rsidRPr="00FD08C8">
        <w:t xml:space="preserve">the PRA (44 U.S.C. 3501 et seq.). </w:t>
      </w:r>
      <w:r>
        <w:t>To accomplish the information collection approval, t</w:t>
      </w:r>
      <w:r w:rsidRPr="00B615F2">
        <w:t xml:space="preserve">he Forest Service </w:t>
      </w:r>
      <w:r>
        <w:t>sought</w:t>
      </w:r>
      <w:r w:rsidRPr="00B615F2">
        <w:t xml:space="preserve"> reinstatement of </w:t>
      </w:r>
      <w:r>
        <w:t xml:space="preserve">OMB Control No. 0596-0101, which had previously been approved for collection of information associated with the current 36 CFR, Part 228, subpart E regulation. The rule </w:t>
      </w:r>
      <w:r w:rsidR="00EB09AF">
        <w:t xml:space="preserve">does </w:t>
      </w:r>
      <w:r>
        <w:t xml:space="preserve">not establish any new information collection requirements not previously </w:t>
      </w:r>
      <w:r>
        <w:t xml:space="preserve">approved under OMB Control No. 0596-0101.  </w:t>
      </w:r>
    </w:p>
    <w:p w:rsidR="000E60F3" w:rsidP="000E60F3" w14:paraId="68BD3BA6" w14:textId="77777777">
      <w:pPr>
        <w:ind w:left="360"/>
      </w:pPr>
    </w:p>
    <w:p w:rsidR="000E60F3" w:rsidP="000E60F3" w14:paraId="3EA64F6F" w14:textId="77777777">
      <w:pPr>
        <w:ind w:left="360"/>
        <w:rPr>
          <w:rFonts w:eastAsia="Calibri"/>
        </w:rPr>
      </w:pPr>
      <w:r>
        <w:rPr>
          <w:rFonts w:eastAsia="Calibri"/>
        </w:rPr>
        <w:t xml:space="preserve">We specifically </w:t>
      </w:r>
      <w:r w:rsidRPr="00ED7B3D">
        <w:rPr>
          <w:rFonts w:eastAsia="Calibri"/>
        </w:rPr>
        <w:t>solicit</w:t>
      </w:r>
      <w:r>
        <w:rPr>
          <w:rFonts w:eastAsia="Calibri"/>
        </w:rPr>
        <w:t>ed</w:t>
      </w:r>
      <w:r w:rsidRPr="00ED7B3D">
        <w:rPr>
          <w:rFonts w:eastAsia="Calibri"/>
        </w:rPr>
        <w:t xml:space="preserve"> comments on the proposed information collection request</w:t>
      </w:r>
      <w:r>
        <w:rPr>
          <w:rFonts w:eastAsia="Calibri"/>
        </w:rPr>
        <w:t xml:space="preserve"> stating that w</w:t>
      </w:r>
      <w:r w:rsidRPr="00ED7B3D">
        <w:rPr>
          <w:rFonts w:eastAsia="Calibri"/>
        </w:rPr>
        <w:t>e are especially interested in public comment addressing the following issues: (1) is the collection necessary to the proper functions of the Agency; (2) will this information be processed and used in a timely manner; (3) is the estimate of burden accurate; (4) how might the Agency enhance the quality, utility, and clarity of the information to be collected; and (5) how might the Agency minimize the burden of this collection on the respondents, including through the use of information technology.</w:t>
      </w:r>
    </w:p>
    <w:p w:rsidR="001307CC" w:rsidP="000E60F3" w14:paraId="0D422008" w14:textId="77777777">
      <w:pPr>
        <w:ind w:left="360"/>
        <w:rPr>
          <w:rFonts w:eastAsia="Calibri"/>
        </w:rPr>
      </w:pPr>
    </w:p>
    <w:p w:rsidR="001307CC" w:rsidP="000E60F3" w14:paraId="3CD38A0E" w14:textId="77777777">
      <w:pPr>
        <w:ind w:left="360"/>
        <w:rPr>
          <w:rFonts w:eastAsia="Calibri"/>
        </w:rPr>
      </w:pPr>
      <w:r>
        <w:rPr>
          <w:rFonts w:eastAsia="Calibri"/>
        </w:rPr>
        <w:t>The Forest Service received the following single public comment: “</w:t>
      </w:r>
      <w:r w:rsidRPr="001307CC">
        <w:rPr>
          <w:rFonts w:eastAsia="Calibri"/>
        </w:rPr>
        <w:t>We suspect that by aligning Forest Service oil and gas leasing regulations with Bureau of Land Management regulations, as proposed, the paperwork burdens on lessees, operators and small businesses in the oil and gas industry will be decreased.</w:t>
      </w:r>
      <w:r>
        <w:rPr>
          <w:rFonts w:eastAsia="Calibri"/>
        </w:rPr>
        <w:t>”</w:t>
      </w:r>
    </w:p>
    <w:p w:rsidR="000E60F3" w:rsidP="000E60F3" w14:paraId="1A6408F0" w14:textId="77777777">
      <w:pPr>
        <w:ind w:left="360"/>
        <w:rPr>
          <w:rFonts w:eastAsia="Calibri"/>
        </w:rPr>
      </w:pPr>
    </w:p>
    <w:p w:rsidR="00F1734F" w:rsidP="001307CC" w14:paraId="0AB7AE77" w14:textId="77777777">
      <w:pPr>
        <w:ind w:left="360"/>
        <w:rPr>
          <w:rFonts w:eastAsia="Calibri"/>
        </w:rPr>
      </w:pPr>
      <w:r>
        <w:rPr>
          <w:rFonts w:eastAsia="Calibri"/>
        </w:rPr>
        <w:t xml:space="preserve">The Forest Service </w:t>
      </w:r>
      <w:r w:rsidR="001307CC">
        <w:rPr>
          <w:rFonts w:eastAsia="Calibri"/>
        </w:rPr>
        <w:t xml:space="preserve">also </w:t>
      </w:r>
      <w:r>
        <w:rPr>
          <w:rFonts w:eastAsia="Calibri"/>
        </w:rPr>
        <w:t xml:space="preserve">published a </w:t>
      </w:r>
      <w:r w:rsidR="001307CC">
        <w:rPr>
          <w:rFonts w:eastAsia="Calibri"/>
        </w:rPr>
        <w:t>stand-alone</w:t>
      </w:r>
      <w:r w:rsidR="000E60F3">
        <w:rPr>
          <w:rFonts w:eastAsia="Calibri"/>
        </w:rPr>
        <w:t xml:space="preserve"> </w:t>
      </w:r>
      <w:r>
        <w:rPr>
          <w:rFonts w:eastAsia="Calibri"/>
        </w:rPr>
        <w:t>Federal Register Notice</w:t>
      </w:r>
      <w:r w:rsidRPr="00D759CB">
        <w:rPr>
          <w:rFonts w:eastAsia="Calibri"/>
        </w:rPr>
        <w:t xml:space="preserve"> on Feb 8, 2023</w:t>
      </w:r>
      <w:r>
        <w:rPr>
          <w:rFonts w:eastAsia="Calibri"/>
        </w:rPr>
        <w:t xml:space="preserve"> seeking public comment on this information collection,  </w:t>
      </w:r>
      <w:hyperlink r:id="rId7" w:history="1">
        <w:r w:rsidRPr="00562B77">
          <w:rPr>
            <w:rStyle w:val="Hyperlink"/>
            <w:rFonts w:eastAsia="Calibri"/>
          </w:rPr>
          <w:t>https://www.regulations.gov/document/FS_FRDOC_0001-</w:t>
        </w:r>
        <w:r w:rsidRPr="00562B77">
          <w:rPr>
            <w:rStyle w:val="Hyperlink"/>
            <w:rFonts w:eastAsia="Calibri"/>
          </w:rPr>
          <w:t>3</w:t>
        </w:r>
        <w:r w:rsidRPr="00562B77">
          <w:rPr>
            <w:rStyle w:val="Hyperlink"/>
            <w:rFonts w:eastAsia="Calibri"/>
          </w:rPr>
          <w:t>804</w:t>
        </w:r>
      </w:hyperlink>
      <w:r>
        <w:rPr>
          <w:rFonts w:eastAsia="Calibri"/>
        </w:rPr>
        <w:t>. The comment period ended April 10, 2023. No comments were received.</w:t>
      </w:r>
    </w:p>
    <w:p w:rsidR="00F1734F" w:rsidP="00F1734F" w14:paraId="43ACC573" w14:textId="77777777">
      <w:pPr>
        <w:rPr>
          <w:rFonts w:eastAsia="Calibri"/>
        </w:rPr>
      </w:pPr>
    </w:p>
    <w:p w:rsidR="00C37CD8" w:rsidRPr="00504B59" w:rsidP="00197F9A" w14:paraId="561FABC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C37CD8" w:rsidP="00197F9A" w14:paraId="180E242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04B5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903693" w:rsidP="00197F9A" w14:paraId="718D8F6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B45F7A">
        <w:rPr>
          <w:rFonts w:ascii="Tahoma" w:hAnsi="Tahoma" w:cs="Tahoma"/>
          <w:sz w:val="22"/>
          <w:szCs w:val="22"/>
        </w:rPr>
        <w:t xml:space="preserve">In efforts to consult with </w:t>
      </w:r>
      <w:r w:rsidRPr="00B45F7A">
        <w:rPr>
          <w:rFonts w:ascii="Tahoma" w:hAnsi="Tahoma" w:cs="Tahoma"/>
          <w:sz w:val="22"/>
          <w:szCs w:val="22"/>
        </w:rPr>
        <w:t>persons</w:t>
      </w:r>
      <w:r w:rsidRPr="00B45F7A">
        <w:rPr>
          <w:rFonts w:ascii="Tahoma" w:hAnsi="Tahoma" w:cs="Tahoma"/>
          <w:sz w:val="22"/>
          <w:szCs w:val="22"/>
        </w:rPr>
        <w:t xml:space="preserve"> outside the agency to obtain their views on collection</w:t>
      </w:r>
      <w:r w:rsidR="00B45F7A">
        <w:rPr>
          <w:rFonts w:ascii="Tahoma" w:hAnsi="Tahoma" w:cs="Tahoma"/>
          <w:sz w:val="22"/>
          <w:szCs w:val="22"/>
        </w:rPr>
        <w:t xml:space="preserve"> of</w:t>
      </w:r>
      <w:r w:rsidRPr="00B45F7A">
        <w:rPr>
          <w:rFonts w:ascii="Tahoma" w:hAnsi="Tahoma" w:cs="Tahoma"/>
          <w:sz w:val="22"/>
          <w:szCs w:val="22"/>
        </w:rPr>
        <w:t xml:space="preserve"> information, the agency could not obtain feedback, due to </w:t>
      </w:r>
      <w:r w:rsidRPr="00B45F7A" w:rsidR="00B45F7A">
        <w:rPr>
          <w:rFonts w:ascii="Tahoma" w:hAnsi="Tahoma" w:cs="Tahoma"/>
          <w:sz w:val="22"/>
          <w:szCs w:val="22"/>
        </w:rPr>
        <w:t>industry’s</w:t>
      </w:r>
      <w:r w:rsidRPr="00B45F7A">
        <w:rPr>
          <w:rFonts w:ascii="Tahoma" w:hAnsi="Tahoma" w:cs="Tahoma"/>
          <w:sz w:val="22"/>
          <w:szCs w:val="22"/>
        </w:rPr>
        <w:t xml:space="preserve"> hesitation to go on record. </w:t>
      </w:r>
    </w:p>
    <w:p w:rsidR="00B45F7A" w:rsidRPr="00903693" w:rsidP="00197F9A" w14:paraId="5EC28AA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063823" w:rsidP="00DD37D5" w14:paraId="684EF43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Pr="00063823" w:rsid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Pr="00DD37D5" w:rsidP="00197F9A" w14:paraId="37FC25B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DD37D5">
        <w:t>There are no such decisions that provide for any payment or gifts to respondents.</w:t>
      </w:r>
    </w:p>
    <w:p w:rsidR="00DD37D5" w:rsidRPr="009A769F" w:rsidP="00197F9A" w14:paraId="5F3EE23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RPr="00063823" w:rsidP="00DD37D5" w14:paraId="0A79864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063823">
        <w:rPr>
          <w:rFonts w:ascii="Tahoma" w:hAnsi="Tahoma" w:cs="Tahoma"/>
          <w:b/>
          <w:bCs/>
          <w:sz w:val="22"/>
          <w:szCs w:val="22"/>
        </w:rPr>
        <w:t>Describe any assurance of confidentiality provided to respondents and the basis for the assurance in statute, regulation, or agency policy.</w:t>
      </w:r>
    </w:p>
    <w:p w:rsidR="00890057" w:rsidP="00197F9A" w14:paraId="7320A53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iCs/>
        </w:rPr>
      </w:pPr>
      <w:r w:rsidRPr="00DD37D5">
        <w:rPr>
          <w:iCs/>
        </w:rPr>
        <w:t>No information covered by a Privacy Act System of Records, Personally Identifiable Information, or other confidential information covered by a statute, regulation, or agency policy will be collected.</w:t>
      </w:r>
    </w:p>
    <w:p w:rsidR="00DD37D5" w:rsidRPr="00DD37D5" w:rsidP="00197F9A" w14:paraId="466EDF8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iCs/>
        </w:rPr>
      </w:pPr>
    </w:p>
    <w:p w:rsidR="00C37CD8" w:rsidRPr="00504B59" w:rsidP="00DD37D5" w14:paraId="2682593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
          <w:bCs/>
          <w:sz w:val="22"/>
          <w:szCs w:val="22"/>
        </w:rPr>
      </w:pPr>
      <w:r w:rsidRPr="00504B59">
        <w:rPr>
          <w:rFonts w:ascii="Tahoma" w:hAnsi="Tahoma" w:cs="Tahoma"/>
          <w:b/>
          <w:bCs/>
          <w:sz w:val="22"/>
          <w:szCs w:val="22"/>
        </w:rPr>
        <w:t xml:space="preserve">Provide additional justification for any questions of a sensitive nature, such as sexual behavior or attitudes, religious beliefs, and other matters that are commonly </w:t>
      </w:r>
      <w:r w:rsidRPr="00504B59">
        <w:rPr>
          <w:rFonts w:ascii="Tahoma" w:hAnsi="Tahoma" w:cs="Tahoma"/>
          <w:b/>
          <w:bCs/>
          <w:sz w:val="22"/>
          <w:szCs w:val="22"/>
        </w:rPr>
        <w:t xml:space="preserve">considered private.  This justification should include the reasons why the agency considers the questions necessary, the specific uses to be made of the information, the explanation to be given to </w:t>
      </w:r>
      <w:r w:rsidRPr="00504B59">
        <w:rPr>
          <w:rFonts w:ascii="Tahoma" w:hAnsi="Tahoma" w:cs="Tahoma"/>
          <w:b/>
          <w:bCs/>
          <w:sz w:val="22"/>
          <w:szCs w:val="22"/>
        </w:rPr>
        <w:t>persons</w:t>
      </w:r>
      <w:r w:rsidRPr="00504B59">
        <w:rPr>
          <w:rFonts w:ascii="Tahoma" w:hAnsi="Tahoma" w:cs="Tahoma"/>
          <w:b/>
          <w:bCs/>
          <w:sz w:val="22"/>
          <w:szCs w:val="22"/>
        </w:rPr>
        <w:t xml:space="preserve"> from whom the information is requested, and any steps to be taken to obtain their consent.</w:t>
      </w:r>
    </w:p>
    <w:p w:rsidR="00890057" w:rsidRPr="00DD37D5" w:rsidP="00197F9A" w14:paraId="71A59A0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DD37D5">
        <w:t>No such questions are included in the information collection.</w:t>
      </w:r>
    </w:p>
    <w:p w:rsidR="00DD37D5" w:rsidRPr="009A769F" w:rsidP="00197F9A" w14:paraId="7911D7F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C37CD8" w:rsidP="00292B41" w14:paraId="3C9773E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507743" w:rsidP="00507743" w14:paraId="194635EB"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507743" w:rsidRPr="00507743" w:rsidP="00507743" w14:paraId="358F3969" w14:textId="77777777">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507743">
        <w:t>The estimates provided here</w:t>
      </w:r>
      <w:r>
        <w:t xml:space="preserve"> use updated information and so are different from the past estimates described in Section 8. </w:t>
      </w:r>
    </w:p>
    <w:p w:rsidR="00C37CD8" w:rsidP="00197F9A" w14:paraId="529A3E18"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rFonts w:ascii="Tahoma" w:hAnsi="Tahoma" w:cs="Tahoma"/>
          <w:color w:val="3366FF"/>
          <w:sz w:val="22"/>
          <w:szCs w:val="22"/>
        </w:rPr>
      </w:pPr>
    </w:p>
    <w:p w:rsidR="00C37CD8" w:rsidRPr="00504B59" w:rsidP="00197F9A" w14:paraId="024D0D7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P="00EC10FF" w14:paraId="610A538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Pr>
          <w:rFonts w:ascii="Tahoma" w:hAnsi="Tahoma" w:cs="Tahoma"/>
          <w:b/>
          <w:bCs/>
          <w:sz w:val="22"/>
          <w:szCs w:val="22"/>
        </w:rPr>
        <w:t>D</w:t>
      </w:r>
      <w:r w:rsidRPr="00890057">
        <w:rPr>
          <w:rFonts w:ascii="Tahoma" w:hAnsi="Tahoma" w:cs="Tahoma"/>
          <w:b/>
          <w:bCs/>
          <w:sz w:val="22"/>
          <w:szCs w:val="22"/>
        </w:rPr>
        <w:t xml:space="preserve">escription of the collection activity </w:t>
      </w:r>
    </w:p>
    <w:p w:rsidR="00C37CD8" w:rsidP="00EC10FF" w14:paraId="6433AFA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Pr="00890057">
        <w:rPr>
          <w:rFonts w:ascii="Tahoma" w:hAnsi="Tahoma" w:cs="Tahoma"/>
          <w:b/>
          <w:bCs/>
          <w:sz w:val="22"/>
          <w:szCs w:val="22"/>
        </w:rPr>
        <w:t>orrespondi</w:t>
      </w:r>
      <w:r>
        <w:rPr>
          <w:rFonts w:ascii="Tahoma" w:hAnsi="Tahoma" w:cs="Tahoma"/>
          <w:b/>
          <w:bCs/>
          <w:sz w:val="22"/>
          <w:szCs w:val="22"/>
        </w:rPr>
        <w:t>ng form number (if applicable)</w:t>
      </w:r>
      <w:r w:rsidR="004E7E0E">
        <w:rPr>
          <w:rFonts w:ascii="Tahoma" w:hAnsi="Tahoma" w:cs="Tahoma"/>
          <w:b/>
          <w:bCs/>
          <w:sz w:val="22"/>
          <w:szCs w:val="22"/>
        </w:rPr>
        <w:t xml:space="preserve"> </w:t>
      </w:r>
      <w:r w:rsidRPr="00507743" w:rsidR="004E7E0E">
        <w:t>N/A</w:t>
      </w:r>
      <w:r w:rsidRPr="00507743" w:rsidR="00507743">
        <w:t>, removed column B</w:t>
      </w:r>
    </w:p>
    <w:p w:rsidR="00C37CD8" w:rsidRPr="00890057" w:rsidP="00EC10FF" w14:paraId="2DE64DF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p>
    <w:p w:rsidR="00C37CD8" w:rsidRPr="00890057" w:rsidP="00EC10FF" w14:paraId="7749F4B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Pr="00890057">
        <w:rPr>
          <w:rFonts w:ascii="Tahoma" w:hAnsi="Tahoma" w:cs="Tahoma"/>
          <w:b/>
          <w:bCs/>
          <w:sz w:val="22"/>
          <w:szCs w:val="22"/>
        </w:rPr>
        <w:t xml:space="preserve">umber of responses annually per respondent, </w:t>
      </w:r>
    </w:p>
    <w:p w:rsidR="00C37CD8" w:rsidRPr="00890057" w:rsidP="00EC10FF" w14:paraId="6B3CFCB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Pr="00890057">
        <w:rPr>
          <w:rFonts w:ascii="Tahoma" w:hAnsi="Tahoma" w:cs="Tahoma"/>
          <w:b/>
          <w:bCs/>
          <w:sz w:val="22"/>
          <w:szCs w:val="22"/>
        </w:rPr>
        <w:t>otal annual responses (columns c x d)</w:t>
      </w:r>
    </w:p>
    <w:p w:rsidR="00C37CD8" w:rsidRPr="00890057" w:rsidP="00EC10FF" w14:paraId="1DB8178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f) E</w:t>
      </w:r>
      <w:r w:rsidRPr="00890057">
        <w:rPr>
          <w:rFonts w:ascii="Tahoma" w:hAnsi="Tahoma" w:cs="Tahoma"/>
          <w:b/>
          <w:bCs/>
          <w:sz w:val="22"/>
          <w:szCs w:val="22"/>
        </w:rPr>
        <w:t>stimated hours per response</w:t>
      </w:r>
    </w:p>
    <w:p w:rsidR="00C37CD8" w:rsidRPr="00890057" w:rsidP="00890057" w14:paraId="3A6C6E0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Pr>
          <w:rFonts w:ascii="Tahoma" w:hAnsi="Tahoma" w:cs="Tahoma"/>
          <w:b/>
          <w:bCs/>
          <w:sz w:val="22"/>
          <w:szCs w:val="22"/>
        </w:rPr>
        <w:t>g) T</w:t>
      </w:r>
      <w:r w:rsidRPr="00890057">
        <w:rPr>
          <w:rFonts w:ascii="Tahoma" w:hAnsi="Tahoma" w:cs="Tahoma"/>
          <w:b/>
          <w:bCs/>
          <w:sz w:val="22"/>
          <w:szCs w:val="22"/>
        </w:rPr>
        <w:t>otal annual burden hours (columns e x f)</w:t>
      </w:r>
    </w:p>
    <w:p w:rsidR="00991A15" w:rsidRPr="00890057" w:rsidP="00991A15" w14:paraId="6CC64C19" w14:textId="77777777">
      <w:pPr>
        <w:pStyle w:val="BodyTextIndent"/>
        <w:tabs>
          <w:tab w:val="clear" w:pos="0"/>
          <w:tab w:val="left" w:pos="810"/>
        </w:tabs>
        <w:ind w:left="0"/>
        <w:rPr>
          <w:rFonts w:ascii="Arial" w:hAnsi="Arial" w:cs="Arial"/>
          <w:color w:val="3366FF"/>
        </w:rPr>
      </w:pPr>
      <w:r w:rsidRPr="00D25FB6">
        <w:rPr>
          <w:rFonts w:ascii="Arial" w:hAnsi="Arial" w:cs="Arial"/>
        </w:rPr>
        <w:t xml:space="preserve">Table 2 </w:t>
      </w:r>
    </w:p>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35"/>
        <w:gridCol w:w="1357"/>
        <w:gridCol w:w="1399"/>
        <w:gridCol w:w="1117"/>
        <w:gridCol w:w="1140"/>
        <w:gridCol w:w="1350"/>
      </w:tblGrid>
      <w:tr w14:paraId="08DBB568" w14:textId="77777777" w:rsidTr="00C465CE">
        <w:tblPrEx>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3435" w:type="dxa"/>
            <w:tcBorders>
              <w:top w:val="single" w:sz="4" w:space="0" w:color="auto"/>
              <w:left w:val="single" w:sz="4" w:space="0" w:color="auto"/>
              <w:bottom w:val="single" w:sz="4" w:space="0" w:color="auto"/>
              <w:right w:val="single" w:sz="4" w:space="0" w:color="auto"/>
            </w:tcBorders>
            <w:vAlign w:val="center"/>
          </w:tcPr>
          <w:p w:rsidR="004E7E0E" w:rsidRPr="00F736E2" w:rsidP="00B22415" w14:paraId="0E624C74"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(a)</w:t>
            </w:r>
          </w:p>
          <w:p w:rsidR="004E7E0E" w:rsidRPr="00F736E2" w:rsidP="00B22415" w14:paraId="6C1BAADF"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Description of the Collection Activity</w:t>
            </w:r>
          </w:p>
        </w:tc>
        <w:tc>
          <w:tcPr>
            <w:tcW w:w="1357"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7C7717B5"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(c)</w:t>
            </w:r>
          </w:p>
          <w:p w:rsidR="004E7E0E" w:rsidRPr="00F736E2" w:rsidP="00B22415" w14:paraId="7FD56DC4"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Respondents</w:t>
            </w:r>
          </w:p>
        </w:tc>
        <w:tc>
          <w:tcPr>
            <w:tcW w:w="1399"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39E0F183"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(d)</w:t>
            </w:r>
          </w:p>
          <w:p w:rsidR="004E7E0E" w:rsidRPr="00F736E2" w:rsidP="00B22415" w14:paraId="059E0B6E"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Number of responses annually per Respondent</w:t>
            </w:r>
          </w:p>
        </w:tc>
        <w:tc>
          <w:tcPr>
            <w:tcW w:w="1117" w:type="dxa"/>
            <w:tcBorders>
              <w:top w:val="single" w:sz="4" w:space="0" w:color="auto"/>
              <w:left w:val="single" w:sz="4" w:space="0" w:color="auto"/>
              <w:bottom w:val="single" w:sz="4" w:space="0" w:color="auto"/>
              <w:right w:val="single" w:sz="4" w:space="0" w:color="auto"/>
            </w:tcBorders>
            <w:vAlign w:val="center"/>
          </w:tcPr>
          <w:p w:rsidR="004E7E0E" w:rsidRPr="00F736E2" w:rsidP="00C465CE" w14:paraId="1B293076"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(e)</w:t>
            </w:r>
          </w:p>
          <w:p w:rsidR="004E7E0E" w:rsidRPr="00F736E2" w:rsidP="00C465CE" w14:paraId="1634ECDF"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Total annual responses</w:t>
            </w:r>
          </w:p>
          <w:p w:rsidR="004E7E0E" w:rsidRPr="00F736E2" w:rsidP="00C465CE" w14:paraId="076FDDDD"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(c x d)</w:t>
            </w:r>
          </w:p>
        </w:tc>
        <w:tc>
          <w:tcPr>
            <w:tcW w:w="1140"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699F1943"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(f)</w:t>
            </w:r>
          </w:p>
          <w:p w:rsidR="004E7E0E" w:rsidRPr="00F736E2" w:rsidP="00B22415" w14:paraId="1798FF1A"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Estimate of Burden Hours per response</w:t>
            </w:r>
          </w:p>
        </w:tc>
        <w:tc>
          <w:tcPr>
            <w:tcW w:w="1350"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637F412A"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(g)</w:t>
            </w:r>
          </w:p>
          <w:p w:rsidR="004E7E0E" w:rsidRPr="00F736E2" w:rsidP="00B22415" w14:paraId="23F3D55B"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 xml:space="preserve">Total Annual Burden Hours </w:t>
            </w:r>
          </w:p>
          <w:p w:rsidR="004E7E0E" w:rsidRPr="00F736E2" w:rsidP="00B22415" w14:paraId="5C4CC984" w14:textId="77777777">
            <w:pPr>
              <w:widowControl/>
              <w:autoSpaceDE/>
              <w:autoSpaceDN/>
              <w:adjustRightInd/>
              <w:jc w:val="center"/>
              <w:rPr>
                <w:rFonts w:ascii="Arial" w:hAnsi="Arial" w:cs="Arial"/>
                <w:b/>
                <w:bCs/>
                <w:sz w:val="18"/>
                <w:szCs w:val="18"/>
              </w:rPr>
            </w:pPr>
            <w:r w:rsidRPr="00F736E2">
              <w:rPr>
                <w:rFonts w:ascii="Arial" w:hAnsi="Arial" w:cs="Arial"/>
                <w:b/>
                <w:bCs/>
                <w:sz w:val="18"/>
                <w:szCs w:val="18"/>
              </w:rPr>
              <w:t>(e x f)</w:t>
            </w:r>
          </w:p>
        </w:tc>
      </w:tr>
      <w:tr w14:paraId="71DE3910" w14:textId="77777777" w:rsidTr="004E7E0E">
        <w:tblPrEx>
          <w:tblW w:w="9798" w:type="dxa"/>
          <w:jc w:val="center"/>
          <w:tblLook w:val="0000"/>
        </w:tblPrEx>
        <w:trPr>
          <w:trHeight w:val="255"/>
          <w:jc w:val="center"/>
        </w:trPr>
        <w:tc>
          <w:tcPr>
            <w:tcW w:w="3435" w:type="dxa"/>
            <w:tcBorders>
              <w:top w:val="single" w:sz="4" w:space="0" w:color="auto"/>
              <w:left w:val="single" w:sz="4" w:space="0" w:color="auto"/>
              <w:bottom w:val="single" w:sz="4" w:space="0" w:color="auto"/>
              <w:right w:val="single" w:sz="4" w:space="0" w:color="auto"/>
            </w:tcBorders>
            <w:vAlign w:val="center"/>
          </w:tcPr>
          <w:p w:rsidR="004E7E0E" w:rsidRPr="00F736E2" w:rsidP="00B22415" w14:paraId="6FCB1232" w14:textId="77777777">
            <w:pPr>
              <w:widowControl/>
              <w:autoSpaceDE/>
              <w:autoSpaceDN/>
              <w:adjustRightInd/>
              <w:rPr>
                <w:rFonts w:ascii="Arial" w:hAnsi="Arial" w:cs="Arial"/>
                <w:sz w:val="18"/>
                <w:szCs w:val="18"/>
              </w:rPr>
            </w:pPr>
            <w:r w:rsidRPr="00B23968">
              <w:t>Section 228.104 –  Consideration of Requests to Waive, Except, or Modify Lease Stipulations</w:t>
            </w:r>
          </w:p>
        </w:tc>
        <w:tc>
          <w:tcPr>
            <w:tcW w:w="1357"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5C8609F0"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399"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1D382D1B"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sz="4" w:space="0" w:color="auto"/>
              <w:left w:val="single" w:sz="4" w:space="0" w:color="auto"/>
              <w:bottom w:val="single" w:sz="4" w:space="0" w:color="auto"/>
              <w:right w:val="single" w:sz="4" w:space="0" w:color="auto"/>
            </w:tcBorders>
            <w:vAlign w:val="center"/>
          </w:tcPr>
          <w:p w:rsidR="004E7E0E" w:rsidRPr="00F736E2" w:rsidP="00B22415" w14:paraId="0F273463"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140"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6E1169B1" w14:textId="77777777">
            <w:pPr>
              <w:widowControl/>
              <w:autoSpaceDE/>
              <w:autoSpaceDN/>
              <w:adjustRightInd/>
              <w:jc w:val="center"/>
              <w:rPr>
                <w:rFonts w:ascii="Arial" w:hAnsi="Arial" w:cs="Arial"/>
                <w:sz w:val="18"/>
                <w:szCs w:val="18"/>
              </w:rPr>
            </w:pPr>
            <w:r>
              <w:rPr>
                <w:rFonts w:ascii="Arial" w:hAnsi="Arial" w:cs="Arial"/>
                <w:sz w:val="18"/>
                <w:szCs w:val="18"/>
              </w:rPr>
              <w:t>0.5</w:t>
            </w:r>
          </w:p>
        </w:tc>
        <w:tc>
          <w:tcPr>
            <w:tcW w:w="1350" w:type="dxa"/>
            <w:tcBorders>
              <w:top w:val="single" w:sz="4" w:space="0" w:color="auto"/>
              <w:left w:val="single" w:sz="4" w:space="0" w:color="auto"/>
              <w:bottom w:val="single" w:sz="4" w:space="0" w:color="auto"/>
              <w:right w:val="single" w:sz="4" w:space="0" w:color="auto"/>
            </w:tcBorders>
            <w:noWrap/>
            <w:vAlign w:val="center"/>
          </w:tcPr>
          <w:p w:rsidR="004E7E0E" w:rsidRPr="00F736E2" w:rsidP="00B22415" w14:paraId="2D10A031" w14:textId="77777777">
            <w:pPr>
              <w:widowControl/>
              <w:autoSpaceDE/>
              <w:autoSpaceDN/>
              <w:adjustRightInd/>
              <w:jc w:val="center"/>
              <w:rPr>
                <w:rFonts w:ascii="Arial" w:hAnsi="Arial" w:cs="Arial"/>
                <w:sz w:val="18"/>
                <w:szCs w:val="18"/>
              </w:rPr>
            </w:pPr>
            <w:r>
              <w:rPr>
                <w:rFonts w:ascii="Arial" w:hAnsi="Arial" w:cs="Arial"/>
                <w:sz w:val="18"/>
                <w:szCs w:val="18"/>
              </w:rPr>
              <w:t>0.5</w:t>
            </w:r>
          </w:p>
        </w:tc>
      </w:tr>
      <w:tr w14:paraId="2A431E0C" w14:textId="77777777" w:rsidTr="004920F9">
        <w:tblPrEx>
          <w:tblW w:w="9798" w:type="dxa"/>
          <w:jc w:val="center"/>
          <w:tblLook w:val="0000"/>
        </w:tblPrEx>
        <w:trPr>
          <w:trHeight w:val="255"/>
          <w:jc w:val="center"/>
        </w:trPr>
        <w:tc>
          <w:tcPr>
            <w:tcW w:w="3435" w:type="dxa"/>
            <w:tcBorders>
              <w:top w:val="single" w:sz="4" w:space="0" w:color="auto"/>
              <w:left w:val="single" w:sz="4" w:space="0" w:color="auto"/>
              <w:bottom w:val="single" w:sz="4" w:space="0" w:color="auto"/>
              <w:right w:val="single" w:sz="4" w:space="0" w:color="auto"/>
            </w:tcBorders>
          </w:tcPr>
          <w:p w:rsidR="004E7E0E" w:rsidRPr="00F736E2" w:rsidP="004E7E0E" w14:paraId="753FFCAA" w14:textId="77777777">
            <w:pPr>
              <w:widowControl/>
              <w:autoSpaceDE/>
              <w:autoSpaceDN/>
              <w:adjustRightInd/>
              <w:rPr>
                <w:rFonts w:ascii="Arial" w:hAnsi="Arial" w:cs="Arial"/>
                <w:sz w:val="18"/>
                <w:szCs w:val="18"/>
              </w:rPr>
            </w:pPr>
            <w:r>
              <w:t>Section 228.109(e</w:t>
            </w:r>
            <w:r w:rsidRPr="00316923">
              <w:t xml:space="preserve">) </w:t>
            </w:r>
            <w:r>
              <w:t>Bond Release</w:t>
            </w:r>
          </w:p>
        </w:tc>
        <w:tc>
          <w:tcPr>
            <w:tcW w:w="1357" w:type="dxa"/>
            <w:tcBorders>
              <w:top w:val="single" w:sz="4" w:space="0" w:color="auto"/>
              <w:left w:val="single" w:sz="4" w:space="0" w:color="auto"/>
              <w:bottom w:val="single" w:sz="4" w:space="0" w:color="auto"/>
              <w:right w:val="single" w:sz="4" w:space="0" w:color="auto"/>
            </w:tcBorders>
            <w:noWrap/>
            <w:vAlign w:val="center"/>
          </w:tcPr>
          <w:p w:rsidR="004E7E0E" w:rsidRPr="00F736E2" w:rsidP="004920F9" w14:paraId="32CD0EA7" w14:textId="77777777">
            <w:pPr>
              <w:widowControl/>
              <w:autoSpaceDE/>
              <w:autoSpaceDN/>
              <w:adjustRightInd/>
              <w:jc w:val="center"/>
              <w:rPr>
                <w:rFonts w:ascii="Arial" w:hAnsi="Arial" w:cs="Arial"/>
                <w:sz w:val="18"/>
                <w:szCs w:val="18"/>
              </w:rPr>
            </w:pPr>
            <w:r>
              <w:rPr>
                <w:rFonts w:ascii="Arial" w:hAnsi="Arial" w:cs="Arial"/>
                <w:sz w:val="18"/>
                <w:szCs w:val="18"/>
              </w:rPr>
              <w:t>5</w:t>
            </w:r>
          </w:p>
        </w:tc>
        <w:tc>
          <w:tcPr>
            <w:tcW w:w="1399" w:type="dxa"/>
            <w:tcBorders>
              <w:top w:val="single" w:sz="4" w:space="0" w:color="auto"/>
              <w:left w:val="single" w:sz="4" w:space="0" w:color="auto"/>
              <w:bottom w:val="single" w:sz="4" w:space="0" w:color="auto"/>
              <w:right w:val="single" w:sz="4" w:space="0" w:color="auto"/>
            </w:tcBorders>
            <w:noWrap/>
            <w:vAlign w:val="center"/>
          </w:tcPr>
          <w:p w:rsidR="004E7E0E" w:rsidRPr="00F736E2" w:rsidP="004920F9" w14:paraId="7FB7F11C" w14:textId="77777777">
            <w:pPr>
              <w:widowControl/>
              <w:autoSpaceDE/>
              <w:autoSpaceDN/>
              <w:adjustRightInd/>
              <w:jc w:val="center"/>
              <w:rPr>
                <w:rFonts w:ascii="Arial" w:hAnsi="Arial" w:cs="Arial"/>
                <w:sz w:val="18"/>
                <w:szCs w:val="18"/>
              </w:rPr>
            </w:pPr>
            <w:r>
              <w:rPr>
                <w:rFonts w:ascii="Arial" w:hAnsi="Arial" w:cs="Arial"/>
                <w:sz w:val="18"/>
                <w:szCs w:val="18"/>
              </w:rPr>
              <w:t>3</w:t>
            </w:r>
          </w:p>
        </w:tc>
        <w:tc>
          <w:tcPr>
            <w:tcW w:w="1117" w:type="dxa"/>
            <w:tcBorders>
              <w:top w:val="single" w:sz="4" w:space="0" w:color="auto"/>
              <w:left w:val="single" w:sz="4" w:space="0" w:color="auto"/>
              <w:bottom w:val="single" w:sz="4" w:space="0" w:color="auto"/>
              <w:right w:val="single" w:sz="4" w:space="0" w:color="auto"/>
            </w:tcBorders>
            <w:vAlign w:val="center"/>
          </w:tcPr>
          <w:p w:rsidR="004E7E0E" w:rsidRPr="00F736E2" w:rsidP="004E7E0E" w14:paraId="4EA9B436" w14:textId="77777777">
            <w:pPr>
              <w:widowControl/>
              <w:autoSpaceDE/>
              <w:autoSpaceDN/>
              <w:adjustRightInd/>
              <w:jc w:val="center"/>
              <w:rPr>
                <w:rFonts w:ascii="Arial" w:hAnsi="Arial" w:cs="Arial"/>
                <w:sz w:val="18"/>
                <w:szCs w:val="18"/>
              </w:rPr>
            </w:pPr>
            <w:r>
              <w:rPr>
                <w:rFonts w:ascii="Arial" w:hAnsi="Arial" w:cs="Arial"/>
                <w:sz w:val="18"/>
                <w:szCs w:val="18"/>
              </w:rPr>
              <w:t>15</w:t>
            </w:r>
          </w:p>
        </w:tc>
        <w:tc>
          <w:tcPr>
            <w:tcW w:w="114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5F734AF7"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35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650FCD48" w14:textId="77777777">
            <w:pPr>
              <w:widowControl/>
              <w:autoSpaceDE/>
              <w:autoSpaceDN/>
              <w:adjustRightInd/>
              <w:jc w:val="center"/>
              <w:rPr>
                <w:rFonts w:ascii="Arial" w:hAnsi="Arial" w:cs="Arial"/>
                <w:sz w:val="18"/>
                <w:szCs w:val="18"/>
              </w:rPr>
            </w:pPr>
            <w:r>
              <w:rPr>
                <w:rFonts w:ascii="Arial" w:hAnsi="Arial" w:cs="Arial"/>
                <w:sz w:val="18"/>
                <w:szCs w:val="18"/>
              </w:rPr>
              <w:t>15</w:t>
            </w:r>
          </w:p>
        </w:tc>
      </w:tr>
      <w:tr w14:paraId="7F608B9D" w14:textId="77777777" w:rsidTr="004920F9">
        <w:tblPrEx>
          <w:tblW w:w="9798" w:type="dxa"/>
          <w:jc w:val="center"/>
          <w:tblLook w:val="0000"/>
        </w:tblPrEx>
        <w:trPr>
          <w:trHeight w:val="255"/>
          <w:jc w:val="center"/>
        </w:trPr>
        <w:tc>
          <w:tcPr>
            <w:tcW w:w="3435" w:type="dxa"/>
            <w:tcBorders>
              <w:top w:val="single" w:sz="4" w:space="0" w:color="auto"/>
              <w:left w:val="single" w:sz="4" w:space="0" w:color="auto"/>
              <w:bottom w:val="single" w:sz="4" w:space="0" w:color="auto"/>
              <w:right w:val="single" w:sz="4" w:space="0" w:color="auto"/>
            </w:tcBorders>
            <w:vAlign w:val="center"/>
          </w:tcPr>
          <w:p w:rsidR="004E7E0E" w:rsidRPr="00F736E2" w:rsidP="004E7E0E" w14:paraId="6BE4727F" w14:textId="77777777">
            <w:pPr>
              <w:widowControl/>
              <w:autoSpaceDE/>
              <w:autoSpaceDN/>
              <w:adjustRightInd/>
              <w:rPr>
                <w:rFonts w:ascii="Arial" w:hAnsi="Arial" w:cs="Arial"/>
                <w:sz w:val="18"/>
                <w:szCs w:val="18"/>
              </w:rPr>
            </w:pPr>
            <w:r w:rsidRPr="00316923">
              <w:t>Section 228.11</w:t>
            </w:r>
            <w:r w:rsidR="00F45171">
              <w:t>0</w:t>
            </w:r>
            <w:r w:rsidRPr="00316923">
              <w:t>(a) Notice of Te</w:t>
            </w:r>
            <w:r>
              <w:t>mporary Cessation of Operations</w:t>
            </w:r>
          </w:p>
        </w:tc>
        <w:tc>
          <w:tcPr>
            <w:tcW w:w="1357" w:type="dxa"/>
            <w:tcBorders>
              <w:top w:val="single" w:sz="4" w:space="0" w:color="auto"/>
              <w:left w:val="single" w:sz="4" w:space="0" w:color="auto"/>
              <w:bottom w:val="single" w:sz="4" w:space="0" w:color="auto"/>
              <w:right w:val="single" w:sz="4" w:space="0" w:color="auto"/>
            </w:tcBorders>
            <w:noWrap/>
            <w:vAlign w:val="center"/>
          </w:tcPr>
          <w:p w:rsidR="004E7E0E" w:rsidRPr="00F736E2" w:rsidP="004920F9" w14:paraId="36095E8F" w14:textId="77777777">
            <w:pPr>
              <w:widowControl/>
              <w:autoSpaceDE/>
              <w:autoSpaceDN/>
              <w:adjustRightInd/>
              <w:jc w:val="center"/>
              <w:rPr>
                <w:rFonts w:ascii="Arial" w:hAnsi="Arial" w:cs="Arial"/>
                <w:sz w:val="18"/>
                <w:szCs w:val="18"/>
              </w:rPr>
            </w:pPr>
            <w:r>
              <w:rPr>
                <w:rFonts w:ascii="Arial" w:hAnsi="Arial" w:cs="Arial"/>
                <w:sz w:val="18"/>
                <w:szCs w:val="18"/>
              </w:rPr>
              <w:t>23</w:t>
            </w:r>
          </w:p>
        </w:tc>
        <w:tc>
          <w:tcPr>
            <w:tcW w:w="1399" w:type="dxa"/>
            <w:tcBorders>
              <w:top w:val="single" w:sz="4" w:space="0" w:color="auto"/>
              <w:left w:val="single" w:sz="4" w:space="0" w:color="auto"/>
              <w:bottom w:val="single" w:sz="4" w:space="0" w:color="auto"/>
              <w:right w:val="single" w:sz="4" w:space="0" w:color="auto"/>
            </w:tcBorders>
            <w:noWrap/>
            <w:vAlign w:val="center"/>
          </w:tcPr>
          <w:p w:rsidR="004E7E0E" w:rsidRPr="00F736E2" w:rsidP="004920F9" w14:paraId="207D677F" w14:textId="77777777">
            <w:pPr>
              <w:widowControl/>
              <w:autoSpaceDE/>
              <w:autoSpaceDN/>
              <w:adjustRightInd/>
              <w:jc w:val="center"/>
              <w:rPr>
                <w:rFonts w:ascii="Arial" w:hAnsi="Arial" w:cs="Arial"/>
                <w:sz w:val="18"/>
                <w:szCs w:val="18"/>
              </w:rPr>
            </w:pPr>
            <w:r>
              <w:rPr>
                <w:rFonts w:ascii="Arial" w:hAnsi="Arial" w:cs="Arial"/>
                <w:sz w:val="18"/>
                <w:szCs w:val="18"/>
              </w:rPr>
              <w:t>2</w:t>
            </w:r>
          </w:p>
        </w:tc>
        <w:tc>
          <w:tcPr>
            <w:tcW w:w="1117" w:type="dxa"/>
            <w:tcBorders>
              <w:top w:val="single" w:sz="4" w:space="0" w:color="auto"/>
              <w:left w:val="single" w:sz="4" w:space="0" w:color="auto"/>
              <w:bottom w:val="single" w:sz="4" w:space="0" w:color="auto"/>
              <w:right w:val="single" w:sz="4" w:space="0" w:color="auto"/>
            </w:tcBorders>
            <w:vAlign w:val="center"/>
          </w:tcPr>
          <w:p w:rsidR="004E7E0E" w:rsidRPr="00F736E2" w:rsidP="004E7E0E" w14:paraId="05F83AEC" w14:textId="77777777">
            <w:pPr>
              <w:widowControl/>
              <w:autoSpaceDE/>
              <w:autoSpaceDN/>
              <w:adjustRightInd/>
              <w:jc w:val="center"/>
              <w:rPr>
                <w:rFonts w:ascii="Arial" w:hAnsi="Arial" w:cs="Arial"/>
                <w:sz w:val="18"/>
                <w:szCs w:val="18"/>
              </w:rPr>
            </w:pPr>
            <w:r>
              <w:rPr>
                <w:rFonts w:ascii="Arial" w:hAnsi="Arial" w:cs="Arial"/>
                <w:sz w:val="18"/>
                <w:szCs w:val="18"/>
              </w:rPr>
              <w:t>46</w:t>
            </w:r>
          </w:p>
        </w:tc>
        <w:tc>
          <w:tcPr>
            <w:tcW w:w="114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1EF923A9" w14:textId="77777777">
            <w:pPr>
              <w:widowControl/>
              <w:autoSpaceDE/>
              <w:autoSpaceDN/>
              <w:adjustRightInd/>
              <w:jc w:val="center"/>
              <w:rPr>
                <w:rFonts w:ascii="Arial" w:hAnsi="Arial" w:cs="Arial"/>
                <w:sz w:val="18"/>
                <w:szCs w:val="18"/>
              </w:rPr>
            </w:pPr>
            <w:r>
              <w:rPr>
                <w:rFonts w:ascii="Arial" w:hAnsi="Arial" w:cs="Arial"/>
                <w:sz w:val="18"/>
                <w:szCs w:val="18"/>
              </w:rPr>
              <w:t>0.25</w:t>
            </w:r>
          </w:p>
        </w:tc>
        <w:tc>
          <w:tcPr>
            <w:tcW w:w="135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56D9DF83" w14:textId="77777777">
            <w:pPr>
              <w:widowControl/>
              <w:autoSpaceDE/>
              <w:autoSpaceDN/>
              <w:adjustRightInd/>
              <w:jc w:val="center"/>
              <w:rPr>
                <w:rFonts w:ascii="Arial" w:hAnsi="Arial" w:cs="Arial"/>
                <w:sz w:val="18"/>
                <w:szCs w:val="18"/>
              </w:rPr>
            </w:pPr>
            <w:r>
              <w:rPr>
                <w:rFonts w:ascii="Arial" w:hAnsi="Arial" w:cs="Arial"/>
                <w:sz w:val="18"/>
                <w:szCs w:val="18"/>
              </w:rPr>
              <w:t>11.5</w:t>
            </w:r>
          </w:p>
        </w:tc>
      </w:tr>
      <w:tr w14:paraId="1471E6B6" w14:textId="77777777" w:rsidTr="004920F9">
        <w:tblPrEx>
          <w:tblW w:w="9798" w:type="dxa"/>
          <w:jc w:val="center"/>
          <w:tblLook w:val="0000"/>
        </w:tblPrEx>
        <w:trPr>
          <w:trHeight w:val="255"/>
          <w:jc w:val="center"/>
        </w:trPr>
        <w:tc>
          <w:tcPr>
            <w:tcW w:w="3435" w:type="dxa"/>
            <w:tcBorders>
              <w:top w:val="single" w:sz="4" w:space="0" w:color="auto"/>
              <w:left w:val="single" w:sz="4" w:space="0" w:color="auto"/>
              <w:bottom w:val="single" w:sz="4" w:space="0" w:color="auto"/>
              <w:right w:val="single" w:sz="4" w:space="0" w:color="auto"/>
            </w:tcBorders>
            <w:vAlign w:val="center"/>
          </w:tcPr>
          <w:p w:rsidR="004E7E0E" w:rsidRPr="00F736E2" w:rsidP="004E7E0E" w14:paraId="35D8FCDF" w14:textId="77777777">
            <w:pPr>
              <w:widowControl/>
              <w:autoSpaceDE/>
              <w:autoSpaceDN/>
              <w:adjustRightInd/>
              <w:rPr>
                <w:rFonts w:ascii="Arial" w:hAnsi="Arial" w:cs="Arial"/>
                <w:sz w:val="18"/>
                <w:szCs w:val="18"/>
              </w:rPr>
            </w:pPr>
            <w:r>
              <w:t>Section 228.112(c)</w:t>
            </w:r>
            <w:r w:rsidRPr="00316923">
              <w:t xml:space="preserve"> Extension of Deadl</w:t>
            </w:r>
            <w:r>
              <w:t>ine in Notice of Noncompliance</w:t>
            </w:r>
          </w:p>
        </w:tc>
        <w:tc>
          <w:tcPr>
            <w:tcW w:w="1357" w:type="dxa"/>
            <w:tcBorders>
              <w:top w:val="single" w:sz="4" w:space="0" w:color="auto"/>
              <w:left w:val="single" w:sz="4" w:space="0" w:color="auto"/>
              <w:bottom w:val="single" w:sz="4" w:space="0" w:color="auto"/>
              <w:right w:val="single" w:sz="4" w:space="0" w:color="auto"/>
            </w:tcBorders>
            <w:noWrap/>
            <w:vAlign w:val="center"/>
          </w:tcPr>
          <w:p w:rsidR="004E7E0E" w:rsidRPr="00F736E2" w:rsidP="004920F9" w14:paraId="6069D425" w14:textId="77777777">
            <w:pPr>
              <w:widowControl/>
              <w:autoSpaceDE/>
              <w:autoSpaceDN/>
              <w:adjustRightInd/>
              <w:jc w:val="center"/>
              <w:rPr>
                <w:rFonts w:ascii="Arial" w:hAnsi="Arial" w:cs="Arial"/>
                <w:sz w:val="18"/>
                <w:szCs w:val="18"/>
              </w:rPr>
            </w:pPr>
            <w:r>
              <w:rPr>
                <w:rFonts w:ascii="Arial" w:hAnsi="Arial" w:cs="Arial"/>
                <w:sz w:val="18"/>
                <w:szCs w:val="18"/>
              </w:rPr>
              <w:t>5</w:t>
            </w:r>
          </w:p>
        </w:tc>
        <w:tc>
          <w:tcPr>
            <w:tcW w:w="1399" w:type="dxa"/>
            <w:tcBorders>
              <w:top w:val="single" w:sz="4" w:space="0" w:color="auto"/>
              <w:left w:val="single" w:sz="4" w:space="0" w:color="auto"/>
              <w:bottom w:val="single" w:sz="4" w:space="0" w:color="auto"/>
              <w:right w:val="single" w:sz="4" w:space="0" w:color="auto"/>
            </w:tcBorders>
            <w:noWrap/>
            <w:vAlign w:val="center"/>
          </w:tcPr>
          <w:p w:rsidR="004E7E0E" w:rsidRPr="00F736E2" w:rsidP="004920F9" w14:paraId="56FC872D"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sz="4" w:space="0" w:color="auto"/>
              <w:left w:val="single" w:sz="4" w:space="0" w:color="auto"/>
              <w:bottom w:val="single" w:sz="4" w:space="0" w:color="auto"/>
              <w:right w:val="single" w:sz="4" w:space="0" w:color="auto"/>
            </w:tcBorders>
            <w:vAlign w:val="center"/>
          </w:tcPr>
          <w:p w:rsidR="004E7E0E" w:rsidRPr="00F736E2" w:rsidP="004E7E0E" w14:paraId="30DAAD3A" w14:textId="77777777">
            <w:pPr>
              <w:widowControl/>
              <w:autoSpaceDE/>
              <w:autoSpaceDN/>
              <w:adjustRightInd/>
              <w:jc w:val="center"/>
              <w:rPr>
                <w:rFonts w:ascii="Arial" w:hAnsi="Arial" w:cs="Arial"/>
                <w:sz w:val="18"/>
                <w:szCs w:val="18"/>
              </w:rPr>
            </w:pPr>
            <w:r>
              <w:rPr>
                <w:rFonts w:ascii="Arial" w:hAnsi="Arial" w:cs="Arial"/>
                <w:sz w:val="18"/>
                <w:szCs w:val="18"/>
              </w:rPr>
              <w:t>5</w:t>
            </w:r>
          </w:p>
        </w:tc>
        <w:tc>
          <w:tcPr>
            <w:tcW w:w="114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503468C7" w14:textId="77777777">
            <w:pPr>
              <w:widowControl/>
              <w:autoSpaceDE/>
              <w:autoSpaceDN/>
              <w:adjustRightInd/>
              <w:jc w:val="center"/>
              <w:rPr>
                <w:rFonts w:ascii="Arial" w:hAnsi="Arial" w:cs="Arial"/>
                <w:sz w:val="18"/>
                <w:szCs w:val="18"/>
              </w:rPr>
            </w:pPr>
            <w:r>
              <w:rPr>
                <w:rFonts w:ascii="Arial" w:hAnsi="Arial" w:cs="Arial"/>
                <w:sz w:val="18"/>
                <w:szCs w:val="18"/>
              </w:rPr>
              <w:t>0.5</w:t>
            </w:r>
          </w:p>
        </w:tc>
        <w:tc>
          <w:tcPr>
            <w:tcW w:w="135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05A48AEA" w14:textId="77777777">
            <w:pPr>
              <w:widowControl/>
              <w:autoSpaceDE/>
              <w:autoSpaceDN/>
              <w:adjustRightInd/>
              <w:jc w:val="center"/>
              <w:rPr>
                <w:rFonts w:ascii="Arial" w:hAnsi="Arial" w:cs="Arial"/>
                <w:sz w:val="18"/>
                <w:szCs w:val="18"/>
              </w:rPr>
            </w:pPr>
            <w:r>
              <w:rPr>
                <w:rFonts w:ascii="Arial" w:hAnsi="Arial" w:cs="Arial"/>
                <w:sz w:val="18"/>
                <w:szCs w:val="18"/>
              </w:rPr>
              <w:t>2.5</w:t>
            </w:r>
          </w:p>
        </w:tc>
      </w:tr>
      <w:tr w14:paraId="28976059" w14:textId="77777777" w:rsidTr="004E7E0E">
        <w:tblPrEx>
          <w:tblW w:w="9798" w:type="dxa"/>
          <w:jc w:val="center"/>
          <w:tblLook w:val="0000"/>
        </w:tblPrEx>
        <w:trPr>
          <w:trHeight w:val="255"/>
          <w:jc w:val="center"/>
        </w:trPr>
        <w:tc>
          <w:tcPr>
            <w:tcW w:w="3435" w:type="dxa"/>
            <w:tcBorders>
              <w:top w:val="single" w:sz="4" w:space="0" w:color="auto"/>
              <w:left w:val="single" w:sz="4" w:space="0" w:color="auto"/>
              <w:bottom w:val="single" w:sz="4" w:space="0" w:color="auto"/>
              <w:right w:val="single" w:sz="4" w:space="0" w:color="auto"/>
            </w:tcBorders>
            <w:vAlign w:val="center"/>
          </w:tcPr>
          <w:p w:rsidR="004E7E0E" w:rsidRPr="00F736E2" w:rsidP="004E7E0E" w14:paraId="70AC9454" w14:textId="77777777">
            <w:pPr>
              <w:widowControl/>
              <w:autoSpaceDE/>
              <w:autoSpaceDN/>
              <w:adjustRightInd/>
              <w:rPr>
                <w:rFonts w:ascii="Arial" w:hAnsi="Arial" w:cs="Arial"/>
                <w:sz w:val="18"/>
                <w:szCs w:val="18"/>
              </w:rPr>
            </w:pPr>
            <w:r>
              <w:t>Section 228.113 (b</w:t>
            </w:r>
            <w:r w:rsidRPr="00316923">
              <w:t>)</w:t>
            </w:r>
            <w:r>
              <w:t>(2) – Response to a Referral of Material Noncompliance</w:t>
            </w:r>
          </w:p>
        </w:tc>
        <w:tc>
          <w:tcPr>
            <w:tcW w:w="1357"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27C34DE8"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399"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0A908CA2"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117" w:type="dxa"/>
            <w:tcBorders>
              <w:top w:val="single" w:sz="4" w:space="0" w:color="auto"/>
              <w:left w:val="single" w:sz="4" w:space="0" w:color="auto"/>
              <w:bottom w:val="single" w:sz="4" w:space="0" w:color="auto"/>
              <w:right w:val="single" w:sz="4" w:space="0" w:color="auto"/>
            </w:tcBorders>
            <w:vAlign w:val="center"/>
          </w:tcPr>
          <w:p w:rsidR="004E7E0E" w:rsidRPr="00F736E2" w:rsidP="004E7E0E" w14:paraId="666FE40A" w14:textId="77777777">
            <w:pPr>
              <w:widowControl/>
              <w:autoSpaceDE/>
              <w:autoSpaceDN/>
              <w:adjustRightInd/>
              <w:jc w:val="center"/>
              <w:rPr>
                <w:rFonts w:ascii="Arial" w:hAnsi="Arial" w:cs="Arial"/>
                <w:sz w:val="18"/>
                <w:szCs w:val="18"/>
              </w:rPr>
            </w:pPr>
            <w:r>
              <w:rPr>
                <w:rFonts w:ascii="Arial" w:hAnsi="Arial" w:cs="Arial"/>
                <w:sz w:val="18"/>
                <w:szCs w:val="18"/>
              </w:rPr>
              <w:t>1</w:t>
            </w:r>
          </w:p>
        </w:tc>
        <w:tc>
          <w:tcPr>
            <w:tcW w:w="114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6D8C2E85" w14:textId="77777777">
            <w:pPr>
              <w:widowControl/>
              <w:autoSpaceDE/>
              <w:autoSpaceDN/>
              <w:adjustRightInd/>
              <w:jc w:val="center"/>
              <w:rPr>
                <w:rFonts w:ascii="Arial" w:hAnsi="Arial" w:cs="Arial"/>
                <w:sz w:val="18"/>
                <w:szCs w:val="18"/>
              </w:rPr>
            </w:pPr>
            <w:r>
              <w:rPr>
                <w:rFonts w:ascii="Arial" w:hAnsi="Arial" w:cs="Arial"/>
                <w:sz w:val="18"/>
                <w:szCs w:val="18"/>
              </w:rPr>
              <w:t>2</w:t>
            </w:r>
          </w:p>
        </w:tc>
        <w:tc>
          <w:tcPr>
            <w:tcW w:w="1350"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35E18AD2" w14:textId="77777777">
            <w:pPr>
              <w:widowControl/>
              <w:autoSpaceDE/>
              <w:autoSpaceDN/>
              <w:adjustRightInd/>
              <w:jc w:val="center"/>
              <w:rPr>
                <w:rFonts w:ascii="Arial" w:hAnsi="Arial" w:cs="Arial"/>
                <w:sz w:val="18"/>
                <w:szCs w:val="18"/>
              </w:rPr>
            </w:pPr>
            <w:r>
              <w:rPr>
                <w:rFonts w:ascii="Arial" w:hAnsi="Arial" w:cs="Arial"/>
                <w:sz w:val="18"/>
                <w:szCs w:val="18"/>
              </w:rPr>
              <w:t>2</w:t>
            </w:r>
          </w:p>
        </w:tc>
      </w:tr>
      <w:tr w14:paraId="5C888F6A" w14:textId="77777777" w:rsidTr="004E7E0E">
        <w:tblPrEx>
          <w:tblW w:w="9798" w:type="dxa"/>
          <w:jc w:val="center"/>
          <w:tblLook w:val="0000"/>
        </w:tblPrEx>
        <w:trPr>
          <w:trHeight w:val="255"/>
          <w:jc w:val="center"/>
        </w:trPr>
        <w:tc>
          <w:tcPr>
            <w:tcW w:w="3435" w:type="dxa"/>
            <w:tcBorders>
              <w:top w:val="single" w:sz="4" w:space="0" w:color="auto"/>
              <w:left w:val="single" w:sz="4" w:space="0" w:color="auto"/>
              <w:bottom w:val="single" w:sz="4" w:space="0" w:color="auto"/>
              <w:right w:val="single" w:sz="4" w:space="0" w:color="auto"/>
            </w:tcBorders>
            <w:noWrap/>
            <w:vAlign w:val="center"/>
          </w:tcPr>
          <w:p w:rsidR="004E7E0E" w:rsidRPr="00F736E2" w:rsidP="004E7E0E" w14:paraId="525809CD" w14:textId="77777777">
            <w:pPr>
              <w:widowControl/>
              <w:autoSpaceDE/>
              <w:autoSpaceDN/>
              <w:adjustRightInd/>
              <w:rPr>
                <w:rFonts w:ascii="Arial" w:hAnsi="Arial" w:cs="Arial"/>
                <w:sz w:val="18"/>
                <w:szCs w:val="18"/>
              </w:rPr>
            </w:pPr>
            <w:r w:rsidRPr="00F736E2">
              <w:rPr>
                <w:rFonts w:ascii="Arial" w:hAnsi="Arial" w:cs="Arial"/>
                <w:sz w:val="18"/>
                <w:szCs w:val="18"/>
              </w:rPr>
              <w:t>Totals</w:t>
            </w:r>
          </w:p>
        </w:tc>
        <w:tc>
          <w:tcPr>
            <w:tcW w:w="1357" w:type="dxa"/>
            <w:tcBorders>
              <w:top w:val="single" w:sz="4" w:space="0" w:color="auto"/>
              <w:left w:val="single" w:sz="4" w:space="0" w:color="auto"/>
              <w:bottom w:val="single" w:sz="4" w:space="0" w:color="auto"/>
              <w:right w:val="single" w:sz="4" w:space="0" w:color="auto"/>
            </w:tcBorders>
            <w:noWrap/>
            <w:vAlign w:val="center"/>
          </w:tcPr>
          <w:p w:rsidR="004E7E0E" w:rsidRPr="00F45171" w:rsidP="004E7E0E" w14:paraId="167CE4A7" w14:textId="77777777">
            <w:pPr>
              <w:widowControl/>
              <w:autoSpaceDE/>
              <w:autoSpaceDN/>
              <w:adjustRightInd/>
              <w:jc w:val="center"/>
              <w:rPr>
                <w:rFonts w:ascii="Arial" w:hAnsi="Arial" w:cs="Arial"/>
                <w:sz w:val="18"/>
                <w:szCs w:val="18"/>
              </w:rPr>
            </w:pPr>
            <w:r w:rsidRPr="00F45171">
              <w:rPr>
                <w:rFonts w:ascii="Arial" w:hAnsi="Arial" w:cs="Arial"/>
                <w:sz w:val="18"/>
                <w:szCs w:val="18"/>
              </w:rPr>
              <w:t>35</w:t>
            </w:r>
          </w:p>
        </w:tc>
        <w:tc>
          <w:tcPr>
            <w:tcW w:w="1399" w:type="dxa"/>
            <w:tcBorders>
              <w:top w:val="single" w:sz="4" w:space="0" w:color="auto"/>
              <w:left w:val="single" w:sz="4" w:space="0" w:color="auto"/>
              <w:bottom w:val="single" w:sz="4" w:space="0" w:color="auto"/>
              <w:right w:val="single" w:sz="4" w:space="0" w:color="auto"/>
            </w:tcBorders>
            <w:noWrap/>
            <w:vAlign w:val="center"/>
          </w:tcPr>
          <w:p w:rsidR="004E7E0E" w:rsidRPr="00F45171" w:rsidP="004E7E0E" w14:paraId="505C92B7" w14:textId="77777777">
            <w:pPr>
              <w:widowControl/>
              <w:autoSpaceDE/>
              <w:autoSpaceDN/>
              <w:adjustRightInd/>
              <w:jc w:val="center"/>
              <w:rPr>
                <w:rFonts w:ascii="Arial" w:hAnsi="Arial" w:cs="Arial"/>
                <w:sz w:val="18"/>
                <w:szCs w:val="18"/>
              </w:rPr>
            </w:pPr>
            <w:r w:rsidRPr="00F45171">
              <w:rPr>
                <w:rFonts w:ascii="Arial" w:hAnsi="Arial" w:cs="Arial"/>
                <w:sz w:val="18"/>
                <w:szCs w:val="18"/>
              </w:rPr>
              <w:t>---</w:t>
            </w:r>
          </w:p>
        </w:tc>
        <w:tc>
          <w:tcPr>
            <w:tcW w:w="1117" w:type="dxa"/>
            <w:tcBorders>
              <w:top w:val="single" w:sz="4" w:space="0" w:color="auto"/>
              <w:left w:val="single" w:sz="4" w:space="0" w:color="auto"/>
              <w:bottom w:val="single" w:sz="4" w:space="0" w:color="auto"/>
              <w:right w:val="single" w:sz="4" w:space="0" w:color="auto"/>
            </w:tcBorders>
            <w:vAlign w:val="center"/>
          </w:tcPr>
          <w:p w:rsidR="004E7E0E" w:rsidRPr="00F45171" w:rsidP="004E7E0E" w14:paraId="0A754B3A" w14:textId="77777777">
            <w:pPr>
              <w:widowControl/>
              <w:autoSpaceDE/>
              <w:autoSpaceDN/>
              <w:adjustRightInd/>
              <w:jc w:val="center"/>
              <w:rPr>
                <w:rFonts w:ascii="Arial" w:hAnsi="Arial" w:cs="Arial"/>
                <w:sz w:val="18"/>
                <w:szCs w:val="18"/>
              </w:rPr>
            </w:pPr>
            <w:r w:rsidRPr="00F45171">
              <w:rPr>
                <w:rFonts w:ascii="Arial" w:hAnsi="Arial" w:cs="Arial"/>
                <w:sz w:val="18"/>
                <w:szCs w:val="18"/>
              </w:rPr>
              <w:t>68</w:t>
            </w:r>
          </w:p>
        </w:tc>
        <w:tc>
          <w:tcPr>
            <w:tcW w:w="1140" w:type="dxa"/>
            <w:tcBorders>
              <w:top w:val="single" w:sz="4" w:space="0" w:color="auto"/>
              <w:left w:val="single" w:sz="4" w:space="0" w:color="auto"/>
              <w:bottom w:val="single" w:sz="4" w:space="0" w:color="auto"/>
              <w:right w:val="single" w:sz="4" w:space="0" w:color="auto"/>
            </w:tcBorders>
            <w:noWrap/>
            <w:vAlign w:val="center"/>
          </w:tcPr>
          <w:p w:rsidR="004E7E0E" w:rsidRPr="00F45171" w:rsidP="004E7E0E" w14:paraId="50D3B441" w14:textId="77777777">
            <w:pPr>
              <w:widowControl/>
              <w:autoSpaceDE/>
              <w:autoSpaceDN/>
              <w:adjustRightInd/>
              <w:jc w:val="center"/>
              <w:rPr>
                <w:rFonts w:ascii="Arial" w:hAnsi="Arial" w:cs="Arial"/>
                <w:sz w:val="18"/>
                <w:szCs w:val="18"/>
              </w:rPr>
            </w:pPr>
            <w:r w:rsidRPr="00F45171">
              <w:rPr>
                <w:rFonts w:ascii="Arial" w:hAnsi="Arial" w:cs="Arial"/>
                <w:sz w:val="18"/>
                <w:szCs w:val="18"/>
              </w:rPr>
              <w:t>---</w:t>
            </w:r>
          </w:p>
        </w:tc>
        <w:tc>
          <w:tcPr>
            <w:tcW w:w="1350" w:type="dxa"/>
            <w:tcBorders>
              <w:top w:val="single" w:sz="4" w:space="0" w:color="auto"/>
              <w:left w:val="single" w:sz="4" w:space="0" w:color="auto"/>
              <w:bottom w:val="single" w:sz="4" w:space="0" w:color="auto"/>
              <w:right w:val="single" w:sz="4" w:space="0" w:color="auto"/>
            </w:tcBorders>
            <w:noWrap/>
            <w:vAlign w:val="center"/>
          </w:tcPr>
          <w:p w:rsidR="004E7E0E" w:rsidRPr="00F45171" w:rsidP="004E7E0E" w14:paraId="64B706B1" w14:textId="77777777">
            <w:pPr>
              <w:widowControl/>
              <w:autoSpaceDE/>
              <w:autoSpaceDN/>
              <w:adjustRightInd/>
              <w:jc w:val="center"/>
              <w:rPr>
                <w:rFonts w:ascii="Arial" w:hAnsi="Arial" w:cs="Arial"/>
                <w:sz w:val="18"/>
                <w:szCs w:val="18"/>
              </w:rPr>
            </w:pPr>
            <w:r w:rsidRPr="00F45171">
              <w:rPr>
                <w:rFonts w:ascii="Arial" w:hAnsi="Arial" w:cs="Arial"/>
                <w:sz w:val="18"/>
                <w:szCs w:val="18"/>
              </w:rPr>
              <w:t>3</w:t>
            </w:r>
            <w:r w:rsidRPr="00F45171" w:rsidR="001D1B11">
              <w:rPr>
                <w:rFonts w:ascii="Arial" w:hAnsi="Arial" w:cs="Arial"/>
                <w:sz w:val="18"/>
                <w:szCs w:val="18"/>
              </w:rPr>
              <w:t>1.5</w:t>
            </w:r>
          </w:p>
        </w:tc>
      </w:tr>
    </w:tbl>
    <w:p w:rsidR="00C37CD8" w:rsidP="00507743" w14:paraId="7DF2AA8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Pr>
          <w:rFonts w:ascii="Tahoma" w:hAnsi="Tahoma" w:cs="Tahoma"/>
          <w:sz w:val="22"/>
          <w:szCs w:val="22"/>
        </w:rPr>
        <w:t>*</w:t>
      </w:r>
      <w:r w:rsidRPr="00507743">
        <w:rPr>
          <w:sz w:val="22"/>
          <w:szCs w:val="22"/>
        </w:rPr>
        <w:t>Numbers of Respondents are no</w:t>
      </w:r>
      <w:r>
        <w:rPr>
          <w:sz w:val="22"/>
          <w:szCs w:val="22"/>
        </w:rPr>
        <w:t>t additive as there will be overlap among information collections.</w:t>
      </w:r>
    </w:p>
    <w:p w:rsidR="00C37CD8" w:rsidRPr="00890057" w:rsidP="00CD4215" w14:paraId="6185C347" w14:textId="77777777">
      <w:pPr>
        <w:numPr>
          <w:ilvl w:val="0"/>
          <w:numId w:val="26"/>
        </w:numPr>
        <w:tabs>
          <w:tab w:val="num" w:pos="720"/>
          <w:tab w:val="clear"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p>
    <w:p w:rsidR="00C37CD8" w:rsidRPr="00890057" w:rsidP="00EC10FF" w14:paraId="63A175E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r w:rsidRPr="00507743" w:rsidR="00507743">
        <w:rPr>
          <w:rFonts w:ascii="Tahoma" w:hAnsi="Tahoma" w:cs="Tahoma"/>
          <w:sz w:val="22"/>
          <w:szCs w:val="22"/>
        </w:rPr>
        <w:t>None</w:t>
      </w:r>
    </w:p>
    <w:p w:rsidR="00C37CD8" w:rsidRPr="00890057" w:rsidP="00EC10FF" w14:paraId="4434E31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b) </w:t>
      </w:r>
      <w:r w:rsidR="00890057">
        <w:rPr>
          <w:rFonts w:ascii="Tahoma" w:hAnsi="Tahoma" w:cs="Tahoma"/>
          <w:b/>
          <w:bCs/>
          <w:sz w:val="22"/>
          <w:szCs w:val="22"/>
        </w:rPr>
        <w:t>N</w:t>
      </w:r>
      <w:r w:rsidRPr="00890057">
        <w:rPr>
          <w:rFonts w:ascii="Tahoma" w:hAnsi="Tahoma" w:cs="Tahoma"/>
          <w:b/>
          <w:bCs/>
          <w:sz w:val="22"/>
          <w:szCs w:val="22"/>
        </w:rPr>
        <w:t>umber of record</w:t>
      </w:r>
      <w:r w:rsidR="00890057">
        <w:rPr>
          <w:rFonts w:ascii="Tahoma" w:hAnsi="Tahoma" w:cs="Tahoma"/>
          <w:b/>
          <w:bCs/>
          <w:sz w:val="22"/>
          <w:szCs w:val="22"/>
        </w:rPr>
        <w:t xml:space="preserve"> </w:t>
      </w:r>
      <w:r w:rsidRPr="00890057">
        <w:rPr>
          <w:rFonts w:ascii="Tahoma" w:hAnsi="Tahoma" w:cs="Tahoma"/>
          <w:b/>
          <w:bCs/>
          <w:sz w:val="22"/>
          <w:szCs w:val="22"/>
        </w:rPr>
        <w:t>keepers</w:t>
      </w:r>
      <w:r w:rsidR="00CB0A80">
        <w:rPr>
          <w:rFonts w:ascii="Tahoma" w:hAnsi="Tahoma" w:cs="Tahoma"/>
          <w:b/>
          <w:bCs/>
          <w:sz w:val="22"/>
          <w:szCs w:val="22"/>
        </w:rPr>
        <w:t xml:space="preserve">:  </w:t>
      </w:r>
      <w:r w:rsidRPr="00507743" w:rsidR="00CB0A80">
        <w:rPr>
          <w:rFonts w:ascii="Tahoma" w:hAnsi="Tahoma" w:cs="Tahoma"/>
          <w:sz w:val="22"/>
          <w:szCs w:val="22"/>
        </w:rPr>
        <w:t>None</w:t>
      </w:r>
    </w:p>
    <w:p w:rsidR="00C37CD8" w:rsidRPr="00890057" w:rsidP="00EC10FF" w14:paraId="3BF9418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c) A</w:t>
      </w:r>
      <w:r w:rsidRPr="00890057">
        <w:rPr>
          <w:rFonts w:ascii="Tahoma" w:hAnsi="Tahoma" w:cs="Tahoma"/>
          <w:b/>
          <w:bCs/>
          <w:sz w:val="22"/>
          <w:szCs w:val="22"/>
        </w:rPr>
        <w:t>nnual hours per record</w:t>
      </w:r>
      <w:r>
        <w:rPr>
          <w:rFonts w:ascii="Tahoma" w:hAnsi="Tahoma" w:cs="Tahoma"/>
          <w:b/>
          <w:bCs/>
          <w:sz w:val="22"/>
          <w:szCs w:val="22"/>
        </w:rPr>
        <w:t xml:space="preserve"> </w:t>
      </w:r>
      <w:r w:rsidRPr="00890057">
        <w:rPr>
          <w:rFonts w:ascii="Tahoma" w:hAnsi="Tahoma" w:cs="Tahoma"/>
          <w:b/>
          <w:bCs/>
          <w:sz w:val="22"/>
          <w:szCs w:val="22"/>
        </w:rPr>
        <w:t>keeper</w:t>
      </w:r>
      <w:r w:rsidR="00CB0A80">
        <w:rPr>
          <w:rFonts w:ascii="Tahoma" w:hAnsi="Tahoma" w:cs="Tahoma"/>
          <w:b/>
          <w:bCs/>
          <w:sz w:val="22"/>
          <w:szCs w:val="22"/>
        </w:rPr>
        <w:t xml:space="preserve">:  </w:t>
      </w:r>
      <w:r w:rsidRPr="00507743" w:rsidR="00CB0A80">
        <w:rPr>
          <w:rFonts w:ascii="Tahoma" w:hAnsi="Tahoma" w:cs="Tahoma"/>
          <w:sz w:val="22"/>
          <w:szCs w:val="22"/>
        </w:rPr>
        <w:t>None</w:t>
      </w:r>
    </w:p>
    <w:p w:rsidR="00CB0A80" w:rsidRPr="00CB0A80" w:rsidP="00507743" w14:paraId="64538CCA"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rPr>
      </w:pPr>
      <w:r>
        <w:rPr>
          <w:rFonts w:ascii="Tahoma" w:hAnsi="Tahoma" w:cs="Tahoma"/>
          <w:b/>
          <w:bCs/>
          <w:sz w:val="22"/>
          <w:szCs w:val="22"/>
        </w:rPr>
        <w:t>d) T</w:t>
      </w:r>
      <w:r w:rsidRPr="00890057" w:rsidR="00C37CD8">
        <w:rPr>
          <w:rFonts w:ascii="Tahoma" w:hAnsi="Tahoma" w:cs="Tahoma"/>
          <w:b/>
          <w:bCs/>
          <w:sz w:val="22"/>
          <w:szCs w:val="22"/>
        </w:rPr>
        <w:t>otal annual record</w:t>
      </w:r>
      <w:r>
        <w:rPr>
          <w:rFonts w:ascii="Tahoma" w:hAnsi="Tahoma" w:cs="Tahoma"/>
          <w:b/>
          <w:bCs/>
          <w:sz w:val="22"/>
          <w:szCs w:val="22"/>
        </w:rPr>
        <w:t xml:space="preserve"> </w:t>
      </w:r>
      <w:r w:rsidRPr="00890057" w:rsidR="00C37CD8">
        <w:rPr>
          <w:rFonts w:ascii="Tahoma" w:hAnsi="Tahoma" w:cs="Tahoma"/>
          <w:b/>
          <w:bCs/>
          <w:sz w:val="22"/>
          <w:szCs w:val="22"/>
        </w:rPr>
        <w:t>keeping hours (columns b x c)</w:t>
      </w:r>
      <w:r>
        <w:rPr>
          <w:rFonts w:ascii="Tahoma" w:hAnsi="Tahoma" w:cs="Tahoma"/>
          <w:b/>
          <w:bCs/>
          <w:sz w:val="22"/>
          <w:szCs w:val="22"/>
        </w:rPr>
        <w:t xml:space="preserve">:  </w:t>
      </w:r>
      <w:r w:rsidRPr="00507743" w:rsidR="00507743">
        <w:rPr>
          <w:rFonts w:ascii="Tahoma" w:hAnsi="Tahoma" w:cs="Tahoma"/>
          <w:sz w:val="22"/>
          <w:szCs w:val="22"/>
        </w:rPr>
        <w:t>None</w:t>
      </w:r>
    </w:p>
    <w:p w:rsidR="00CB0A80" w:rsidRPr="006572CF" w:rsidP="00EC10FF" w14:paraId="744D1CC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pPr>
      <w:r w:rsidRPr="006572CF">
        <w:t>None.</w:t>
      </w:r>
    </w:p>
    <w:p w:rsidR="00890057" w:rsidRPr="00504B59" w:rsidP="00197F9A" w14:paraId="4D56517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890057" w:rsidRPr="00A325A6" w:rsidP="00890057" w14:paraId="037F30CC" w14:textId="77777777">
      <w:pPr>
        <w:pStyle w:val="BodyTextIndent"/>
        <w:tabs>
          <w:tab w:val="clear" w:pos="0"/>
          <w:tab w:val="left" w:pos="810"/>
        </w:tabs>
        <w:ind w:left="0"/>
        <w:rPr>
          <w:rFonts w:ascii="Arial" w:hAnsi="Arial" w:cs="Arial"/>
        </w:rPr>
      </w:pPr>
      <w:r>
        <w:rPr>
          <w:rFonts w:ascii="Arial" w:hAnsi="Arial" w:cs="Arial"/>
        </w:rPr>
        <w:t xml:space="preserve">Table </w:t>
      </w:r>
      <w:r w:rsidR="00CB0A80">
        <w:rPr>
          <w:rFonts w:ascii="Arial" w:hAnsi="Arial" w:cs="Arial"/>
        </w:rPr>
        <w:t>4</w:t>
      </w:r>
    </w:p>
    <w:tbl>
      <w:tblPr>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1980"/>
        <w:gridCol w:w="1504"/>
        <w:gridCol w:w="1483"/>
      </w:tblGrid>
      <w:tr w14:paraId="6B3D5527" w14:textId="77777777">
        <w:tblPrEx>
          <w:tblW w:w="8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55"/>
          <w:tblHeader/>
          <w:jc w:val="center"/>
        </w:trPr>
        <w:tc>
          <w:tcPr>
            <w:tcW w:w="3708" w:type="dxa"/>
            <w:tcBorders>
              <w:top w:val="single" w:sz="4" w:space="0" w:color="auto"/>
              <w:left w:val="single" w:sz="4" w:space="0" w:color="auto"/>
              <w:bottom w:val="single" w:sz="4" w:space="0" w:color="auto"/>
              <w:right w:val="single" w:sz="4" w:space="0" w:color="auto"/>
            </w:tcBorders>
            <w:vAlign w:val="center"/>
          </w:tcPr>
          <w:p w:rsidR="00890057" w:rsidP="00B22415" w14:paraId="417FC64B" w14:textId="77777777">
            <w:pPr>
              <w:widowControl/>
              <w:autoSpaceDE/>
              <w:autoSpaceDN/>
              <w:adjustRightInd/>
              <w:jc w:val="center"/>
              <w:rPr>
                <w:rFonts w:ascii="Arial" w:hAnsi="Arial" w:cs="Arial"/>
                <w:b/>
                <w:bCs/>
                <w:sz w:val="20"/>
                <w:szCs w:val="20"/>
              </w:rPr>
            </w:pPr>
            <w:r>
              <w:rPr>
                <w:rFonts w:ascii="Arial" w:hAnsi="Arial" w:cs="Arial"/>
                <w:b/>
                <w:bCs/>
                <w:sz w:val="20"/>
                <w:szCs w:val="20"/>
              </w:rPr>
              <w:t>(a)</w:t>
            </w:r>
          </w:p>
          <w:p w:rsidR="00890057" w:rsidRPr="00145E6F" w:rsidP="00B22415" w14:paraId="5DE71053" w14:textId="77777777">
            <w:pPr>
              <w:widowControl/>
              <w:autoSpaceDE/>
              <w:autoSpaceDN/>
              <w:adjustRightInd/>
              <w:jc w:val="center"/>
              <w:rPr>
                <w:rFonts w:ascii="Arial" w:hAnsi="Arial" w:cs="Arial"/>
                <w:b/>
                <w:bCs/>
                <w:sz w:val="20"/>
                <w:szCs w:val="20"/>
              </w:rPr>
            </w:pPr>
            <w:r w:rsidRPr="00145E6F">
              <w:rPr>
                <w:rFonts w:ascii="Arial" w:hAnsi="Arial" w:cs="Arial"/>
                <w:b/>
                <w:bCs/>
                <w:sz w:val="20"/>
                <w:szCs w:val="20"/>
              </w:rPr>
              <w:t>Description of the Collection Activity</w:t>
            </w:r>
          </w:p>
        </w:tc>
        <w:tc>
          <w:tcPr>
            <w:tcW w:w="1980" w:type="dxa"/>
            <w:tcBorders>
              <w:top w:val="single" w:sz="4" w:space="0" w:color="auto"/>
              <w:left w:val="single" w:sz="4" w:space="0" w:color="auto"/>
              <w:bottom w:val="single" w:sz="4" w:space="0" w:color="auto"/>
              <w:right w:val="single" w:sz="4" w:space="0" w:color="auto"/>
            </w:tcBorders>
            <w:noWrap/>
            <w:vAlign w:val="center"/>
          </w:tcPr>
          <w:p w:rsidR="00890057" w:rsidP="00B22415" w14:paraId="046A1B45" w14:textId="77777777">
            <w:pPr>
              <w:widowControl/>
              <w:autoSpaceDE/>
              <w:autoSpaceDN/>
              <w:adjustRightInd/>
              <w:jc w:val="center"/>
              <w:rPr>
                <w:rFonts w:ascii="Arial" w:hAnsi="Arial" w:cs="Arial"/>
                <w:b/>
                <w:bCs/>
                <w:sz w:val="20"/>
                <w:szCs w:val="20"/>
              </w:rPr>
            </w:pPr>
            <w:r>
              <w:rPr>
                <w:rFonts w:ascii="Arial" w:hAnsi="Arial" w:cs="Arial"/>
                <w:b/>
                <w:bCs/>
                <w:sz w:val="20"/>
                <w:szCs w:val="20"/>
              </w:rPr>
              <w:t>(b)</w:t>
            </w:r>
          </w:p>
          <w:p w:rsidR="00890057" w:rsidRPr="00145E6F" w:rsidP="00B22415" w14:paraId="75A4D4BE"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Total Annual Burden on Respondents (Hours)</w:t>
            </w:r>
          </w:p>
        </w:tc>
        <w:tc>
          <w:tcPr>
            <w:tcW w:w="1504" w:type="dxa"/>
            <w:tcBorders>
              <w:top w:val="single" w:sz="4" w:space="0" w:color="auto"/>
              <w:left w:val="single" w:sz="4" w:space="0" w:color="auto"/>
              <w:bottom w:val="single" w:sz="4" w:space="0" w:color="auto"/>
              <w:right w:val="single" w:sz="4" w:space="0" w:color="auto"/>
            </w:tcBorders>
            <w:noWrap/>
            <w:vAlign w:val="center"/>
          </w:tcPr>
          <w:p w:rsidR="00890057" w:rsidP="00B22415" w14:paraId="4F828372" w14:textId="77777777">
            <w:pPr>
              <w:widowControl/>
              <w:autoSpaceDE/>
              <w:autoSpaceDN/>
              <w:adjustRightInd/>
              <w:jc w:val="center"/>
              <w:rPr>
                <w:rFonts w:ascii="Arial" w:hAnsi="Arial" w:cs="Arial"/>
                <w:b/>
                <w:bCs/>
                <w:sz w:val="20"/>
                <w:szCs w:val="20"/>
              </w:rPr>
            </w:pPr>
            <w:r>
              <w:rPr>
                <w:rFonts w:ascii="Arial" w:hAnsi="Arial" w:cs="Arial"/>
                <w:b/>
                <w:bCs/>
                <w:sz w:val="20"/>
                <w:szCs w:val="20"/>
              </w:rPr>
              <w:t>(c)</w:t>
            </w:r>
            <w:r w:rsidR="00C03E9F">
              <w:rPr>
                <w:rFonts w:ascii="Arial" w:hAnsi="Arial" w:cs="Arial"/>
                <w:b/>
                <w:bCs/>
                <w:sz w:val="20"/>
                <w:szCs w:val="20"/>
              </w:rPr>
              <w:t>*</w:t>
            </w:r>
          </w:p>
          <w:p w:rsidR="00890057" w:rsidRPr="00145E6F" w:rsidP="00B22415" w14:paraId="5CF98128"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Average Income per Hour</w:t>
            </w:r>
          </w:p>
        </w:tc>
        <w:tc>
          <w:tcPr>
            <w:tcW w:w="1483" w:type="dxa"/>
            <w:tcBorders>
              <w:top w:val="single" w:sz="4" w:space="0" w:color="auto"/>
              <w:left w:val="single" w:sz="4" w:space="0" w:color="auto"/>
              <w:bottom w:val="single" w:sz="4" w:space="0" w:color="auto"/>
              <w:right w:val="single" w:sz="4" w:space="0" w:color="auto"/>
            </w:tcBorders>
            <w:noWrap/>
            <w:vAlign w:val="center"/>
          </w:tcPr>
          <w:p w:rsidR="00890057" w:rsidP="00B22415" w14:paraId="6ADCC614" w14:textId="77777777">
            <w:pPr>
              <w:widowControl/>
              <w:autoSpaceDE/>
              <w:autoSpaceDN/>
              <w:adjustRightInd/>
              <w:jc w:val="center"/>
              <w:rPr>
                <w:rFonts w:ascii="Arial" w:hAnsi="Arial" w:cs="Arial"/>
                <w:b/>
                <w:bCs/>
                <w:sz w:val="20"/>
                <w:szCs w:val="20"/>
              </w:rPr>
            </w:pPr>
            <w:r>
              <w:rPr>
                <w:rFonts w:ascii="Arial" w:hAnsi="Arial" w:cs="Arial"/>
                <w:b/>
                <w:bCs/>
                <w:sz w:val="20"/>
                <w:szCs w:val="20"/>
              </w:rPr>
              <w:t>(d)</w:t>
            </w:r>
          </w:p>
          <w:p w:rsidR="00890057" w:rsidRPr="00145E6F" w:rsidP="00B22415" w14:paraId="32A7D258" w14:textId="77777777">
            <w:pPr>
              <w:widowControl/>
              <w:autoSpaceDE/>
              <w:autoSpaceDN/>
              <w:adjustRightInd/>
              <w:jc w:val="center"/>
              <w:rPr>
                <w:rFonts w:ascii="Arial" w:hAnsi="Arial" w:cs="Arial"/>
                <w:b/>
                <w:bCs/>
                <w:sz w:val="20"/>
                <w:szCs w:val="20"/>
              </w:rPr>
            </w:pPr>
            <w:r>
              <w:rPr>
                <w:rFonts w:ascii="Arial" w:hAnsi="Arial" w:cs="Arial"/>
                <w:b/>
                <w:bCs/>
                <w:sz w:val="20"/>
                <w:szCs w:val="20"/>
              </w:rPr>
              <w:t>Estimated Cost to Respondents</w:t>
            </w:r>
          </w:p>
        </w:tc>
      </w:tr>
      <w:tr w14:paraId="4B9143F5" w14:textId="77777777">
        <w:tblPrEx>
          <w:tblW w:w="8675"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3C5C89" w:rsidRPr="00145E6F" w:rsidP="003C5C89" w14:paraId="2AF8BB8B" w14:textId="77777777">
            <w:pPr>
              <w:widowControl/>
              <w:autoSpaceDE/>
              <w:autoSpaceDN/>
              <w:adjustRightInd/>
              <w:rPr>
                <w:rFonts w:ascii="Arial" w:hAnsi="Arial" w:cs="Arial"/>
                <w:sz w:val="20"/>
                <w:szCs w:val="20"/>
              </w:rPr>
            </w:pPr>
            <w:r w:rsidRPr="00B23968">
              <w:t>Section 228.104 –  Consideration of Requests to Waive, Except, or Modify Lease Stipulations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233F9F6F" w14:textId="77777777">
            <w:pPr>
              <w:widowControl/>
              <w:autoSpaceDE/>
              <w:autoSpaceDN/>
              <w:adjustRightInd/>
              <w:jc w:val="center"/>
              <w:rPr>
                <w:rFonts w:ascii="Arial" w:hAnsi="Arial" w:cs="Arial"/>
                <w:sz w:val="20"/>
                <w:szCs w:val="20"/>
              </w:rPr>
            </w:pPr>
            <w:r>
              <w:rPr>
                <w:rFonts w:ascii="Arial" w:hAnsi="Arial" w:cs="Arial"/>
                <w:sz w:val="18"/>
                <w:szCs w:val="18"/>
              </w:rPr>
              <w:t>0.5</w:t>
            </w:r>
          </w:p>
        </w:tc>
        <w:tc>
          <w:tcPr>
            <w:tcW w:w="1504"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5AD43A4B" w14:textId="77777777">
            <w:pPr>
              <w:widowControl/>
              <w:autoSpaceDE/>
              <w:autoSpaceDN/>
              <w:adjustRightInd/>
              <w:jc w:val="center"/>
              <w:rPr>
                <w:rFonts w:ascii="Arial" w:hAnsi="Arial" w:cs="Arial"/>
                <w:sz w:val="20"/>
                <w:szCs w:val="20"/>
              </w:rPr>
            </w:pPr>
            <w:r>
              <w:rPr>
                <w:rFonts w:ascii="Arial" w:hAnsi="Arial" w:cs="Arial"/>
                <w:sz w:val="20"/>
                <w:szCs w:val="20"/>
              </w:rPr>
              <w:t>$39.41</w:t>
            </w:r>
          </w:p>
        </w:tc>
        <w:tc>
          <w:tcPr>
            <w:tcW w:w="1483" w:type="dxa"/>
            <w:tcBorders>
              <w:top w:val="single" w:sz="4" w:space="0" w:color="auto"/>
              <w:left w:val="single" w:sz="4" w:space="0" w:color="auto"/>
              <w:bottom w:val="single" w:sz="4" w:space="0" w:color="auto"/>
              <w:right w:val="single" w:sz="4" w:space="0" w:color="auto"/>
            </w:tcBorders>
            <w:noWrap/>
            <w:vAlign w:val="center"/>
          </w:tcPr>
          <w:p w:rsidR="003C5C89" w:rsidRPr="00C230FB" w:rsidP="003C5C89" w14:paraId="1ACD2857" w14:textId="77777777">
            <w:pPr>
              <w:widowControl/>
              <w:autoSpaceDE/>
              <w:autoSpaceDN/>
              <w:adjustRightInd/>
              <w:jc w:val="center"/>
              <w:rPr>
                <w:rFonts w:ascii="Arial" w:hAnsi="Arial" w:cs="Arial"/>
                <w:sz w:val="20"/>
                <w:szCs w:val="20"/>
              </w:rPr>
            </w:pPr>
            <w:r>
              <w:rPr>
                <w:rFonts w:ascii="Arial" w:hAnsi="Arial" w:cs="Arial"/>
                <w:sz w:val="20"/>
                <w:szCs w:val="20"/>
              </w:rPr>
              <w:t>$</w:t>
            </w:r>
            <w:r w:rsidR="00C465CE">
              <w:rPr>
                <w:rFonts w:ascii="Arial" w:hAnsi="Arial" w:cs="Arial"/>
                <w:sz w:val="20"/>
                <w:szCs w:val="20"/>
              </w:rPr>
              <w:t>19.71</w:t>
            </w:r>
          </w:p>
        </w:tc>
      </w:tr>
      <w:tr w14:paraId="0CDC69DA" w14:textId="77777777" w:rsidTr="00BA6A7E">
        <w:tblPrEx>
          <w:tblW w:w="8675"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tcPr>
          <w:p w:rsidR="003C5C89" w:rsidRPr="00145E6F" w:rsidP="003C5C89" w14:paraId="1EE8EA3E" w14:textId="77777777">
            <w:pPr>
              <w:widowControl/>
              <w:autoSpaceDE/>
              <w:autoSpaceDN/>
              <w:adjustRightInd/>
              <w:rPr>
                <w:rFonts w:ascii="Arial" w:hAnsi="Arial" w:cs="Arial"/>
                <w:sz w:val="20"/>
                <w:szCs w:val="20"/>
              </w:rPr>
            </w:pPr>
            <w:r>
              <w:t>Section 228.109(e</w:t>
            </w:r>
            <w:r w:rsidRPr="00316923">
              <w:t xml:space="preserve">) </w:t>
            </w:r>
            <w:r>
              <w:t>Bond Release</w:t>
            </w:r>
          </w:p>
        </w:tc>
        <w:tc>
          <w:tcPr>
            <w:tcW w:w="1980"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686F1700" w14:textId="77777777">
            <w:pPr>
              <w:widowControl/>
              <w:autoSpaceDE/>
              <w:autoSpaceDN/>
              <w:adjustRightInd/>
              <w:jc w:val="center"/>
              <w:rPr>
                <w:rFonts w:ascii="Arial" w:hAnsi="Arial" w:cs="Arial"/>
                <w:sz w:val="20"/>
                <w:szCs w:val="20"/>
              </w:rPr>
            </w:pPr>
            <w:r>
              <w:rPr>
                <w:rFonts w:ascii="Arial" w:hAnsi="Arial" w:cs="Arial"/>
                <w:sz w:val="18"/>
                <w:szCs w:val="18"/>
              </w:rPr>
              <w:t>15</w:t>
            </w:r>
          </w:p>
        </w:tc>
        <w:tc>
          <w:tcPr>
            <w:tcW w:w="1504"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08D249F9" w14:textId="77777777">
            <w:pPr>
              <w:widowControl/>
              <w:autoSpaceDE/>
              <w:autoSpaceDN/>
              <w:adjustRightInd/>
              <w:jc w:val="center"/>
              <w:rPr>
                <w:rFonts w:ascii="Arial" w:hAnsi="Arial" w:cs="Arial"/>
                <w:sz w:val="20"/>
                <w:szCs w:val="20"/>
              </w:rPr>
            </w:pPr>
            <w:r>
              <w:rPr>
                <w:rFonts w:ascii="Arial" w:hAnsi="Arial" w:cs="Arial"/>
                <w:sz w:val="20"/>
                <w:szCs w:val="20"/>
              </w:rPr>
              <w:t>$39.41</w:t>
            </w:r>
          </w:p>
        </w:tc>
        <w:tc>
          <w:tcPr>
            <w:tcW w:w="1483" w:type="dxa"/>
            <w:tcBorders>
              <w:top w:val="single" w:sz="4" w:space="0" w:color="auto"/>
              <w:left w:val="single" w:sz="4" w:space="0" w:color="auto"/>
              <w:bottom w:val="single" w:sz="4" w:space="0" w:color="auto"/>
              <w:right w:val="single" w:sz="4" w:space="0" w:color="auto"/>
            </w:tcBorders>
            <w:noWrap/>
            <w:vAlign w:val="center"/>
          </w:tcPr>
          <w:p w:rsidR="003C5C89" w:rsidRPr="00C230FB" w:rsidP="003C5C89" w14:paraId="066C8950" w14:textId="77777777">
            <w:pPr>
              <w:widowControl/>
              <w:autoSpaceDE/>
              <w:autoSpaceDN/>
              <w:adjustRightInd/>
              <w:jc w:val="center"/>
              <w:rPr>
                <w:rFonts w:ascii="Arial" w:hAnsi="Arial" w:cs="Arial"/>
                <w:sz w:val="20"/>
                <w:szCs w:val="20"/>
              </w:rPr>
            </w:pPr>
            <w:r>
              <w:rPr>
                <w:rFonts w:ascii="Arial" w:hAnsi="Arial" w:cs="Arial"/>
                <w:sz w:val="20"/>
                <w:szCs w:val="20"/>
              </w:rPr>
              <w:t>$591</w:t>
            </w:r>
            <w:r w:rsidR="00C465CE">
              <w:rPr>
                <w:rFonts w:ascii="Arial" w:hAnsi="Arial" w:cs="Arial"/>
                <w:sz w:val="20"/>
                <w:szCs w:val="20"/>
              </w:rPr>
              <w:t>.15</w:t>
            </w:r>
          </w:p>
        </w:tc>
      </w:tr>
      <w:tr w14:paraId="6987C23F" w14:textId="77777777">
        <w:tblPrEx>
          <w:tblW w:w="8675"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3C5C89" w:rsidRPr="00145E6F" w:rsidP="003C5C89" w14:paraId="7ED594FA" w14:textId="77777777">
            <w:pPr>
              <w:widowControl/>
              <w:autoSpaceDE/>
              <w:autoSpaceDN/>
              <w:adjustRightInd/>
              <w:rPr>
                <w:rFonts w:ascii="Arial" w:hAnsi="Arial" w:cs="Arial"/>
                <w:sz w:val="20"/>
                <w:szCs w:val="20"/>
              </w:rPr>
            </w:pPr>
            <w:r w:rsidRPr="00316923">
              <w:t>Section 228.11</w:t>
            </w:r>
            <w:r w:rsidR="00C465CE">
              <w:t>0</w:t>
            </w:r>
            <w:r w:rsidRPr="00316923">
              <w:t>(a) Notice of Te</w:t>
            </w:r>
            <w:r>
              <w:t>mporary Cessation of Operations</w:t>
            </w:r>
          </w:p>
        </w:tc>
        <w:tc>
          <w:tcPr>
            <w:tcW w:w="1980"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62C13148" w14:textId="77777777">
            <w:pPr>
              <w:widowControl/>
              <w:autoSpaceDE/>
              <w:autoSpaceDN/>
              <w:adjustRightInd/>
              <w:jc w:val="center"/>
              <w:rPr>
                <w:rFonts w:ascii="Arial" w:hAnsi="Arial" w:cs="Arial"/>
                <w:sz w:val="20"/>
                <w:szCs w:val="20"/>
              </w:rPr>
            </w:pPr>
            <w:r>
              <w:rPr>
                <w:rFonts w:ascii="Arial" w:hAnsi="Arial" w:cs="Arial"/>
                <w:sz w:val="18"/>
                <w:szCs w:val="18"/>
              </w:rPr>
              <w:t>11.5</w:t>
            </w:r>
          </w:p>
        </w:tc>
        <w:tc>
          <w:tcPr>
            <w:tcW w:w="1504"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288C77BE" w14:textId="77777777">
            <w:pPr>
              <w:widowControl/>
              <w:autoSpaceDE/>
              <w:autoSpaceDN/>
              <w:adjustRightInd/>
              <w:jc w:val="center"/>
              <w:rPr>
                <w:rFonts w:ascii="Arial" w:hAnsi="Arial" w:cs="Arial"/>
                <w:sz w:val="20"/>
                <w:szCs w:val="20"/>
              </w:rPr>
            </w:pPr>
            <w:r>
              <w:rPr>
                <w:rFonts w:ascii="Arial" w:hAnsi="Arial" w:cs="Arial"/>
                <w:sz w:val="20"/>
                <w:szCs w:val="20"/>
              </w:rPr>
              <w:t>$39.41</w:t>
            </w:r>
          </w:p>
        </w:tc>
        <w:tc>
          <w:tcPr>
            <w:tcW w:w="1483" w:type="dxa"/>
            <w:tcBorders>
              <w:top w:val="single" w:sz="4" w:space="0" w:color="auto"/>
              <w:left w:val="single" w:sz="4" w:space="0" w:color="auto"/>
              <w:bottom w:val="single" w:sz="4" w:space="0" w:color="auto"/>
              <w:right w:val="single" w:sz="4" w:space="0" w:color="auto"/>
            </w:tcBorders>
            <w:noWrap/>
            <w:vAlign w:val="center"/>
          </w:tcPr>
          <w:p w:rsidR="003C5C89" w:rsidRPr="00C230FB" w:rsidP="003C5C89" w14:paraId="2FDA6CAC" w14:textId="77777777">
            <w:pPr>
              <w:widowControl/>
              <w:autoSpaceDE/>
              <w:autoSpaceDN/>
              <w:adjustRightInd/>
              <w:jc w:val="center"/>
              <w:rPr>
                <w:rFonts w:ascii="Arial" w:hAnsi="Arial" w:cs="Arial"/>
                <w:sz w:val="20"/>
                <w:szCs w:val="20"/>
              </w:rPr>
            </w:pPr>
            <w:r>
              <w:rPr>
                <w:rFonts w:ascii="Arial" w:hAnsi="Arial" w:cs="Arial"/>
                <w:sz w:val="20"/>
                <w:szCs w:val="20"/>
              </w:rPr>
              <w:t>$453</w:t>
            </w:r>
            <w:r w:rsidR="00C465CE">
              <w:rPr>
                <w:rFonts w:ascii="Arial" w:hAnsi="Arial" w:cs="Arial"/>
                <w:sz w:val="20"/>
                <w:szCs w:val="20"/>
              </w:rPr>
              <w:t>.22</w:t>
            </w:r>
          </w:p>
        </w:tc>
      </w:tr>
      <w:tr w14:paraId="3E56EE67" w14:textId="77777777">
        <w:tblPrEx>
          <w:tblW w:w="8675"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3C5C89" w:rsidRPr="00145E6F" w:rsidP="003C5C89" w14:paraId="1833DAD5" w14:textId="77777777">
            <w:pPr>
              <w:widowControl/>
              <w:autoSpaceDE/>
              <w:autoSpaceDN/>
              <w:adjustRightInd/>
              <w:rPr>
                <w:rFonts w:ascii="Arial" w:hAnsi="Arial" w:cs="Arial"/>
                <w:sz w:val="20"/>
                <w:szCs w:val="20"/>
              </w:rPr>
            </w:pPr>
            <w:r>
              <w:t>Section 228.112(c)</w:t>
            </w:r>
            <w:r w:rsidRPr="00316923">
              <w:t xml:space="preserve"> Extension of Deadl</w:t>
            </w:r>
            <w:r>
              <w:t>ine in Notice of Noncompliance</w:t>
            </w:r>
          </w:p>
        </w:tc>
        <w:tc>
          <w:tcPr>
            <w:tcW w:w="1980"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185EDF18" w14:textId="77777777">
            <w:pPr>
              <w:widowControl/>
              <w:autoSpaceDE/>
              <w:autoSpaceDN/>
              <w:adjustRightInd/>
              <w:jc w:val="center"/>
              <w:rPr>
                <w:rFonts w:ascii="Arial" w:hAnsi="Arial" w:cs="Arial"/>
                <w:sz w:val="20"/>
                <w:szCs w:val="20"/>
              </w:rPr>
            </w:pPr>
            <w:r>
              <w:rPr>
                <w:rFonts w:ascii="Arial" w:hAnsi="Arial" w:cs="Arial"/>
                <w:sz w:val="18"/>
                <w:szCs w:val="18"/>
              </w:rPr>
              <w:t>2.5</w:t>
            </w:r>
          </w:p>
        </w:tc>
        <w:tc>
          <w:tcPr>
            <w:tcW w:w="1504"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0AA15AA9" w14:textId="77777777">
            <w:pPr>
              <w:widowControl/>
              <w:autoSpaceDE/>
              <w:autoSpaceDN/>
              <w:adjustRightInd/>
              <w:jc w:val="center"/>
              <w:rPr>
                <w:rFonts w:ascii="Arial" w:hAnsi="Arial" w:cs="Arial"/>
                <w:sz w:val="20"/>
                <w:szCs w:val="20"/>
              </w:rPr>
            </w:pPr>
            <w:r>
              <w:rPr>
                <w:rFonts w:ascii="Arial" w:hAnsi="Arial" w:cs="Arial"/>
                <w:sz w:val="20"/>
                <w:szCs w:val="20"/>
              </w:rPr>
              <w:t>$39.41</w:t>
            </w:r>
          </w:p>
        </w:tc>
        <w:tc>
          <w:tcPr>
            <w:tcW w:w="1483" w:type="dxa"/>
            <w:tcBorders>
              <w:top w:val="single" w:sz="4" w:space="0" w:color="auto"/>
              <w:left w:val="single" w:sz="4" w:space="0" w:color="auto"/>
              <w:bottom w:val="single" w:sz="4" w:space="0" w:color="auto"/>
              <w:right w:val="single" w:sz="4" w:space="0" w:color="auto"/>
            </w:tcBorders>
            <w:noWrap/>
            <w:vAlign w:val="center"/>
          </w:tcPr>
          <w:p w:rsidR="003C5C89" w:rsidRPr="00C230FB" w:rsidP="003C5C89" w14:paraId="6B1FCF0C" w14:textId="77777777">
            <w:pPr>
              <w:widowControl/>
              <w:autoSpaceDE/>
              <w:autoSpaceDN/>
              <w:adjustRightInd/>
              <w:jc w:val="center"/>
              <w:rPr>
                <w:rFonts w:ascii="Arial" w:hAnsi="Arial" w:cs="Arial"/>
                <w:sz w:val="20"/>
                <w:szCs w:val="20"/>
              </w:rPr>
            </w:pPr>
            <w:r>
              <w:rPr>
                <w:rFonts w:ascii="Arial" w:hAnsi="Arial" w:cs="Arial"/>
                <w:sz w:val="20"/>
                <w:szCs w:val="20"/>
              </w:rPr>
              <w:t>$9</w:t>
            </w:r>
            <w:r w:rsidR="00C465CE">
              <w:rPr>
                <w:rFonts w:ascii="Arial" w:hAnsi="Arial" w:cs="Arial"/>
                <w:sz w:val="20"/>
                <w:szCs w:val="20"/>
              </w:rPr>
              <w:t>8.53</w:t>
            </w:r>
          </w:p>
        </w:tc>
      </w:tr>
      <w:tr w14:paraId="053C227C" w14:textId="77777777">
        <w:tblPrEx>
          <w:tblW w:w="8675"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vAlign w:val="center"/>
          </w:tcPr>
          <w:p w:rsidR="003C5C89" w:rsidRPr="00145E6F" w:rsidP="003C5C89" w14:paraId="2804C6C0" w14:textId="77777777">
            <w:pPr>
              <w:widowControl/>
              <w:autoSpaceDE/>
              <w:autoSpaceDN/>
              <w:adjustRightInd/>
              <w:rPr>
                <w:rFonts w:ascii="Arial" w:hAnsi="Arial" w:cs="Arial"/>
                <w:sz w:val="20"/>
                <w:szCs w:val="20"/>
              </w:rPr>
            </w:pPr>
            <w:r>
              <w:t>Section 228.113 (b</w:t>
            </w:r>
            <w:r w:rsidRPr="00316923">
              <w:t>)</w:t>
            </w:r>
            <w:r>
              <w:t>(2) – Response to a Referral of Material Noncompliance</w:t>
            </w:r>
          </w:p>
        </w:tc>
        <w:tc>
          <w:tcPr>
            <w:tcW w:w="1980"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5A498BB7" w14:textId="77777777">
            <w:pPr>
              <w:widowControl/>
              <w:autoSpaceDE/>
              <w:autoSpaceDN/>
              <w:adjustRightInd/>
              <w:jc w:val="center"/>
              <w:rPr>
                <w:rFonts w:ascii="Arial" w:hAnsi="Arial" w:cs="Arial"/>
                <w:sz w:val="20"/>
                <w:szCs w:val="20"/>
              </w:rPr>
            </w:pPr>
            <w:r>
              <w:rPr>
                <w:rFonts w:ascii="Arial" w:hAnsi="Arial" w:cs="Arial"/>
                <w:sz w:val="18"/>
                <w:szCs w:val="18"/>
              </w:rPr>
              <w:t>2</w:t>
            </w:r>
          </w:p>
        </w:tc>
        <w:tc>
          <w:tcPr>
            <w:tcW w:w="1504"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5281CEC2" w14:textId="77777777">
            <w:pPr>
              <w:widowControl/>
              <w:autoSpaceDE/>
              <w:autoSpaceDN/>
              <w:adjustRightInd/>
              <w:jc w:val="center"/>
              <w:rPr>
                <w:rFonts w:ascii="Arial" w:hAnsi="Arial" w:cs="Arial"/>
                <w:sz w:val="20"/>
                <w:szCs w:val="20"/>
              </w:rPr>
            </w:pPr>
            <w:r>
              <w:rPr>
                <w:rFonts w:ascii="Arial" w:hAnsi="Arial" w:cs="Arial"/>
                <w:sz w:val="20"/>
                <w:szCs w:val="20"/>
              </w:rPr>
              <w:t>$39.41</w:t>
            </w:r>
          </w:p>
        </w:tc>
        <w:tc>
          <w:tcPr>
            <w:tcW w:w="1483" w:type="dxa"/>
            <w:tcBorders>
              <w:top w:val="single" w:sz="4" w:space="0" w:color="auto"/>
              <w:left w:val="single" w:sz="4" w:space="0" w:color="auto"/>
              <w:bottom w:val="single" w:sz="4" w:space="0" w:color="auto"/>
              <w:right w:val="single" w:sz="4" w:space="0" w:color="auto"/>
            </w:tcBorders>
            <w:noWrap/>
            <w:vAlign w:val="center"/>
          </w:tcPr>
          <w:p w:rsidR="003C5C89" w:rsidRPr="00C230FB" w:rsidP="003C5C89" w14:paraId="58E5DC2A" w14:textId="77777777">
            <w:pPr>
              <w:widowControl/>
              <w:autoSpaceDE/>
              <w:autoSpaceDN/>
              <w:adjustRightInd/>
              <w:jc w:val="center"/>
              <w:rPr>
                <w:rFonts w:ascii="Arial" w:hAnsi="Arial" w:cs="Arial"/>
                <w:sz w:val="20"/>
                <w:szCs w:val="20"/>
              </w:rPr>
            </w:pPr>
            <w:r>
              <w:rPr>
                <w:rFonts w:ascii="Arial" w:hAnsi="Arial" w:cs="Arial"/>
                <w:sz w:val="20"/>
                <w:szCs w:val="20"/>
              </w:rPr>
              <w:t>$7</w:t>
            </w:r>
            <w:r w:rsidR="00C465CE">
              <w:rPr>
                <w:rFonts w:ascii="Arial" w:hAnsi="Arial" w:cs="Arial"/>
                <w:sz w:val="20"/>
                <w:szCs w:val="20"/>
              </w:rPr>
              <w:t>8.82</w:t>
            </w:r>
          </w:p>
        </w:tc>
      </w:tr>
      <w:tr w14:paraId="557A1134" w14:textId="77777777">
        <w:tblPrEx>
          <w:tblW w:w="8675" w:type="dxa"/>
          <w:jc w:val="center"/>
          <w:tblLook w:val="0000"/>
        </w:tblPrEx>
        <w:trPr>
          <w:trHeight w:val="255"/>
          <w:jc w:val="center"/>
        </w:trPr>
        <w:tc>
          <w:tcPr>
            <w:tcW w:w="3708" w:type="dxa"/>
            <w:tcBorders>
              <w:top w:val="single" w:sz="4" w:space="0" w:color="auto"/>
              <w:left w:val="single" w:sz="4" w:space="0" w:color="auto"/>
              <w:bottom w:val="single" w:sz="4" w:space="0" w:color="auto"/>
              <w:right w:val="single" w:sz="4" w:space="0" w:color="auto"/>
            </w:tcBorders>
            <w:noWrap/>
            <w:vAlign w:val="center"/>
          </w:tcPr>
          <w:p w:rsidR="003C5C89" w:rsidRPr="00145E6F" w:rsidP="003C5C89" w14:paraId="6F039FBF" w14:textId="77777777">
            <w:pPr>
              <w:widowControl/>
              <w:autoSpaceDE/>
              <w:autoSpaceDN/>
              <w:adjustRightInd/>
              <w:rPr>
                <w:rFonts w:ascii="Arial" w:hAnsi="Arial" w:cs="Arial"/>
                <w:sz w:val="20"/>
                <w:szCs w:val="20"/>
              </w:rPr>
            </w:pPr>
            <w:r>
              <w:rPr>
                <w:rFonts w:ascii="Arial" w:hAnsi="Arial" w:cs="Arial"/>
                <w:sz w:val="20"/>
                <w:szCs w:val="20"/>
              </w:rPr>
              <w:t>Totals</w:t>
            </w:r>
          </w:p>
        </w:tc>
        <w:tc>
          <w:tcPr>
            <w:tcW w:w="1980" w:type="dxa"/>
            <w:tcBorders>
              <w:top w:val="single" w:sz="4" w:space="0" w:color="auto"/>
              <w:left w:val="single" w:sz="4" w:space="0" w:color="auto"/>
              <w:bottom w:val="single" w:sz="4" w:space="0" w:color="auto"/>
              <w:right w:val="single" w:sz="4" w:space="0" w:color="auto"/>
            </w:tcBorders>
            <w:noWrap/>
            <w:vAlign w:val="center"/>
          </w:tcPr>
          <w:p w:rsidR="003C5C89" w:rsidRPr="00C465CE" w:rsidP="003C5C89" w14:paraId="79146522" w14:textId="77777777">
            <w:pPr>
              <w:widowControl/>
              <w:autoSpaceDE/>
              <w:autoSpaceDN/>
              <w:adjustRightInd/>
              <w:jc w:val="center"/>
              <w:rPr>
                <w:rFonts w:ascii="Arial" w:hAnsi="Arial" w:cs="Arial"/>
                <w:sz w:val="20"/>
                <w:szCs w:val="20"/>
              </w:rPr>
            </w:pPr>
            <w:r w:rsidRPr="00C465CE">
              <w:rPr>
                <w:rFonts w:ascii="Arial" w:hAnsi="Arial" w:cs="Arial"/>
                <w:sz w:val="18"/>
                <w:szCs w:val="18"/>
              </w:rPr>
              <w:t>3</w:t>
            </w:r>
            <w:r w:rsidRPr="00C465CE" w:rsidR="008436D8">
              <w:rPr>
                <w:rFonts w:ascii="Arial" w:hAnsi="Arial" w:cs="Arial"/>
                <w:sz w:val="18"/>
                <w:szCs w:val="18"/>
              </w:rPr>
              <w:t>1.5</w:t>
            </w:r>
          </w:p>
        </w:tc>
        <w:tc>
          <w:tcPr>
            <w:tcW w:w="1504" w:type="dxa"/>
            <w:tcBorders>
              <w:top w:val="single" w:sz="4" w:space="0" w:color="auto"/>
              <w:left w:val="single" w:sz="4" w:space="0" w:color="auto"/>
              <w:bottom w:val="single" w:sz="4" w:space="0" w:color="auto"/>
              <w:right w:val="single" w:sz="4" w:space="0" w:color="auto"/>
            </w:tcBorders>
            <w:noWrap/>
            <w:vAlign w:val="center"/>
          </w:tcPr>
          <w:p w:rsidR="003C5C89" w:rsidRPr="00C465CE" w:rsidP="003C5C89" w14:paraId="1E78C835" w14:textId="77777777">
            <w:pPr>
              <w:widowControl/>
              <w:autoSpaceDE/>
              <w:autoSpaceDN/>
              <w:adjustRightInd/>
              <w:jc w:val="center"/>
              <w:rPr>
                <w:rFonts w:ascii="Arial" w:hAnsi="Arial" w:cs="Arial"/>
                <w:sz w:val="20"/>
                <w:szCs w:val="20"/>
              </w:rPr>
            </w:pPr>
            <w:r w:rsidRPr="00C465CE">
              <w:rPr>
                <w:rFonts w:ascii="Arial" w:hAnsi="Arial" w:cs="Arial"/>
                <w:sz w:val="20"/>
                <w:szCs w:val="20"/>
              </w:rPr>
              <w:t>---</w:t>
            </w:r>
          </w:p>
        </w:tc>
        <w:tc>
          <w:tcPr>
            <w:tcW w:w="1483" w:type="dxa"/>
            <w:tcBorders>
              <w:top w:val="single" w:sz="4" w:space="0" w:color="auto"/>
              <w:left w:val="single" w:sz="4" w:space="0" w:color="auto"/>
              <w:bottom w:val="single" w:sz="4" w:space="0" w:color="auto"/>
              <w:right w:val="single" w:sz="4" w:space="0" w:color="auto"/>
            </w:tcBorders>
            <w:noWrap/>
            <w:vAlign w:val="center"/>
          </w:tcPr>
          <w:p w:rsidR="003C5C89" w:rsidRPr="00C465CE" w:rsidP="003C5C89" w14:paraId="1AA560AA" w14:textId="77777777">
            <w:pPr>
              <w:widowControl/>
              <w:autoSpaceDE/>
              <w:autoSpaceDN/>
              <w:adjustRightInd/>
              <w:jc w:val="center"/>
              <w:rPr>
                <w:rFonts w:ascii="Arial" w:hAnsi="Arial" w:cs="Arial"/>
                <w:sz w:val="20"/>
                <w:szCs w:val="20"/>
              </w:rPr>
            </w:pPr>
            <w:r w:rsidRPr="00C465CE">
              <w:rPr>
                <w:rFonts w:ascii="Arial" w:hAnsi="Arial" w:cs="Arial"/>
                <w:sz w:val="20"/>
                <w:szCs w:val="20"/>
              </w:rPr>
              <w:t>$1,</w:t>
            </w:r>
            <w:r w:rsidRPr="00C465CE" w:rsidR="008436D8">
              <w:rPr>
                <w:rFonts w:ascii="Arial" w:hAnsi="Arial" w:cs="Arial"/>
                <w:sz w:val="20"/>
                <w:szCs w:val="20"/>
              </w:rPr>
              <w:t>24</w:t>
            </w:r>
            <w:r w:rsidRPr="00C465CE" w:rsidR="00C465CE">
              <w:rPr>
                <w:rFonts w:ascii="Arial" w:hAnsi="Arial" w:cs="Arial"/>
                <w:sz w:val="20"/>
                <w:szCs w:val="20"/>
              </w:rPr>
              <w:t>1.4</w:t>
            </w:r>
            <w:r w:rsidRPr="00C465CE" w:rsidR="008436D8">
              <w:rPr>
                <w:rFonts w:ascii="Arial" w:hAnsi="Arial" w:cs="Arial"/>
                <w:sz w:val="20"/>
                <w:szCs w:val="20"/>
              </w:rPr>
              <w:t>2</w:t>
            </w:r>
          </w:p>
        </w:tc>
      </w:tr>
    </w:tbl>
    <w:p w:rsidR="00C37CD8" w:rsidRPr="00C03E9F" w:rsidP="00504B59" w14:paraId="46F2E19D"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6"/>
          <w:szCs w:val="6"/>
        </w:rPr>
      </w:pPr>
    </w:p>
    <w:p w:rsidR="00955F99" w:rsidRPr="00705576" w:rsidP="00507743" w14:paraId="6EC62930"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sz w:val="22"/>
          <w:szCs w:val="22"/>
        </w:rPr>
      </w:pPr>
      <w:r>
        <w:rPr>
          <w:rFonts w:ascii="Tahoma" w:hAnsi="Tahoma" w:cs="Tahoma"/>
          <w:b/>
          <w:bCs/>
          <w:sz w:val="22"/>
          <w:szCs w:val="22"/>
        </w:rPr>
        <w:t>*</w:t>
      </w:r>
      <w:r w:rsidR="00705576">
        <w:rPr>
          <w:sz w:val="22"/>
          <w:szCs w:val="22"/>
        </w:rPr>
        <w:t xml:space="preserve">Wage estimates derived from U.S. Bureau of Labor Statistic National employment and wage data from the Occupational Employment and Wage Statistics survey by occupation, May 2022. </w:t>
      </w:r>
      <w:bookmarkStart w:id="2" w:name="_Hlk146543857"/>
      <w:r w:rsidR="00705576">
        <w:rPr>
          <w:sz w:val="22"/>
          <w:szCs w:val="22"/>
        </w:rPr>
        <w:t>We estimate that 80% of all response work would be performed by engineering technicians at $32.10/hour and 20% by petroleum engineers at $68.66/hour for a weighted figure of $39.41/hour</w:t>
      </w:r>
      <w:bookmarkEnd w:id="2"/>
    </w:p>
    <w:p w:rsidR="00955F99" w:rsidP="00507743" w14:paraId="4326F885"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b/>
          <w:bCs/>
          <w:sz w:val="22"/>
          <w:szCs w:val="22"/>
        </w:rPr>
      </w:pPr>
    </w:p>
    <w:p w:rsidR="00C37CD8" w:rsidRPr="00292B41" w:rsidP="00292B41" w14:paraId="4918D750" w14:textId="77777777">
      <w:pPr>
        <w:numPr>
          <w:ilvl w:val="0"/>
          <w:numId w:val="10"/>
        </w:numPr>
        <w:spacing w:after="80"/>
        <w:jc w:val="both"/>
        <w:rPr>
          <w:rFonts w:ascii="Tahoma" w:hAnsi="Tahoma" w:cs="Tahoma"/>
          <w:b/>
          <w:bCs/>
          <w:sz w:val="22"/>
          <w:szCs w:val="22"/>
        </w:rPr>
      </w:pPr>
      <w:r w:rsidRPr="00292B41">
        <w:rPr>
          <w:rFonts w:ascii="Tahoma" w:hAnsi="Tahoma" w:cs="Tahoma"/>
          <w:b/>
          <w:bCs/>
          <w:sz w:val="22"/>
          <w:szCs w:val="22"/>
        </w:rPr>
        <w:t>Provide estimates of t</w:t>
      </w:r>
      <w:r w:rsidRPr="00292B41" w:rsidR="00EC10FF">
        <w:rPr>
          <w:rFonts w:ascii="Tahoma" w:hAnsi="Tahoma" w:cs="Tahoma"/>
          <w:b/>
          <w:bCs/>
          <w:sz w:val="22"/>
          <w:szCs w:val="22"/>
        </w:rPr>
        <w:t xml:space="preserve">he total annual cost burden to </w:t>
      </w:r>
      <w:r w:rsidRPr="00292B41">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Pr="00A325A6" w:rsidP="00197F9A" w14:paraId="5908F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rPr>
      </w:pPr>
      <w:r w:rsidRPr="00A325A6">
        <w:rPr>
          <w:rFonts w:ascii="Arial" w:hAnsi="Arial" w:cs="Arial"/>
        </w:rPr>
        <w:t>There are no capital operation and maintenance costs.</w:t>
      </w:r>
    </w:p>
    <w:p w:rsidR="00C37CD8" w:rsidRPr="000D53A4" w:rsidP="00292B41" w14:paraId="493D452E" w14:textId="77777777">
      <w:pPr>
        <w:numPr>
          <w:ilvl w:val="0"/>
          <w:numId w:val="27"/>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D53A4">
        <w:rPr>
          <w:rFonts w:ascii="Tahoma" w:hAnsi="Tahoma" w:cs="Tahoma"/>
          <w:b/>
          <w:bCs/>
          <w:sz w:val="22"/>
          <w:szCs w:val="22"/>
        </w:rPr>
        <w:t>Provide estimates of annualized cost to the Federal government</w:t>
      </w:r>
      <w:r w:rsidRPr="000D53A4">
        <w:rPr>
          <w:rFonts w:ascii="Tahoma" w:hAnsi="Tahoma" w:cs="Tahoma"/>
          <w:b/>
          <w:sz w:val="22"/>
          <w:szCs w:val="22"/>
        </w:rPr>
        <w:t xml:space="preserve">. </w:t>
      </w:r>
      <w:r w:rsidRPr="000D53A4">
        <w:rPr>
          <w:rFonts w:ascii="Tahoma" w:hAnsi="Tahoma" w:cs="Tahoma"/>
          <w:b/>
          <w:bCs/>
          <w:sz w:val="22"/>
          <w:szCs w:val="22"/>
        </w:rPr>
        <w:t>Provide a description of the method used to estimate cost and any other expense that would not have been incurred without this collection of information.</w:t>
      </w:r>
    </w:p>
    <w:p w:rsidR="00C37CD8" w:rsidRPr="000D53A4" w:rsidP="00197F9A" w14:paraId="4E93E474"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0D53A4">
        <w:rPr>
          <w:rFonts w:ascii="Tahoma" w:hAnsi="Tahoma" w:cs="Tahoma"/>
          <w:b/>
          <w:sz w:val="22"/>
          <w:szCs w:val="22"/>
        </w:rPr>
        <w:t xml:space="preserve">The response to this question covers the </w:t>
      </w:r>
      <w:r w:rsidRPr="000D53A4">
        <w:rPr>
          <w:rFonts w:ascii="Tahoma" w:hAnsi="Tahoma" w:cs="Tahoma"/>
          <w:b/>
          <w:bCs/>
          <w:sz w:val="22"/>
          <w:szCs w:val="22"/>
        </w:rPr>
        <w:t>actual</w:t>
      </w:r>
      <w:r w:rsidRPr="000D53A4">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00C37CD8" w:rsidRPr="000D53A4" w:rsidP="00197F9A" w14:paraId="1AB021D1"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Pr>
          <w:rFonts w:ascii="Tahoma" w:hAnsi="Tahoma" w:cs="Tahoma"/>
          <w:b/>
          <w:sz w:val="22"/>
          <w:szCs w:val="22"/>
        </w:rPr>
        <w:t>mployee labor and materials for developing, printing, storing forms</w:t>
      </w:r>
    </w:p>
    <w:p w:rsidR="00C37CD8" w:rsidRPr="000D53A4" w:rsidP="00197F9A" w14:paraId="720E0313"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Pr>
          <w:rFonts w:ascii="Tahoma" w:hAnsi="Tahoma" w:cs="Tahoma"/>
          <w:b/>
          <w:sz w:val="22"/>
          <w:szCs w:val="22"/>
        </w:rPr>
        <w:t>mployee labor and materials for developing computer systems, screens, or reports to support the collection</w:t>
      </w:r>
    </w:p>
    <w:p w:rsidR="00C37CD8" w:rsidRPr="000D53A4" w:rsidP="00197F9A" w14:paraId="1E98D9EE"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Pr>
          <w:rFonts w:ascii="Tahoma" w:hAnsi="Tahoma" w:cs="Tahoma"/>
          <w:b/>
          <w:sz w:val="22"/>
          <w:szCs w:val="22"/>
        </w:rPr>
        <w:t>mployee travel costs</w:t>
      </w:r>
    </w:p>
    <w:p w:rsidR="00C37CD8" w:rsidRPr="000D53A4" w:rsidP="00197F9A" w14:paraId="68ED33D5"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C</w:t>
      </w:r>
      <w:r w:rsidRPr="000D53A4">
        <w:rPr>
          <w:rFonts w:ascii="Tahoma" w:hAnsi="Tahoma" w:cs="Tahoma"/>
          <w:b/>
          <w:sz w:val="22"/>
          <w:szCs w:val="22"/>
        </w:rPr>
        <w:t>ost of contractor services or other reimbursements to individuals or organizations assisting in the collection of information</w:t>
      </w:r>
    </w:p>
    <w:p w:rsidR="00C37CD8" w:rsidRPr="000D53A4" w:rsidP="00197F9A" w14:paraId="6EEA714E"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Pr>
          <w:rFonts w:ascii="Tahoma" w:hAnsi="Tahoma" w:cs="Tahoma"/>
          <w:b/>
          <w:sz w:val="22"/>
          <w:szCs w:val="22"/>
        </w:rPr>
        <w:t xml:space="preserve">mployee labor and materials for collecting </w:t>
      </w:r>
      <w:r w:rsidRPr="000D53A4">
        <w:rPr>
          <w:rFonts w:ascii="Tahoma" w:hAnsi="Tahoma" w:cs="Tahoma"/>
          <w:b/>
          <w:sz w:val="22"/>
          <w:szCs w:val="22"/>
        </w:rPr>
        <w:t>the information</w:t>
      </w:r>
    </w:p>
    <w:p w:rsidR="00C37CD8" w:rsidRPr="000D53A4" w:rsidP="00197F9A" w14:paraId="3309B200"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0D53A4">
        <w:rPr>
          <w:rFonts w:ascii="Tahoma" w:hAnsi="Tahoma" w:cs="Tahoma"/>
          <w:b/>
          <w:sz w:val="22"/>
          <w:szCs w:val="22"/>
        </w:rPr>
        <w:t>E</w:t>
      </w:r>
      <w:r w:rsidRPr="000D53A4">
        <w:rPr>
          <w:rFonts w:ascii="Tahoma" w:hAnsi="Tahoma" w:cs="Tahoma"/>
          <w:b/>
          <w:sz w:val="22"/>
          <w:szCs w:val="22"/>
        </w:rPr>
        <w:t>mployee labor and materials for analyzing, evaluating, summarizing, and/or reporting on the collected information</w:t>
      </w:r>
    </w:p>
    <w:p w:rsidR="006818AB" w:rsidRPr="00F50C1B" w:rsidP="006818AB" w14:paraId="15FE7CCC" w14:textId="77777777">
      <w:pPr>
        <w:pStyle w:val="BodyTextIndent"/>
        <w:tabs>
          <w:tab w:val="clear" w:pos="0"/>
          <w:tab w:val="left" w:pos="810"/>
        </w:tabs>
        <w:ind w:left="0"/>
        <w:rPr>
          <w:rFonts w:ascii="Tahoma" w:hAnsi="Tahoma" w:cs="Tahoma"/>
          <w:sz w:val="22"/>
          <w:szCs w:val="22"/>
        </w:rPr>
      </w:pPr>
      <w:r w:rsidRPr="00F50C1B">
        <w:rPr>
          <w:rFonts w:ascii="Tahoma" w:hAnsi="Tahoma" w:cs="Tahoma"/>
          <w:sz w:val="22"/>
          <w:szCs w:val="22"/>
        </w:rPr>
        <w:t xml:space="preserve">Table 5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7"/>
        <w:gridCol w:w="1344"/>
        <w:gridCol w:w="1054"/>
        <w:gridCol w:w="909"/>
        <w:gridCol w:w="910"/>
        <w:gridCol w:w="1176"/>
      </w:tblGrid>
      <w:tr w14:paraId="7D3ED844" w14:textId="77777777" w:rsidTr="009A7D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jc w:val="center"/>
        </w:trPr>
        <w:tc>
          <w:tcPr>
            <w:tcW w:w="4454" w:type="dxa"/>
            <w:tcBorders>
              <w:top w:val="single" w:sz="4" w:space="0" w:color="auto"/>
              <w:left w:val="single" w:sz="4" w:space="0" w:color="auto"/>
              <w:bottom w:val="single" w:sz="4" w:space="0" w:color="auto"/>
              <w:right w:val="single" w:sz="4" w:space="0" w:color="auto"/>
            </w:tcBorders>
            <w:vAlign w:val="center"/>
          </w:tcPr>
          <w:p w:rsidR="006818AB" w:rsidRPr="009862FB" w:rsidP="009862FB" w14:paraId="5F066CEF" w14:textId="77777777">
            <w:pPr>
              <w:spacing w:before="40" w:after="40"/>
              <w:jc w:val="center"/>
              <w:rPr>
                <w:rFonts w:ascii="Arial Narrow" w:hAnsi="Arial Narrow"/>
                <w:b/>
                <w:sz w:val="20"/>
                <w:szCs w:val="20"/>
              </w:rPr>
            </w:pPr>
            <w:r w:rsidRPr="009862FB">
              <w:rPr>
                <w:rFonts w:ascii="Arial Narrow" w:hAnsi="Arial Narrow"/>
                <w:b/>
                <w:sz w:val="20"/>
                <w:szCs w:val="20"/>
              </w:rPr>
              <w:t>ACTION ITEM</w:t>
            </w:r>
          </w:p>
        </w:tc>
        <w:tc>
          <w:tcPr>
            <w:tcW w:w="1368" w:type="dxa"/>
            <w:tcBorders>
              <w:top w:val="single" w:sz="4" w:space="0" w:color="auto"/>
              <w:left w:val="single" w:sz="4" w:space="0" w:color="auto"/>
              <w:bottom w:val="single" w:sz="4" w:space="0" w:color="auto"/>
              <w:right w:val="single" w:sz="4" w:space="0" w:color="auto"/>
            </w:tcBorders>
            <w:vAlign w:val="center"/>
          </w:tcPr>
          <w:p w:rsidR="006818AB" w:rsidRPr="003E2E57" w:rsidP="009862FB" w14:paraId="148DE9F7" w14:textId="77777777">
            <w:pPr>
              <w:spacing w:before="40" w:after="40"/>
              <w:jc w:val="center"/>
              <w:rPr>
                <w:rFonts w:ascii="Arial Narrow" w:hAnsi="Arial Narrow"/>
                <w:b/>
                <w:i/>
                <w:iCs/>
              </w:rPr>
            </w:pPr>
            <w:r w:rsidRPr="009862FB">
              <w:rPr>
                <w:rFonts w:ascii="Arial Narrow" w:hAnsi="Arial Narrow"/>
                <w:b/>
                <w:sz w:val="20"/>
                <w:szCs w:val="20"/>
              </w:rPr>
              <w:t>PERSONNEL</w:t>
            </w:r>
          </w:p>
        </w:tc>
        <w:tc>
          <w:tcPr>
            <w:tcW w:w="1099" w:type="dxa"/>
            <w:tcBorders>
              <w:top w:val="single" w:sz="4" w:space="0" w:color="auto"/>
              <w:left w:val="single" w:sz="4" w:space="0" w:color="auto"/>
              <w:bottom w:val="single" w:sz="4" w:space="0" w:color="auto"/>
              <w:right w:val="single" w:sz="4" w:space="0" w:color="auto"/>
            </w:tcBorders>
            <w:vAlign w:val="center"/>
          </w:tcPr>
          <w:p w:rsidR="006818AB" w:rsidRPr="009862FB" w:rsidP="009862FB" w14:paraId="235553BE" w14:textId="77777777">
            <w:pPr>
              <w:spacing w:before="40" w:after="40"/>
              <w:jc w:val="center"/>
              <w:rPr>
                <w:rFonts w:ascii="Arial Narrow" w:hAnsi="Arial Narrow"/>
                <w:b/>
                <w:sz w:val="20"/>
                <w:szCs w:val="20"/>
              </w:rPr>
            </w:pPr>
            <w:r w:rsidRPr="009862FB">
              <w:rPr>
                <w:rFonts w:ascii="Arial Narrow" w:hAnsi="Arial Narrow"/>
                <w:b/>
                <w:sz w:val="20"/>
                <w:szCs w:val="20"/>
              </w:rPr>
              <w:t>GS LEVEL</w:t>
            </w:r>
          </w:p>
        </w:tc>
        <w:tc>
          <w:tcPr>
            <w:tcW w:w="909" w:type="dxa"/>
            <w:tcBorders>
              <w:top w:val="single" w:sz="4" w:space="0" w:color="auto"/>
              <w:left w:val="single" w:sz="4" w:space="0" w:color="auto"/>
              <w:bottom w:val="single" w:sz="4" w:space="0" w:color="auto"/>
              <w:right w:val="single" w:sz="4" w:space="0" w:color="auto"/>
            </w:tcBorders>
            <w:vAlign w:val="center"/>
          </w:tcPr>
          <w:p w:rsidR="006818AB" w:rsidRPr="009862FB" w:rsidP="009862FB" w14:paraId="1B7A5D8B" w14:textId="77777777">
            <w:pPr>
              <w:spacing w:before="40" w:after="40"/>
              <w:jc w:val="center"/>
              <w:rPr>
                <w:rFonts w:ascii="Arial Narrow" w:hAnsi="Arial Narrow"/>
                <w:b/>
                <w:sz w:val="20"/>
                <w:szCs w:val="20"/>
              </w:rPr>
            </w:pPr>
            <w:r w:rsidRPr="009862FB">
              <w:rPr>
                <w:rFonts w:ascii="Arial Narrow" w:hAnsi="Arial Narrow"/>
                <w:b/>
                <w:sz w:val="20"/>
                <w:szCs w:val="20"/>
              </w:rPr>
              <w:t>HOURLY RATE</w:t>
            </w:r>
            <w:r w:rsidRPr="00280515" w:rsidR="00280515">
              <w:rPr>
                <w:rFonts w:ascii="Arial Narrow" w:hAnsi="Arial Narrow"/>
                <w:b/>
                <w:sz w:val="32"/>
                <w:szCs w:val="32"/>
              </w:rPr>
              <w:t>*</w:t>
            </w:r>
          </w:p>
        </w:tc>
        <w:tc>
          <w:tcPr>
            <w:tcW w:w="933" w:type="dxa"/>
            <w:tcBorders>
              <w:top w:val="single" w:sz="4" w:space="0" w:color="auto"/>
              <w:left w:val="single" w:sz="4" w:space="0" w:color="auto"/>
              <w:bottom w:val="single" w:sz="4" w:space="0" w:color="auto"/>
              <w:right w:val="single" w:sz="4" w:space="0" w:color="auto"/>
            </w:tcBorders>
            <w:vAlign w:val="center"/>
          </w:tcPr>
          <w:p w:rsidR="006818AB" w:rsidRPr="009862FB" w:rsidP="009862FB" w14:paraId="406355D8" w14:textId="77777777">
            <w:pPr>
              <w:spacing w:before="40" w:after="40"/>
              <w:jc w:val="center"/>
              <w:rPr>
                <w:rFonts w:ascii="Arial Narrow" w:hAnsi="Arial Narrow"/>
                <w:b/>
                <w:sz w:val="20"/>
                <w:szCs w:val="20"/>
              </w:rPr>
            </w:pPr>
            <w:r w:rsidRPr="009862FB">
              <w:rPr>
                <w:rFonts w:ascii="Arial Narrow" w:hAnsi="Arial Narrow"/>
                <w:b/>
                <w:sz w:val="20"/>
                <w:szCs w:val="20"/>
              </w:rPr>
              <w:t>HOURS</w:t>
            </w:r>
          </w:p>
        </w:tc>
        <w:tc>
          <w:tcPr>
            <w:tcW w:w="1065" w:type="dxa"/>
            <w:tcBorders>
              <w:top w:val="single" w:sz="4" w:space="0" w:color="auto"/>
              <w:left w:val="single" w:sz="4" w:space="0" w:color="auto"/>
              <w:bottom w:val="single" w:sz="4" w:space="0" w:color="auto"/>
              <w:right w:val="single" w:sz="4" w:space="0" w:color="auto"/>
            </w:tcBorders>
            <w:vAlign w:val="center"/>
          </w:tcPr>
          <w:p w:rsidR="006818AB" w:rsidRPr="009862FB" w:rsidP="009862FB" w14:paraId="3DE109B9" w14:textId="77777777">
            <w:pPr>
              <w:spacing w:before="40" w:after="40"/>
              <w:jc w:val="center"/>
              <w:rPr>
                <w:rFonts w:ascii="Arial Narrow" w:hAnsi="Arial Narrow"/>
                <w:b/>
                <w:sz w:val="20"/>
                <w:szCs w:val="20"/>
              </w:rPr>
            </w:pPr>
            <w:r w:rsidRPr="009862FB">
              <w:rPr>
                <w:rFonts w:ascii="Arial Narrow" w:hAnsi="Arial Narrow"/>
                <w:b/>
                <w:sz w:val="20"/>
                <w:szCs w:val="20"/>
              </w:rPr>
              <w:t>SALARY</w:t>
            </w:r>
          </w:p>
        </w:tc>
      </w:tr>
      <w:tr w14:paraId="29419750" w14:textId="77777777" w:rsidTr="00C465CE">
        <w:tblPrEx>
          <w:tblW w:w="0" w:type="auto"/>
          <w:jc w:val="center"/>
          <w:tblLook w:val="01E0"/>
        </w:tblPrEx>
        <w:trPr>
          <w:jc w:val="center"/>
        </w:trPr>
        <w:tc>
          <w:tcPr>
            <w:tcW w:w="4454" w:type="dxa"/>
            <w:tcBorders>
              <w:top w:val="single" w:sz="4" w:space="0" w:color="auto"/>
              <w:left w:val="single" w:sz="4" w:space="0" w:color="auto"/>
              <w:bottom w:val="single" w:sz="4" w:space="0" w:color="auto"/>
              <w:right w:val="single" w:sz="4" w:space="0" w:color="auto"/>
            </w:tcBorders>
            <w:vAlign w:val="center"/>
          </w:tcPr>
          <w:p w:rsidR="003E2E57" w:rsidRPr="009862FB" w:rsidP="003E2E57" w14:paraId="6EFBB5A4" w14:textId="77777777">
            <w:pPr>
              <w:spacing w:before="40" w:after="40"/>
              <w:rPr>
                <w:rFonts w:ascii="Arial Narrow" w:hAnsi="Arial Narrow"/>
                <w:sz w:val="20"/>
                <w:szCs w:val="20"/>
              </w:rPr>
            </w:pPr>
            <w:r w:rsidRPr="00B23968">
              <w:t>Section 228.104 –  Consideration of Requests to Waive, Except, or Modify Lease Stipulations</w:t>
            </w:r>
          </w:p>
        </w:tc>
        <w:tc>
          <w:tcPr>
            <w:tcW w:w="1368" w:type="dxa"/>
            <w:tcBorders>
              <w:top w:val="single" w:sz="4" w:space="0" w:color="auto"/>
              <w:left w:val="single" w:sz="4" w:space="0" w:color="auto"/>
              <w:bottom w:val="single" w:sz="4" w:space="0" w:color="auto"/>
              <w:right w:val="single" w:sz="4" w:space="0" w:color="auto"/>
            </w:tcBorders>
            <w:vAlign w:val="center"/>
          </w:tcPr>
          <w:p w:rsidR="00280515" w:rsidP="00280515" w14:paraId="4974480B" w14:textId="77777777">
            <w:pPr>
              <w:contextualSpacing/>
              <w:jc w:val="center"/>
            </w:pPr>
            <w:r w:rsidRPr="003E2E57">
              <w:t>Geologist</w:t>
            </w:r>
          </w:p>
          <w:p w:rsidR="00280515" w:rsidP="00280515" w14:paraId="0CFCA464" w14:textId="77777777">
            <w:pPr>
              <w:jc w:val="center"/>
            </w:pPr>
            <w:r>
              <w:t>and</w:t>
            </w:r>
          </w:p>
          <w:p w:rsidR="003E2E57" w:rsidRPr="003E2E57" w:rsidP="00280515" w14:paraId="533B545D" w14:textId="77777777">
            <w:pPr>
              <w:jc w:val="center"/>
            </w:pPr>
            <w:r>
              <w:t>Line Officer</w:t>
            </w:r>
          </w:p>
        </w:tc>
        <w:tc>
          <w:tcPr>
            <w:tcW w:w="1099" w:type="dxa"/>
            <w:tcBorders>
              <w:top w:val="single" w:sz="4" w:space="0" w:color="auto"/>
              <w:left w:val="single" w:sz="4" w:space="0" w:color="auto"/>
              <w:bottom w:val="single" w:sz="4" w:space="0" w:color="auto"/>
              <w:right w:val="single" w:sz="4" w:space="0" w:color="auto"/>
            </w:tcBorders>
          </w:tcPr>
          <w:p w:rsidR="00280515" w:rsidP="00280515" w14:paraId="26204AEE" w14:textId="77777777">
            <w:pPr>
              <w:contextualSpacing/>
              <w:jc w:val="center"/>
            </w:pPr>
            <w:r w:rsidRPr="00280515">
              <w:t>GS-11</w:t>
            </w:r>
            <w:r>
              <w:t>.5</w:t>
            </w:r>
          </w:p>
          <w:p w:rsidR="00280515" w:rsidP="00280515" w14:paraId="3FE74974" w14:textId="77777777">
            <w:pPr>
              <w:contextualSpacing/>
              <w:jc w:val="center"/>
            </w:pPr>
            <w:r w:rsidRPr="00280515">
              <w:t xml:space="preserve"> </w:t>
            </w:r>
            <w:r>
              <w:t>a</w:t>
            </w:r>
            <w:r w:rsidRPr="00280515">
              <w:t>nd</w:t>
            </w:r>
          </w:p>
          <w:p w:rsidR="003E2E57" w:rsidRPr="00280515" w:rsidP="00280515" w14:paraId="26F9BB70" w14:textId="77777777">
            <w:pPr>
              <w:contextualSpacing/>
              <w:jc w:val="center"/>
            </w:pPr>
            <w:r w:rsidRPr="00280515">
              <w:t>GS-13</w:t>
            </w:r>
            <w:r>
              <w:t>.5</w:t>
            </w:r>
          </w:p>
        </w:tc>
        <w:tc>
          <w:tcPr>
            <w:tcW w:w="909" w:type="dxa"/>
            <w:tcBorders>
              <w:top w:val="single" w:sz="4" w:space="0" w:color="auto"/>
              <w:left w:val="single" w:sz="4" w:space="0" w:color="auto"/>
              <w:bottom w:val="single" w:sz="4" w:space="0" w:color="auto"/>
              <w:right w:val="single" w:sz="4" w:space="0" w:color="auto"/>
            </w:tcBorders>
            <w:vAlign w:val="center"/>
          </w:tcPr>
          <w:p w:rsidR="003E2E57" w:rsidRPr="00C465CE" w:rsidP="00C465CE" w14:paraId="5598786D" w14:textId="77777777">
            <w:pPr>
              <w:spacing w:before="40" w:after="40"/>
              <w:jc w:val="center"/>
            </w:pPr>
            <w:r w:rsidRPr="00C465CE">
              <w:t>$</w:t>
            </w:r>
            <w:r w:rsidR="004542AA">
              <w:t>5</w:t>
            </w:r>
            <w:r w:rsidRPr="00C465CE" w:rsidR="007226D4">
              <w:t>7.</w:t>
            </w:r>
            <w:r w:rsidR="004542AA">
              <w:t>21</w:t>
            </w:r>
          </w:p>
        </w:tc>
        <w:tc>
          <w:tcPr>
            <w:tcW w:w="933" w:type="dxa"/>
            <w:tcBorders>
              <w:top w:val="single" w:sz="4" w:space="0" w:color="auto"/>
              <w:left w:val="single" w:sz="4" w:space="0" w:color="auto"/>
              <w:bottom w:val="single" w:sz="4" w:space="0" w:color="auto"/>
              <w:right w:val="single" w:sz="4" w:space="0" w:color="auto"/>
            </w:tcBorders>
            <w:vAlign w:val="center"/>
          </w:tcPr>
          <w:p w:rsidR="003E2E57" w:rsidRPr="00C465CE" w:rsidP="00C465CE" w14:paraId="5550C50A" w14:textId="77777777">
            <w:pPr>
              <w:spacing w:before="40" w:after="40"/>
              <w:jc w:val="center"/>
            </w:pPr>
            <w:r w:rsidRPr="00C465CE">
              <w:t>8</w:t>
            </w:r>
          </w:p>
        </w:tc>
        <w:tc>
          <w:tcPr>
            <w:tcW w:w="1065" w:type="dxa"/>
            <w:tcBorders>
              <w:top w:val="single" w:sz="4" w:space="0" w:color="auto"/>
              <w:left w:val="single" w:sz="4" w:space="0" w:color="auto"/>
              <w:bottom w:val="single" w:sz="4" w:space="0" w:color="auto"/>
              <w:right w:val="single" w:sz="4" w:space="0" w:color="auto"/>
            </w:tcBorders>
            <w:vAlign w:val="center"/>
          </w:tcPr>
          <w:p w:rsidR="003E2E57" w:rsidRPr="00C465CE" w:rsidP="00C465CE" w14:paraId="16A3E980" w14:textId="77777777">
            <w:pPr>
              <w:spacing w:before="40" w:after="40"/>
              <w:jc w:val="center"/>
            </w:pPr>
            <w:r w:rsidRPr="00C465CE">
              <w:t>$</w:t>
            </w:r>
            <w:r w:rsidR="00B45F7A">
              <w:t>457</w:t>
            </w:r>
            <w:r w:rsidRPr="00C465CE" w:rsidR="00C465CE">
              <w:t>.68</w:t>
            </w:r>
          </w:p>
        </w:tc>
      </w:tr>
      <w:tr w14:paraId="6750A726" w14:textId="77777777" w:rsidTr="00C465CE">
        <w:tblPrEx>
          <w:tblW w:w="0" w:type="auto"/>
          <w:jc w:val="center"/>
          <w:tblLook w:val="01E0"/>
        </w:tblPrEx>
        <w:trPr>
          <w:jc w:val="center"/>
        </w:trPr>
        <w:tc>
          <w:tcPr>
            <w:tcW w:w="4454" w:type="dxa"/>
            <w:tcBorders>
              <w:top w:val="single" w:sz="4" w:space="0" w:color="auto"/>
              <w:left w:val="single" w:sz="4" w:space="0" w:color="auto"/>
              <w:bottom w:val="single" w:sz="4" w:space="0" w:color="auto"/>
              <w:right w:val="single" w:sz="4" w:space="0" w:color="auto"/>
            </w:tcBorders>
          </w:tcPr>
          <w:p w:rsidR="007226D4" w:rsidRPr="009862FB" w:rsidP="007226D4" w14:paraId="54569A4C" w14:textId="77777777">
            <w:pPr>
              <w:spacing w:before="40" w:after="40"/>
              <w:rPr>
                <w:rFonts w:ascii="Arial Narrow" w:hAnsi="Arial Narrow"/>
                <w:sz w:val="20"/>
                <w:szCs w:val="20"/>
              </w:rPr>
            </w:pPr>
            <w:r>
              <w:t>Section 228.109(e</w:t>
            </w:r>
            <w:r w:rsidRPr="00316923">
              <w:t xml:space="preserve">) </w:t>
            </w:r>
            <w:r>
              <w:t>Bond Release</w:t>
            </w:r>
          </w:p>
        </w:tc>
        <w:tc>
          <w:tcPr>
            <w:tcW w:w="1368" w:type="dxa"/>
            <w:tcBorders>
              <w:top w:val="single" w:sz="4" w:space="0" w:color="auto"/>
              <w:left w:val="single" w:sz="4" w:space="0" w:color="auto"/>
              <w:bottom w:val="single" w:sz="4" w:space="0" w:color="auto"/>
              <w:right w:val="single" w:sz="4" w:space="0" w:color="auto"/>
            </w:tcBorders>
          </w:tcPr>
          <w:p w:rsidR="007226D4" w:rsidRPr="009862FB" w:rsidP="007226D4" w14:paraId="196A4555" w14:textId="77777777">
            <w:pPr>
              <w:spacing w:before="40" w:after="40"/>
              <w:rPr>
                <w:rFonts w:ascii="Arial Narrow" w:hAnsi="Arial Narrow"/>
                <w:sz w:val="20"/>
                <w:szCs w:val="20"/>
              </w:rPr>
            </w:pPr>
            <w:r w:rsidRPr="009A7D86">
              <w:t>Same as Above</w:t>
            </w:r>
          </w:p>
        </w:tc>
        <w:tc>
          <w:tcPr>
            <w:tcW w:w="1099" w:type="dxa"/>
            <w:tcBorders>
              <w:top w:val="single" w:sz="4" w:space="0" w:color="auto"/>
              <w:left w:val="single" w:sz="4" w:space="0" w:color="auto"/>
              <w:bottom w:val="single" w:sz="4" w:space="0" w:color="auto"/>
              <w:right w:val="single" w:sz="4" w:space="0" w:color="auto"/>
            </w:tcBorders>
          </w:tcPr>
          <w:p w:rsidR="007226D4" w:rsidRPr="009862FB" w:rsidP="007226D4" w14:paraId="1CF27AB0" w14:textId="77777777">
            <w:pPr>
              <w:spacing w:before="40" w:after="40"/>
              <w:jc w:val="center"/>
              <w:rPr>
                <w:rFonts w:ascii="Arial Narrow" w:hAnsi="Arial Narrow"/>
                <w:sz w:val="20"/>
                <w:szCs w:val="20"/>
              </w:rPr>
            </w:pPr>
            <w:r w:rsidRPr="009A7D86">
              <w:t>Same as Above</w:t>
            </w:r>
          </w:p>
        </w:tc>
        <w:tc>
          <w:tcPr>
            <w:tcW w:w="909"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1D597D3E" w14:textId="77777777">
            <w:pPr>
              <w:spacing w:before="40" w:after="40"/>
              <w:jc w:val="center"/>
              <w:rPr>
                <w:rFonts w:ascii="Arial Narrow" w:hAnsi="Arial Narrow"/>
                <w:sz w:val="20"/>
                <w:szCs w:val="20"/>
              </w:rPr>
            </w:pPr>
            <w:r w:rsidRPr="00C465CE">
              <w:t>$</w:t>
            </w:r>
            <w:r w:rsidR="004542AA">
              <w:t>5</w:t>
            </w:r>
            <w:r w:rsidRPr="00C465CE">
              <w:t>7.</w:t>
            </w:r>
            <w:r w:rsidR="004542AA">
              <w:t>21</w:t>
            </w:r>
          </w:p>
        </w:tc>
        <w:tc>
          <w:tcPr>
            <w:tcW w:w="933"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0D267C0F" w14:textId="77777777">
            <w:pPr>
              <w:spacing w:before="40" w:after="40"/>
              <w:jc w:val="center"/>
            </w:pPr>
            <w:r w:rsidRPr="00C465CE">
              <w:t>2</w:t>
            </w:r>
          </w:p>
        </w:tc>
        <w:tc>
          <w:tcPr>
            <w:tcW w:w="1065"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1871F856" w14:textId="77777777">
            <w:pPr>
              <w:spacing w:before="40" w:after="40"/>
              <w:jc w:val="center"/>
            </w:pPr>
            <w:r w:rsidRPr="00C465CE">
              <w:t>$</w:t>
            </w:r>
            <w:r w:rsidR="00B45F7A">
              <w:t>114.4</w:t>
            </w:r>
            <w:r w:rsidR="00C465CE">
              <w:t>2</w:t>
            </w:r>
          </w:p>
        </w:tc>
      </w:tr>
      <w:tr w14:paraId="73966177" w14:textId="77777777" w:rsidTr="00C465CE">
        <w:tblPrEx>
          <w:tblW w:w="0" w:type="auto"/>
          <w:jc w:val="center"/>
          <w:tblLook w:val="01E0"/>
        </w:tblPrEx>
        <w:trPr>
          <w:jc w:val="center"/>
        </w:trPr>
        <w:tc>
          <w:tcPr>
            <w:tcW w:w="4454" w:type="dxa"/>
            <w:tcBorders>
              <w:top w:val="single" w:sz="4" w:space="0" w:color="auto"/>
              <w:left w:val="single" w:sz="4" w:space="0" w:color="auto"/>
              <w:bottom w:val="single" w:sz="4" w:space="0" w:color="auto"/>
              <w:right w:val="single" w:sz="4" w:space="0" w:color="auto"/>
            </w:tcBorders>
            <w:vAlign w:val="center"/>
          </w:tcPr>
          <w:p w:rsidR="007226D4" w:rsidRPr="009862FB" w:rsidP="007226D4" w14:paraId="1C294794" w14:textId="77777777">
            <w:pPr>
              <w:spacing w:before="40" w:after="40"/>
              <w:rPr>
                <w:rFonts w:ascii="Arial Narrow" w:hAnsi="Arial Narrow"/>
                <w:sz w:val="20"/>
                <w:szCs w:val="20"/>
              </w:rPr>
            </w:pPr>
            <w:r w:rsidRPr="00316923">
              <w:t>Section 228.11(a) Notice of Te</w:t>
            </w:r>
            <w:r>
              <w:t>mporary Cessation of Operations</w:t>
            </w:r>
          </w:p>
        </w:tc>
        <w:tc>
          <w:tcPr>
            <w:tcW w:w="1368" w:type="dxa"/>
            <w:tcBorders>
              <w:top w:val="single" w:sz="4" w:space="0" w:color="auto"/>
              <w:left w:val="single" w:sz="4" w:space="0" w:color="auto"/>
              <w:bottom w:val="single" w:sz="4" w:space="0" w:color="auto"/>
              <w:right w:val="single" w:sz="4" w:space="0" w:color="auto"/>
            </w:tcBorders>
          </w:tcPr>
          <w:p w:rsidR="007226D4" w:rsidRPr="009862FB" w:rsidP="007226D4" w14:paraId="76ABCC62" w14:textId="77777777">
            <w:pPr>
              <w:spacing w:before="40" w:after="40"/>
              <w:rPr>
                <w:rFonts w:ascii="Arial Narrow" w:hAnsi="Arial Narrow"/>
                <w:sz w:val="20"/>
                <w:szCs w:val="20"/>
              </w:rPr>
            </w:pPr>
            <w:r w:rsidRPr="009A7D86">
              <w:t>Same as Above</w:t>
            </w:r>
          </w:p>
        </w:tc>
        <w:tc>
          <w:tcPr>
            <w:tcW w:w="1099" w:type="dxa"/>
            <w:tcBorders>
              <w:top w:val="single" w:sz="4" w:space="0" w:color="auto"/>
              <w:left w:val="single" w:sz="4" w:space="0" w:color="auto"/>
              <w:bottom w:val="single" w:sz="4" w:space="0" w:color="auto"/>
              <w:right w:val="single" w:sz="4" w:space="0" w:color="auto"/>
            </w:tcBorders>
          </w:tcPr>
          <w:p w:rsidR="007226D4" w:rsidRPr="009862FB" w:rsidP="007226D4" w14:paraId="37CCC0B7" w14:textId="77777777">
            <w:pPr>
              <w:spacing w:before="40" w:after="40"/>
              <w:jc w:val="center"/>
              <w:rPr>
                <w:rFonts w:ascii="Arial Narrow" w:hAnsi="Arial Narrow"/>
                <w:sz w:val="20"/>
                <w:szCs w:val="20"/>
              </w:rPr>
            </w:pPr>
            <w:r w:rsidRPr="009A7D86">
              <w:t>Same as Above</w:t>
            </w:r>
          </w:p>
        </w:tc>
        <w:tc>
          <w:tcPr>
            <w:tcW w:w="909"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450A02B9" w14:textId="77777777">
            <w:pPr>
              <w:spacing w:before="40" w:after="40"/>
              <w:jc w:val="center"/>
              <w:rPr>
                <w:rFonts w:ascii="Arial Narrow" w:hAnsi="Arial Narrow"/>
                <w:sz w:val="20"/>
                <w:szCs w:val="20"/>
              </w:rPr>
            </w:pPr>
            <w:r w:rsidRPr="00C465CE">
              <w:t>$</w:t>
            </w:r>
            <w:r w:rsidR="004542AA">
              <w:t>5</w:t>
            </w:r>
            <w:r w:rsidRPr="00C465CE">
              <w:t>7.</w:t>
            </w:r>
            <w:r w:rsidR="004542AA">
              <w:t>21</w:t>
            </w:r>
          </w:p>
        </w:tc>
        <w:tc>
          <w:tcPr>
            <w:tcW w:w="933"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2C174FAC" w14:textId="77777777">
            <w:pPr>
              <w:spacing w:before="40" w:after="40"/>
              <w:jc w:val="center"/>
            </w:pPr>
            <w:r w:rsidRPr="00C465CE">
              <w:t>1</w:t>
            </w:r>
          </w:p>
        </w:tc>
        <w:tc>
          <w:tcPr>
            <w:tcW w:w="1065"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15583282" w14:textId="77777777">
            <w:pPr>
              <w:spacing w:before="40" w:after="40"/>
              <w:jc w:val="center"/>
            </w:pPr>
            <w:r w:rsidRPr="00C465CE">
              <w:t>$</w:t>
            </w:r>
            <w:r w:rsidR="00B45F7A">
              <w:t>5</w:t>
            </w:r>
            <w:r w:rsidR="00C465CE">
              <w:t>7.</w:t>
            </w:r>
            <w:r w:rsidR="00B45F7A">
              <w:t>21</w:t>
            </w:r>
          </w:p>
        </w:tc>
      </w:tr>
      <w:tr w14:paraId="05D62274" w14:textId="77777777" w:rsidTr="00C465CE">
        <w:tblPrEx>
          <w:tblW w:w="0" w:type="auto"/>
          <w:jc w:val="center"/>
          <w:tblLook w:val="01E0"/>
        </w:tblPrEx>
        <w:trPr>
          <w:jc w:val="center"/>
        </w:trPr>
        <w:tc>
          <w:tcPr>
            <w:tcW w:w="4454" w:type="dxa"/>
            <w:tcBorders>
              <w:top w:val="single" w:sz="4" w:space="0" w:color="auto"/>
              <w:left w:val="single" w:sz="4" w:space="0" w:color="auto"/>
              <w:bottom w:val="single" w:sz="4" w:space="0" w:color="auto"/>
              <w:right w:val="single" w:sz="4" w:space="0" w:color="auto"/>
            </w:tcBorders>
            <w:vAlign w:val="center"/>
          </w:tcPr>
          <w:p w:rsidR="007226D4" w:rsidRPr="009862FB" w:rsidP="007226D4" w14:paraId="6B2613EE" w14:textId="77777777">
            <w:pPr>
              <w:spacing w:before="40" w:after="40"/>
              <w:rPr>
                <w:rFonts w:ascii="Arial Narrow" w:hAnsi="Arial Narrow"/>
                <w:sz w:val="20"/>
                <w:szCs w:val="20"/>
              </w:rPr>
            </w:pPr>
            <w:r>
              <w:t>Section 228.112(c)</w:t>
            </w:r>
            <w:r w:rsidRPr="00316923">
              <w:t xml:space="preserve"> Extension of Deadl</w:t>
            </w:r>
            <w:r>
              <w:t>ine in Notice of Noncompliance</w:t>
            </w:r>
          </w:p>
        </w:tc>
        <w:tc>
          <w:tcPr>
            <w:tcW w:w="1368" w:type="dxa"/>
            <w:tcBorders>
              <w:top w:val="single" w:sz="4" w:space="0" w:color="auto"/>
              <w:left w:val="single" w:sz="4" w:space="0" w:color="auto"/>
              <w:bottom w:val="single" w:sz="4" w:space="0" w:color="auto"/>
              <w:right w:val="single" w:sz="4" w:space="0" w:color="auto"/>
            </w:tcBorders>
          </w:tcPr>
          <w:p w:rsidR="007226D4" w:rsidRPr="009862FB" w:rsidP="007226D4" w14:paraId="2ED77B7C" w14:textId="77777777">
            <w:pPr>
              <w:spacing w:before="40" w:after="40"/>
              <w:rPr>
                <w:rFonts w:ascii="Arial Narrow" w:hAnsi="Arial Narrow"/>
                <w:sz w:val="20"/>
                <w:szCs w:val="20"/>
              </w:rPr>
            </w:pPr>
            <w:r w:rsidRPr="009A7D86">
              <w:t>Same as Above</w:t>
            </w:r>
          </w:p>
        </w:tc>
        <w:tc>
          <w:tcPr>
            <w:tcW w:w="1099" w:type="dxa"/>
            <w:tcBorders>
              <w:top w:val="single" w:sz="4" w:space="0" w:color="auto"/>
              <w:left w:val="single" w:sz="4" w:space="0" w:color="auto"/>
              <w:bottom w:val="single" w:sz="4" w:space="0" w:color="auto"/>
              <w:right w:val="single" w:sz="4" w:space="0" w:color="auto"/>
            </w:tcBorders>
          </w:tcPr>
          <w:p w:rsidR="007226D4" w:rsidRPr="009862FB" w:rsidP="007226D4" w14:paraId="1BA91ECA" w14:textId="77777777">
            <w:pPr>
              <w:spacing w:before="40" w:after="40"/>
              <w:jc w:val="center"/>
              <w:rPr>
                <w:rFonts w:ascii="Arial Narrow" w:hAnsi="Arial Narrow"/>
                <w:sz w:val="20"/>
                <w:szCs w:val="20"/>
              </w:rPr>
            </w:pPr>
            <w:r w:rsidRPr="009A7D86">
              <w:t>Same as Above</w:t>
            </w:r>
          </w:p>
        </w:tc>
        <w:tc>
          <w:tcPr>
            <w:tcW w:w="909"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420EDD96" w14:textId="77777777">
            <w:pPr>
              <w:spacing w:before="40" w:after="40"/>
              <w:jc w:val="center"/>
              <w:rPr>
                <w:rFonts w:ascii="Arial Narrow" w:hAnsi="Arial Narrow"/>
                <w:sz w:val="20"/>
                <w:szCs w:val="20"/>
              </w:rPr>
            </w:pPr>
            <w:r w:rsidRPr="00C465CE">
              <w:t>$</w:t>
            </w:r>
            <w:r w:rsidR="004542AA">
              <w:t>5</w:t>
            </w:r>
            <w:r w:rsidRPr="00C465CE">
              <w:t>7.</w:t>
            </w:r>
            <w:r w:rsidR="004542AA">
              <w:t>21</w:t>
            </w:r>
          </w:p>
        </w:tc>
        <w:tc>
          <w:tcPr>
            <w:tcW w:w="933"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4F5791CB" w14:textId="77777777">
            <w:pPr>
              <w:spacing w:before="40" w:after="40"/>
              <w:jc w:val="center"/>
            </w:pPr>
            <w:r w:rsidRPr="00C465CE">
              <w:t>1</w:t>
            </w:r>
          </w:p>
        </w:tc>
        <w:tc>
          <w:tcPr>
            <w:tcW w:w="1065"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6D80EB77" w14:textId="77777777">
            <w:pPr>
              <w:spacing w:before="40" w:after="40"/>
              <w:jc w:val="center"/>
            </w:pPr>
            <w:r w:rsidRPr="00C465CE">
              <w:t>$</w:t>
            </w:r>
            <w:r w:rsidR="00B45F7A">
              <w:t>5</w:t>
            </w:r>
            <w:r w:rsidR="00C465CE">
              <w:t>7.</w:t>
            </w:r>
            <w:r w:rsidR="00B45F7A">
              <w:t>21</w:t>
            </w:r>
          </w:p>
        </w:tc>
      </w:tr>
      <w:tr w14:paraId="7E178C5E" w14:textId="77777777" w:rsidTr="00C465CE">
        <w:tblPrEx>
          <w:tblW w:w="0" w:type="auto"/>
          <w:jc w:val="center"/>
          <w:tblLook w:val="01E0"/>
        </w:tblPrEx>
        <w:trPr>
          <w:jc w:val="center"/>
        </w:trPr>
        <w:tc>
          <w:tcPr>
            <w:tcW w:w="4454" w:type="dxa"/>
            <w:tcBorders>
              <w:top w:val="single" w:sz="4" w:space="0" w:color="auto"/>
              <w:left w:val="single" w:sz="4" w:space="0" w:color="auto"/>
              <w:bottom w:val="single" w:sz="4" w:space="0" w:color="auto"/>
              <w:right w:val="single" w:sz="4" w:space="0" w:color="auto"/>
            </w:tcBorders>
            <w:vAlign w:val="center"/>
          </w:tcPr>
          <w:p w:rsidR="007226D4" w:rsidRPr="009862FB" w:rsidP="007226D4" w14:paraId="02F4771D" w14:textId="77777777">
            <w:pPr>
              <w:spacing w:before="40" w:after="40"/>
              <w:rPr>
                <w:rFonts w:ascii="Arial Narrow" w:hAnsi="Arial Narrow"/>
                <w:sz w:val="20"/>
                <w:szCs w:val="20"/>
              </w:rPr>
            </w:pPr>
            <w:r>
              <w:t>Section 228.113 (b</w:t>
            </w:r>
            <w:r w:rsidRPr="00316923">
              <w:t>)</w:t>
            </w:r>
            <w:r>
              <w:t>(2) – Response to a Referral of Material Noncompliance</w:t>
            </w:r>
          </w:p>
        </w:tc>
        <w:tc>
          <w:tcPr>
            <w:tcW w:w="1368" w:type="dxa"/>
            <w:tcBorders>
              <w:top w:val="single" w:sz="4" w:space="0" w:color="auto"/>
              <w:left w:val="single" w:sz="4" w:space="0" w:color="auto"/>
              <w:bottom w:val="single" w:sz="4" w:space="0" w:color="auto"/>
              <w:right w:val="single" w:sz="4" w:space="0" w:color="auto"/>
            </w:tcBorders>
          </w:tcPr>
          <w:p w:rsidR="007226D4" w:rsidRPr="009862FB" w:rsidP="007226D4" w14:paraId="778A4522" w14:textId="77777777">
            <w:pPr>
              <w:spacing w:before="40" w:after="40"/>
              <w:rPr>
                <w:rFonts w:ascii="Arial Narrow" w:hAnsi="Arial Narrow"/>
                <w:sz w:val="20"/>
                <w:szCs w:val="20"/>
              </w:rPr>
            </w:pPr>
            <w:r w:rsidRPr="009A7D86">
              <w:t>Same as Above</w:t>
            </w:r>
          </w:p>
        </w:tc>
        <w:tc>
          <w:tcPr>
            <w:tcW w:w="1099" w:type="dxa"/>
            <w:tcBorders>
              <w:top w:val="single" w:sz="4" w:space="0" w:color="auto"/>
              <w:left w:val="single" w:sz="4" w:space="0" w:color="auto"/>
              <w:bottom w:val="single" w:sz="4" w:space="0" w:color="auto"/>
              <w:right w:val="single" w:sz="4" w:space="0" w:color="auto"/>
            </w:tcBorders>
          </w:tcPr>
          <w:p w:rsidR="007226D4" w:rsidRPr="009862FB" w:rsidP="007226D4" w14:paraId="0E8B3300" w14:textId="77777777">
            <w:pPr>
              <w:spacing w:before="40" w:after="40"/>
              <w:jc w:val="center"/>
              <w:rPr>
                <w:rFonts w:ascii="Arial Narrow" w:hAnsi="Arial Narrow"/>
                <w:sz w:val="20"/>
                <w:szCs w:val="20"/>
              </w:rPr>
            </w:pPr>
            <w:r w:rsidRPr="009A7D86">
              <w:t>Same as Above</w:t>
            </w:r>
          </w:p>
        </w:tc>
        <w:tc>
          <w:tcPr>
            <w:tcW w:w="909"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0D3044F8" w14:textId="77777777">
            <w:pPr>
              <w:spacing w:before="40" w:after="40"/>
              <w:jc w:val="center"/>
              <w:rPr>
                <w:rFonts w:ascii="Arial Narrow" w:hAnsi="Arial Narrow"/>
                <w:sz w:val="20"/>
                <w:szCs w:val="20"/>
              </w:rPr>
            </w:pPr>
            <w:r w:rsidRPr="00C465CE">
              <w:t>$</w:t>
            </w:r>
            <w:r w:rsidR="004542AA">
              <w:t>5</w:t>
            </w:r>
            <w:r w:rsidRPr="00C465CE">
              <w:t>7.</w:t>
            </w:r>
            <w:r w:rsidR="004542AA">
              <w:t>21</w:t>
            </w:r>
          </w:p>
        </w:tc>
        <w:tc>
          <w:tcPr>
            <w:tcW w:w="933"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0FD299E4" w14:textId="77777777">
            <w:pPr>
              <w:spacing w:before="40" w:after="40"/>
              <w:jc w:val="center"/>
            </w:pPr>
            <w:r w:rsidRPr="00C465CE">
              <w:t>8</w:t>
            </w:r>
          </w:p>
        </w:tc>
        <w:tc>
          <w:tcPr>
            <w:tcW w:w="1065" w:type="dxa"/>
            <w:tcBorders>
              <w:top w:val="single" w:sz="4" w:space="0" w:color="auto"/>
              <w:left w:val="single" w:sz="4" w:space="0" w:color="auto"/>
              <w:bottom w:val="single" w:sz="4" w:space="0" w:color="auto"/>
              <w:right w:val="single" w:sz="4" w:space="0" w:color="auto"/>
            </w:tcBorders>
            <w:vAlign w:val="center"/>
          </w:tcPr>
          <w:p w:rsidR="007226D4" w:rsidRPr="00C465CE" w:rsidP="00C465CE" w14:paraId="1D66715C" w14:textId="77777777">
            <w:pPr>
              <w:spacing w:before="40" w:after="40"/>
              <w:jc w:val="center"/>
            </w:pPr>
            <w:r w:rsidRPr="00C465CE">
              <w:t>$</w:t>
            </w:r>
            <w:r w:rsidR="00B45F7A">
              <w:t>457</w:t>
            </w:r>
            <w:r w:rsidR="00C465CE">
              <w:t>.68</w:t>
            </w:r>
          </w:p>
        </w:tc>
      </w:tr>
      <w:tr w14:paraId="33D804A5" w14:textId="77777777" w:rsidTr="006572CF">
        <w:tblPrEx>
          <w:tblW w:w="0" w:type="auto"/>
          <w:jc w:val="center"/>
          <w:tblLook w:val="01E0"/>
        </w:tblPrEx>
        <w:trPr>
          <w:jc w:val="center"/>
        </w:trPr>
        <w:tc>
          <w:tcPr>
            <w:tcW w:w="4454" w:type="dxa"/>
            <w:tcBorders>
              <w:top w:val="single" w:sz="4" w:space="0" w:color="auto"/>
              <w:left w:val="single" w:sz="4" w:space="0" w:color="auto"/>
              <w:bottom w:val="single" w:sz="4" w:space="0" w:color="auto"/>
              <w:right w:val="single" w:sz="4" w:space="0" w:color="auto"/>
            </w:tcBorders>
            <w:vAlign w:val="center"/>
          </w:tcPr>
          <w:p w:rsidR="009A7D86" w:rsidRPr="006572CF" w:rsidP="009A7D86" w14:paraId="6870E9F5" w14:textId="77777777">
            <w:pPr>
              <w:spacing w:before="40" w:after="40"/>
              <w:rPr>
                <w:b/>
                <w:bCs/>
              </w:rPr>
            </w:pPr>
            <w:r w:rsidRPr="006572CF">
              <w:rPr>
                <w:b/>
                <w:bCs/>
              </w:rPr>
              <w:t>Totals</w:t>
            </w:r>
          </w:p>
        </w:tc>
        <w:tc>
          <w:tcPr>
            <w:tcW w:w="1368" w:type="dxa"/>
            <w:tcBorders>
              <w:top w:val="single" w:sz="4" w:space="0" w:color="auto"/>
              <w:left w:val="single" w:sz="4" w:space="0" w:color="auto"/>
              <w:bottom w:val="single" w:sz="4" w:space="0" w:color="auto"/>
              <w:right w:val="single" w:sz="4" w:space="0" w:color="auto"/>
            </w:tcBorders>
          </w:tcPr>
          <w:p w:rsidR="009A7D86" w:rsidRPr="009862FB" w:rsidP="009A7D86" w14:paraId="4ECC46ED" w14:textId="77777777">
            <w:pPr>
              <w:spacing w:before="40" w:after="40"/>
              <w:rPr>
                <w:rFonts w:ascii="Arial Narrow" w:hAnsi="Arial Narrow"/>
                <w:sz w:val="20"/>
                <w:szCs w:val="20"/>
              </w:rPr>
            </w:pPr>
          </w:p>
        </w:tc>
        <w:tc>
          <w:tcPr>
            <w:tcW w:w="1099" w:type="dxa"/>
            <w:tcBorders>
              <w:top w:val="single" w:sz="4" w:space="0" w:color="auto"/>
              <w:left w:val="single" w:sz="4" w:space="0" w:color="auto"/>
              <w:bottom w:val="single" w:sz="4" w:space="0" w:color="auto"/>
              <w:right w:val="single" w:sz="4" w:space="0" w:color="auto"/>
            </w:tcBorders>
          </w:tcPr>
          <w:p w:rsidR="009A7D86" w:rsidRPr="009862FB" w:rsidP="009A7D86" w14:paraId="0DC9D3A8" w14:textId="77777777">
            <w:pPr>
              <w:spacing w:before="40" w:after="40"/>
              <w:jc w:val="center"/>
              <w:rPr>
                <w:rFonts w:ascii="Arial Narrow" w:hAnsi="Arial Narrow"/>
                <w:sz w:val="20"/>
                <w:szCs w:val="20"/>
              </w:rPr>
            </w:pPr>
          </w:p>
        </w:tc>
        <w:tc>
          <w:tcPr>
            <w:tcW w:w="909" w:type="dxa"/>
            <w:tcBorders>
              <w:top w:val="single" w:sz="4" w:space="0" w:color="auto"/>
              <w:left w:val="single" w:sz="4" w:space="0" w:color="auto"/>
              <w:bottom w:val="single" w:sz="4" w:space="0" w:color="auto"/>
              <w:right w:val="single" w:sz="4" w:space="0" w:color="auto"/>
            </w:tcBorders>
          </w:tcPr>
          <w:p w:rsidR="009A7D86" w:rsidRPr="009862FB" w:rsidP="009A7D86" w14:paraId="12C99A8B" w14:textId="77777777">
            <w:pPr>
              <w:spacing w:before="40" w:after="40"/>
              <w:jc w:val="center"/>
              <w:rPr>
                <w:rFonts w:ascii="Arial Narrow" w:hAnsi="Arial Narrow"/>
                <w:sz w:val="20"/>
                <w:szCs w:val="20"/>
              </w:rPr>
            </w:pPr>
          </w:p>
        </w:tc>
        <w:tc>
          <w:tcPr>
            <w:tcW w:w="933" w:type="dxa"/>
            <w:tcBorders>
              <w:top w:val="single" w:sz="4" w:space="0" w:color="auto"/>
              <w:left w:val="single" w:sz="4" w:space="0" w:color="auto"/>
              <w:bottom w:val="single" w:sz="4" w:space="0" w:color="auto"/>
              <w:right w:val="single" w:sz="4" w:space="0" w:color="auto"/>
            </w:tcBorders>
          </w:tcPr>
          <w:p w:rsidR="009A7D86" w:rsidRPr="006572CF" w:rsidP="009A7D86" w14:paraId="5B3A770C" w14:textId="77777777">
            <w:pPr>
              <w:spacing w:before="40" w:after="40"/>
              <w:jc w:val="center"/>
              <w:rPr>
                <w:b/>
                <w:bCs/>
              </w:rPr>
            </w:pPr>
            <w:r w:rsidRPr="006572CF">
              <w:rPr>
                <w:b/>
                <w:bCs/>
              </w:rPr>
              <w:t>20</w:t>
            </w:r>
          </w:p>
        </w:tc>
        <w:tc>
          <w:tcPr>
            <w:tcW w:w="1065" w:type="dxa"/>
            <w:tcBorders>
              <w:top w:val="single" w:sz="4" w:space="0" w:color="auto"/>
              <w:left w:val="single" w:sz="4" w:space="0" w:color="auto"/>
              <w:bottom w:val="single" w:sz="4" w:space="0" w:color="auto"/>
              <w:right w:val="single" w:sz="4" w:space="0" w:color="auto"/>
            </w:tcBorders>
            <w:vAlign w:val="center"/>
          </w:tcPr>
          <w:p w:rsidR="009A7D86" w:rsidRPr="006572CF" w:rsidP="006572CF" w14:paraId="6CF5FC2C" w14:textId="77777777">
            <w:pPr>
              <w:spacing w:before="40" w:after="40"/>
              <w:jc w:val="right"/>
              <w:rPr>
                <w:b/>
                <w:bCs/>
              </w:rPr>
            </w:pPr>
            <w:r w:rsidRPr="006572CF">
              <w:rPr>
                <w:b/>
                <w:bCs/>
              </w:rPr>
              <w:t>$</w:t>
            </w:r>
            <w:r w:rsidR="00B45F7A">
              <w:rPr>
                <w:b/>
                <w:bCs/>
              </w:rPr>
              <w:t>1,144</w:t>
            </w:r>
            <w:r w:rsidR="00C465CE">
              <w:rPr>
                <w:b/>
                <w:bCs/>
              </w:rPr>
              <w:t>.20</w:t>
            </w:r>
          </w:p>
        </w:tc>
      </w:tr>
    </w:tbl>
    <w:p w:rsidR="006818AB" w:rsidP="00280515" w14:paraId="0136EDB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color w:val="3366FF"/>
          <w:sz w:val="22"/>
          <w:szCs w:val="22"/>
        </w:rPr>
      </w:pPr>
    </w:p>
    <w:p w:rsidR="006818AB" w:rsidP="006818AB" w14:paraId="334A02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i/>
          <w:sz w:val="22"/>
          <w:szCs w:val="22"/>
        </w:rPr>
      </w:pPr>
      <w:r w:rsidRPr="004542AA">
        <w:rPr>
          <w:rFonts w:ascii="Tahoma" w:hAnsi="Tahoma" w:cs="Tahoma"/>
          <w:i/>
          <w:sz w:val="22"/>
          <w:szCs w:val="22"/>
        </w:rPr>
        <w:t xml:space="preserve">* Taken from: </w:t>
      </w:r>
      <w:hyperlink r:id="rId8" w:history="1">
        <w:r w:rsidRPr="004542AA" w:rsidR="009A7D86">
          <w:rPr>
            <w:rStyle w:val="Hyperlink"/>
          </w:rPr>
          <w:t>SALARY TABLE</w:t>
        </w:r>
        <w:r w:rsidRPr="004542AA" w:rsidR="009A7D86">
          <w:rPr>
            <w:rStyle w:val="Hyperlink"/>
          </w:rPr>
          <w:t xml:space="preserve"> </w:t>
        </w:r>
        <w:r w:rsidRPr="004542AA" w:rsidR="009A7D86">
          <w:rPr>
            <w:rStyle w:val="Hyperlink"/>
          </w:rPr>
          <w:t>202</w:t>
        </w:r>
        <w:r w:rsidRPr="004542AA" w:rsidR="007D5848">
          <w:rPr>
            <w:rStyle w:val="Hyperlink"/>
          </w:rPr>
          <w:t>6</w:t>
        </w:r>
        <w:r w:rsidRPr="004542AA" w:rsidR="009A7D86">
          <w:rPr>
            <w:rStyle w:val="Hyperlink"/>
          </w:rPr>
          <w:t>-</w:t>
        </w:r>
        <w:r w:rsidRPr="004542AA" w:rsidR="009A7D86">
          <w:rPr>
            <w:rStyle w:val="Hyperlink"/>
          </w:rPr>
          <w:t>GS (opm.gov)</w:t>
        </w:r>
      </w:hyperlink>
      <w:r w:rsidRPr="006203AC" w:rsidR="009A7D86">
        <w:rPr>
          <w:rFonts w:ascii="Tahoma" w:hAnsi="Tahoma" w:cs="Tahoma"/>
          <w:i/>
          <w:sz w:val="22"/>
          <w:szCs w:val="22"/>
        </w:rPr>
        <w:t xml:space="preserve"> </w:t>
      </w:r>
      <w:r w:rsidRPr="006203AC">
        <w:rPr>
          <w:rFonts w:ascii="Tahoma" w:hAnsi="Tahoma" w:cs="Tahoma"/>
          <w:i/>
          <w:sz w:val="22"/>
          <w:szCs w:val="22"/>
        </w:rPr>
        <w:t>Cost to Government calculated at hourly wage multiplied by 1.3</w:t>
      </w:r>
      <w:r w:rsidR="009A7D86">
        <w:rPr>
          <w:rFonts w:ascii="Tahoma" w:hAnsi="Tahoma" w:cs="Tahoma"/>
          <w:i/>
          <w:sz w:val="22"/>
          <w:szCs w:val="22"/>
        </w:rPr>
        <w:t xml:space="preserve">. </w:t>
      </w:r>
      <w:r w:rsidRPr="009A7D86" w:rsidR="009A7D86">
        <w:rPr>
          <w:rFonts w:ascii="Tahoma" w:hAnsi="Tahoma" w:cs="Tahoma"/>
          <w:i/>
          <w:sz w:val="22"/>
          <w:szCs w:val="22"/>
        </w:rPr>
        <w:t xml:space="preserve">We estimate that 80% of all response work would be performed by </w:t>
      </w:r>
      <w:r w:rsidR="009A7D86">
        <w:rPr>
          <w:rFonts w:ascii="Tahoma" w:hAnsi="Tahoma" w:cs="Tahoma"/>
          <w:i/>
          <w:sz w:val="22"/>
          <w:szCs w:val="22"/>
        </w:rPr>
        <w:t>a GS 11 – Step 5 geologist</w:t>
      </w:r>
      <w:r w:rsidRPr="009A7D86" w:rsidR="009A7D86">
        <w:rPr>
          <w:rFonts w:ascii="Tahoma" w:hAnsi="Tahoma" w:cs="Tahoma"/>
          <w:i/>
          <w:sz w:val="22"/>
          <w:szCs w:val="22"/>
        </w:rPr>
        <w:t xml:space="preserve"> at</w:t>
      </w:r>
      <w:r w:rsidR="009A7D86">
        <w:rPr>
          <w:rFonts w:ascii="Tahoma" w:hAnsi="Tahoma" w:cs="Tahoma"/>
          <w:i/>
          <w:sz w:val="22"/>
          <w:szCs w:val="22"/>
        </w:rPr>
        <w:t xml:space="preserve"> (</w:t>
      </w:r>
      <w:r w:rsidRPr="009A7D86" w:rsidR="009A7D86">
        <w:rPr>
          <w:rFonts w:ascii="Tahoma" w:hAnsi="Tahoma" w:cs="Tahoma"/>
          <w:i/>
          <w:sz w:val="22"/>
          <w:szCs w:val="22"/>
        </w:rPr>
        <w:t>$</w:t>
      </w:r>
      <w:r w:rsidRPr="004542AA" w:rsidR="007226D4">
        <w:rPr>
          <w:rFonts w:ascii="Tahoma" w:hAnsi="Tahoma" w:cs="Tahoma"/>
          <w:i/>
          <w:sz w:val="22"/>
          <w:szCs w:val="22"/>
        </w:rPr>
        <w:t>4</w:t>
      </w:r>
      <w:r w:rsidRPr="004542AA" w:rsidR="004542AA">
        <w:rPr>
          <w:rFonts w:ascii="Tahoma" w:hAnsi="Tahoma" w:cs="Tahoma"/>
          <w:i/>
          <w:sz w:val="22"/>
          <w:szCs w:val="22"/>
        </w:rPr>
        <w:t>0</w:t>
      </w:r>
      <w:r w:rsidRPr="004542AA" w:rsidR="009A7D86">
        <w:rPr>
          <w:rFonts w:ascii="Tahoma" w:hAnsi="Tahoma" w:cs="Tahoma"/>
          <w:i/>
          <w:sz w:val="22"/>
          <w:szCs w:val="22"/>
        </w:rPr>
        <w:t>.</w:t>
      </w:r>
      <w:r w:rsidRPr="004542AA" w:rsidR="004542AA">
        <w:rPr>
          <w:rFonts w:ascii="Tahoma" w:hAnsi="Tahoma" w:cs="Tahoma"/>
          <w:i/>
          <w:sz w:val="22"/>
          <w:szCs w:val="22"/>
        </w:rPr>
        <w:t>55</w:t>
      </w:r>
      <w:r w:rsidRPr="004542AA" w:rsidR="009A7D86">
        <w:rPr>
          <w:rFonts w:ascii="Tahoma" w:hAnsi="Tahoma" w:cs="Tahoma"/>
          <w:i/>
          <w:sz w:val="22"/>
          <w:szCs w:val="22"/>
        </w:rPr>
        <w:t>/hour * 1.3 = $</w:t>
      </w:r>
      <w:r w:rsidRPr="004542AA" w:rsidR="007226D4">
        <w:rPr>
          <w:rFonts w:ascii="Tahoma" w:hAnsi="Tahoma" w:cs="Tahoma"/>
          <w:i/>
          <w:sz w:val="22"/>
          <w:szCs w:val="22"/>
        </w:rPr>
        <w:t>5</w:t>
      </w:r>
      <w:r w:rsidRPr="004542AA" w:rsidR="004542AA">
        <w:rPr>
          <w:rFonts w:ascii="Tahoma" w:hAnsi="Tahoma" w:cs="Tahoma"/>
          <w:i/>
          <w:sz w:val="22"/>
          <w:szCs w:val="22"/>
        </w:rPr>
        <w:t>2</w:t>
      </w:r>
      <w:r w:rsidRPr="004542AA" w:rsidR="009A7D86">
        <w:rPr>
          <w:rFonts w:ascii="Tahoma" w:hAnsi="Tahoma" w:cs="Tahoma"/>
          <w:i/>
          <w:sz w:val="22"/>
          <w:szCs w:val="22"/>
        </w:rPr>
        <w:t>.</w:t>
      </w:r>
      <w:r w:rsidRPr="004542AA" w:rsidR="004542AA">
        <w:rPr>
          <w:rFonts w:ascii="Tahoma" w:hAnsi="Tahoma" w:cs="Tahoma"/>
          <w:i/>
          <w:sz w:val="22"/>
          <w:szCs w:val="22"/>
        </w:rPr>
        <w:t>72</w:t>
      </w:r>
      <w:r w:rsidRPr="004542AA" w:rsidR="009A7D86">
        <w:rPr>
          <w:rFonts w:ascii="Tahoma" w:hAnsi="Tahoma" w:cs="Tahoma"/>
          <w:i/>
          <w:sz w:val="22"/>
          <w:szCs w:val="22"/>
        </w:rPr>
        <w:t>)</w:t>
      </w:r>
      <w:r w:rsidRPr="009A7D86" w:rsidR="009A7D86">
        <w:rPr>
          <w:rFonts w:ascii="Tahoma" w:hAnsi="Tahoma" w:cs="Tahoma"/>
          <w:i/>
          <w:sz w:val="22"/>
          <w:szCs w:val="22"/>
        </w:rPr>
        <w:t xml:space="preserve"> and 20% by </w:t>
      </w:r>
      <w:r w:rsidR="009A7D86">
        <w:rPr>
          <w:rFonts w:ascii="Tahoma" w:hAnsi="Tahoma" w:cs="Tahoma"/>
          <w:i/>
          <w:sz w:val="22"/>
          <w:szCs w:val="22"/>
        </w:rPr>
        <w:t xml:space="preserve">GS 13 – Step </w:t>
      </w:r>
      <w:r w:rsidR="009A7D86">
        <w:rPr>
          <w:rFonts w:ascii="Tahoma" w:hAnsi="Tahoma" w:cs="Tahoma"/>
          <w:i/>
          <w:sz w:val="22"/>
          <w:szCs w:val="22"/>
        </w:rPr>
        <w:t>5 line</w:t>
      </w:r>
      <w:r w:rsidR="009A7D86">
        <w:rPr>
          <w:rFonts w:ascii="Tahoma" w:hAnsi="Tahoma" w:cs="Tahoma"/>
          <w:i/>
          <w:sz w:val="22"/>
          <w:szCs w:val="22"/>
        </w:rPr>
        <w:t xml:space="preserve"> officers</w:t>
      </w:r>
      <w:r w:rsidRPr="009A7D86" w:rsidR="009A7D86">
        <w:rPr>
          <w:rFonts w:ascii="Tahoma" w:hAnsi="Tahoma" w:cs="Tahoma"/>
          <w:i/>
          <w:sz w:val="22"/>
          <w:szCs w:val="22"/>
        </w:rPr>
        <w:t xml:space="preserve"> at </w:t>
      </w:r>
      <w:r w:rsidR="009A7D86">
        <w:rPr>
          <w:rFonts w:ascii="Tahoma" w:hAnsi="Tahoma" w:cs="Tahoma"/>
          <w:i/>
          <w:sz w:val="22"/>
          <w:szCs w:val="22"/>
        </w:rPr>
        <w:t>(</w:t>
      </w:r>
      <w:r w:rsidRPr="009A7D86" w:rsidR="009A7D86">
        <w:rPr>
          <w:rFonts w:ascii="Tahoma" w:hAnsi="Tahoma" w:cs="Tahoma"/>
          <w:i/>
          <w:sz w:val="22"/>
          <w:szCs w:val="22"/>
        </w:rPr>
        <w:t>$</w:t>
      </w:r>
      <w:r w:rsidR="004542AA">
        <w:rPr>
          <w:rFonts w:ascii="Tahoma" w:hAnsi="Tahoma" w:cs="Tahoma"/>
          <w:i/>
          <w:sz w:val="22"/>
          <w:szCs w:val="22"/>
        </w:rPr>
        <w:t>57</w:t>
      </w:r>
      <w:r w:rsidRPr="004542AA" w:rsidR="009A7D86">
        <w:rPr>
          <w:rFonts w:ascii="Tahoma" w:hAnsi="Tahoma" w:cs="Tahoma"/>
          <w:i/>
          <w:sz w:val="22"/>
          <w:szCs w:val="22"/>
        </w:rPr>
        <w:t>.</w:t>
      </w:r>
      <w:r w:rsidRPr="004542AA" w:rsidR="007226D4">
        <w:rPr>
          <w:rFonts w:ascii="Tahoma" w:hAnsi="Tahoma" w:cs="Tahoma"/>
          <w:i/>
          <w:sz w:val="22"/>
          <w:szCs w:val="22"/>
        </w:rPr>
        <w:t>8</w:t>
      </w:r>
      <w:r w:rsidRPr="004542AA" w:rsidR="004542AA">
        <w:rPr>
          <w:rFonts w:ascii="Tahoma" w:hAnsi="Tahoma" w:cs="Tahoma"/>
          <w:i/>
          <w:sz w:val="22"/>
          <w:szCs w:val="22"/>
        </w:rPr>
        <w:t>0</w:t>
      </w:r>
      <w:r w:rsidRPr="004542AA" w:rsidR="009A7D86">
        <w:rPr>
          <w:rFonts w:ascii="Tahoma" w:hAnsi="Tahoma" w:cs="Tahoma"/>
          <w:i/>
          <w:sz w:val="22"/>
          <w:szCs w:val="22"/>
        </w:rPr>
        <w:t>/hour * 1.3 = $</w:t>
      </w:r>
      <w:r w:rsidRPr="004542AA" w:rsidR="004542AA">
        <w:rPr>
          <w:rFonts w:ascii="Tahoma" w:hAnsi="Tahoma" w:cs="Tahoma"/>
          <w:i/>
          <w:sz w:val="22"/>
          <w:szCs w:val="22"/>
        </w:rPr>
        <w:t>75</w:t>
      </w:r>
      <w:r w:rsidRPr="004542AA" w:rsidR="009A7D86">
        <w:rPr>
          <w:rFonts w:ascii="Tahoma" w:hAnsi="Tahoma" w:cs="Tahoma"/>
          <w:i/>
          <w:sz w:val="22"/>
          <w:szCs w:val="22"/>
        </w:rPr>
        <w:t>.</w:t>
      </w:r>
      <w:r w:rsidRPr="004542AA" w:rsidR="007226D4">
        <w:rPr>
          <w:rFonts w:ascii="Tahoma" w:hAnsi="Tahoma" w:cs="Tahoma"/>
          <w:i/>
          <w:sz w:val="22"/>
          <w:szCs w:val="22"/>
        </w:rPr>
        <w:t>1</w:t>
      </w:r>
      <w:r w:rsidRPr="004542AA" w:rsidR="004542AA">
        <w:rPr>
          <w:rFonts w:ascii="Tahoma" w:hAnsi="Tahoma" w:cs="Tahoma"/>
          <w:i/>
          <w:sz w:val="22"/>
          <w:szCs w:val="22"/>
        </w:rPr>
        <w:t>4</w:t>
      </w:r>
      <w:r w:rsidR="009A7D86">
        <w:rPr>
          <w:rFonts w:ascii="Tahoma" w:hAnsi="Tahoma" w:cs="Tahoma"/>
          <w:i/>
          <w:sz w:val="22"/>
          <w:szCs w:val="22"/>
        </w:rPr>
        <w:t>)</w:t>
      </w:r>
      <w:r w:rsidRPr="009A7D86" w:rsidR="009A7D86">
        <w:rPr>
          <w:rFonts w:ascii="Tahoma" w:hAnsi="Tahoma" w:cs="Tahoma"/>
          <w:i/>
          <w:sz w:val="22"/>
          <w:szCs w:val="22"/>
        </w:rPr>
        <w:t xml:space="preserve"> for a weighted figure of $</w:t>
      </w:r>
      <w:r w:rsidRPr="004542AA" w:rsidR="004542AA">
        <w:rPr>
          <w:rFonts w:ascii="Tahoma" w:hAnsi="Tahoma" w:cs="Tahoma"/>
          <w:i/>
          <w:sz w:val="22"/>
          <w:szCs w:val="22"/>
        </w:rPr>
        <w:t>5</w:t>
      </w:r>
      <w:r w:rsidRPr="004542AA" w:rsidR="007226D4">
        <w:rPr>
          <w:rFonts w:ascii="Tahoma" w:hAnsi="Tahoma" w:cs="Tahoma"/>
          <w:i/>
          <w:sz w:val="22"/>
          <w:szCs w:val="22"/>
        </w:rPr>
        <w:t>7.</w:t>
      </w:r>
      <w:r w:rsidRPr="004542AA" w:rsidR="004542AA">
        <w:rPr>
          <w:rFonts w:ascii="Tahoma" w:hAnsi="Tahoma" w:cs="Tahoma"/>
          <w:i/>
          <w:sz w:val="22"/>
          <w:szCs w:val="22"/>
        </w:rPr>
        <w:t>21</w:t>
      </w:r>
      <w:r w:rsidRPr="004542AA" w:rsidR="009A7D86">
        <w:rPr>
          <w:rFonts w:ascii="Tahoma" w:hAnsi="Tahoma" w:cs="Tahoma"/>
          <w:i/>
          <w:sz w:val="22"/>
          <w:szCs w:val="22"/>
        </w:rPr>
        <w:t>/hour</w:t>
      </w:r>
    </w:p>
    <w:p w:rsidR="00280515" w:rsidRPr="006203AC" w:rsidP="006818AB" w14:paraId="39485E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i/>
          <w:color w:val="3366FF"/>
          <w:sz w:val="22"/>
          <w:szCs w:val="22"/>
        </w:rPr>
      </w:pPr>
    </w:p>
    <w:p w:rsidR="006B455B" w:rsidP="00292B41" w14:paraId="286FA772" w14:textId="77777777">
      <w:pPr>
        <w:numPr>
          <w:ilvl w:val="0"/>
          <w:numId w:val="27"/>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Explain the reasons for any program changes </w:t>
      </w:r>
      <w:r>
        <w:rPr>
          <w:rFonts w:ascii="Tahoma" w:hAnsi="Tahoma" w:cs="Tahoma"/>
          <w:b/>
          <w:bCs/>
          <w:sz w:val="22"/>
          <w:szCs w:val="22"/>
        </w:rPr>
        <w:t>or adjustments reported in items 13 or 14 of OMB form 83-I.</w:t>
      </w:r>
    </w:p>
    <w:p w:rsidR="003E2E57" w:rsidRPr="003E2E57" w:rsidP="003E2E57" w14:paraId="5E7798AE" w14:textId="77777777">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t>There are no program changes or adjustments for this renewal.</w:t>
      </w:r>
    </w:p>
    <w:p w:rsidR="003E2E57" w:rsidRPr="00504B59" w:rsidP="003E2E57" w14:paraId="2D292401"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p>
    <w:p w:rsidR="00C37CD8" w:rsidRPr="00EC10FF" w:rsidP="00292B41" w14:paraId="1E56F735" w14:textId="77777777">
      <w:pPr>
        <w:numPr>
          <w:ilvl w:val="0"/>
          <w:numId w:val="27"/>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For collections of information whose results are planned to be published, outline plans for tabulation and publication.</w:t>
      </w:r>
    </w:p>
    <w:p w:rsidR="00EC10FF" w:rsidRPr="003E2E57" w:rsidP="00197F9A" w14:paraId="0956729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t>The Forest Service does not routinely publish the information in this collection.</w:t>
      </w:r>
    </w:p>
    <w:p w:rsidR="00C37CD8" w:rsidRPr="00EC10FF" w:rsidP="00292B41" w14:paraId="5477BA04" w14:textId="77777777">
      <w:pPr>
        <w:numPr>
          <w:ilvl w:val="0"/>
          <w:numId w:val="27"/>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EC10FF" w:rsidRPr="003E2E57" w:rsidP="00197F9A" w14:paraId="1028022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pPr>
      <w:r w:rsidRPr="003E2E57">
        <w:t>The Forest Service is not seeking approval to not display the expiration date.</w:t>
      </w:r>
    </w:p>
    <w:p w:rsidR="006B455B" w:rsidP="00292B41" w14:paraId="69E72559" w14:textId="77777777">
      <w:pPr>
        <w:numPr>
          <w:ilvl w:val="0"/>
          <w:numId w:val="27"/>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Explain each exception to the certif</w:t>
      </w:r>
      <w:r>
        <w:rPr>
          <w:rFonts w:ascii="Tahoma" w:hAnsi="Tahoma" w:cs="Tahoma"/>
          <w:b/>
          <w:bCs/>
          <w:sz w:val="22"/>
          <w:szCs w:val="22"/>
        </w:rPr>
        <w:t xml:space="preserve">ication statement identified in, </w:t>
      </w:r>
      <w:r w:rsidRPr="00EC10FF">
        <w:rPr>
          <w:rFonts w:ascii="Tahoma" w:hAnsi="Tahoma" w:cs="Tahoma"/>
          <w:b/>
          <w:bCs/>
          <w:sz w:val="22"/>
          <w:szCs w:val="22"/>
        </w:rPr>
        <w:t>"Certification</w:t>
      </w:r>
      <w:r>
        <w:rPr>
          <w:rFonts w:ascii="Tahoma" w:hAnsi="Tahoma" w:cs="Tahoma"/>
          <w:b/>
          <w:bCs/>
          <w:sz w:val="22"/>
          <w:szCs w:val="22"/>
        </w:rPr>
        <w:t xml:space="preserve"> </w:t>
      </w:r>
      <w:r w:rsidRPr="00EC10FF">
        <w:rPr>
          <w:rFonts w:ascii="Tahoma" w:hAnsi="Tahoma" w:cs="Tahoma"/>
          <w:b/>
          <w:bCs/>
          <w:sz w:val="22"/>
          <w:szCs w:val="22"/>
        </w:rPr>
        <w:t>for Paperwork Reduction Act</w:t>
      </w:r>
      <w:r w:rsidR="00292B41">
        <w:rPr>
          <w:rFonts w:ascii="Tahoma" w:hAnsi="Tahoma" w:cs="Tahoma"/>
          <w:b/>
          <w:bCs/>
          <w:sz w:val="22"/>
          <w:szCs w:val="22"/>
        </w:rPr>
        <w:t xml:space="preserve"> Submissions</w:t>
      </w:r>
      <w:r w:rsidRPr="00EC10FF">
        <w:rPr>
          <w:rFonts w:ascii="Tahoma" w:hAnsi="Tahoma" w:cs="Tahoma"/>
          <w:b/>
          <w:bCs/>
          <w:sz w:val="22"/>
          <w:szCs w:val="22"/>
        </w:rPr>
        <w:t>."</w:t>
      </w:r>
    </w:p>
    <w:p w:rsidR="00BB06C3" w:rsidRPr="006572CF" w:rsidP="00BB06C3" w14:paraId="6390B45A"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Pr>
          <w:rFonts w:ascii="Tahoma" w:hAnsi="Tahoma" w:cs="Tahoma"/>
          <w:bCs/>
          <w:i/>
          <w:color w:val="3366FF"/>
          <w:sz w:val="22"/>
          <w:szCs w:val="22"/>
        </w:rPr>
        <w:tab/>
      </w:r>
      <w:r w:rsidRPr="006572CF">
        <w:rPr>
          <w:bCs/>
          <w:iCs/>
        </w:rPr>
        <w:t>This package:</w:t>
      </w:r>
    </w:p>
    <w:p w:rsidR="00BB06C3" w:rsidRPr="006572CF" w:rsidP="00BB06C3" w14:paraId="4163C58D"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bCs/>
          <w:iCs/>
        </w:rPr>
        <w:t>Identifies the statute or regulation authorizing the collection of the information</w:t>
      </w:r>
      <w:r w:rsidR="006572CF">
        <w:rPr>
          <w:bCs/>
          <w:iCs/>
        </w:rPr>
        <w:t xml:space="preserve"> (Section A.1)</w:t>
      </w:r>
    </w:p>
    <w:p w:rsidR="00BB06C3" w:rsidRPr="006572CF" w:rsidP="00BB06C3" w14:paraId="2B9E786F"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bCs/>
          <w:iCs/>
        </w:rPr>
        <w:t>Describes efforts taken to avoid the collection of similar information already available or collected under a different information collection</w:t>
      </w:r>
      <w:r w:rsidR="00534EB6">
        <w:rPr>
          <w:bCs/>
          <w:iCs/>
        </w:rPr>
        <w:t xml:space="preserve"> (Section A.4)</w:t>
      </w:r>
    </w:p>
    <w:p w:rsidR="00BB06C3" w:rsidRPr="006572CF" w:rsidP="00BB06C3" w14:paraId="797EF55D"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bCs/>
          <w:iCs/>
        </w:rPr>
        <w:t>Describes methods to minimize the burden on small businesses or other small entities</w:t>
      </w:r>
      <w:r w:rsidR="00534EB6">
        <w:rPr>
          <w:bCs/>
          <w:iCs/>
        </w:rPr>
        <w:t xml:space="preserve"> (Section A.5)</w:t>
      </w:r>
    </w:p>
    <w:p w:rsidR="00BB06C3" w:rsidRPr="006572CF" w:rsidP="00BB06C3" w14:paraId="1697F616"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bCs/>
          <w:iCs/>
        </w:rPr>
        <w:t>Is written using plan English and all terminology used is unambiguous and understandable to those required to respond to the collection</w:t>
      </w:r>
      <w:r w:rsidR="008963E9">
        <w:rPr>
          <w:bCs/>
          <w:iCs/>
        </w:rPr>
        <w:t xml:space="preserve"> – Yes</w:t>
      </w:r>
    </w:p>
    <w:p w:rsidR="00BB06C3" w:rsidRPr="006572CF" w:rsidP="00BB06C3" w14:paraId="5EC862DC"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bCs/>
          <w:iCs/>
        </w:rPr>
        <w:t xml:space="preserve">Indicates how long records specified in the collection are to be maintained by </w:t>
      </w:r>
      <w:r w:rsidRPr="006572CF">
        <w:rPr>
          <w:bCs/>
          <w:iCs/>
        </w:rPr>
        <w:t>persons</w:t>
      </w:r>
      <w:r w:rsidRPr="006572CF">
        <w:rPr>
          <w:bCs/>
          <w:iCs/>
        </w:rPr>
        <w:t xml:space="preserve"> required to maintain the records</w:t>
      </w:r>
      <w:r w:rsidR="00534EB6">
        <w:rPr>
          <w:bCs/>
          <w:iCs/>
        </w:rPr>
        <w:t xml:space="preserve"> (Section A.7)</w:t>
      </w:r>
    </w:p>
    <w:p w:rsidR="00BB06C3" w:rsidRPr="006572CF" w:rsidP="00BB06C3" w14:paraId="48858CF4"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bCs/>
          <w:iCs/>
        </w:rPr>
        <w:t>Has dedicated resources to ensure the proper use and processing of the information being collected to enhance (as appropriate) the value of the information to agencies and the public</w:t>
      </w:r>
      <w:r w:rsidR="008963E9">
        <w:rPr>
          <w:bCs/>
          <w:iCs/>
        </w:rPr>
        <w:t xml:space="preserve"> – Yes </w:t>
      </w:r>
    </w:p>
    <w:p w:rsidR="00BB06C3" w:rsidRPr="006572CF" w:rsidP="00BB06C3" w14:paraId="467D5038"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iCs/>
        </w:rPr>
        <w:t xml:space="preserve">(If applicable) Indicates the use of a statistical survey method that produces valid and reliable results while minimizing undue burden. - </w:t>
      </w:r>
      <w:r w:rsidRPr="006572CF">
        <w:rPr>
          <w:b/>
          <w:iCs/>
        </w:rPr>
        <w:t>AND</w:t>
      </w:r>
      <w:r w:rsidRPr="006572CF">
        <w:rPr>
          <w:iCs/>
        </w:rPr>
        <w:t xml:space="preserve"> -The National Agricultural Statistical Service (NASS) has reviewed the statistical survey method; and  NASS review comments and Forest Service responses to NASS comments on survey(s) have been incorporated into the Supporting Statement or are included as a separate document</w:t>
      </w:r>
      <w:r w:rsidR="00534EB6">
        <w:rPr>
          <w:iCs/>
        </w:rPr>
        <w:t xml:space="preserve"> (Not Applicable)</w:t>
      </w:r>
    </w:p>
    <w:p w:rsidR="00BB06C3" w:rsidRPr="006572CF" w:rsidP="00BB06C3" w14:paraId="507B5D8B"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iCs/>
        </w:rPr>
        <w:t>Describes the intended use of information technology to reduce burden and where possible avoid unnecessary system and technology costs.</w:t>
      </w:r>
      <w:r w:rsidR="00534EB6">
        <w:rPr>
          <w:iCs/>
        </w:rPr>
        <w:t xml:space="preserve"> (Sections A.6 and A.7)</w:t>
      </w:r>
    </w:p>
    <w:p w:rsidR="00BB06C3" w:rsidRPr="006572CF" w:rsidP="00BB06C3" w14:paraId="27C0783C" w14:textId="77777777">
      <w:pPr>
        <w:numPr>
          <w:ilvl w:val="4"/>
          <w:numId w:val="21"/>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Cs/>
          <w:iCs/>
        </w:rPr>
      </w:pPr>
      <w:r w:rsidRPr="006572CF">
        <w:rPr>
          <w:iCs/>
        </w:rPr>
        <w:t xml:space="preserve">(If applicable)  Privacy Act Systems of Records name and identifier </w:t>
      </w:r>
      <w:r w:rsidRPr="006572CF">
        <w:rPr>
          <w:iCs/>
        </w:rPr>
        <w:t>has</w:t>
      </w:r>
      <w:r w:rsidRPr="006572CF">
        <w:rPr>
          <w:iCs/>
        </w:rPr>
        <w:t xml:space="preserve"> been indicated in item 10.</w:t>
      </w:r>
      <w:r w:rsidR="00534EB6">
        <w:rPr>
          <w:iCs/>
        </w:rPr>
        <w:t xml:space="preserve"> (Not Applicable)</w:t>
      </w:r>
    </w:p>
    <w:p w:rsidR="00EC10FF" w:rsidP="00197F9A" w14:paraId="1DD16E5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00E577C0" w:rsidRPr="008963E9" w:rsidP="008963E9" w14:paraId="0683B417"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sidRPr="003B5337">
        <w:rPr>
          <w:rFonts w:ascii="Tahoma" w:hAnsi="Tahoma" w:cs="Tahoma"/>
          <w:bCs/>
          <w:sz w:val="22"/>
          <w:szCs w:val="22"/>
        </w:rPr>
        <w:t>There are no exceptions to the certification statement.</w:t>
      </w:r>
      <w:r>
        <w:rPr>
          <w:rFonts w:ascii="Tahoma" w:hAnsi="Tahoma" w:cs="Tahoma"/>
          <w:bCs/>
          <w:sz w:val="22"/>
          <w:szCs w:val="22"/>
        </w:rPr>
        <w:t xml:space="preserve">  </w:t>
      </w:r>
      <w:r w:rsidRPr="00DB10D3">
        <w:rPr>
          <w:rFonts w:ascii="Tahoma" w:hAnsi="Tahoma" w:cs="Tahoma"/>
          <w:bCs/>
          <w:sz w:val="22"/>
          <w:szCs w:val="22"/>
        </w:rPr>
        <w:t>The agency is able to certify that the collection of information enco</w:t>
      </w:r>
      <w:r>
        <w:rPr>
          <w:rFonts w:ascii="Tahoma" w:hAnsi="Tahoma" w:cs="Tahoma"/>
          <w:bCs/>
          <w:sz w:val="22"/>
          <w:szCs w:val="22"/>
        </w:rPr>
        <w:t>mpassed by this request</w:t>
      </w:r>
      <w:r w:rsidRPr="00DB10D3">
        <w:rPr>
          <w:rFonts w:ascii="Tahoma" w:hAnsi="Tahoma" w:cs="Tahoma"/>
          <w:bCs/>
          <w:sz w:val="22"/>
          <w:szCs w:val="22"/>
        </w:rPr>
        <w:t xml:space="preserve"> complies with 5 CFR 1320.</w:t>
      </w:r>
    </w:p>
    <w:sectPr w:rsidSect="00504B59">
      <w:footerReference w:type="default" r:id="rId9"/>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P="00EC10FF" w14:paraId="387B2BD5"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9</w:t>
    </w:r>
    <w:r>
      <w:rPr>
        <w:rFonts w:ascii="Helvetica" w:hAnsi="Helvetica" w:cs="Helvetica"/>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2AE046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3">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7">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8">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9">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33">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62D08CB"/>
    <w:multiLevelType w:val="hybridMultilevel"/>
    <w:tmpl w:val="0542F964"/>
    <w:lvl w:ilvl="0">
      <w:start w:val="14"/>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612172305">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57692439">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1422681385">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710764511">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548226042">
    <w:abstractNumId w:val="27"/>
  </w:num>
  <w:num w:numId="6" w16cid:durableId="379478597">
    <w:abstractNumId w:val="22"/>
  </w:num>
  <w:num w:numId="7" w16cid:durableId="833955041">
    <w:abstractNumId w:val="31"/>
  </w:num>
  <w:num w:numId="8" w16cid:durableId="2079590609">
    <w:abstractNumId w:val="30"/>
  </w:num>
  <w:num w:numId="9" w16cid:durableId="1647663538">
    <w:abstractNumId w:val="25"/>
  </w:num>
  <w:num w:numId="10" w16cid:durableId="1353452700">
    <w:abstractNumId w:val="17"/>
  </w:num>
  <w:num w:numId="11" w16cid:durableId="1909992074">
    <w:abstractNumId w:val="20"/>
  </w:num>
  <w:num w:numId="12" w16cid:durableId="677735659">
    <w:abstractNumId w:val="39"/>
  </w:num>
  <w:num w:numId="13" w16cid:durableId="793672500">
    <w:abstractNumId w:val="38"/>
  </w:num>
  <w:num w:numId="14" w16cid:durableId="1405451293">
    <w:abstractNumId w:val="28"/>
  </w:num>
  <w:num w:numId="15" w16cid:durableId="776410591">
    <w:abstractNumId w:val="21"/>
  </w:num>
  <w:num w:numId="16" w16cid:durableId="1254125945">
    <w:abstractNumId w:val="34"/>
  </w:num>
  <w:num w:numId="17" w16cid:durableId="1849633240">
    <w:abstractNumId w:val="23"/>
  </w:num>
  <w:num w:numId="18" w16cid:durableId="1993605438">
    <w:abstractNumId w:val="36"/>
  </w:num>
  <w:num w:numId="19" w16cid:durableId="1259563317">
    <w:abstractNumId w:val="32"/>
  </w:num>
  <w:num w:numId="20" w16cid:durableId="1732001194">
    <w:abstractNumId w:val="33"/>
  </w:num>
  <w:num w:numId="21" w16cid:durableId="1387873095">
    <w:abstractNumId w:val="24"/>
  </w:num>
  <w:num w:numId="22" w16cid:durableId="1230926120">
    <w:abstractNumId w:val="19"/>
  </w:num>
  <w:num w:numId="23" w16cid:durableId="1424034279">
    <w:abstractNumId w:val="18"/>
  </w:num>
  <w:num w:numId="24" w16cid:durableId="411049754">
    <w:abstractNumId w:val="29"/>
  </w:num>
  <w:num w:numId="25" w16cid:durableId="1742486087">
    <w:abstractNumId w:val="26"/>
  </w:num>
  <w:num w:numId="26" w16cid:durableId="1989704129">
    <w:abstractNumId w:val="35"/>
  </w:num>
  <w:num w:numId="27" w16cid:durableId="6646317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24C5"/>
    <w:rsid w:val="0000794A"/>
    <w:rsid w:val="00052C24"/>
    <w:rsid w:val="00063823"/>
    <w:rsid w:val="00076BA1"/>
    <w:rsid w:val="000B2AEB"/>
    <w:rsid w:val="000D53A4"/>
    <w:rsid w:val="000E60F3"/>
    <w:rsid w:val="000E7AAA"/>
    <w:rsid w:val="000F4DC6"/>
    <w:rsid w:val="00107D3B"/>
    <w:rsid w:val="001307CC"/>
    <w:rsid w:val="00145E6F"/>
    <w:rsid w:val="00162082"/>
    <w:rsid w:val="00197F9A"/>
    <w:rsid w:val="001A4B4C"/>
    <w:rsid w:val="001D1B11"/>
    <w:rsid w:val="001F3AB3"/>
    <w:rsid w:val="002776CD"/>
    <w:rsid w:val="00280515"/>
    <w:rsid w:val="00292B41"/>
    <w:rsid w:val="00294C64"/>
    <w:rsid w:val="002B1F50"/>
    <w:rsid w:val="002B5DC7"/>
    <w:rsid w:val="002D277C"/>
    <w:rsid w:val="00316923"/>
    <w:rsid w:val="00325313"/>
    <w:rsid w:val="00355F69"/>
    <w:rsid w:val="003767F5"/>
    <w:rsid w:val="003A7D25"/>
    <w:rsid w:val="003B5337"/>
    <w:rsid w:val="003C5C89"/>
    <w:rsid w:val="003D1ABD"/>
    <w:rsid w:val="003D6867"/>
    <w:rsid w:val="003E2E57"/>
    <w:rsid w:val="00404C07"/>
    <w:rsid w:val="00411977"/>
    <w:rsid w:val="00451B2C"/>
    <w:rsid w:val="004542AA"/>
    <w:rsid w:val="00460FA9"/>
    <w:rsid w:val="004920F9"/>
    <w:rsid w:val="004A3386"/>
    <w:rsid w:val="004A64AD"/>
    <w:rsid w:val="004D39A0"/>
    <w:rsid w:val="004E39EF"/>
    <w:rsid w:val="004E7E0E"/>
    <w:rsid w:val="00504B59"/>
    <w:rsid w:val="00507743"/>
    <w:rsid w:val="00534EB6"/>
    <w:rsid w:val="00561B09"/>
    <w:rsid w:val="00562B77"/>
    <w:rsid w:val="00565B3C"/>
    <w:rsid w:val="00574363"/>
    <w:rsid w:val="005C2730"/>
    <w:rsid w:val="006149B0"/>
    <w:rsid w:val="00614A4D"/>
    <w:rsid w:val="006179BC"/>
    <w:rsid w:val="006203AC"/>
    <w:rsid w:val="00624F6A"/>
    <w:rsid w:val="00631BA4"/>
    <w:rsid w:val="006572CF"/>
    <w:rsid w:val="00657B10"/>
    <w:rsid w:val="00667623"/>
    <w:rsid w:val="006818AB"/>
    <w:rsid w:val="0068738A"/>
    <w:rsid w:val="00694AFD"/>
    <w:rsid w:val="006B455B"/>
    <w:rsid w:val="006E030D"/>
    <w:rsid w:val="007053F9"/>
    <w:rsid w:val="00705576"/>
    <w:rsid w:val="007226D4"/>
    <w:rsid w:val="007245E6"/>
    <w:rsid w:val="00734363"/>
    <w:rsid w:val="007515D6"/>
    <w:rsid w:val="00776CD3"/>
    <w:rsid w:val="007B501C"/>
    <w:rsid w:val="007D5848"/>
    <w:rsid w:val="007F69BC"/>
    <w:rsid w:val="008436D8"/>
    <w:rsid w:val="00862A24"/>
    <w:rsid w:val="00890057"/>
    <w:rsid w:val="00896302"/>
    <w:rsid w:val="008963E9"/>
    <w:rsid w:val="008A4AF0"/>
    <w:rsid w:val="008A67A9"/>
    <w:rsid w:val="008C325F"/>
    <w:rsid w:val="008F27F5"/>
    <w:rsid w:val="008F291F"/>
    <w:rsid w:val="00903693"/>
    <w:rsid w:val="00904480"/>
    <w:rsid w:val="00905F86"/>
    <w:rsid w:val="00917427"/>
    <w:rsid w:val="00925522"/>
    <w:rsid w:val="00955F99"/>
    <w:rsid w:val="009768A1"/>
    <w:rsid w:val="009862FB"/>
    <w:rsid w:val="00991A15"/>
    <w:rsid w:val="009A769F"/>
    <w:rsid w:val="009A7D86"/>
    <w:rsid w:val="00A0387E"/>
    <w:rsid w:val="00A325A6"/>
    <w:rsid w:val="00A5675F"/>
    <w:rsid w:val="00AD0ABF"/>
    <w:rsid w:val="00AD3082"/>
    <w:rsid w:val="00AD6087"/>
    <w:rsid w:val="00AD7A2E"/>
    <w:rsid w:val="00B0090D"/>
    <w:rsid w:val="00B12439"/>
    <w:rsid w:val="00B22415"/>
    <w:rsid w:val="00B23968"/>
    <w:rsid w:val="00B45F7A"/>
    <w:rsid w:val="00B50F0F"/>
    <w:rsid w:val="00B60FF9"/>
    <w:rsid w:val="00B615F2"/>
    <w:rsid w:val="00B9791F"/>
    <w:rsid w:val="00BA6A7E"/>
    <w:rsid w:val="00BB06C3"/>
    <w:rsid w:val="00BC3E03"/>
    <w:rsid w:val="00BE57C5"/>
    <w:rsid w:val="00BF116B"/>
    <w:rsid w:val="00BF24DD"/>
    <w:rsid w:val="00BF370D"/>
    <w:rsid w:val="00C03E9F"/>
    <w:rsid w:val="00C17B26"/>
    <w:rsid w:val="00C230FB"/>
    <w:rsid w:val="00C37CD8"/>
    <w:rsid w:val="00C465CE"/>
    <w:rsid w:val="00C94C8E"/>
    <w:rsid w:val="00CB0A80"/>
    <w:rsid w:val="00CC2901"/>
    <w:rsid w:val="00CC47FD"/>
    <w:rsid w:val="00CC579B"/>
    <w:rsid w:val="00CD3315"/>
    <w:rsid w:val="00CD4215"/>
    <w:rsid w:val="00CD6E80"/>
    <w:rsid w:val="00CE4E29"/>
    <w:rsid w:val="00CF59DC"/>
    <w:rsid w:val="00D25FB6"/>
    <w:rsid w:val="00D36D73"/>
    <w:rsid w:val="00D40824"/>
    <w:rsid w:val="00D55FAE"/>
    <w:rsid w:val="00D759CB"/>
    <w:rsid w:val="00D964DC"/>
    <w:rsid w:val="00DB10D3"/>
    <w:rsid w:val="00DB7267"/>
    <w:rsid w:val="00DD37D5"/>
    <w:rsid w:val="00E11B88"/>
    <w:rsid w:val="00E13255"/>
    <w:rsid w:val="00E162A1"/>
    <w:rsid w:val="00E577C0"/>
    <w:rsid w:val="00E81CCB"/>
    <w:rsid w:val="00E95C2C"/>
    <w:rsid w:val="00EB09AF"/>
    <w:rsid w:val="00EC10FF"/>
    <w:rsid w:val="00ED7B3D"/>
    <w:rsid w:val="00F0742E"/>
    <w:rsid w:val="00F11BDE"/>
    <w:rsid w:val="00F1734F"/>
    <w:rsid w:val="00F45171"/>
    <w:rsid w:val="00F50C1B"/>
    <w:rsid w:val="00F736E2"/>
    <w:rsid w:val="00F76B83"/>
    <w:rsid w:val="00F90DEC"/>
    <w:rsid w:val="00FD08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40D3987"/>
  <w15:chartTrackingRefBased/>
  <w15:docId w15:val="{7A4175BB-FA3E-4EC3-9990-FD2B9191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uiPriority w:val="99"/>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H4">
    <w:name w:val="H4"/>
    <w:basedOn w:val="Normal"/>
    <w:next w:val="Normal"/>
    <w:rsid w:val="00734363"/>
    <w:pPr>
      <w:keepNext/>
      <w:autoSpaceDE/>
      <w:autoSpaceDN/>
      <w:adjustRightInd/>
      <w:spacing w:before="100" w:after="100" w:line="480" w:lineRule="auto"/>
      <w:ind w:firstLine="720"/>
    </w:pPr>
    <w:rPr>
      <w:b/>
      <w:szCs w:val="20"/>
    </w:rPr>
  </w:style>
  <w:style w:type="paragraph" w:styleId="BodyText">
    <w:name w:val="Body Text"/>
    <w:basedOn w:val="Normal"/>
    <w:link w:val="BodyTextChar"/>
    <w:uiPriority w:val="99"/>
    <w:semiHidden/>
    <w:unhideWhenUsed/>
    <w:rsid w:val="00107D3B"/>
    <w:pPr>
      <w:widowControl/>
      <w:autoSpaceDE/>
      <w:autoSpaceDN/>
      <w:adjustRightInd/>
      <w:spacing w:after="120" w:line="480" w:lineRule="auto"/>
      <w:ind w:firstLine="720"/>
    </w:pPr>
    <w:rPr>
      <w:szCs w:val="20"/>
    </w:rPr>
  </w:style>
  <w:style w:type="character" w:customStyle="1" w:styleId="BodyTextChar">
    <w:name w:val="Body Text Char"/>
    <w:link w:val="BodyText"/>
    <w:uiPriority w:val="99"/>
    <w:semiHidden/>
    <w:rsid w:val="00107D3B"/>
    <w:rPr>
      <w:sz w:val="24"/>
    </w:rPr>
  </w:style>
  <w:style w:type="character" w:styleId="FollowedHyperlink">
    <w:name w:val="FollowedHyperlink"/>
    <w:uiPriority w:val="99"/>
    <w:semiHidden/>
    <w:unhideWhenUsed/>
    <w:rsid w:val="00F1734F"/>
    <w:rPr>
      <w:color w:val="954F72"/>
      <w:u w:val="single"/>
    </w:rPr>
  </w:style>
  <w:style w:type="character" w:styleId="UnresolvedMention">
    <w:name w:val="Unresolved Mention"/>
    <w:uiPriority w:val="99"/>
    <w:semiHidden/>
    <w:unhideWhenUsed/>
    <w:rsid w:val="005C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document/FS_FRDOC_0001-3804" TargetMode="External" /><Relationship Id="rId8" Type="http://schemas.openxmlformats.org/officeDocument/2006/relationships/hyperlink" Target="https://www.opm.gov/policy-data-oversight/pay-leave/salaries-wages/salary-tables/pdf/2026/RUS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A69C46C6F4D4EAC2FD955BD25D0EC" ma:contentTypeVersion="16" ma:contentTypeDescription="Create a new document." ma:contentTypeScope="" ma:versionID="0b70d76eb58bbd783514f48d4011028d">
  <xsd:schema xmlns:xsd="http://www.w3.org/2001/XMLSchema" xmlns:xs="http://www.w3.org/2001/XMLSchema" xmlns:p="http://schemas.microsoft.com/office/2006/metadata/properties" xmlns:ns1="http://schemas.microsoft.com/sharepoint/v3" xmlns:ns2="7e25f8c5-80a9-4574-a617-5c233853156a" xmlns:ns3="ca3979a3-3465-418c-982b-0defcebcf79e" targetNamespace="http://schemas.microsoft.com/office/2006/metadata/properties" ma:root="true" ma:fieldsID="cce0b4a63eff0eb410844183ebf887ba" ns1:_="" ns2:_="" ns3:_="">
    <xsd:import namespace="http://schemas.microsoft.com/sharepoint/v3"/>
    <xsd:import namespace="7e25f8c5-80a9-4574-a617-5c233853156a"/>
    <xsd:import namespace="ca3979a3-3465-418c-982b-0defcebcf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5f8c5-80a9-4574-a617-5c2338531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979a3-3465-418c-982b-0defcebcf7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60f34c-83ee-4f12-91ab-cc730a0fb52f}" ma:internalName="TaxCatchAll" ma:showField="CatchAllData" ma:web="ca3979a3-3465-418c-982b-0defcebcf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e25f8c5-80a9-4574-a617-5c233853156a">
      <Terms xmlns="http://schemas.microsoft.com/office/infopath/2007/PartnerControls"/>
    </lcf76f155ced4ddcb4097134ff3c332f>
    <_ip_UnifiedCompliancePolicyProperties xmlns="http://schemas.microsoft.com/sharepoint/v3" xsi:nil="true"/>
    <TaxCatchAll xmlns="ca3979a3-3465-418c-982b-0defcebcf79e" xsi:nil="true"/>
  </documentManagement>
</p:properties>
</file>

<file path=customXml/itemProps1.xml><?xml version="1.0" encoding="utf-8"?>
<ds:datastoreItem xmlns:ds="http://schemas.openxmlformats.org/officeDocument/2006/customXml" ds:itemID="{68D57067-D14C-4D62-9A94-750237EE3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25f8c5-80a9-4574-a617-5c233853156a"/>
    <ds:schemaRef ds:uri="ca3979a3-3465-418c-982b-0defcebcf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76ACF8-CB61-47F0-878A-F9A0E38C3D47}">
  <ds:schemaRefs>
    <ds:schemaRef ds:uri="http://schemas.microsoft.com/sharepoint/v3/contenttype/forms"/>
  </ds:schemaRefs>
</ds:datastoreItem>
</file>

<file path=customXml/itemProps3.xml><?xml version="1.0" encoding="utf-8"?>
<ds:datastoreItem xmlns:ds="http://schemas.openxmlformats.org/officeDocument/2006/customXml" ds:itemID="{B5C37A4F-A212-405D-B2B3-85FCA359AC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4241</Words>
  <Characters>24179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Info Collections Specialist</cp:lastModifiedBy>
  <cp:revision>2</cp:revision>
  <cp:lastPrinted>2008-02-15T15:03:00Z</cp:lastPrinted>
  <dcterms:created xsi:type="dcterms:W3CDTF">2026-01-22T19:02:00Z</dcterms:created>
  <dcterms:modified xsi:type="dcterms:W3CDTF">2026-01-22T19:02:00Z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0x010100AEBA69C46C6F4D4EAC2FD955BD25D0EC</vt:lpwstr>
  </property>
  <property fmtid="{D5CDD505-2E9C-101B-9397-08002B2CF9AE}" pid="3" name="MediaServiceImageTags">
    <vt:lpwstr/>
  </property>
</Properties>
</file>