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627ABD16" w:rsidP="0AA4ACE3" w14:paraId="2916743C" w14:textId="15D1A05B">
      <w:pPr>
        <w:tabs>
          <w:tab w:val="center" w:pos="4680"/>
        </w:tabs>
        <w:spacing w:before="120"/>
        <w:jc w:val="center"/>
        <w:rPr>
          <w:rFonts w:ascii="Arial" w:hAnsi="Arial" w:cs="Arial"/>
          <w:b/>
          <w:bCs/>
          <w:sz w:val="32"/>
          <w:szCs w:val="32"/>
        </w:rPr>
      </w:pPr>
      <w:r w:rsidRPr="0AA4ACE3">
        <w:rPr>
          <w:rFonts w:ascii="Arial" w:hAnsi="Arial" w:cs="Arial"/>
          <w:b/>
          <w:bCs/>
          <w:sz w:val="32"/>
          <w:szCs w:val="32"/>
        </w:rPr>
        <w:t xml:space="preserve">COVID-19 Provider Relief Fund (PRF) Reporting Activities  </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AA4ACE3" w14:paraId="22E2A2F1" w14:textId="74741A9A">
      <w:pPr>
        <w:tabs>
          <w:tab w:val="center" w:pos="4680"/>
        </w:tabs>
        <w:spacing w:before="120"/>
        <w:jc w:val="center"/>
        <w:rPr>
          <w:rFonts w:ascii="Arial" w:hAnsi="Arial" w:cs="Arial"/>
          <w:b/>
          <w:bCs/>
          <w:sz w:val="32"/>
          <w:szCs w:val="32"/>
        </w:rPr>
      </w:pPr>
      <w:r w:rsidRPr="0AA4ACE3">
        <w:rPr>
          <w:rFonts w:ascii="Arial" w:hAnsi="Arial" w:cs="Arial"/>
          <w:b/>
          <w:bCs/>
          <w:sz w:val="32"/>
          <w:szCs w:val="32"/>
        </w:rPr>
        <w:t xml:space="preserve">OMB Control No. </w:t>
      </w:r>
      <w:r w:rsidRPr="0AA4ACE3" w:rsidR="208CC7FB">
        <w:rPr>
          <w:rFonts w:ascii="Arial" w:hAnsi="Arial" w:cs="Arial"/>
          <w:b/>
          <w:bCs/>
          <w:sz w:val="32"/>
          <w:szCs w:val="32"/>
        </w:rPr>
        <w:t>0906</w:t>
      </w:r>
      <w:r w:rsidRPr="0AA4ACE3">
        <w:rPr>
          <w:rFonts w:ascii="Arial" w:hAnsi="Arial" w:cs="Arial"/>
          <w:b/>
          <w:bCs/>
          <w:sz w:val="32"/>
          <w:szCs w:val="32"/>
        </w:rPr>
        <w:t>-</w:t>
      </w:r>
      <w:r w:rsidRPr="0AA4ACE3" w:rsidR="11B9FADA">
        <w:rPr>
          <w:rFonts w:ascii="Arial" w:hAnsi="Arial" w:cs="Arial"/>
          <w:b/>
          <w:bCs/>
          <w:sz w:val="32"/>
          <w:szCs w:val="32"/>
        </w:rPr>
        <w:t>0068</w:t>
      </w:r>
      <w:r w:rsidR="00DE0481">
        <w:rPr>
          <w:rFonts w:ascii="Arial" w:hAnsi="Arial" w:cs="Arial"/>
          <w:b/>
          <w:bCs/>
          <w:sz w:val="32"/>
          <w:szCs w:val="32"/>
        </w:rPr>
        <w:t xml:space="preserve"> - Revision</w:t>
      </w:r>
    </w:p>
    <w:p w:rsidR="009B3794" w:rsidRPr="00C45431" w:rsidP="00BE7F84" w14:paraId="22E2A2F3" w14:textId="77777777">
      <w:pPr>
        <w:tabs>
          <w:tab w:val="center" w:pos="4680"/>
        </w:tabs>
        <w:spacing w:before="120"/>
        <w:rPr>
          <w:rFonts w:ascii="Arial" w:hAnsi="Arial" w:cs="Arial"/>
          <w:b/>
          <w:bCs/>
          <w:sz w:val="32"/>
          <w:szCs w:val="32"/>
        </w:rPr>
      </w:pPr>
    </w:p>
    <w:p w:rsidR="51D431D7" w:rsidP="0AA4ACE3" w14:paraId="3999CB19" w14:textId="2D8306DD">
      <w:pPr>
        <w:spacing w:before="120" w:line="259" w:lineRule="auto"/>
        <w:rPr>
          <w:rFonts w:ascii="Arial" w:hAnsi="Arial" w:cs="Arial"/>
          <w:b/>
          <w:bCs/>
          <w:sz w:val="24"/>
        </w:rPr>
      </w:pPr>
      <w:r w:rsidRPr="0AA4ACE3">
        <w:rPr>
          <w:rFonts w:ascii="Arial" w:hAnsi="Arial" w:cs="Arial"/>
          <w:b/>
          <w:bCs/>
          <w:sz w:val="24"/>
        </w:rPr>
        <w:t>Terms of Clearance</w:t>
      </w:r>
      <w:r w:rsidRPr="0AA4ACE3" w:rsidR="112F9B0B">
        <w:rPr>
          <w:rFonts w:ascii="Arial" w:hAnsi="Arial" w:cs="Arial"/>
          <w:b/>
          <w:bCs/>
          <w:sz w:val="24"/>
        </w:rPr>
        <w:t>:</w:t>
      </w:r>
      <w:r w:rsidRPr="0AA4ACE3" w:rsidR="112F9B0B">
        <w:rPr>
          <w:rFonts w:ascii="Arial" w:hAnsi="Arial" w:cs="Arial"/>
          <w:sz w:val="24"/>
        </w:rPr>
        <w:t xml:space="preserve">  </w:t>
      </w:r>
      <w:r w:rsidRPr="0AA4ACE3" w:rsidR="12D95AD7">
        <w:rPr>
          <w:rFonts w:ascii="Arial" w:hAnsi="Arial" w:cs="Arial"/>
          <w:sz w:val="24"/>
        </w:rPr>
        <w:t>None</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B65186" w14:paraId="22E2A2F6"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Circumstances Making the Collection of Information Necessary</w:t>
      </w:r>
    </w:p>
    <w:p w:rsidR="006777F0" w:rsidP="0AA4ACE3" w14:paraId="3A16C4D7" w14:textId="5B4DF556">
      <w:pPr>
        <w:tabs>
          <w:tab w:val="num" w:pos="360"/>
        </w:tabs>
        <w:spacing w:before="120"/>
        <w:rPr>
          <w:rFonts w:ascii="Arial" w:hAnsi="Arial" w:cs="Arial"/>
          <w:color w:val="000000" w:themeColor="text1"/>
          <w:sz w:val="24"/>
        </w:rPr>
      </w:pPr>
      <w:r w:rsidRPr="0AA4ACE3">
        <w:rPr>
          <w:rFonts w:ascii="Arial" w:hAnsi="Arial" w:cs="Arial"/>
          <w:color w:val="000000" w:themeColor="text1"/>
          <w:sz w:val="24"/>
        </w:rPr>
        <w:t>The Health Resources and Services Administration (HRSA) is submitting this information collection request to OMB for review and approval of the COVID-19 Provider Relief Fund (PRF) Reporting Activities</w:t>
      </w:r>
      <w:r>
        <w:rPr>
          <w:rFonts w:ascii="Arial" w:hAnsi="Arial" w:cs="Arial"/>
          <w:color w:val="000000" w:themeColor="text1"/>
          <w:sz w:val="24"/>
        </w:rPr>
        <w:t xml:space="preserve">. </w:t>
      </w:r>
      <w:r w:rsidRPr="0AA4ACE3">
        <w:rPr>
          <w:rFonts w:ascii="Arial" w:hAnsi="Arial" w:cs="Arial"/>
          <w:color w:val="000000" w:themeColor="text1"/>
          <w:sz w:val="24"/>
        </w:rPr>
        <w:t xml:space="preserve">The Coronavirus Aid, Relief, and Economic Security (CARES) Act (P.L. 116-136), the Paycheck Protection Program (PPP) and Health Care Enhancement Act (P.L. 116-139), the Coronavirus Response and Relief Supplemental Appropriations (CRRSA) Act (P.L. 116-260), and the </w:t>
      </w:r>
      <w:r w:rsidR="00AD7737">
        <w:rPr>
          <w:rFonts w:ascii="Arial" w:hAnsi="Arial" w:cs="Arial"/>
          <w:color w:val="000000" w:themeColor="text1"/>
          <w:sz w:val="24"/>
        </w:rPr>
        <w:t>American Rescue Plan (</w:t>
      </w:r>
      <w:r w:rsidRPr="0AA4ACE3">
        <w:rPr>
          <w:rFonts w:ascii="Arial" w:hAnsi="Arial" w:cs="Arial"/>
          <w:color w:val="000000" w:themeColor="text1"/>
          <w:sz w:val="24"/>
        </w:rPr>
        <w:t>ARP</w:t>
      </w:r>
      <w:r w:rsidR="00AD7737">
        <w:rPr>
          <w:rFonts w:ascii="Arial" w:hAnsi="Arial" w:cs="Arial"/>
          <w:color w:val="000000" w:themeColor="text1"/>
          <w:sz w:val="24"/>
        </w:rPr>
        <w:t>)</w:t>
      </w:r>
      <w:r w:rsidRPr="0AA4ACE3">
        <w:rPr>
          <w:rFonts w:ascii="Arial" w:hAnsi="Arial" w:cs="Arial"/>
          <w:color w:val="000000" w:themeColor="text1"/>
          <w:sz w:val="24"/>
        </w:rPr>
        <w:t xml:space="preserve"> Act of 2021 (P.L. 117-2) appropriated </w:t>
      </w:r>
      <w:r w:rsidR="009807AC">
        <w:rPr>
          <w:rFonts w:ascii="Arial" w:hAnsi="Arial" w:cs="Arial"/>
          <w:color w:val="000000" w:themeColor="text1"/>
          <w:sz w:val="24"/>
        </w:rPr>
        <w:t xml:space="preserve">PRF and ARP Rural </w:t>
      </w:r>
      <w:r w:rsidRPr="0AA4ACE3">
        <w:rPr>
          <w:rFonts w:ascii="Arial" w:hAnsi="Arial" w:cs="Arial"/>
          <w:color w:val="000000" w:themeColor="text1"/>
          <w:sz w:val="24"/>
        </w:rPr>
        <w:t xml:space="preserve">funds to reimburse eligible health care providers for health care-related expenses or lost revenues attributable to COVID-19. </w:t>
      </w:r>
      <w:r>
        <w:rPr>
          <w:rFonts w:ascii="Arial" w:hAnsi="Arial" w:cs="Arial"/>
          <w:color w:val="000000" w:themeColor="text1"/>
          <w:sz w:val="24"/>
        </w:rPr>
        <w:t>HRSA distributed these funds until</w:t>
      </w:r>
      <w:r w:rsidR="0064243E">
        <w:rPr>
          <w:rFonts w:ascii="Arial" w:hAnsi="Arial" w:cs="Arial"/>
          <w:color w:val="000000" w:themeColor="text1"/>
          <w:sz w:val="24"/>
        </w:rPr>
        <w:t xml:space="preserve"> the end of the </w:t>
      </w:r>
      <w:r>
        <w:rPr>
          <w:rFonts w:ascii="Arial" w:hAnsi="Arial" w:cs="Arial"/>
          <w:color w:val="000000" w:themeColor="text1"/>
          <w:sz w:val="24"/>
        </w:rPr>
        <w:t xml:space="preserve">Coronavirus </w:t>
      </w:r>
      <w:r w:rsidR="0064243E">
        <w:rPr>
          <w:rFonts w:ascii="Arial" w:hAnsi="Arial" w:cs="Arial"/>
          <w:color w:val="000000" w:themeColor="text1"/>
          <w:sz w:val="24"/>
        </w:rPr>
        <w:t>Public Health Emergency</w:t>
      </w:r>
      <w:r>
        <w:rPr>
          <w:rFonts w:ascii="Arial" w:hAnsi="Arial" w:cs="Arial"/>
          <w:color w:val="000000" w:themeColor="text1"/>
          <w:sz w:val="24"/>
        </w:rPr>
        <w:t>, which ended on May 11, 2023</w:t>
      </w:r>
      <w:r w:rsidRPr="0AA4ACE3">
        <w:rPr>
          <w:rFonts w:ascii="Arial" w:hAnsi="Arial" w:cs="Arial"/>
          <w:color w:val="000000" w:themeColor="text1"/>
          <w:sz w:val="24"/>
        </w:rPr>
        <w:t xml:space="preserve">. Recipients of these funds agreed to the Terms and Conditions, which require compliance with reporting requirements as specified by the Secretary of the U.S. Department of Health and Human Services (HHS). </w:t>
      </w:r>
    </w:p>
    <w:p w:rsidR="004332F0" w:rsidP="0AA4ACE3" w14:paraId="6A18310B" w14:textId="3E887B05">
      <w:pPr>
        <w:tabs>
          <w:tab w:val="num" w:pos="360"/>
        </w:tabs>
        <w:spacing w:before="120"/>
        <w:rPr>
          <w:rFonts w:ascii="Arial" w:hAnsi="Arial" w:cs="Arial"/>
          <w:color w:val="000000" w:themeColor="text1"/>
          <w:sz w:val="24"/>
        </w:rPr>
      </w:pPr>
      <w:r w:rsidRPr="0AA4ACE3">
        <w:rPr>
          <w:rFonts w:ascii="Arial" w:hAnsi="Arial" w:cs="Arial"/>
          <w:color w:val="000000" w:themeColor="text1"/>
          <w:sz w:val="24"/>
        </w:rPr>
        <w:t>Recipients are</w:t>
      </w:r>
      <w:r w:rsidR="00AD45E0">
        <w:rPr>
          <w:rFonts w:ascii="Arial" w:hAnsi="Arial" w:cs="Arial"/>
          <w:color w:val="000000" w:themeColor="text1"/>
          <w:sz w:val="24"/>
        </w:rPr>
        <w:t xml:space="preserve"> eligible health care</w:t>
      </w:r>
      <w:r w:rsidRPr="0AA4ACE3">
        <w:rPr>
          <w:rFonts w:ascii="Arial" w:hAnsi="Arial" w:cs="Arial"/>
          <w:color w:val="000000" w:themeColor="text1"/>
          <w:sz w:val="24"/>
        </w:rPr>
        <w:t xml:space="preserve"> Providers who include public entities, Medicare or Medicaid enrolled suppliers and providers, and for-profit and not-for-profit entities that provide diagnosis, testing, or care for individuals with possible or actual cases of COVID-19. Providers who have </w:t>
      </w:r>
      <w:r w:rsidR="00893391">
        <w:rPr>
          <w:rFonts w:ascii="Arial" w:hAnsi="Arial" w:cs="Arial"/>
          <w:color w:val="000000" w:themeColor="text1"/>
          <w:sz w:val="24"/>
        </w:rPr>
        <w:t>attested to</w:t>
      </w:r>
      <w:r w:rsidRPr="0AA4ACE3" w:rsidR="00893391">
        <w:rPr>
          <w:rFonts w:ascii="Arial" w:hAnsi="Arial" w:cs="Arial"/>
          <w:color w:val="000000" w:themeColor="text1"/>
          <w:sz w:val="24"/>
        </w:rPr>
        <w:t xml:space="preserve"> </w:t>
      </w:r>
      <w:r w:rsidRPr="0AA4ACE3">
        <w:rPr>
          <w:rFonts w:ascii="Arial" w:hAnsi="Arial" w:cs="Arial"/>
          <w:color w:val="000000" w:themeColor="text1"/>
          <w:sz w:val="24"/>
        </w:rPr>
        <w:t xml:space="preserve">the Terms and Conditions regarding their PRF payment(s), including the requirement that the provider "shall submit reports as the Secretary determines are needed to ensure compliance with conditions that are imposed on this Payment, and such reports shall be in such form, with such content, as specified by the Secretary in future program instructions directed to all Recipients," will be using the </w:t>
      </w:r>
      <w:r w:rsidR="00400270">
        <w:rPr>
          <w:rFonts w:ascii="Arial" w:hAnsi="Arial" w:cs="Arial"/>
          <w:color w:val="000000" w:themeColor="text1"/>
          <w:sz w:val="24"/>
        </w:rPr>
        <w:t xml:space="preserve">HRSA Consolidated </w:t>
      </w:r>
      <w:r w:rsidRPr="0AA4ACE3">
        <w:rPr>
          <w:rFonts w:ascii="Arial" w:hAnsi="Arial" w:cs="Arial"/>
          <w:color w:val="000000" w:themeColor="text1"/>
          <w:sz w:val="24"/>
        </w:rPr>
        <w:t>PRF Reporting Portal to submit information about their use of PRF payments</w:t>
      </w:r>
      <w:r w:rsidR="006777F0">
        <w:rPr>
          <w:rFonts w:ascii="Arial" w:hAnsi="Arial" w:cs="Arial"/>
          <w:color w:val="000000" w:themeColor="text1"/>
          <w:sz w:val="24"/>
        </w:rPr>
        <w:t xml:space="preserve">. </w:t>
      </w:r>
    </w:p>
    <w:p w:rsidR="009B3794" w:rsidRPr="00C45431" w:rsidP="00B65186" w14:paraId="22E2A2FB"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Purpose and Use of Information Collection</w:t>
      </w:r>
    </w:p>
    <w:p w:rsidR="003702F3" w:rsidP="0AA4ACE3" w14:paraId="56C7AC7C" w14:textId="3731CE2B">
      <w:pPr>
        <w:widowControl/>
        <w:spacing w:before="120"/>
        <w:rPr>
          <w:rFonts w:ascii="Arial" w:hAnsi="Arial" w:cs="Arial"/>
          <w:sz w:val="24"/>
        </w:rPr>
      </w:pPr>
      <w:r w:rsidRPr="0AA4ACE3">
        <w:rPr>
          <w:rFonts w:ascii="Arial" w:hAnsi="Arial" w:cs="Arial"/>
          <w:sz w:val="24"/>
        </w:rPr>
        <w:t xml:space="preserve">The information collected on the </w:t>
      </w:r>
      <w:r w:rsidR="00D36D57">
        <w:rPr>
          <w:rFonts w:ascii="Arial" w:hAnsi="Arial" w:cs="Arial"/>
          <w:color w:val="000000" w:themeColor="text1"/>
          <w:sz w:val="24"/>
        </w:rPr>
        <w:t xml:space="preserve">HRSA Consolidated </w:t>
      </w:r>
      <w:r w:rsidRPr="0AA4ACE3">
        <w:rPr>
          <w:rFonts w:ascii="Arial" w:hAnsi="Arial" w:cs="Arial"/>
          <w:sz w:val="24"/>
        </w:rPr>
        <w:t xml:space="preserve">PRF Reporting Portal forms will be used by HRSA to (1) assess whether recipients have met statutory and programmatic requirements, (2) conduct audits, (3) gather data required to report on </w:t>
      </w:r>
      <w:r w:rsidRPr="0AA4ACE3">
        <w:rPr>
          <w:rFonts w:ascii="Arial" w:hAnsi="Arial" w:cs="Arial"/>
          <w:sz w:val="24"/>
        </w:rPr>
        <w:t xml:space="preserve">findings with respect to the disbursements of PRF payments, and (4) support program evaluation. HRSA staff will also use information collected to identify and report on trends in health care metrics and expenditures before and during the allowable period for </w:t>
      </w:r>
      <w:r w:rsidRPr="0AA4ACE3">
        <w:rPr>
          <w:rFonts w:ascii="Arial" w:hAnsi="Arial" w:cs="Arial"/>
          <w:sz w:val="24"/>
        </w:rPr>
        <w:t>expending</w:t>
      </w:r>
      <w:r w:rsidRPr="0AA4ACE3">
        <w:rPr>
          <w:rFonts w:ascii="Arial" w:hAnsi="Arial" w:cs="Arial"/>
          <w:sz w:val="24"/>
        </w:rPr>
        <w:t xml:space="preserve"> PRF payments</w:t>
      </w:r>
      <w:r w:rsidR="006777F0">
        <w:rPr>
          <w:rFonts w:ascii="Arial" w:hAnsi="Arial" w:cs="Arial"/>
          <w:sz w:val="24"/>
        </w:rPr>
        <w:t xml:space="preserve">. </w:t>
      </w:r>
    </w:p>
    <w:p w:rsidR="003702F3" w:rsidRPr="003702F3" w:rsidP="003702F3" w14:paraId="68AF7077" w14:textId="4A154A64">
      <w:pPr>
        <w:widowControl/>
        <w:spacing w:before="120"/>
        <w:rPr>
          <w:rFonts w:ascii="Arial" w:hAnsi="Arial" w:cs="Arial"/>
          <w:sz w:val="24"/>
        </w:rPr>
      </w:pPr>
      <w:r w:rsidRPr="003702F3">
        <w:rPr>
          <w:rFonts w:ascii="Arial" w:hAnsi="Arial" w:cs="Arial"/>
          <w:sz w:val="24"/>
        </w:rPr>
        <w:t xml:space="preserve">While the standard reporting time periods have ended, there are still scenarios in which </w:t>
      </w:r>
      <w:r w:rsidR="00AD45E0">
        <w:rPr>
          <w:rFonts w:ascii="Arial" w:hAnsi="Arial" w:cs="Arial"/>
          <w:sz w:val="24"/>
        </w:rPr>
        <w:t xml:space="preserve">providers will be required to submit reporting </w:t>
      </w:r>
      <w:r w:rsidRPr="003702F3">
        <w:rPr>
          <w:rFonts w:ascii="Arial" w:hAnsi="Arial" w:cs="Arial"/>
          <w:sz w:val="24"/>
        </w:rPr>
        <w:t>documents</w:t>
      </w:r>
      <w:r w:rsidR="00AD45E0">
        <w:rPr>
          <w:rFonts w:ascii="Arial" w:hAnsi="Arial" w:cs="Arial"/>
          <w:sz w:val="24"/>
        </w:rPr>
        <w:t xml:space="preserve"> to HRSA</w:t>
      </w:r>
      <w:r w:rsidRPr="003702F3">
        <w:rPr>
          <w:rFonts w:ascii="Arial" w:hAnsi="Arial" w:cs="Arial"/>
          <w:sz w:val="24"/>
        </w:rPr>
        <w:t>. These include:  </w:t>
      </w:r>
    </w:p>
    <w:p w:rsidR="003702F3" w:rsidRPr="003702F3" w:rsidP="003702F3" w14:paraId="2D7A84E9" w14:textId="7284C0D5">
      <w:pPr>
        <w:widowControl/>
        <w:numPr>
          <w:ilvl w:val="0"/>
          <w:numId w:val="2"/>
        </w:numPr>
        <w:spacing w:before="120"/>
        <w:rPr>
          <w:rFonts w:ascii="Arial" w:hAnsi="Arial" w:cs="Arial"/>
          <w:sz w:val="24"/>
        </w:rPr>
      </w:pPr>
      <w:r w:rsidRPr="003702F3">
        <w:rPr>
          <w:rFonts w:ascii="Arial" w:hAnsi="Arial" w:cs="Arial"/>
          <w:sz w:val="24"/>
        </w:rPr>
        <w:t xml:space="preserve">Providers who receive a Final Repayment Notice, based on a HRSA finding of </w:t>
      </w:r>
      <w:r w:rsidR="00AD45E0">
        <w:rPr>
          <w:rFonts w:ascii="Arial" w:hAnsi="Arial" w:cs="Arial"/>
          <w:sz w:val="24"/>
        </w:rPr>
        <w:t xml:space="preserve">reporting </w:t>
      </w:r>
      <w:r w:rsidRPr="003702F3">
        <w:rPr>
          <w:rFonts w:ascii="Arial" w:hAnsi="Arial" w:cs="Arial"/>
          <w:sz w:val="24"/>
        </w:rPr>
        <w:t>non-compliance, who submit a Decision Review request and are provided an Opportunity to Report. The Opportunity to Report allows providers another chance to submit a report to come into compliance. </w:t>
      </w:r>
    </w:p>
    <w:p w:rsidR="003702F3" w:rsidRPr="003702F3" w:rsidP="003702F3" w14:paraId="5049A5E7" w14:textId="77777777">
      <w:pPr>
        <w:widowControl/>
        <w:numPr>
          <w:ilvl w:val="0"/>
          <w:numId w:val="3"/>
        </w:numPr>
        <w:spacing w:before="120"/>
        <w:rPr>
          <w:rFonts w:ascii="Arial" w:hAnsi="Arial" w:cs="Arial"/>
          <w:sz w:val="24"/>
        </w:rPr>
      </w:pPr>
      <w:r w:rsidRPr="003702F3">
        <w:rPr>
          <w:rFonts w:ascii="Arial" w:hAnsi="Arial" w:cs="Arial"/>
          <w:sz w:val="24"/>
        </w:rPr>
        <w:t>Adjudicative orders that would require HRSA to allow a Provider an opportunity to report. </w:t>
      </w:r>
    </w:p>
    <w:p w:rsidR="003702F3" w:rsidRPr="003702F3" w:rsidP="003702F3" w14:paraId="346E5ECB" w14:textId="230923CD">
      <w:pPr>
        <w:widowControl/>
        <w:numPr>
          <w:ilvl w:val="0"/>
          <w:numId w:val="4"/>
        </w:numPr>
        <w:spacing w:before="120"/>
        <w:rPr>
          <w:rFonts w:ascii="Arial" w:hAnsi="Arial" w:cs="Arial"/>
          <w:sz w:val="24"/>
        </w:rPr>
      </w:pPr>
      <w:r w:rsidRPr="003702F3">
        <w:rPr>
          <w:rFonts w:ascii="Arial" w:hAnsi="Arial" w:cs="Arial"/>
          <w:sz w:val="24"/>
        </w:rPr>
        <w:t xml:space="preserve">Providers who have prevailed in a dispute or have </w:t>
      </w:r>
      <w:r w:rsidRPr="003702F3">
        <w:rPr>
          <w:rFonts w:ascii="Arial" w:hAnsi="Arial" w:cs="Arial"/>
          <w:sz w:val="24"/>
        </w:rPr>
        <w:t>entered into</w:t>
      </w:r>
      <w:r w:rsidRPr="003702F3">
        <w:rPr>
          <w:rFonts w:ascii="Arial" w:hAnsi="Arial" w:cs="Arial"/>
          <w:sz w:val="24"/>
        </w:rPr>
        <w:t xml:space="preserve"> a settlement with HRSA may need to submit a report. </w:t>
      </w:r>
    </w:p>
    <w:p w:rsidR="003702F3" w:rsidP="0AA4ACE3" w14:paraId="05DB3845" w14:textId="61D37B84">
      <w:pPr>
        <w:widowControl/>
        <w:spacing w:before="120"/>
        <w:rPr>
          <w:rFonts w:ascii="Arial" w:hAnsi="Arial" w:cs="Arial"/>
          <w:sz w:val="24"/>
        </w:rPr>
      </w:pPr>
      <w:r w:rsidRPr="003702F3">
        <w:rPr>
          <w:rFonts w:ascii="Arial" w:hAnsi="Arial" w:cs="Arial"/>
          <w:sz w:val="24"/>
        </w:rPr>
        <w:t xml:space="preserve">These scenarios make it necessary to retain and extend approval of the information collection activities associated with required reporting to support compliance, validation, and enforcement actions. Providers would provide documentation through the portal based on the reporting period </w:t>
      </w:r>
      <w:r w:rsidR="00AD7737">
        <w:rPr>
          <w:rFonts w:ascii="Arial" w:hAnsi="Arial" w:cs="Arial"/>
          <w:sz w:val="24"/>
        </w:rPr>
        <w:t>in which</w:t>
      </w:r>
      <w:r w:rsidRPr="003702F3" w:rsidR="00AD7737">
        <w:rPr>
          <w:rFonts w:ascii="Arial" w:hAnsi="Arial" w:cs="Arial"/>
          <w:sz w:val="24"/>
        </w:rPr>
        <w:t xml:space="preserve"> </w:t>
      </w:r>
      <w:r w:rsidRPr="003702F3">
        <w:rPr>
          <w:rFonts w:ascii="Arial" w:hAnsi="Arial" w:cs="Arial"/>
          <w:sz w:val="24"/>
        </w:rPr>
        <w:t>they received the funds in question. </w:t>
      </w:r>
    </w:p>
    <w:p w:rsidR="00282AD8" w:rsidP="2744D8ED" w14:paraId="362A33E2" w14:textId="390095BF">
      <w:pPr>
        <w:spacing w:before="240"/>
        <w:rPr>
          <w:rFonts w:ascii="Arial" w:hAnsi="Arial" w:cs="Arial"/>
          <w:sz w:val="24"/>
        </w:rPr>
      </w:pPr>
      <w:r w:rsidRPr="2744D8ED">
        <w:rPr>
          <w:rFonts w:ascii="Arial" w:hAnsi="Arial" w:cs="Arial"/>
          <w:sz w:val="24"/>
        </w:rPr>
        <w:t xml:space="preserve">If the information is not collected, HRSA will not </w:t>
      </w:r>
      <w:r w:rsidRPr="2744D8ED" w:rsidR="00AD7737">
        <w:rPr>
          <w:rFonts w:ascii="Arial" w:hAnsi="Arial" w:cs="Arial"/>
          <w:sz w:val="24"/>
        </w:rPr>
        <w:t xml:space="preserve">fulfill </w:t>
      </w:r>
      <w:r w:rsidRPr="2744D8ED">
        <w:rPr>
          <w:rFonts w:ascii="Arial" w:hAnsi="Arial" w:cs="Arial"/>
          <w:sz w:val="24"/>
        </w:rPr>
        <w:t xml:space="preserve">its responsibility to oversee reporting requirements that facilitate appropriate oversight of recipients’ use of funds. PRF and ARP Rural recipients will not be able to fulfill their statutory reporting requirement. HRSA will not be able to provide reports to Congress and other stakeholders on the use of more than $178 billion in PRF funds and $8.5 billion in ARP Rural funds. </w:t>
      </w:r>
    </w:p>
    <w:p w:rsidR="009B3794" w:rsidRPr="00C45431" w:rsidP="00B65186" w14:paraId="22E2A300" w14:textId="58B5166D">
      <w:pPr>
        <w:numPr>
          <w:ilvl w:val="0"/>
          <w:numId w:val="1"/>
        </w:numPr>
        <w:tabs>
          <w:tab w:val="num" w:pos="360"/>
          <w:tab w:val="clear" w:pos="1080"/>
        </w:tabs>
        <w:spacing w:before="240"/>
        <w:ind w:left="360"/>
        <w:rPr>
          <w:rFonts w:ascii="Arial" w:hAnsi="Arial" w:cs="Arial"/>
          <w:sz w:val="24"/>
        </w:rPr>
      </w:pPr>
      <w:r w:rsidRPr="0AA4ACE3">
        <w:rPr>
          <w:rFonts w:ascii="Arial" w:hAnsi="Arial" w:cs="Arial"/>
          <w:b/>
          <w:bCs/>
          <w:sz w:val="24"/>
          <w:u w:val="single"/>
        </w:rPr>
        <w:t>Use of Improved Information Technology and Burden Reduction</w:t>
      </w:r>
    </w:p>
    <w:p w:rsidR="5C1433E1" w:rsidP="5AE99C4B" w14:paraId="72701B70" w14:textId="225345A2">
      <w:pPr>
        <w:widowControl/>
        <w:tabs>
          <w:tab w:val="num" w:pos="360"/>
        </w:tabs>
        <w:spacing w:before="120"/>
        <w:rPr>
          <w:rFonts w:ascii="Arial" w:hAnsi="Arial" w:cs="Arial"/>
          <w:sz w:val="24"/>
        </w:rPr>
      </w:pPr>
      <w:r w:rsidRPr="5AE99C4B">
        <w:rPr>
          <w:rFonts w:ascii="Arial" w:hAnsi="Arial" w:cs="Arial"/>
          <w:sz w:val="24"/>
        </w:rPr>
        <w:t>Information technology has been used to reduce burden</w:t>
      </w:r>
      <w:r w:rsidRPr="5AE99C4B" w:rsidR="006777F0">
        <w:rPr>
          <w:rFonts w:ascii="Arial" w:hAnsi="Arial" w:cs="Arial"/>
          <w:sz w:val="24"/>
        </w:rPr>
        <w:t xml:space="preserve">. </w:t>
      </w:r>
      <w:r w:rsidRPr="5AE99C4B">
        <w:rPr>
          <w:rFonts w:ascii="Arial" w:hAnsi="Arial" w:cs="Arial"/>
          <w:sz w:val="24"/>
        </w:rPr>
        <w:t>All data requested</w:t>
      </w:r>
      <w:r w:rsidRPr="5AE99C4B" w:rsidR="002D4A35">
        <w:rPr>
          <w:rFonts w:ascii="Arial" w:hAnsi="Arial" w:cs="Arial"/>
          <w:sz w:val="24"/>
        </w:rPr>
        <w:t>,</w:t>
      </w:r>
      <w:r w:rsidRPr="5AE99C4B">
        <w:rPr>
          <w:rFonts w:ascii="Arial" w:hAnsi="Arial" w:cs="Arial"/>
          <w:sz w:val="24"/>
        </w:rPr>
        <w:t xml:space="preserve"> which is the minimum necessary to achieve proper oversight of the Provider Relief Fund</w:t>
      </w:r>
      <w:r w:rsidRPr="5AE99C4B" w:rsidR="002D4A35">
        <w:rPr>
          <w:rFonts w:ascii="Arial" w:hAnsi="Arial" w:cs="Arial"/>
          <w:sz w:val="24"/>
        </w:rPr>
        <w:t>,</w:t>
      </w:r>
      <w:r w:rsidRPr="5AE99C4B">
        <w:rPr>
          <w:rFonts w:ascii="Arial" w:hAnsi="Arial" w:cs="Arial"/>
          <w:sz w:val="24"/>
        </w:rPr>
        <w:t xml:space="preserve"> can be provided electronically by answering questions via an easily accessible portal, thus meeting the requirements of the Government Paperwork Elimination Act, P.L. 105-277, title XVII. </w:t>
      </w:r>
    </w:p>
    <w:p w:rsidR="009B3794" w:rsidRPr="00C45431" w:rsidP="00B65186" w14:paraId="22E2A305" w14:textId="63A2E3AA">
      <w:pPr>
        <w:numPr>
          <w:ilvl w:val="0"/>
          <w:numId w:val="1"/>
        </w:numPr>
        <w:tabs>
          <w:tab w:val="num" w:pos="360"/>
          <w:tab w:val="clear" w:pos="1080"/>
        </w:tabs>
        <w:spacing w:before="240"/>
        <w:ind w:left="360"/>
        <w:rPr>
          <w:rFonts w:ascii="Arial" w:hAnsi="Arial" w:cs="Arial"/>
          <w:b/>
          <w:bCs/>
          <w:sz w:val="24"/>
        </w:rPr>
      </w:pPr>
      <w:r w:rsidRPr="0AA4ACE3">
        <w:rPr>
          <w:rFonts w:ascii="Arial" w:hAnsi="Arial" w:cs="Arial"/>
          <w:b/>
          <w:bCs/>
          <w:sz w:val="24"/>
          <w:u w:val="single"/>
        </w:rPr>
        <w:t>Efforts to Identify Duplication and Use of Similar Information</w:t>
      </w:r>
    </w:p>
    <w:p w:rsidR="30470644" w:rsidP="5AE99C4B" w14:paraId="0AC71F23" w14:textId="3FFCBFFA">
      <w:pPr>
        <w:spacing w:before="120"/>
        <w:rPr>
          <w:rFonts w:ascii="Arial" w:hAnsi="Arial" w:cs="Arial"/>
          <w:b/>
          <w:bCs/>
          <w:sz w:val="24"/>
        </w:rPr>
      </w:pPr>
      <w:r w:rsidRPr="5AE99C4B">
        <w:rPr>
          <w:rFonts w:ascii="Arial" w:hAnsi="Arial" w:cs="Arial"/>
          <w:sz w:val="24"/>
        </w:rPr>
        <w:t>The information is not duplicative of any other information collection</w:t>
      </w:r>
      <w:r w:rsidRPr="5AE99C4B" w:rsidR="006777F0">
        <w:rPr>
          <w:rFonts w:ascii="Arial" w:hAnsi="Arial" w:cs="Arial"/>
          <w:sz w:val="24"/>
        </w:rPr>
        <w:t xml:space="preserve">. </w:t>
      </w:r>
      <w:r w:rsidRPr="5AE99C4B">
        <w:rPr>
          <w:rFonts w:ascii="Arial" w:hAnsi="Arial" w:cs="Arial"/>
          <w:sz w:val="24"/>
        </w:rPr>
        <w:t>The Provider Relief Programs were established by Congress in 2020 and early 2021 and had no precedent in U.S. history</w:t>
      </w:r>
      <w:r w:rsidRPr="5AE99C4B" w:rsidR="006C251F">
        <w:rPr>
          <w:rFonts w:ascii="Arial" w:hAnsi="Arial" w:cs="Arial"/>
          <w:sz w:val="24"/>
        </w:rPr>
        <w:t>;</w:t>
      </w:r>
      <w:r w:rsidRPr="5AE99C4B">
        <w:rPr>
          <w:rFonts w:ascii="Arial" w:hAnsi="Arial" w:cs="Arial"/>
          <w:sz w:val="24"/>
        </w:rPr>
        <w:t xml:space="preserve"> </w:t>
      </w:r>
      <w:r w:rsidRPr="5AE99C4B" w:rsidR="00D84757">
        <w:rPr>
          <w:rFonts w:ascii="Arial" w:hAnsi="Arial" w:cs="Arial"/>
          <w:sz w:val="24"/>
        </w:rPr>
        <w:t>so</w:t>
      </w:r>
      <w:r w:rsidRPr="5AE99C4B">
        <w:rPr>
          <w:rFonts w:ascii="Arial" w:hAnsi="Arial" w:cs="Arial"/>
          <w:sz w:val="24"/>
        </w:rPr>
        <w:t xml:space="preserve"> no data collection occurred</w:t>
      </w:r>
      <w:r w:rsidRPr="5AE99C4B" w:rsidR="4E0DEF35">
        <w:rPr>
          <w:rFonts w:ascii="Arial" w:hAnsi="Arial" w:cs="Arial"/>
          <w:sz w:val="24"/>
        </w:rPr>
        <w:t xml:space="preserve"> before the start of the collection</w:t>
      </w:r>
      <w:r w:rsidRPr="5AE99C4B" w:rsidR="006777F0">
        <w:rPr>
          <w:rFonts w:ascii="Arial" w:hAnsi="Arial" w:cs="Arial"/>
          <w:sz w:val="24"/>
        </w:rPr>
        <w:t xml:space="preserve">. </w:t>
      </w:r>
      <w:r w:rsidRPr="5AE99C4B">
        <w:rPr>
          <w:rFonts w:ascii="Arial" w:hAnsi="Arial" w:cs="Arial"/>
          <w:sz w:val="24"/>
        </w:rPr>
        <w:t xml:space="preserve"> </w:t>
      </w:r>
    </w:p>
    <w:p w:rsidR="009B3794" w:rsidRPr="00C45431" w:rsidP="00B65186" w14:paraId="22E2A307" w14:textId="77777777">
      <w:pPr>
        <w:numPr>
          <w:ilvl w:val="0"/>
          <w:numId w:val="1"/>
        </w:numPr>
        <w:tabs>
          <w:tab w:val="num" w:pos="360"/>
          <w:tab w:val="clear" w:pos="1080"/>
        </w:tabs>
        <w:spacing w:before="240"/>
        <w:ind w:left="360"/>
        <w:rPr>
          <w:rFonts w:ascii="Arial" w:hAnsi="Arial" w:cs="Arial"/>
          <w:color w:val="000000"/>
          <w:sz w:val="24"/>
        </w:rPr>
      </w:pPr>
      <w:r w:rsidRPr="0AA4ACE3">
        <w:rPr>
          <w:rFonts w:ascii="Arial" w:hAnsi="Arial" w:cs="Arial"/>
          <w:b/>
          <w:bCs/>
          <w:sz w:val="24"/>
          <w:u w:val="single"/>
        </w:rPr>
        <w:t>Impact on Small Businesses or Other Small Entities</w:t>
      </w:r>
    </w:p>
    <w:p w:rsidR="3E641B85" w:rsidP="0AA4ACE3" w14:paraId="488AF093" w14:textId="15E55B22">
      <w:pPr>
        <w:tabs>
          <w:tab w:val="num" w:pos="360"/>
        </w:tabs>
        <w:spacing w:before="240"/>
        <w:rPr>
          <w:rFonts w:ascii="Arial" w:hAnsi="Arial" w:cs="Arial"/>
          <w:color w:val="000000" w:themeColor="text1"/>
          <w:sz w:val="24"/>
        </w:rPr>
      </w:pPr>
      <w:r w:rsidRPr="0AA4ACE3">
        <w:rPr>
          <w:rFonts w:ascii="Arial" w:hAnsi="Arial" w:cs="Arial"/>
          <w:color w:val="000000" w:themeColor="text1"/>
          <w:sz w:val="24"/>
        </w:rPr>
        <w:t xml:space="preserve">The collection of information will </w:t>
      </w:r>
      <w:r w:rsidRPr="0AA4ACE3">
        <w:rPr>
          <w:rFonts w:ascii="Arial" w:hAnsi="Arial" w:cs="Arial"/>
          <w:color w:val="000000" w:themeColor="text1"/>
          <w:sz w:val="24"/>
        </w:rPr>
        <w:t>impact</w:t>
      </w:r>
      <w:r w:rsidRPr="0AA4ACE3">
        <w:rPr>
          <w:rFonts w:ascii="Arial" w:hAnsi="Arial" w:cs="Arial"/>
          <w:color w:val="000000" w:themeColor="text1"/>
          <w:sz w:val="24"/>
        </w:rPr>
        <w:t xml:space="preserve"> small businesses, including physician practices that identify as such</w:t>
      </w:r>
      <w:r w:rsidR="006777F0">
        <w:rPr>
          <w:rFonts w:ascii="Arial" w:hAnsi="Arial" w:cs="Arial"/>
          <w:color w:val="000000" w:themeColor="text1"/>
          <w:sz w:val="24"/>
        </w:rPr>
        <w:t xml:space="preserve">. </w:t>
      </w:r>
      <w:r w:rsidRPr="0AA4ACE3">
        <w:rPr>
          <w:rFonts w:ascii="Arial" w:hAnsi="Arial" w:cs="Arial"/>
          <w:color w:val="000000" w:themeColor="text1"/>
          <w:sz w:val="24"/>
        </w:rPr>
        <w:t xml:space="preserve">The information requested has been held to the absolute minimum </w:t>
      </w:r>
      <w:r w:rsidRPr="0AA4ACE3">
        <w:rPr>
          <w:rFonts w:ascii="Arial" w:hAnsi="Arial" w:cs="Arial"/>
          <w:color w:val="000000" w:themeColor="text1"/>
          <w:sz w:val="24"/>
        </w:rPr>
        <w:t>required for the intended use of the data</w:t>
      </w:r>
      <w:r w:rsidR="006777F0">
        <w:rPr>
          <w:rFonts w:ascii="Arial" w:hAnsi="Arial" w:cs="Arial"/>
          <w:color w:val="000000" w:themeColor="text1"/>
          <w:sz w:val="24"/>
        </w:rPr>
        <w:t xml:space="preserve">. </w:t>
      </w:r>
    </w:p>
    <w:p w:rsidR="009B3794" w:rsidRPr="00C45431" w:rsidP="00B65186" w14:paraId="22E2A30D"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Consequences of Collecting the Information Less Frequent</w:t>
      </w:r>
      <w:r w:rsidRPr="0AA4ACE3" w:rsidR="1F7D52F4">
        <w:rPr>
          <w:rFonts w:ascii="Arial" w:hAnsi="Arial" w:cs="Arial"/>
          <w:b/>
          <w:bCs/>
          <w:sz w:val="24"/>
          <w:u w:val="single"/>
        </w:rPr>
        <w:t>ly</w:t>
      </w:r>
    </w:p>
    <w:p w:rsidR="009B3794" w:rsidRPr="00C45431" w:rsidP="384B2782" w14:paraId="22E2A311" w14:textId="4F27EA9D">
      <w:pPr>
        <w:widowControl/>
        <w:tabs>
          <w:tab w:val="num" w:pos="360"/>
        </w:tabs>
        <w:autoSpaceDE/>
        <w:autoSpaceDN/>
        <w:adjustRightInd/>
        <w:spacing w:before="240"/>
        <w:rPr>
          <w:rFonts w:ascii="Arial" w:hAnsi="Arial" w:cs="Arial"/>
          <w:sz w:val="24"/>
        </w:rPr>
      </w:pPr>
      <w:r w:rsidRPr="384B2782">
        <w:rPr>
          <w:rFonts w:ascii="Arial" w:hAnsi="Arial" w:cs="Arial"/>
          <w:sz w:val="24"/>
        </w:rPr>
        <w:t>The information is collected only once, if applicable</w:t>
      </w:r>
      <w:r w:rsidRPr="384B2782" w:rsidR="006777F0">
        <w:rPr>
          <w:rFonts w:ascii="Arial" w:hAnsi="Arial" w:cs="Arial"/>
          <w:sz w:val="24"/>
        </w:rPr>
        <w:t xml:space="preserve">. </w:t>
      </w:r>
      <w:r w:rsidRPr="384B2782">
        <w:rPr>
          <w:rFonts w:ascii="Arial" w:hAnsi="Arial" w:cs="Arial"/>
          <w:sz w:val="24"/>
        </w:rPr>
        <w:t xml:space="preserve">If it is </w:t>
      </w:r>
      <w:r w:rsidRPr="384B2782" w:rsidR="34AE198D">
        <w:rPr>
          <w:rFonts w:ascii="Arial" w:hAnsi="Arial" w:cs="Arial"/>
          <w:sz w:val="24"/>
        </w:rPr>
        <w:t xml:space="preserve">not </w:t>
      </w:r>
      <w:r w:rsidRPr="384B2782">
        <w:rPr>
          <w:rFonts w:ascii="Arial" w:hAnsi="Arial" w:cs="Arial"/>
          <w:sz w:val="24"/>
        </w:rPr>
        <w:t>collected</w:t>
      </w:r>
      <w:r w:rsidRPr="384B2782" w:rsidR="595877A6">
        <w:rPr>
          <w:rFonts w:ascii="Arial" w:hAnsi="Arial" w:cs="Arial"/>
          <w:sz w:val="24"/>
        </w:rPr>
        <w:t>,</w:t>
      </w:r>
      <w:r w:rsidRPr="384B2782" w:rsidR="615A8BBB">
        <w:rPr>
          <w:rFonts w:ascii="Arial" w:hAnsi="Arial" w:cs="Arial"/>
          <w:sz w:val="24"/>
        </w:rPr>
        <w:t xml:space="preserve"> </w:t>
      </w:r>
      <w:r w:rsidRPr="384B2782">
        <w:rPr>
          <w:rFonts w:ascii="Arial" w:hAnsi="Arial" w:cs="Arial"/>
          <w:sz w:val="24"/>
        </w:rPr>
        <w:t xml:space="preserve">effective program and fiscal oversight of PRF would be severely jeopardized. </w:t>
      </w:r>
      <w:r w:rsidRPr="384B2782" w:rsidR="300DACA6">
        <w:rPr>
          <w:rFonts w:ascii="Arial" w:hAnsi="Arial" w:cs="Arial"/>
          <w:color w:val="000000" w:themeColor="text1"/>
          <w:sz w:val="24"/>
        </w:rPr>
        <w:t xml:space="preserve">There are no legal obstacles to </w:t>
      </w:r>
      <w:r w:rsidRPr="384B2782" w:rsidR="300DACA6">
        <w:rPr>
          <w:rFonts w:ascii="Arial" w:hAnsi="Arial" w:cs="Arial"/>
          <w:color w:val="000000" w:themeColor="text1"/>
          <w:sz w:val="24"/>
        </w:rPr>
        <w:t>reduce</w:t>
      </w:r>
      <w:r w:rsidRPr="384B2782" w:rsidR="300DACA6">
        <w:rPr>
          <w:rFonts w:ascii="Arial" w:hAnsi="Arial" w:cs="Arial"/>
          <w:color w:val="000000" w:themeColor="text1"/>
          <w:sz w:val="24"/>
        </w:rPr>
        <w:t xml:space="preserve"> the burden.</w:t>
      </w:r>
    </w:p>
    <w:p w:rsidR="009B3794" w:rsidRPr="00C45431" w:rsidP="00B65186" w14:paraId="22E2A312"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Special Circumstances Relating to the Guidelines of 5 CFR 1320.5</w:t>
      </w:r>
    </w:p>
    <w:p w:rsidR="114676A8" w:rsidP="0AA4ACE3" w14:paraId="0463DB39" w14:textId="11D99603">
      <w:pPr>
        <w:tabs>
          <w:tab w:val="num" w:pos="360"/>
        </w:tabs>
        <w:spacing w:before="240"/>
        <w:rPr>
          <w:rFonts w:ascii="Arial" w:hAnsi="Arial" w:cs="Arial"/>
          <w:sz w:val="24"/>
        </w:rPr>
      </w:pPr>
      <w:r w:rsidRPr="0AA4ACE3">
        <w:rPr>
          <w:rFonts w:ascii="Arial" w:hAnsi="Arial" w:cs="Arial"/>
          <w:sz w:val="24"/>
        </w:rPr>
        <w:t xml:space="preserve">This request will be implemented in a </w:t>
      </w:r>
      <w:r w:rsidRPr="0AA4ACE3">
        <w:rPr>
          <w:rFonts w:ascii="Arial" w:hAnsi="Arial" w:cs="Arial"/>
          <w:sz w:val="24"/>
        </w:rPr>
        <w:t>manner fully consistent</w:t>
      </w:r>
      <w:r w:rsidRPr="0AA4ACE3">
        <w:rPr>
          <w:rFonts w:ascii="Arial" w:hAnsi="Arial" w:cs="Arial"/>
          <w:sz w:val="24"/>
        </w:rPr>
        <w:t xml:space="preserve"> with 5 CFR 1320.5(d)(2). </w:t>
      </w:r>
    </w:p>
    <w:p w:rsidR="009B3794" w:rsidRPr="00C45431" w:rsidP="00B65186"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AA4ACE3" w14:paraId="22E2A31D" w14:textId="77777777">
      <w:pPr>
        <w:spacing w:before="120"/>
        <w:rPr>
          <w:rFonts w:ascii="Arial" w:hAnsi="Arial" w:cs="Arial"/>
          <w:b/>
          <w:bCs/>
          <w:sz w:val="28"/>
          <w:szCs w:val="28"/>
        </w:rPr>
      </w:pPr>
      <w:r w:rsidRPr="0AA4ACE3">
        <w:rPr>
          <w:rFonts w:ascii="Arial" w:hAnsi="Arial" w:cs="Arial"/>
          <w:b/>
          <w:bCs/>
          <w:sz w:val="28"/>
          <w:szCs w:val="28"/>
        </w:rPr>
        <w:t>Section 8A:</w:t>
      </w:r>
    </w:p>
    <w:p w:rsidR="00EB4AB5" w:rsidRPr="00EB4AB5" w:rsidP="00EB4AB5" w14:paraId="1B9E8027" w14:textId="39A828EE">
      <w:pPr>
        <w:tabs>
          <w:tab w:val="num" w:pos="360"/>
        </w:tabs>
        <w:spacing w:before="120"/>
        <w:rPr>
          <w:rFonts w:ascii="Arial" w:hAnsi="Arial" w:cs="Arial"/>
          <w:sz w:val="24"/>
        </w:rPr>
      </w:pPr>
      <w:r w:rsidRPr="0AA4ACE3">
        <w:rPr>
          <w:rFonts w:ascii="Arial" w:hAnsi="Arial" w:cs="Arial"/>
          <w:sz w:val="24"/>
        </w:rPr>
        <w:t xml:space="preserve">A 60-day Federal Register Notice was published in the </w:t>
      </w:r>
      <w:r w:rsidRPr="0AA4ACE3">
        <w:rPr>
          <w:rFonts w:ascii="Arial" w:hAnsi="Arial" w:cs="Arial"/>
          <w:i/>
          <w:iCs/>
          <w:sz w:val="24"/>
        </w:rPr>
        <w:t xml:space="preserve">Federal Register </w:t>
      </w:r>
      <w:r w:rsidRPr="0AA4ACE3">
        <w:rPr>
          <w:rFonts w:ascii="Arial" w:hAnsi="Arial" w:cs="Arial"/>
          <w:sz w:val="24"/>
        </w:rPr>
        <w:t xml:space="preserve">on </w:t>
      </w:r>
      <w:r>
        <w:rPr>
          <w:rFonts w:ascii="Arial" w:hAnsi="Arial" w:cs="Arial"/>
          <w:sz w:val="24"/>
        </w:rPr>
        <w:t>June 26, 2025</w:t>
      </w:r>
      <w:r w:rsidRPr="0AA4ACE3">
        <w:rPr>
          <w:rFonts w:ascii="Arial" w:hAnsi="Arial" w:cs="Arial"/>
          <w:sz w:val="24"/>
        </w:rPr>
        <w:t xml:space="preserve">, vol. </w:t>
      </w:r>
      <w:r>
        <w:rPr>
          <w:rFonts w:ascii="Arial" w:hAnsi="Arial" w:cs="Arial"/>
          <w:sz w:val="24"/>
        </w:rPr>
        <w:t>90</w:t>
      </w:r>
      <w:r w:rsidRPr="0AA4ACE3">
        <w:rPr>
          <w:rFonts w:ascii="Arial" w:hAnsi="Arial" w:cs="Arial"/>
          <w:sz w:val="24"/>
        </w:rPr>
        <w:t>, No.</w:t>
      </w:r>
      <w:r w:rsidRPr="0AA4ACE3" w:rsidR="107BC5F5">
        <w:rPr>
          <w:rFonts w:ascii="Arial" w:hAnsi="Arial" w:cs="Arial"/>
          <w:sz w:val="24"/>
        </w:rPr>
        <w:t xml:space="preserve"> </w:t>
      </w:r>
      <w:r>
        <w:rPr>
          <w:rFonts w:ascii="Arial" w:hAnsi="Arial" w:cs="Arial"/>
          <w:sz w:val="24"/>
        </w:rPr>
        <w:t>121</w:t>
      </w:r>
      <w:r w:rsidRPr="0AA4ACE3">
        <w:rPr>
          <w:rFonts w:ascii="Arial" w:hAnsi="Arial" w:cs="Arial"/>
          <w:sz w:val="24"/>
        </w:rPr>
        <w:t xml:space="preserve">; pp. </w:t>
      </w:r>
      <w:r>
        <w:rPr>
          <w:rFonts w:ascii="Arial" w:hAnsi="Arial" w:cs="Arial"/>
          <w:sz w:val="24"/>
        </w:rPr>
        <w:t>27324-26</w:t>
      </w:r>
      <w:r w:rsidRPr="0AA4ACE3">
        <w:rPr>
          <w:rFonts w:ascii="Arial" w:hAnsi="Arial" w:cs="Arial"/>
          <w:sz w:val="24"/>
        </w:rPr>
        <w:t>.</w:t>
      </w:r>
      <w:r>
        <w:rPr>
          <w:rFonts w:ascii="Arial" w:hAnsi="Arial" w:cs="Arial"/>
          <w:sz w:val="24"/>
        </w:rPr>
        <w:t xml:space="preserve"> </w:t>
      </w:r>
      <w:r w:rsidRPr="00EB4AB5">
        <w:rPr>
          <w:rFonts w:ascii="Arial" w:hAnsi="Arial" w:cs="Arial"/>
          <w:sz w:val="24"/>
        </w:rPr>
        <w:t>There was one out-of-scope comment criticizing the authorizing legislation. No changes were made to the collection. </w:t>
      </w:r>
    </w:p>
    <w:p w:rsidR="009D32B0" w:rsidRPr="009D32B0" w:rsidP="009D32B0" w14:paraId="4F787D67" w14:textId="77777777">
      <w:pPr>
        <w:tabs>
          <w:tab w:val="num" w:pos="360"/>
        </w:tabs>
        <w:spacing w:before="120"/>
        <w:rPr>
          <w:rFonts w:ascii="Arial" w:hAnsi="Arial" w:cs="Arial"/>
          <w:sz w:val="24"/>
        </w:rPr>
      </w:pPr>
      <w:r w:rsidRPr="009D32B0">
        <w:rPr>
          <w:rFonts w:ascii="Arial" w:hAnsi="Arial" w:cs="Arial"/>
          <w:sz w:val="24"/>
        </w:rPr>
        <w:t xml:space="preserve">A 30-day Federal Register Notice was published in the </w:t>
      </w:r>
      <w:r w:rsidRPr="009D32B0">
        <w:rPr>
          <w:rFonts w:ascii="Arial" w:hAnsi="Arial" w:cs="Arial"/>
          <w:i/>
          <w:iCs/>
          <w:sz w:val="24"/>
        </w:rPr>
        <w:t>Federal Register</w:t>
      </w:r>
      <w:r w:rsidRPr="009D32B0">
        <w:rPr>
          <w:rFonts w:ascii="Arial" w:hAnsi="Arial" w:cs="Arial"/>
          <w:sz w:val="24"/>
        </w:rPr>
        <w:t xml:space="preserve"> on January 7, 2026, vol. 91, No. 4, pp. 512-513, vol. 90, No. 121; pp. 27324-26. </w:t>
      </w:r>
    </w:p>
    <w:p w:rsidR="00DE3A45" w:rsidRPr="00C45431" w:rsidP="00CA3DA6" w14:paraId="22E2A321" w14:textId="77F6BB33">
      <w:pPr>
        <w:spacing w:before="120"/>
        <w:rPr>
          <w:rFonts w:ascii="Arial" w:hAnsi="Arial" w:cs="Arial"/>
          <w:b/>
          <w:sz w:val="28"/>
          <w:szCs w:val="28"/>
        </w:rPr>
      </w:pPr>
      <w:r w:rsidRPr="0AA4ACE3">
        <w:rPr>
          <w:rFonts w:ascii="Arial" w:hAnsi="Arial" w:cs="Arial"/>
          <w:b/>
          <w:bCs/>
          <w:sz w:val="28"/>
          <w:szCs w:val="28"/>
        </w:rPr>
        <w:t>Section 8B:</w:t>
      </w:r>
    </w:p>
    <w:p w:rsidR="00EB7C70" w:rsidP="0AA4ACE3" w14:paraId="2F8BCCC5" w14:textId="4D9DB1B5">
      <w:pPr>
        <w:spacing w:before="120" w:line="259" w:lineRule="auto"/>
        <w:rPr>
          <w:rFonts w:ascii="Arial" w:hAnsi="Arial" w:cs="Arial"/>
          <w:sz w:val="24"/>
        </w:rPr>
      </w:pPr>
      <w:r>
        <w:rPr>
          <w:rFonts w:ascii="Arial" w:hAnsi="Arial" w:cs="Arial"/>
          <w:sz w:val="24"/>
        </w:rPr>
        <w:t>No outside consultation was conducted</w:t>
      </w:r>
      <w:r w:rsidR="002F08D7">
        <w:rPr>
          <w:rFonts w:ascii="Arial" w:hAnsi="Arial" w:cs="Arial"/>
          <w:sz w:val="24"/>
        </w:rPr>
        <w:t xml:space="preserve"> because the standard reporting time periods have ended. </w:t>
      </w:r>
    </w:p>
    <w:p w:rsidR="009B3794" w:rsidRPr="00C45431" w:rsidP="00B65186" w14:paraId="22E2A32A"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Explanation of any Payment/Gift to Respondents</w:t>
      </w:r>
    </w:p>
    <w:p w:rsidR="00935E77" w:rsidRPr="00C45431" w:rsidP="0AA4ACE3" w14:paraId="22E2A32D" w14:textId="16908D80">
      <w:pPr>
        <w:tabs>
          <w:tab w:val="num" w:pos="360"/>
        </w:tabs>
        <w:spacing w:before="120"/>
        <w:rPr>
          <w:rFonts w:ascii="Arial" w:hAnsi="Arial" w:cs="Arial"/>
          <w:sz w:val="24"/>
        </w:rPr>
      </w:pPr>
      <w:r w:rsidRPr="0AA4ACE3">
        <w:rPr>
          <w:rFonts w:ascii="Arial" w:hAnsi="Arial" w:cs="Arial"/>
          <w:sz w:val="24"/>
        </w:rPr>
        <w:t xml:space="preserve">Respondents will not receive </w:t>
      </w:r>
      <w:r w:rsidRPr="0AA4ACE3" w:rsidR="2325618F">
        <w:rPr>
          <w:rFonts w:ascii="Arial" w:hAnsi="Arial" w:cs="Arial"/>
          <w:sz w:val="24"/>
        </w:rPr>
        <w:t xml:space="preserve">any </w:t>
      </w:r>
      <w:r w:rsidRPr="0AA4ACE3">
        <w:rPr>
          <w:rFonts w:ascii="Arial" w:hAnsi="Arial" w:cs="Arial"/>
          <w:sz w:val="24"/>
        </w:rPr>
        <w:t>payment</w:t>
      </w:r>
      <w:r w:rsidRPr="0AA4ACE3" w:rsidR="2325618F">
        <w:rPr>
          <w:rFonts w:ascii="Arial" w:hAnsi="Arial" w:cs="Arial"/>
          <w:sz w:val="24"/>
        </w:rPr>
        <w:t>s</w:t>
      </w:r>
      <w:r w:rsidRPr="0AA4ACE3">
        <w:rPr>
          <w:rFonts w:ascii="Arial" w:hAnsi="Arial" w:cs="Arial"/>
          <w:sz w:val="24"/>
        </w:rPr>
        <w:t xml:space="preserve"> or gifts.</w:t>
      </w:r>
    </w:p>
    <w:p w:rsidR="009B3794" w:rsidRPr="00C45431" w:rsidP="00B65186" w14:paraId="22E2A32E" w14:textId="77777777">
      <w:pPr>
        <w:numPr>
          <w:ilvl w:val="0"/>
          <w:numId w:val="1"/>
        </w:numPr>
        <w:tabs>
          <w:tab w:val="num" w:pos="360"/>
          <w:tab w:val="clear" w:pos="1080"/>
        </w:tabs>
        <w:spacing w:before="240"/>
        <w:ind w:left="360"/>
        <w:rPr>
          <w:rFonts w:ascii="Arial" w:hAnsi="Arial" w:cs="Arial"/>
          <w:b/>
          <w:bCs/>
          <w:sz w:val="24"/>
        </w:rPr>
      </w:pPr>
      <w:r w:rsidRPr="0AA4ACE3">
        <w:rPr>
          <w:rFonts w:ascii="Arial" w:hAnsi="Arial" w:cs="Arial"/>
          <w:b/>
          <w:bCs/>
          <w:sz w:val="24"/>
          <w:u w:val="single"/>
        </w:rPr>
        <w:t>Assurance of Confidentiality Provided to Respondents</w:t>
      </w:r>
    </w:p>
    <w:p w:rsidR="25BECFBF" w:rsidP="0AA4ACE3" w14:paraId="6FB9D0F5" w14:textId="38B80543">
      <w:pPr>
        <w:tabs>
          <w:tab w:val="num" w:pos="360"/>
        </w:tabs>
        <w:spacing w:before="240"/>
        <w:rPr>
          <w:rFonts w:ascii="Arial" w:hAnsi="Arial" w:cs="Arial"/>
          <w:sz w:val="24"/>
        </w:rPr>
      </w:pPr>
      <w:r w:rsidRPr="0AA4ACE3">
        <w:rPr>
          <w:rFonts w:ascii="Arial" w:hAnsi="Arial" w:cs="Arial"/>
          <w:sz w:val="24"/>
        </w:rPr>
        <w:t>The information collected will be kept secure and protected</w:t>
      </w:r>
      <w:r w:rsidR="006777F0">
        <w:rPr>
          <w:rFonts w:ascii="Arial" w:hAnsi="Arial" w:cs="Arial"/>
          <w:sz w:val="24"/>
        </w:rPr>
        <w:t xml:space="preserve">. </w:t>
      </w:r>
      <w:r w:rsidRPr="0AA4ACE3">
        <w:rPr>
          <w:rFonts w:ascii="Arial" w:hAnsi="Arial" w:cs="Arial"/>
          <w:sz w:val="24"/>
        </w:rPr>
        <w:t>Information containing personal identifiers will not be requested. HRSA and its contractors will comply with the HHS Standard for Encryption of Computing Devices and Information to prevent unauthorized access to government information</w:t>
      </w:r>
      <w:r w:rsidR="006777F0">
        <w:rPr>
          <w:rFonts w:ascii="Arial" w:hAnsi="Arial" w:cs="Arial"/>
          <w:sz w:val="24"/>
        </w:rPr>
        <w:t xml:space="preserve">. </w:t>
      </w:r>
      <w:r w:rsidRPr="00F0052E" w:rsidR="00F0052E">
        <w:rPr>
          <w:rFonts w:ascii="Arial" w:hAnsi="Arial" w:cs="Arial"/>
          <w:sz w:val="24"/>
        </w:rPr>
        <w:t>Data will be kept private to the extent allowed by law.</w:t>
      </w:r>
    </w:p>
    <w:p w:rsidR="009B3794" w:rsidRPr="00C45431" w:rsidP="00B65186" w14:paraId="22E2A336" w14:textId="77777777">
      <w:pPr>
        <w:numPr>
          <w:ilvl w:val="0"/>
          <w:numId w:val="1"/>
        </w:numPr>
        <w:tabs>
          <w:tab w:val="num" w:pos="360"/>
          <w:tab w:val="clear" w:pos="1080"/>
        </w:tabs>
        <w:spacing w:before="240"/>
        <w:ind w:left="360"/>
        <w:rPr>
          <w:rFonts w:ascii="Arial" w:hAnsi="Arial" w:cs="Arial"/>
          <w:b/>
          <w:sz w:val="24"/>
        </w:rPr>
      </w:pPr>
      <w:r w:rsidRPr="0AA4ACE3">
        <w:rPr>
          <w:rFonts w:ascii="Arial" w:hAnsi="Arial" w:cs="Arial"/>
          <w:b/>
          <w:bCs/>
          <w:sz w:val="24"/>
          <w:u w:val="single"/>
        </w:rPr>
        <w:t>Justification for Sensitive Questions</w:t>
      </w:r>
    </w:p>
    <w:p w:rsidR="009B3794" w:rsidP="0AA4ACE3" w14:paraId="14617D0B" w14:textId="07161938">
      <w:pPr>
        <w:widowControl/>
        <w:tabs>
          <w:tab w:val="num" w:pos="360"/>
        </w:tabs>
        <w:spacing w:before="120"/>
        <w:rPr>
          <w:rFonts w:ascii="Arial" w:hAnsi="Arial" w:cs="Arial"/>
          <w:sz w:val="24"/>
        </w:rPr>
      </w:pPr>
      <w:r w:rsidRPr="0AA4ACE3">
        <w:rPr>
          <w:rFonts w:ascii="Arial" w:hAnsi="Arial" w:cs="Arial"/>
          <w:sz w:val="24"/>
        </w:rPr>
        <w:t>Sensitive questions (such as sexual behavior and attitudes, religious beliefs, and other matters that are commonly considered private), will not be asked</w:t>
      </w:r>
      <w:r w:rsidR="006777F0">
        <w:rPr>
          <w:rFonts w:ascii="Arial" w:hAnsi="Arial" w:cs="Arial"/>
          <w:sz w:val="24"/>
        </w:rPr>
        <w:t xml:space="preserve">. </w:t>
      </w:r>
      <w:r w:rsidRPr="0AA4ACE3" w:rsidR="300DACA6">
        <w:rPr>
          <w:rFonts w:ascii="Arial" w:hAnsi="Arial" w:cs="Arial"/>
          <w:sz w:val="24"/>
        </w:rPr>
        <w:t xml:space="preserve"> </w:t>
      </w:r>
    </w:p>
    <w:p w:rsidR="009B3794" w:rsidRPr="00C45431" w:rsidP="00B65186" w14:paraId="22E2A33C" w14:textId="77777777">
      <w:pPr>
        <w:numPr>
          <w:ilvl w:val="0"/>
          <w:numId w:val="1"/>
        </w:numPr>
        <w:tabs>
          <w:tab w:val="num" w:pos="360"/>
          <w:tab w:val="clear" w:pos="1080"/>
        </w:tabs>
        <w:spacing w:before="240"/>
        <w:ind w:left="360"/>
        <w:rPr>
          <w:rFonts w:ascii="Arial" w:hAnsi="Arial" w:cs="Arial"/>
          <w:sz w:val="24"/>
        </w:rPr>
      </w:pPr>
      <w:r w:rsidRPr="0AA4ACE3">
        <w:rPr>
          <w:rFonts w:ascii="Arial" w:hAnsi="Arial" w:cs="Arial"/>
          <w:b/>
          <w:bCs/>
          <w:sz w:val="24"/>
          <w:u w:val="single"/>
        </w:rPr>
        <w:t xml:space="preserve">Estimates of Annualized Hour and Cost Burden  </w:t>
      </w:r>
    </w:p>
    <w:p w:rsidR="009B3794" w:rsidRPr="00C45431" w:rsidP="0AA4ACE3" w14:paraId="39BBE23A" w14:textId="1DDA05C3">
      <w:pPr>
        <w:widowControl/>
        <w:tabs>
          <w:tab w:val="num" w:pos="720"/>
        </w:tabs>
        <w:spacing w:before="120"/>
        <w:rPr>
          <w:rFonts w:ascii="Arial" w:hAnsi="Arial" w:cs="Arial"/>
          <w:sz w:val="24"/>
        </w:rPr>
      </w:pPr>
      <w:r w:rsidRPr="0AA4ACE3">
        <w:rPr>
          <w:rFonts w:ascii="Arial" w:hAnsi="Arial" w:cs="Arial"/>
          <w:b/>
          <w:bCs/>
          <w:sz w:val="28"/>
          <w:szCs w:val="28"/>
        </w:rPr>
        <w:t>12A</w:t>
      </w:r>
      <w:r w:rsidR="006777F0">
        <w:rPr>
          <w:rFonts w:ascii="Arial" w:hAnsi="Arial" w:cs="Arial"/>
          <w:b/>
          <w:bCs/>
          <w:sz w:val="28"/>
          <w:szCs w:val="28"/>
        </w:rPr>
        <w:t xml:space="preserve">. </w:t>
      </w:r>
      <w:r w:rsidRPr="0AA4ACE3">
        <w:rPr>
          <w:rFonts w:ascii="Arial" w:hAnsi="Arial" w:cs="Arial"/>
          <w:sz w:val="24"/>
        </w:rPr>
        <w:t xml:space="preserve">      </w:t>
      </w:r>
    </w:p>
    <w:p w:rsidR="00E030A0" w:rsidP="5AE99C4B" w14:paraId="52DD45C2" w14:textId="2DB5374F">
      <w:pPr>
        <w:widowControl/>
        <w:tabs>
          <w:tab w:val="num" w:pos="360"/>
        </w:tabs>
        <w:spacing w:before="120"/>
        <w:rPr>
          <w:rFonts w:ascii="Arial" w:hAnsi="Arial" w:cs="Arial"/>
          <w:sz w:val="24"/>
        </w:rPr>
      </w:pPr>
      <w:r w:rsidRPr="5AE99C4B">
        <w:rPr>
          <w:rFonts w:ascii="Arial" w:hAnsi="Arial" w:cs="Arial"/>
          <w:sz w:val="24"/>
        </w:rPr>
        <w:t>The</w:t>
      </w:r>
      <w:r w:rsidRPr="5AE99C4B" w:rsidR="00370EE9">
        <w:rPr>
          <w:rFonts w:ascii="Arial" w:hAnsi="Arial" w:cs="Arial"/>
          <w:sz w:val="24"/>
        </w:rPr>
        <w:t xml:space="preserve"> standard reporting </w:t>
      </w:r>
      <w:r w:rsidRPr="5AE99C4B" w:rsidR="00F404E8">
        <w:rPr>
          <w:rFonts w:ascii="Arial" w:hAnsi="Arial" w:cs="Arial"/>
          <w:sz w:val="24"/>
        </w:rPr>
        <w:t xml:space="preserve">time periods have ended, </w:t>
      </w:r>
      <w:r w:rsidRPr="5AE99C4B">
        <w:rPr>
          <w:rFonts w:ascii="Arial" w:hAnsi="Arial" w:cs="Arial"/>
          <w:sz w:val="24"/>
        </w:rPr>
        <w:t xml:space="preserve">so only </w:t>
      </w:r>
      <w:r w:rsidRPr="5AE99C4B" w:rsidR="00054584">
        <w:rPr>
          <w:rFonts w:ascii="Arial" w:hAnsi="Arial" w:cs="Arial"/>
          <w:sz w:val="24"/>
        </w:rPr>
        <w:t xml:space="preserve">a limited number of providers are expected to submit </w:t>
      </w:r>
      <w:r w:rsidRPr="5AE99C4B" w:rsidR="00C37765">
        <w:rPr>
          <w:rFonts w:ascii="Arial" w:hAnsi="Arial" w:cs="Arial"/>
          <w:sz w:val="24"/>
        </w:rPr>
        <w:t>these documents</w:t>
      </w:r>
      <w:r w:rsidRPr="5AE99C4B" w:rsidR="002E6CC6">
        <w:rPr>
          <w:rFonts w:ascii="Arial" w:hAnsi="Arial" w:cs="Arial"/>
          <w:sz w:val="24"/>
        </w:rPr>
        <w:t>.</w:t>
      </w:r>
      <w:r w:rsidRPr="5AE99C4B" w:rsidR="00245E76">
        <w:rPr>
          <w:rFonts w:ascii="Arial" w:hAnsi="Arial" w:cs="Arial"/>
          <w:sz w:val="24"/>
        </w:rPr>
        <w:t xml:space="preserve"> </w:t>
      </w:r>
      <w:r w:rsidRPr="5AE99C4B" w:rsidR="00E829D2">
        <w:rPr>
          <w:rFonts w:ascii="Arial" w:hAnsi="Arial" w:cs="Arial"/>
          <w:sz w:val="24"/>
        </w:rPr>
        <w:t>I</w:t>
      </w:r>
      <w:r w:rsidRPr="5AE99C4B" w:rsidR="00245E76">
        <w:rPr>
          <w:rFonts w:ascii="Arial" w:hAnsi="Arial" w:cs="Arial"/>
          <w:sz w:val="24"/>
        </w:rPr>
        <w:t>nstead of recipients reporting once per reporting period, providers would only be providing documentation in the circumstances outlined above.</w:t>
      </w:r>
      <w:r w:rsidRPr="5AE99C4B" w:rsidR="002E6CC6">
        <w:rPr>
          <w:rFonts w:ascii="Arial" w:hAnsi="Arial" w:cs="Arial"/>
          <w:sz w:val="24"/>
        </w:rPr>
        <w:t xml:space="preserve"> </w:t>
      </w:r>
      <w:r w:rsidRPr="5AE99C4B" w:rsidR="007649B4">
        <w:rPr>
          <w:rFonts w:ascii="Arial" w:hAnsi="Arial" w:cs="Arial"/>
          <w:sz w:val="24"/>
        </w:rPr>
        <w:t>The number of respondents is based on HRSA estimates of the number of respondents who are expected to need to submit this paperwork</w:t>
      </w:r>
      <w:r w:rsidRPr="5AE99C4B" w:rsidR="00C65245">
        <w:rPr>
          <w:rFonts w:ascii="Arial" w:hAnsi="Arial" w:cs="Arial"/>
          <w:sz w:val="24"/>
        </w:rPr>
        <w:t xml:space="preserve"> annually over the next three years</w:t>
      </w:r>
      <w:r w:rsidRPr="5AE99C4B" w:rsidR="007649B4">
        <w:rPr>
          <w:rFonts w:ascii="Arial" w:hAnsi="Arial" w:cs="Arial"/>
          <w:sz w:val="24"/>
        </w:rPr>
        <w:t xml:space="preserve">. </w:t>
      </w:r>
    </w:p>
    <w:p w:rsidR="00173179" w:rsidRPr="00173179" w:rsidP="00173179" w14:paraId="0A39348B" w14:textId="74627C27">
      <w:pPr>
        <w:widowControl/>
        <w:tabs>
          <w:tab w:val="num" w:pos="720"/>
        </w:tabs>
        <w:spacing w:before="120"/>
        <w:rPr>
          <w:rFonts w:ascii="Arial" w:hAnsi="Arial" w:cs="Arial"/>
          <w:sz w:val="24"/>
        </w:rPr>
      </w:pPr>
      <w:r>
        <w:rPr>
          <w:rFonts w:ascii="Arial" w:hAnsi="Arial" w:cs="Arial"/>
          <w:sz w:val="24"/>
        </w:rPr>
        <w:t>T</w:t>
      </w:r>
      <w:r w:rsidRPr="00173179">
        <w:rPr>
          <w:rFonts w:ascii="Arial" w:hAnsi="Arial" w:cs="Arial"/>
          <w:sz w:val="24"/>
        </w:rPr>
        <w:t xml:space="preserve">he average burden per response differs for different reporting periods because </w:t>
      </w:r>
      <w:r w:rsidR="00D2773B">
        <w:rPr>
          <w:rFonts w:ascii="Arial" w:hAnsi="Arial" w:cs="Arial"/>
          <w:sz w:val="24"/>
        </w:rPr>
        <w:t>HRSA</w:t>
      </w:r>
      <w:r w:rsidRPr="00173179" w:rsidR="00D2773B">
        <w:rPr>
          <w:rFonts w:ascii="Arial" w:hAnsi="Arial" w:cs="Arial"/>
          <w:sz w:val="24"/>
        </w:rPr>
        <w:t xml:space="preserve"> </w:t>
      </w:r>
      <w:r w:rsidRPr="00173179">
        <w:rPr>
          <w:rFonts w:ascii="Arial" w:hAnsi="Arial" w:cs="Arial"/>
          <w:sz w:val="24"/>
        </w:rPr>
        <w:t>account</w:t>
      </w:r>
      <w:r w:rsidR="00D2773B">
        <w:rPr>
          <w:rFonts w:ascii="Arial" w:hAnsi="Arial" w:cs="Arial"/>
          <w:sz w:val="24"/>
        </w:rPr>
        <w:t>s</w:t>
      </w:r>
      <w:r w:rsidRPr="00173179">
        <w:rPr>
          <w:rFonts w:ascii="Arial" w:hAnsi="Arial" w:cs="Arial"/>
          <w:sz w:val="24"/>
        </w:rPr>
        <w:t xml:space="preserve"> for different sizes of providers and payments. Payments are categorized into three levels of reporting: $10-100K (3 hours), $100-500K (8 hours), and over $500K (16 hours). Burden hour is also reduced by 1 hour for providers who have previously reported. </w:t>
      </w:r>
    </w:p>
    <w:p w:rsidR="009B3794" w:rsidP="00173179" w14:paraId="22E2A33F" w14:textId="4FA16321">
      <w:pPr>
        <w:widowControl/>
        <w:tabs>
          <w:tab w:val="num" w:pos="720"/>
        </w:tabs>
        <w:spacing w:before="120"/>
        <w:rPr>
          <w:rFonts w:ascii="Arial" w:hAnsi="Arial" w:cs="Arial"/>
          <w:b/>
          <w:bCs/>
          <w:sz w:val="24"/>
        </w:rPr>
      </w:pPr>
      <w:r w:rsidRPr="00173179">
        <w:rPr>
          <w:rFonts w:ascii="Arial" w:hAnsi="Arial" w:cs="Arial"/>
          <w:sz w:val="24"/>
        </w:rPr>
        <w:t xml:space="preserve"> </w:t>
      </w:r>
      <w:r w:rsidRPr="0AA4ACE3" w:rsidR="300DACA6">
        <w:rPr>
          <w:rFonts w:ascii="Arial" w:hAnsi="Arial" w:cs="Arial"/>
          <w:b/>
          <w:bCs/>
          <w:sz w:val="24"/>
        </w:rPr>
        <w:t>Estimated Annualized Burden Hours</w:t>
      </w:r>
    </w:p>
    <w:tbl>
      <w:tblPr>
        <w:tblW w:w="9465" w:type="dxa"/>
        <w:tblBorders>
          <w:top w:val="single" w:sz="6" w:space="0" w:color="auto"/>
          <w:left w:val="single" w:sz="6" w:space="0" w:color="auto"/>
          <w:bottom w:val="single" w:sz="6" w:space="0" w:color="auto"/>
          <w:right w:val="single" w:sz="6" w:space="0" w:color="auto"/>
        </w:tblBorders>
        <w:tblLayout w:type="fixed"/>
        <w:tblLook w:val="04A0"/>
      </w:tblPr>
      <w:tblGrid>
        <w:gridCol w:w="2625"/>
        <w:gridCol w:w="1530"/>
        <w:gridCol w:w="1470"/>
        <w:gridCol w:w="1395"/>
        <w:gridCol w:w="1395"/>
        <w:gridCol w:w="1050"/>
      </w:tblGrid>
      <w:tr w14:paraId="2F1BD39B" w14:textId="77777777" w:rsidTr="00397651">
        <w:tblPrEx>
          <w:tblW w:w="9465" w:type="dxa"/>
          <w:tblBorders>
            <w:top w:val="single" w:sz="6" w:space="0" w:color="auto"/>
            <w:left w:val="single" w:sz="6" w:space="0" w:color="auto"/>
            <w:bottom w:val="single" w:sz="6" w:space="0" w:color="auto"/>
            <w:right w:val="single" w:sz="6" w:space="0" w:color="auto"/>
          </w:tblBorders>
          <w:tblLayout w:type="fixed"/>
          <w:tblLook w:val="04A0"/>
        </w:tblPrEx>
        <w:trPr>
          <w:trHeight w:val="510"/>
          <w:tblHeader/>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29ADCEE5" w14:textId="1EF1647B">
            <w:pPr>
              <w:tabs>
                <w:tab w:val="left" w:pos="10080"/>
              </w:tabs>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Form Name</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7A766C2E" w14:textId="74D85F59">
            <w:pPr>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Number of Respondents</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53952131" w14:textId="28F65678">
            <w:pPr>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Number of Responses per Respondent</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7B4582E2" w14:textId="6D8748B5">
            <w:pPr>
              <w:jc w:val="center"/>
              <w:rPr>
                <w:rFonts w:ascii="Arial" w:eastAsia="Arial" w:hAnsi="Arial" w:cs="Arial"/>
                <w:color w:val="000000" w:themeColor="text1"/>
                <w:sz w:val="22"/>
                <w:szCs w:val="22"/>
              </w:rPr>
            </w:pPr>
          </w:p>
          <w:p w:rsidR="3B1780A6" w:rsidP="3B1780A6" w14:paraId="469B8EEE" w14:textId="15338ED5">
            <w:pPr>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Total Responses</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0319F437" w14:textId="0B67C2E1">
            <w:pPr>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Average Burden per Response (in hours)</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3B1780A6" w:rsidP="3B1780A6" w14:paraId="1352B2B8" w14:textId="53958897">
            <w:pPr>
              <w:jc w:val="center"/>
              <w:rPr>
                <w:rFonts w:ascii="Arial" w:eastAsia="Arial" w:hAnsi="Arial" w:cs="Arial"/>
                <w:color w:val="000000" w:themeColor="text1"/>
                <w:sz w:val="22"/>
                <w:szCs w:val="22"/>
              </w:rPr>
            </w:pPr>
            <w:r w:rsidRPr="3B1780A6">
              <w:rPr>
                <w:rFonts w:ascii="Arial" w:eastAsia="Arial" w:hAnsi="Arial" w:cs="Arial"/>
                <w:color w:val="000000" w:themeColor="text1"/>
                <w:sz w:val="22"/>
                <w:szCs w:val="22"/>
              </w:rPr>
              <w:t>Total Burden Hours</w:t>
            </w:r>
          </w:p>
        </w:tc>
      </w:tr>
      <w:tr w14:paraId="6C6390CD"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B55D621" w14:textId="3F6B9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xml:space="preserve">, </w:t>
            </w:r>
          </w:p>
          <w:p w:rsidR="3B1780A6" w:rsidP="3B1780A6" w14:paraId="7E02C373" w14:textId="7498B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Reporting Period 1</w:t>
            </w:r>
          </w:p>
          <w:p w:rsidR="3B1780A6" w:rsidP="3B1780A6" w14:paraId="1806D313" w14:textId="1857E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April 10, 2020, to June 30, 2020)</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2B0795E" w14:textId="5F0B2B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355D9A79" w14:textId="36C8D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072D34A" w14:textId="65672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0E66609D" w14:textId="12540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5.43</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73E97054" w14:textId="0536C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54.30</w:t>
            </w:r>
          </w:p>
        </w:tc>
      </w:tr>
      <w:tr w14:paraId="6713B549"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6BFB671" w14:textId="7C9B6A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xml:space="preserve">, </w:t>
            </w:r>
          </w:p>
          <w:p w:rsidR="3B1780A6" w:rsidP="3B1780A6" w14:paraId="24A2D09B" w14:textId="66CBF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Reporting Period 2</w:t>
            </w:r>
          </w:p>
          <w:p w:rsidR="3B1780A6" w:rsidP="3B1780A6" w14:paraId="4C28FACE" w14:textId="0F325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July 1, 2020, to December 31, 2020)</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090230A" w14:textId="750871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8271D06" w14:textId="3E6900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CBD4D59" w14:textId="3BC10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28BA9FC" w14:textId="57962D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4.22</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72A4F9A7" w14:textId="2918C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42.20</w:t>
            </w:r>
          </w:p>
        </w:tc>
      </w:tr>
      <w:tr w14:paraId="20813D58"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4FB04F8" w14:textId="77F93E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xml:space="preserve">, </w:t>
            </w:r>
          </w:p>
          <w:p w:rsidR="3B1780A6" w:rsidP="3B1780A6" w14:paraId="165A041D" w14:textId="5046D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Reporting Period 3</w:t>
            </w:r>
          </w:p>
          <w:p w:rsidR="3B1780A6" w:rsidP="3B1780A6" w14:paraId="1E3F0F15" w14:textId="251DF2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January 1, 2021, to June 30, 2021)</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1B3208D" w14:textId="2ED5A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91C3AF6" w14:textId="7A6F8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EE45FB3" w14:textId="286A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370C5B2" w14:textId="5B1CA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5.88</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036DDAD4" w14:textId="05423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58.80</w:t>
            </w:r>
          </w:p>
        </w:tc>
      </w:tr>
      <w:tr w14:paraId="50C1112F" w14:textId="77777777" w:rsidTr="00397651">
        <w:tblPrEx>
          <w:tblW w:w="9465" w:type="dxa"/>
          <w:tblLayout w:type="fixed"/>
          <w:tblLook w:val="04A0"/>
        </w:tblPrEx>
        <w:trPr>
          <w:trHeight w:val="855"/>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3F496EF7" w14:textId="07B06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Reporting Period 4</w:t>
            </w:r>
          </w:p>
          <w:p w:rsidR="3B1780A6" w:rsidP="3B1780A6" w14:paraId="7F560820" w14:textId="49F7C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July 1, 2021, to December 31, 2021)</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DE02FC0" w14:textId="4D1809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7693CBB6" w14:textId="5B74C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75896075" w14:textId="36517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2899F8C" w14:textId="0ADB8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5.26</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202AD3C4" w14:textId="2586A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52.60</w:t>
            </w:r>
          </w:p>
        </w:tc>
      </w:tr>
      <w:tr w14:paraId="2A2182B5"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CEA721D" w14:textId="7763CE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Reporting Period 5</w:t>
            </w:r>
          </w:p>
          <w:p w:rsidR="3B1780A6" w:rsidP="3B1780A6" w14:paraId="310BDFAE" w14:textId="21B2A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January 1, 2022, to June 30, 2022)</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01D667AD" w14:textId="71842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4A276BB" w14:textId="01F8AE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EE67F32" w14:textId="420B54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F5D9707" w14:textId="208E6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5.18</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799BB84C" w14:textId="5FC8A3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25.90</w:t>
            </w:r>
          </w:p>
        </w:tc>
      </w:tr>
      <w:tr w14:paraId="32358A92"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2BB76EF" w14:textId="07FBC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Reporting Period 6</w:t>
            </w:r>
          </w:p>
          <w:p w:rsidR="3B1780A6" w:rsidP="3B1780A6" w14:paraId="66B028D8" w14:textId="17941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July 1, 2022, to December 31, 2022)</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285EE087" w14:textId="74B27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50</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02939E54" w14:textId="08FDB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DEFEFA1" w14:textId="33C5F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36ED165B" w14:textId="592B1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7.37</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79FDD39" w14:textId="26EF74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368.50</w:t>
            </w:r>
          </w:p>
        </w:tc>
      </w:tr>
      <w:tr w14:paraId="1869EF01" w14:textId="77777777" w:rsidTr="00397651">
        <w:tblPrEx>
          <w:tblW w:w="9465" w:type="dxa"/>
          <w:tblLayout w:type="fixed"/>
          <w:tblLook w:val="04A0"/>
        </w:tblPrEx>
        <w:trPr>
          <w:trHeight w:val="690"/>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56CFEEB4" w14:textId="4BD30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FE6273">
              <w:rPr>
                <w:rFonts w:ascii="Arial" w:eastAsia="Arial" w:hAnsi="Arial" w:cs="Arial"/>
                <w:color w:val="000000" w:themeColor="text1"/>
                <w:sz w:val="22"/>
                <w:szCs w:val="22"/>
              </w:rPr>
              <w:t>HRSA Consolidated PRF Reporting Portal</w:t>
            </w:r>
            <w:r w:rsidRPr="3B1780A6">
              <w:rPr>
                <w:rFonts w:ascii="Arial" w:eastAsia="Arial" w:hAnsi="Arial" w:cs="Arial"/>
                <w:color w:val="000000" w:themeColor="text1"/>
                <w:sz w:val="22"/>
                <w:szCs w:val="22"/>
              </w:rPr>
              <w:t>, Reporting Period 7</w:t>
            </w:r>
          </w:p>
          <w:p w:rsidR="3B1780A6" w:rsidP="3B1780A6" w14:paraId="7B19A3AF" w14:textId="03E35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rPr>
              <w:t>(Providers who received payments January 1, 2023, to June 30, 2023)</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55CB0A0" w14:textId="6D5C7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5D850897" w14:textId="7F6D6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2F6F8A9" w14:textId="29BAC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3A1BDC8E" w14:textId="2EC9CD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5.35</w:t>
            </w: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E233FDA" w14:textId="32C8D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26.75</w:t>
            </w:r>
          </w:p>
        </w:tc>
      </w:tr>
      <w:tr w14:paraId="019B4C58" w14:textId="77777777" w:rsidTr="00397651">
        <w:tblPrEx>
          <w:tblW w:w="9465" w:type="dxa"/>
          <w:tblLayout w:type="fixed"/>
          <w:tblLook w:val="04A0"/>
        </w:tblPrEx>
        <w:trPr>
          <w:trHeight w:val="75"/>
        </w:trPr>
        <w:tc>
          <w:tcPr>
            <w:tcW w:w="26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185B63F8" w14:textId="0F991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Total</w:t>
            </w:r>
          </w:p>
        </w:tc>
        <w:tc>
          <w:tcPr>
            <w:tcW w:w="15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04F5DA35" w14:textId="529F4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 xml:space="preserve">100 </w:t>
            </w:r>
          </w:p>
        </w:tc>
        <w:tc>
          <w:tcPr>
            <w:tcW w:w="14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470872B2" w14:textId="50D4BC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62198BE2" w14:textId="7DE24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100</w:t>
            </w:r>
          </w:p>
        </w:tc>
        <w:tc>
          <w:tcPr>
            <w:tcW w:w="1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34ADDBA5" w14:textId="0C4D2C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p>
        </w:tc>
        <w:tc>
          <w:tcPr>
            <w:tcW w:w="10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3B1780A6" w:rsidP="3B1780A6" w14:paraId="2AC065E0" w14:textId="2872D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sidRPr="3B1780A6">
              <w:rPr>
                <w:rFonts w:ascii="Arial" w:eastAsia="Arial" w:hAnsi="Arial" w:cs="Arial"/>
                <w:color w:val="000000" w:themeColor="text1"/>
                <w:sz w:val="22"/>
                <w:szCs w:val="22"/>
                <w:lang w:val="fr-FR"/>
              </w:rPr>
              <w:t>629.05</w:t>
            </w:r>
          </w:p>
        </w:tc>
      </w:tr>
    </w:tbl>
    <w:p w:rsidR="00CB5C19" w:rsidRPr="00C45431" w:rsidP="0AA4ACE3" w14:paraId="34B78CED" w14:textId="45222D3C">
      <w:pPr>
        <w:widowControl/>
        <w:tabs>
          <w:tab w:val="num" w:pos="720"/>
        </w:tabs>
        <w:spacing w:before="120"/>
        <w:rPr>
          <w:rFonts w:ascii="Arial" w:hAnsi="Arial" w:cs="Arial"/>
          <w:sz w:val="24"/>
        </w:rPr>
      </w:pPr>
    </w:p>
    <w:p w:rsidR="009B3794" w:rsidP="0AA4ACE3" w14:paraId="6A7D0785" w14:textId="01590F54">
      <w:pPr>
        <w:widowControl/>
        <w:spacing w:before="120"/>
        <w:rPr>
          <w:rFonts w:ascii="Arial" w:hAnsi="Arial" w:cs="Arial"/>
          <w:sz w:val="28"/>
          <w:szCs w:val="28"/>
        </w:rPr>
      </w:pPr>
      <w:r w:rsidRPr="0AA4ACE3">
        <w:rPr>
          <w:rFonts w:ascii="Arial" w:hAnsi="Arial" w:cs="Arial"/>
          <w:b/>
          <w:bCs/>
          <w:sz w:val="28"/>
          <w:szCs w:val="28"/>
        </w:rPr>
        <w:t>12B</w:t>
      </w:r>
      <w:r w:rsidR="006777F0">
        <w:rPr>
          <w:rFonts w:ascii="Arial" w:hAnsi="Arial" w:cs="Arial"/>
          <w:sz w:val="28"/>
          <w:szCs w:val="28"/>
        </w:rPr>
        <w:t xml:space="preserve">. </w:t>
      </w:r>
    </w:p>
    <w:p w:rsidR="00D44E2F" w:rsidP="00D44E2F" w14:paraId="2B1BBF0B" w14:textId="039F77FB">
      <w:pPr>
        <w:pStyle w:val="BodyTextIndent"/>
        <w:tabs>
          <w:tab w:val="num" w:pos="360"/>
        </w:tabs>
        <w:spacing w:before="120"/>
        <w:ind w:left="0"/>
        <w:rPr>
          <w:rFonts w:ascii="Arial" w:hAnsi="Arial" w:cs="Arial"/>
        </w:rPr>
      </w:pPr>
      <w:r w:rsidRPr="00662CD9">
        <w:rPr>
          <w:rFonts w:ascii="Arial" w:hAnsi="Arial" w:cs="Arial"/>
        </w:rPr>
        <w:t xml:space="preserve">For provider payments between $10,000 and $100,000, the typical respondent will be an administrative representative or similar professional. For provider payments over $100,001, the typical respondent will be an accountant or similar professional. </w:t>
      </w:r>
      <w:r>
        <w:rPr>
          <w:rFonts w:ascii="Arial" w:hAnsi="Arial" w:cs="Arial"/>
        </w:rPr>
        <w:t>Based on previous years, we estimate that 40 percent of the total reporting burden will be done by Administrative Representatives, and 60 percent of reporting burden will be done by Accountants.</w:t>
      </w:r>
      <w:r w:rsidR="008E61F9">
        <w:rPr>
          <w:rFonts w:ascii="Arial" w:hAnsi="Arial" w:cs="Arial"/>
        </w:rPr>
        <w:t xml:space="preserve"> </w:t>
      </w:r>
    </w:p>
    <w:p w:rsidR="00D44E2F" w:rsidP="0AA4ACE3" w14:paraId="43343E27" w14:textId="77777777">
      <w:pPr>
        <w:widowControl/>
        <w:spacing w:before="120"/>
        <w:rPr>
          <w:rFonts w:ascii="Arial" w:hAnsi="Arial" w:cs="Arial"/>
          <w:sz w:val="28"/>
          <w:szCs w:val="28"/>
        </w:rPr>
      </w:pPr>
    </w:p>
    <w:tbl>
      <w:tblPr>
        <w:tblW w:w="5000" w:type="pct"/>
        <w:tblBorders>
          <w:top w:val="single" w:sz="6" w:space="0" w:color="auto"/>
          <w:left w:val="single" w:sz="6" w:space="0" w:color="auto"/>
          <w:bottom w:val="single" w:sz="6" w:space="0" w:color="auto"/>
          <w:right w:val="single" w:sz="6" w:space="0" w:color="auto"/>
        </w:tblBorders>
        <w:tblLook w:val="04A0"/>
      </w:tblPr>
      <w:tblGrid>
        <w:gridCol w:w="3494"/>
        <w:gridCol w:w="2037"/>
        <w:gridCol w:w="1957"/>
        <w:gridCol w:w="1856"/>
      </w:tblGrid>
      <w:tr w14:paraId="4E3DD2A1" w14:textId="77777777" w:rsidTr="00961A03">
        <w:tblPrEx>
          <w:tblW w:w="5000" w:type="pct"/>
          <w:tblBorders>
            <w:top w:val="single" w:sz="6" w:space="0" w:color="auto"/>
            <w:left w:val="single" w:sz="6" w:space="0" w:color="auto"/>
            <w:bottom w:val="single" w:sz="6" w:space="0" w:color="auto"/>
            <w:right w:val="single" w:sz="6" w:space="0" w:color="auto"/>
          </w:tblBorders>
          <w:tblLook w:val="04A0"/>
        </w:tblPrEx>
        <w:trPr>
          <w:trHeight w:val="510"/>
          <w:tblHeader/>
        </w:trPr>
        <w:tc>
          <w:tcPr>
            <w:tcW w:w="1870" w:type="pct"/>
            <w:tcBorders>
              <w:top w:val="single" w:sz="6" w:space="0" w:color="auto"/>
              <w:left w:val="single" w:sz="6" w:space="0" w:color="auto"/>
              <w:bottom w:val="single" w:sz="6" w:space="0" w:color="auto"/>
              <w:right w:val="single" w:sz="6" w:space="0" w:color="auto"/>
            </w:tcBorders>
            <w:tcMar>
              <w:left w:w="90" w:type="dxa"/>
              <w:right w:w="90" w:type="dxa"/>
            </w:tcMar>
            <w:vAlign w:val="bottom"/>
          </w:tcPr>
          <w:p w:rsidR="00C64B21" w14:paraId="30968BA4" w14:textId="5EE009F9">
            <w:pPr>
              <w:tabs>
                <w:tab w:val="left" w:pos="10080"/>
              </w:tabs>
              <w:jc w:val="center"/>
              <w:rPr>
                <w:rFonts w:ascii="Arial" w:eastAsia="Arial" w:hAnsi="Arial" w:cs="Arial"/>
                <w:color w:val="000000" w:themeColor="text1"/>
                <w:sz w:val="22"/>
                <w:szCs w:val="22"/>
              </w:rPr>
            </w:pPr>
            <w:r>
              <w:rPr>
                <w:rFonts w:ascii="Arial" w:eastAsia="Arial" w:hAnsi="Arial" w:cs="Arial"/>
                <w:color w:val="000000" w:themeColor="text1"/>
                <w:sz w:val="22"/>
                <w:szCs w:val="22"/>
              </w:rPr>
              <w:t>Type of Respondent</w:t>
            </w:r>
          </w:p>
        </w:tc>
        <w:tc>
          <w:tcPr>
            <w:tcW w:w="1090" w:type="pct"/>
            <w:tcBorders>
              <w:top w:val="single" w:sz="6" w:space="0" w:color="auto"/>
              <w:left w:val="single" w:sz="6" w:space="0" w:color="auto"/>
              <w:bottom w:val="single" w:sz="6" w:space="0" w:color="auto"/>
              <w:right w:val="single" w:sz="6" w:space="0" w:color="auto"/>
            </w:tcBorders>
            <w:tcMar>
              <w:left w:w="90" w:type="dxa"/>
              <w:right w:w="90" w:type="dxa"/>
            </w:tcMar>
            <w:vAlign w:val="bottom"/>
          </w:tcPr>
          <w:p w:rsidR="00C64B21" w14:paraId="1A77EE4B" w14:textId="145FF4EF">
            <w:pPr>
              <w:jc w:val="center"/>
              <w:rPr>
                <w:rFonts w:ascii="Arial" w:eastAsia="Arial" w:hAnsi="Arial" w:cs="Arial"/>
                <w:color w:val="000000" w:themeColor="text1"/>
                <w:sz w:val="22"/>
                <w:szCs w:val="22"/>
              </w:rPr>
            </w:pPr>
            <w:r>
              <w:rPr>
                <w:rFonts w:ascii="Arial" w:eastAsia="Arial" w:hAnsi="Arial" w:cs="Arial"/>
                <w:color w:val="000000" w:themeColor="text1"/>
                <w:sz w:val="22"/>
                <w:szCs w:val="22"/>
              </w:rPr>
              <w:t>Total Estimated Burden Hours</w:t>
            </w:r>
          </w:p>
        </w:tc>
        <w:tc>
          <w:tcPr>
            <w:tcW w:w="1047" w:type="pct"/>
            <w:tcBorders>
              <w:top w:val="single" w:sz="6" w:space="0" w:color="auto"/>
              <w:left w:val="single" w:sz="6" w:space="0" w:color="auto"/>
              <w:bottom w:val="single" w:sz="6" w:space="0" w:color="auto"/>
              <w:right w:val="single" w:sz="6" w:space="0" w:color="auto"/>
            </w:tcBorders>
            <w:tcMar>
              <w:left w:w="90" w:type="dxa"/>
              <w:right w:w="90" w:type="dxa"/>
            </w:tcMar>
            <w:vAlign w:val="bottom"/>
          </w:tcPr>
          <w:p w:rsidR="00C64B21" w14:paraId="05FD7350" w14:textId="633AF257">
            <w:pPr>
              <w:jc w:val="center"/>
              <w:rPr>
                <w:rFonts w:ascii="Arial" w:eastAsia="Arial" w:hAnsi="Arial" w:cs="Arial"/>
                <w:color w:val="000000" w:themeColor="text1"/>
                <w:sz w:val="22"/>
                <w:szCs w:val="22"/>
              </w:rPr>
            </w:pPr>
            <w:r>
              <w:rPr>
                <w:rFonts w:ascii="Arial" w:eastAsia="Arial" w:hAnsi="Arial" w:cs="Arial"/>
                <w:color w:val="000000" w:themeColor="text1"/>
                <w:sz w:val="22"/>
                <w:szCs w:val="22"/>
              </w:rPr>
              <w:t>Hourly Median Wage (x2)</w:t>
            </w:r>
          </w:p>
        </w:tc>
        <w:tc>
          <w:tcPr>
            <w:tcW w:w="993" w:type="pct"/>
            <w:tcBorders>
              <w:top w:val="single" w:sz="6" w:space="0" w:color="auto"/>
              <w:left w:val="single" w:sz="6" w:space="0" w:color="auto"/>
              <w:bottom w:val="single" w:sz="6" w:space="0" w:color="auto"/>
              <w:right w:val="single" w:sz="6" w:space="0" w:color="auto"/>
            </w:tcBorders>
            <w:tcMar>
              <w:left w:w="90" w:type="dxa"/>
              <w:right w:w="90" w:type="dxa"/>
            </w:tcMar>
            <w:vAlign w:val="bottom"/>
          </w:tcPr>
          <w:p w:rsidR="00C64B21" w14:paraId="3DDD46C2" w14:textId="6FE40FED">
            <w:pPr>
              <w:jc w:val="center"/>
              <w:rPr>
                <w:rFonts w:ascii="Arial" w:eastAsia="Arial" w:hAnsi="Arial" w:cs="Arial"/>
                <w:color w:val="000000" w:themeColor="text1"/>
                <w:sz w:val="22"/>
                <w:szCs w:val="22"/>
              </w:rPr>
            </w:pPr>
            <w:r>
              <w:rPr>
                <w:rFonts w:ascii="Arial" w:eastAsia="Arial" w:hAnsi="Arial" w:cs="Arial"/>
                <w:color w:val="000000" w:themeColor="text1"/>
                <w:sz w:val="22"/>
                <w:szCs w:val="22"/>
              </w:rPr>
              <w:t>Total Respondent Costs</w:t>
            </w:r>
          </w:p>
        </w:tc>
      </w:tr>
      <w:tr w14:paraId="072FD46D" w14:textId="77777777" w:rsidTr="00C6423A">
        <w:tblPrEx>
          <w:tblW w:w="5000" w:type="pct"/>
          <w:tblLook w:val="04A0"/>
        </w:tblPrEx>
        <w:trPr>
          <w:trHeight w:val="690"/>
        </w:trPr>
        <w:tc>
          <w:tcPr>
            <w:tcW w:w="187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EE5D3B" w14:paraId="6158DB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C64B21">
              <w:rPr>
                <w:rFonts w:ascii="Arial" w:eastAsia="Arial" w:hAnsi="Arial" w:cs="Arial"/>
                <w:color w:val="000000" w:themeColor="text1"/>
                <w:sz w:val="22"/>
                <w:szCs w:val="22"/>
              </w:rPr>
              <w:t>Administrative Representative </w:t>
            </w:r>
          </w:p>
          <w:p w:rsidR="00C64B21" w14:paraId="1EA89503" w14:textId="407EF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Pr>
                <w:rFonts w:ascii="Arial" w:eastAsia="Arial" w:hAnsi="Arial" w:cs="Arial"/>
                <w:color w:val="000000" w:themeColor="text1"/>
                <w:sz w:val="22"/>
                <w:szCs w:val="22"/>
              </w:rPr>
              <w:t xml:space="preserve">(43-603, </w:t>
            </w:r>
            <w:r w:rsidRPr="00EE5D3B">
              <w:rPr>
                <w:rFonts w:ascii="Arial" w:eastAsia="Arial" w:hAnsi="Arial" w:cs="Arial"/>
                <w:color w:val="000000" w:themeColor="text1"/>
                <w:sz w:val="22"/>
                <w:szCs w:val="22"/>
              </w:rPr>
              <w:t>Medical Secretaries and Administrative Assistants</w:t>
            </w:r>
            <w:r>
              <w:rPr>
                <w:rFonts w:ascii="Arial" w:eastAsia="Arial" w:hAnsi="Arial" w:cs="Arial"/>
                <w:color w:val="000000" w:themeColor="text1"/>
                <w:sz w:val="22"/>
                <w:szCs w:val="22"/>
              </w:rPr>
              <w:t>)</w:t>
            </w:r>
          </w:p>
        </w:tc>
        <w:tc>
          <w:tcPr>
            <w:tcW w:w="109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C64B21" w:rsidP="00332C5E" w14:paraId="44695C3F" w14:textId="2F2E65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251.62</w:t>
            </w:r>
          </w:p>
        </w:tc>
        <w:tc>
          <w:tcPr>
            <w:tcW w:w="1047"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C64B21" w14:paraId="1904B3A8" w14:textId="1A5B06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$42.92</w:t>
            </w:r>
          </w:p>
        </w:tc>
        <w:tc>
          <w:tcPr>
            <w:tcW w:w="993"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C64B21" w14:paraId="646CF48B" w14:textId="66BD3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w:t>
            </w:r>
            <w:r w:rsidRPr="00EE5D3B">
              <w:rPr>
                <w:rFonts w:ascii="Arial" w:eastAsia="Arial" w:hAnsi="Arial" w:cs="Arial"/>
                <w:color w:val="000000" w:themeColor="text1"/>
                <w:sz w:val="22"/>
                <w:szCs w:val="22"/>
              </w:rPr>
              <w:t>10,799.53</w:t>
            </w:r>
          </w:p>
        </w:tc>
      </w:tr>
      <w:tr w14:paraId="3D56F5B3" w14:textId="77777777" w:rsidTr="00961A03">
        <w:tblPrEx>
          <w:tblW w:w="5000" w:type="pct"/>
          <w:tblLook w:val="04A0"/>
        </w:tblPrEx>
        <w:trPr>
          <w:trHeight w:val="690"/>
        </w:trPr>
        <w:tc>
          <w:tcPr>
            <w:tcW w:w="187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61A03" w14:paraId="1F2089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sidRPr="00961A03">
              <w:rPr>
                <w:rFonts w:ascii="Arial" w:eastAsia="Arial" w:hAnsi="Arial" w:cs="Arial"/>
                <w:color w:val="000000" w:themeColor="text1"/>
                <w:sz w:val="22"/>
                <w:szCs w:val="22"/>
              </w:rPr>
              <w:t>Accountant </w:t>
            </w:r>
          </w:p>
          <w:p w:rsidR="00EE5D3B" w:rsidRPr="00C64B21" w14:paraId="59821300" w14:textId="2D371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Pr>
                <w:rFonts w:ascii="Arial" w:eastAsia="Arial" w:hAnsi="Arial" w:cs="Arial"/>
                <w:color w:val="000000" w:themeColor="text1"/>
                <w:sz w:val="22"/>
                <w:szCs w:val="22"/>
              </w:rPr>
              <w:t>(</w:t>
            </w:r>
            <w:r w:rsidR="00D00AF5">
              <w:rPr>
                <w:rFonts w:ascii="Arial" w:eastAsia="Arial" w:hAnsi="Arial" w:cs="Arial"/>
                <w:color w:val="000000" w:themeColor="text1"/>
                <w:sz w:val="22"/>
                <w:szCs w:val="22"/>
              </w:rPr>
              <w:t>13-2011, Accountants and Auditors)</w:t>
            </w:r>
          </w:p>
        </w:tc>
        <w:tc>
          <w:tcPr>
            <w:tcW w:w="109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61A03" w14:paraId="6E1FD1D8" w14:textId="70133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377.43</w:t>
            </w:r>
          </w:p>
        </w:tc>
        <w:tc>
          <w:tcPr>
            <w:tcW w:w="1047"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61A03" w14:paraId="55C24C6B" w14:textId="6EE5F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$78.54</w:t>
            </w:r>
          </w:p>
        </w:tc>
        <w:tc>
          <w:tcPr>
            <w:tcW w:w="993"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61A03" w14:paraId="19FA95F1" w14:textId="79A10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w:t>
            </w:r>
            <w:r w:rsidRPr="000B0380">
              <w:rPr>
                <w:rFonts w:ascii="Arial" w:eastAsia="Arial" w:hAnsi="Arial" w:cs="Arial"/>
                <w:color w:val="000000" w:themeColor="text1"/>
                <w:sz w:val="22"/>
                <w:szCs w:val="22"/>
              </w:rPr>
              <w:t>29,643.35</w:t>
            </w:r>
          </w:p>
        </w:tc>
      </w:tr>
      <w:tr w14:paraId="5C451417" w14:textId="77777777" w:rsidTr="00961A03">
        <w:tblPrEx>
          <w:tblW w:w="5000" w:type="pct"/>
          <w:tblLook w:val="04A0"/>
        </w:tblPrEx>
        <w:trPr>
          <w:trHeight w:val="690"/>
        </w:trPr>
        <w:tc>
          <w:tcPr>
            <w:tcW w:w="187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0456F" w:rsidRPr="00961A03" w14:paraId="576B6151" w14:textId="61416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themeColor="text1"/>
                <w:sz w:val="22"/>
                <w:szCs w:val="22"/>
              </w:rPr>
            </w:pPr>
            <w:r>
              <w:rPr>
                <w:rFonts w:ascii="Arial" w:eastAsia="Arial" w:hAnsi="Arial" w:cs="Arial"/>
                <w:color w:val="000000" w:themeColor="text1"/>
                <w:sz w:val="22"/>
                <w:szCs w:val="22"/>
              </w:rPr>
              <w:t>Total</w:t>
            </w:r>
          </w:p>
        </w:tc>
        <w:tc>
          <w:tcPr>
            <w:tcW w:w="1090"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0456F" w14:paraId="4D81420F" w14:textId="04E37E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629.05</w:t>
            </w:r>
          </w:p>
        </w:tc>
        <w:tc>
          <w:tcPr>
            <w:tcW w:w="1047"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0456F" w14:paraId="72D006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p>
        </w:tc>
        <w:tc>
          <w:tcPr>
            <w:tcW w:w="993" w:type="pct"/>
            <w:tcBorders>
              <w:top w:val="single" w:sz="6" w:space="0" w:color="auto"/>
              <w:left w:val="single" w:sz="6" w:space="0" w:color="auto"/>
              <w:bottom w:val="single" w:sz="6" w:space="0" w:color="auto"/>
              <w:right w:val="single" w:sz="6" w:space="0" w:color="auto"/>
            </w:tcBorders>
            <w:tcMar>
              <w:left w:w="90" w:type="dxa"/>
              <w:right w:w="90" w:type="dxa"/>
            </w:tcMar>
            <w:vAlign w:val="center"/>
          </w:tcPr>
          <w:p w:rsidR="0090456F" w14:paraId="31A684E5" w14:textId="57DA2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color w:val="000000" w:themeColor="text1"/>
                <w:sz w:val="22"/>
                <w:szCs w:val="22"/>
              </w:rPr>
            </w:pPr>
            <w:r>
              <w:rPr>
                <w:rFonts w:ascii="Arial" w:eastAsia="Arial" w:hAnsi="Arial" w:cs="Arial"/>
                <w:color w:val="000000" w:themeColor="text1"/>
                <w:sz w:val="22"/>
                <w:szCs w:val="22"/>
              </w:rPr>
              <w:t>$40,442.88</w:t>
            </w:r>
          </w:p>
        </w:tc>
      </w:tr>
    </w:tbl>
    <w:p w:rsidR="008E61F9" w:rsidRPr="008E61F9" w:rsidP="008E61F9" w14:paraId="1472572E" w14:textId="7F73B231">
      <w:pPr>
        <w:spacing w:before="240"/>
        <w:rPr>
          <w:rFonts w:ascii="Arial" w:hAnsi="Arial" w:cs="Arial"/>
          <w:bCs/>
          <w:sz w:val="18"/>
          <w:szCs w:val="18"/>
        </w:rPr>
      </w:pPr>
      <w:r w:rsidRPr="008E61F9">
        <w:rPr>
          <w:rFonts w:ascii="Arial" w:hAnsi="Arial" w:cs="Arial"/>
          <w:bCs/>
          <w:sz w:val="18"/>
          <w:szCs w:val="18"/>
          <w:vertAlign w:val="superscript"/>
        </w:rPr>
        <w:t>1</w:t>
      </w:r>
      <w:r w:rsidRPr="008E61F9">
        <w:rPr>
          <w:rFonts w:ascii="Arial" w:hAnsi="Arial" w:cs="Arial"/>
          <w:bCs/>
          <w:sz w:val="18"/>
          <w:szCs w:val="18"/>
        </w:rPr>
        <w:t>The annualized burden costs for recipients reflects current Bureau of Labor Statistics data (May 2024)</w:t>
      </w:r>
      <w:r>
        <w:rPr>
          <w:rFonts w:ascii="Arial" w:hAnsi="Arial" w:cs="Arial"/>
          <w:bCs/>
          <w:sz w:val="18"/>
          <w:szCs w:val="18"/>
        </w:rPr>
        <w:t>, multiplied by 2</w:t>
      </w:r>
      <w:r w:rsidRPr="008E61F9">
        <w:rPr>
          <w:rFonts w:ascii="Arial" w:hAnsi="Arial" w:cs="Arial"/>
          <w:bCs/>
          <w:sz w:val="18"/>
          <w:szCs w:val="18"/>
        </w:rPr>
        <w:t xml:space="preserve"> to account for employer overhead. </w:t>
      </w:r>
    </w:p>
    <w:p w:rsidR="009B3794" w:rsidRPr="00C45431" w:rsidP="00B65186" w14:paraId="22E2A391" w14:textId="61083F54">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1E0AC3" w:rsidP="3B1780A6" w14:paraId="03E7DF5C" w14:textId="67415AC3">
      <w:pPr>
        <w:pStyle w:val="BodyTextIndent"/>
        <w:tabs>
          <w:tab w:val="num" w:pos="360"/>
        </w:tabs>
        <w:spacing w:before="120"/>
        <w:ind w:left="0"/>
        <w:rPr>
          <w:rFonts w:ascii="Arial" w:hAnsi="Arial" w:cs="Arial"/>
        </w:rPr>
      </w:pPr>
      <w:r w:rsidRPr="00575DE4">
        <w:rPr>
          <w:rFonts w:ascii="Arial" w:hAnsi="Arial" w:cs="Arial"/>
        </w:rPr>
        <w:t>Other than their time, there is no cost to respondents.</w:t>
      </w:r>
    </w:p>
    <w:p w:rsidR="00C12289" w:rsidRPr="00575DE4" w:rsidP="3B1780A6" w14:paraId="0ABF4832" w14:textId="77777777">
      <w:pPr>
        <w:pStyle w:val="BodyTextIndent"/>
        <w:tabs>
          <w:tab w:val="num" w:pos="360"/>
        </w:tabs>
        <w:spacing w:before="120"/>
        <w:ind w:left="0"/>
        <w:rPr>
          <w:rFonts w:ascii="Arial" w:hAnsi="Arial" w:cs="Arial"/>
        </w:rPr>
      </w:pPr>
      <w:r>
        <w:rPr>
          <w:rFonts w:ascii="Arial" w:hAnsi="Arial" w:cs="Arial"/>
        </w:rPr>
        <w:br w:type="column"/>
      </w:r>
    </w:p>
    <w:p w:rsidR="009B3794" w:rsidRPr="00C45431" w:rsidP="00B65186" w14:paraId="22E2A395"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472C48" w:rsidP="009974D5" w14:paraId="7D4495AB" w14:textId="4D31ECF9">
      <w:pPr>
        <w:tabs>
          <w:tab w:val="num" w:pos="360"/>
        </w:tabs>
        <w:spacing w:before="240"/>
        <w:rPr>
          <w:rFonts w:ascii="Arial" w:hAnsi="Arial" w:cs="Arial"/>
          <w:sz w:val="24"/>
        </w:rPr>
      </w:pPr>
      <w:r>
        <w:rPr>
          <w:rFonts w:ascii="Arial" w:hAnsi="Arial" w:cs="Arial"/>
          <w:sz w:val="24"/>
        </w:rPr>
        <w:t>T</w:t>
      </w:r>
      <w:r w:rsidRPr="00472C48">
        <w:rPr>
          <w:rFonts w:ascii="Arial" w:hAnsi="Arial" w:cs="Arial"/>
          <w:sz w:val="24"/>
        </w:rPr>
        <w:t>his amount represents the cost of contracts, IT systems and labor, non-IT services, and federal employee FTEs associated with this data collection. The average employee salary is at a GS13, Step 6 rate.</w:t>
      </w:r>
    </w:p>
    <w:p w:rsidR="00472C48" w:rsidP="00472C48" w14:paraId="52162DD6" w14:textId="77777777">
      <w:pPr>
        <w:tabs>
          <w:tab w:val="num" w:pos="360"/>
        </w:tabs>
        <w:rPr>
          <w:rFonts w:ascii="Arial" w:hAnsi="Arial" w:cs="Arial"/>
          <w:sz w:val="24"/>
        </w:rPr>
      </w:pPr>
    </w:p>
    <w:tbl>
      <w:tblPr>
        <w:tblStyle w:val="TableGrid"/>
        <w:tblW w:w="5000" w:type="pct"/>
        <w:tblLook w:val="04A0"/>
      </w:tblPr>
      <w:tblGrid>
        <w:gridCol w:w="4675"/>
        <w:gridCol w:w="4675"/>
      </w:tblGrid>
      <w:tr w14:paraId="7198BD60" w14:textId="77777777" w:rsidTr="00C6423A">
        <w:tblPrEx>
          <w:tblW w:w="5000" w:type="pct"/>
          <w:tblLook w:val="04A0"/>
        </w:tblPrEx>
        <w:trPr>
          <w:tblHeader/>
        </w:trPr>
        <w:tc>
          <w:tcPr>
            <w:tcW w:w="2500" w:type="pct"/>
            <w:vAlign w:val="center"/>
          </w:tcPr>
          <w:p w:rsidR="001E0AC3" w:rsidRPr="00C6423A" w:rsidP="00C6423A" w14:paraId="7B61CCA9" w14:textId="1870D60C">
            <w:pPr>
              <w:tabs>
                <w:tab w:val="num" w:pos="360"/>
              </w:tabs>
              <w:spacing w:before="120" w:after="120"/>
              <w:rPr>
                <w:rFonts w:ascii="Arial" w:hAnsi="Arial" w:cs="Arial"/>
                <w:sz w:val="22"/>
                <w:szCs w:val="22"/>
              </w:rPr>
            </w:pPr>
            <w:r w:rsidRPr="00C6423A">
              <w:rPr>
                <w:rFonts w:ascii="Arial" w:hAnsi="Arial" w:cs="Arial"/>
                <w:sz w:val="22"/>
                <w:szCs w:val="22"/>
              </w:rPr>
              <w:t>Category</w:t>
            </w:r>
          </w:p>
        </w:tc>
        <w:tc>
          <w:tcPr>
            <w:tcW w:w="2500" w:type="pct"/>
            <w:vAlign w:val="center"/>
          </w:tcPr>
          <w:p w:rsidR="001E0AC3" w:rsidRPr="00C6423A" w:rsidP="00C6423A" w14:paraId="71F57BBC" w14:textId="5BB83A59">
            <w:pPr>
              <w:tabs>
                <w:tab w:val="num" w:pos="360"/>
              </w:tabs>
              <w:spacing w:before="120" w:after="120"/>
              <w:rPr>
                <w:rFonts w:ascii="Arial" w:hAnsi="Arial" w:cs="Arial"/>
                <w:sz w:val="22"/>
                <w:szCs w:val="22"/>
              </w:rPr>
            </w:pPr>
            <w:r w:rsidRPr="00C6423A">
              <w:rPr>
                <w:rFonts w:ascii="Arial" w:hAnsi="Arial" w:cs="Arial"/>
                <w:sz w:val="22"/>
                <w:szCs w:val="22"/>
              </w:rPr>
              <w:t>Estimated Cost</w:t>
            </w:r>
          </w:p>
        </w:tc>
      </w:tr>
      <w:tr w14:paraId="2498DD5A" w14:textId="77777777" w:rsidTr="00C6423A">
        <w:tblPrEx>
          <w:tblW w:w="5000" w:type="pct"/>
          <w:tblLook w:val="04A0"/>
        </w:tblPrEx>
        <w:trPr>
          <w:trHeight w:val="77"/>
        </w:trPr>
        <w:tc>
          <w:tcPr>
            <w:tcW w:w="2500" w:type="pct"/>
            <w:vAlign w:val="center"/>
          </w:tcPr>
          <w:p w:rsidR="001E0AC3" w:rsidRPr="00C6423A" w:rsidP="00C6423A" w14:paraId="0BA6033D" w14:textId="1E6C068E">
            <w:pPr>
              <w:tabs>
                <w:tab w:val="num" w:pos="360"/>
              </w:tabs>
              <w:spacing w:before="120" w:after="120"/>
              <w:rPr>
                <w:rFonts w:ascii="Arial" w:hAnsi="Arial" w:cs="Arial"/>
                <w:sz w:val="22"/>
                <w:szCs w:val="22"/>
              </w:rPr>
            </w:pPr>
            <w:r w:rsidRPr="00423BBE">
              <w:rPr>
                <w:rFonts w:ascii="Arial" w:hAnsi="Arial" w:cs="Arial"/>
                <w:sz w:val="22"/>
                <w:szCs w:val="22"/>
              </w:rPr>
              <w:t>IT Systems and Labor </w:t>
            </w:r>
          </w:p>
        </w:tc>
        <w:tc>
          <w:tcPr>
            <w:tcW w:w="2500" w:type="pct"/>
            <w:vAlign w:val="center"/>
          </w:tcPr>
          <w:p w:rsidR="001E0AC3" w:rsidRPr="00C6423A" w:rsidP="00C6423A" w14:paraId="7AD6FC45" w14:textId="4CF53463">
            <w:pPr>
              <w:tabs>
                <w:tab w:val="num" w:pos="360"/>
              </w:tabs>
              <w:spacing w:before="120" w:after="120"/>
              <w:jc w:val="right"/>
              <w:rPr>
                <w:rFonts w:ascii="Arial" w:hAnsi="Arial" w:cs="Arial"/>
                <w:sz w:val="22"/>
                <w:szCs w:val="22"/>
              </w:rPr>
            </w:pPr>
            <w:r w:rsidRPr="00C6423A">
              <w:rPr>
                <w:rFonts w:ascii="Arial" w:hAnsi="Arial" w:cs="Arial"/>
                <w:sz w:val="22"/>
                <w:szCs w:val="22"/>
              </w:rPr>
              <w:t>$</w:t>
            </w:r>
            <w:r w:rsidR="003B0892">
              <w:rPr>
                <w:rFonts w:ascii="Arial" w:hAnsi="Arial" w:cs="Arial"/>
                <w:sz w:val="22"/>
                <w:szCs w:val="22"/>
              </w:rPr>
              <w:t>375,000.00</w:t>
            </w:r>
          </w:p>
        </w:tc>
      </w:tr>
      <w:tr w14:paraId="0809D3EF" w14:textId="77777777" w:rsidTr="00C6423A">
        <w:tblPrEx>
          <w:tblW w:w="5000" w:type="pct"/>
          <w:tblLook w:val="04A0"/>
        </w:tblPrEx>
        <w:tc>
          <w:tcPr>
            <w:tcW w:w="2500" w:type="pct"/>
            <w:vAlign w:val="center"/>
          </w:tcPr>
          <w:p w:rsidR="001E0AC3" w:rsidRPr="00C6423A" w:rsidP="00C6423A" w14:paraId="177089F5" w14:textId="7E418B62">
            <w:pPr>
              <w:tabs>
                <w:tab w:val="num" w:pos="360"/>
              </w:tabs>
              <w:spacing w:before="120" w:after="120"/>
              <w:rPr>
                <w:rFonts w:ascii="Arial" w:hAnsi="Arial" w:cs="Arial"/>
                <w:sz w:val="22"/>
                <w:szCs w:val="22"/>
              </w:rPr>
            </w:pPr>
            <w:r w:rsidRPr="00423BBE">
              <w:rPr>
                <w:rFonts w:ascii="Arial" w:hAnsi="Arial" w:cs="Arial"/>
                <w:sz w:val="22"/>
                <w:szCs w:val="22"/>
              </w:rPr>
              <w:t>Non-IT Services Projected </w:t>
            </w:r>
          </w:p>
        </w:tc>
        <w:tc>
          <w:tcPr>
            <w:tcW w:w="2500" w:type="pct"/>
            <w:vAlign w:val="center"/>
          </w:tcPr>
          <w:p w:rsidR="001E0AC3" w:rsidRPr="00C6423A" w:rsidP="00C6423A" w14:paraId="536941B0" w14:textId="2C6F82AF">
            <w:pPr>
              <w:tabs>
                <w:tab w:val="num" w:pos="360"/>
              </w:tabs>
              <w:spacing w:before="120" w:after="120"/>
              <w:jc w:val="right"/>
              <w:rPr>
                <w:rFonts w:ascii="Arial" w:hAnsi="Arial" w:cs="Arial"/>
                <w:sz w:val="22"/>
                <w:szCs w:val="22"/>
              </w:rPr>
            </w:pPr>
            <w:r w:rsidRPr="00C6423A">
              <w:rPr>
                <w:rFonts w:ascii="Arial" w:hAnsi="Arial" w:cs="Arial"/>
                <w:sz w:val="22"/>
                <w:szCs w:val="22"/>
              </w:rPr>
              <w:t>$</w:t>
            </w:r>
            <w:r w:rsidR="00BD1EEB">
              <w:rPr>
                <w:rFonts w:ascii="Arial" w:hAnsi="Arial" w:cs="Arial"/>
                <w:sz w:val="22"/>
                <w:szCs w:val="22"/>
              </w:rPr>
              <w:t>275</w:t>
            </w:r>
            <w:r w:rsidRPr="00423BBE">
              <w:rPr>
                <w:rFonts w:ascii="Arial" w:hAnsi="Arial" w:cs="Arial"/>
                <w:sz w:val="22"/>
                <w:szCs w:val="22"/>
              </w:rPr>
              <w:t>,000.00</w:t>
            </w:r>
          </w:p>
        </w:tc>
      </w:tr>
      <w:tr w14:paraId="0ADAFDDC" w14:textId="77777777" w:rsidTr="00C6423A">
        <w:tblPrEx>
          <w:tblW w:w="5000" w:type="pct"/>
          <w:tblLook w:val="04A0"/>
        </w:tblPrEx>
        <w:tc>
          <w:tcPr>
            <w:tcW w:w="2500" w:type="pct"/>
            <w:vAlign w:val="center"/>
          </w:tcPr>
          <w:p w:rsidR="001E0AC3" w:rsidRPr="00C6423A" w:rsidP="00C6423A" w14:paraId="7C1426E0" w14:textId="73D4DAC4">
            <w:pPr>
              <w:tabs>
                <w:tab w:val="num" w:pos="360"/>
              </w:tabs>
              <w:spacing w:before="120" w:after="120"/>
              <w:rPr>
                <w:rFonts w:ascii="Arial" w:hAnsi="Arial" w:cs="Arial"/>
                <w:sz w:val="22"/>
                <w:szCs w:val="22"/>
              </w:rPr>
            </w:pPr>
            <w:r w:rsidRPr="00423BBE">
              <w:rPr>
                <w:rFonts w:ascii="Arial" w:hAnsi="Arial" w:cs="Arial"/>
                <w:sz w:val="22"/>
                <w:szCs w:val="22"/>
              </w:rPr>
              <w:t>Fed-FTEs </w:t>
            </w:r>
          </w:p>
        </w:tc>
        <w:tc>
          <w:tcPr>
            <w:tcW w:w="2500" w:type="pct"/>
            <w:vAlign w:val="center"/>
          </w:tcPr>
          <w:p w:rsidR="001E0AC3" w:rsidRPr="00C6423A" w:rsidP="00C6423A" w14:paraId="2C246247" w14:textId="55294CAE">
            <w:pPr>
              <w:tabs>
                <w:tab w:val="num" w:pos="360"/>
              </w:tabs>
              <w:spacing w:before="120" w:after="120"/>
              <w:jc w:val="right"/>
              <w:rPr>
                <w:rFonts w:ascii="Arial" w:hAnsi="Arial" w:cs="Arial"/>
                <w:sz w:val="22"/>
                <w:szCs w:val="22"/>
              </w:rPr>
            </w:pPr>
            <w:r w:rsidRPr="00C6423A">
              <w:rPr>
                <w:rFonts w:ascii="Arial" w:hAnsi="Arial" w:cs="Arial"/>
                <w:sz w:val="22"/>
                <w:szCs w:val="22"/>
              </w:rPr>
              <w:t>$</w:t>
            </w:r>
            <w:r w:rsidRPr="00423BBE">
              <w:rPr>
                <w:rFonts w:ascii="Arial" w:hAnsi="Arial" w:cs="Arial"/>
                <w:sz w:val="22"/>
                <w:szCs w:val="22"/>
              </w:rPr>
              <w:t>660,000.00</w:t>
            </w:r>
          </w:p>
        </w:tc>
      </w:tr>
      <w:tr w14:paraId="5AE57C03" w14:textId="77777777" w:rsidTr="00C6423A">
        <w:tblPrEx>
          <w:tblW w:w="5000" w:type="pct"/>
          <w:tblLook w:val="04A0"/>
        </w:tblPrEx>
        <w:trPr>
          <w:trHeight w:val="77"/>
        </w:trPr>
        <w:tc>
          <w:tcPr>
            <w:tcW w:w="2500" w:type="pct"/>
            <w:vAlign w:val="center"/>
          </w:tcPr>
          <w:p w:rsidR="001E0AC3" w:rsidRPr="00C6423A" w:rsidP="00C6423A" w14:paraId="0E49A004" w14:textId="56783E22">
            <w:pPr>
              <w:tabs>
                <w:tab w:val="num" w:pos="360"/>
              </w:tabs>
              <w:spacing w:before="120" w:after="120"/>
              <w:rPr>
                <w:rFonts w:ascii="Arial" w:hAnsi="Arial" w:cs="Arial"/>
                <w:sz w:val="22"/>
                <w:szCs w:val="22"/>
              </w:rPr>
            </w:pPr>
            <w:r w:rsidRPr="00C6423A">
              <w:rPr>
                <w:rFonts w:ascii="Arial" w:hAnsi="Arial" w:cs="Arial"/>
                <w:sz w:val="22"/>
                <w:szCs w:val="22"/>
              </w:rPr>
              <w:t>Total</w:t>
            </w:r>
          </w:p>
        </w:tc>
        <w:tc>
          <w:tcPr>
            <w:tcW w:w="2500" w:type="pct"/>
            <w:vAlign w:val="center"/>
          </w:tcPr>
          <w:p w:rsidR="001E0AC3" w:rsidRPr="00C6423A" w:rsidP="00C6423A" w14:paraId="398C6AAF" w14:textId="75E7985F">
            <w:pPr>
              <w:tabs>
                <w:tab w:val="num" w:pos="360"/>
              </w:tabs>
              <w:spacing w:before="120" w:after="120"/>
              <w:jc w:val="right"/>
              <w:rPr>
                <w:rFonts w:ascii="Arial" w:hAnsi="Arial" w:cs="Arial"/>
                <w:sz w:val="22"/>
                <w:szCs w:val="22"/>
              </w:rPr>
            </w:pPr>
            <w:r w:rsidRPr="00C6423A">
              <w:rPr>
                <w:rFonts w:ascii="Arial" w:hAnsi="Arial" w:cs="Arial"/>
                <w:sz w:val="22"/>
                <w:szCs w:val="22"/>
              </w:rPr>
              <w:t>$</w:t>
            </w:r>
            <w:r w:rsidR="00EF7A7F">
              <w:rPr>
                <w:rFonts w:ascii="Arial" w:hAnsi="Arial" w:cs="Arial"/>
                <w:sz w:val="22"/>
                <w:szCs w:val="22"/>
              </w:rPr>
              <w:t>1</w:t>
            </w:r>
            <w:r w:rsidRPr="00423BBE">
              <w:rPr>
                <w:rFonts w:ascii="Arial" w:hAnsi="Arial" w:cs="Arial"/>
                <w:sz w:val="22"/>
                <w:szCs w:val="22"/>
              </w:rPr>
              <w:t>,</w:t>
            </w:r>
            <w:r w:rsidR="00EF7A7F">
              <w:rPr>
                <w:rFonts w:ascii="Arial" w:hAnsi="Arial" w:cs="Arial"/>
                <w:sz w:val="22"/>
                <w:szCs w:val="22"/>
              </w:rPr>
              <w:t>310</w:t>
            </w:r>
            <w:r w:rsidRPr="00423BBE">
              <w:rPr>
                <w:rFonts w:ascii="Arial" w:hAnsi="Arial" w:cs="Arial"/>
                <w:sz w:val="22"/>
                <w:szCs w:val="22"/>
              </w:rPr>
              <w:t>,000.00</w:t>
            </w:r>
          </w:p>
        </w:tc>
      </w:tr>
    </w:tbl>
    <w:p w:rsidR="009B3794" w:rsidRPr="00C45431" w:rsidP="009974D5" w14:paraId="22E2A398" w14:textId="2912BD4B">
      <w:pPr>
        <w:tabs>
          <w:tab w:val="num" w:pos="360"/>
        </w:tabs>
        <w:spacing w:before="240"/>
        <w:rPr>
          <w:rFonts w:ascii="Arial" w:hAnsi="Arial" w:cs="Arial"/>
          <w:b/>
          <w:sz w:val="24"/>
        </w:rPr>
      </w:pPr>
      <w:r w:rsidRPr="009974D5">
        <w:rPr>
          <w:rFonts w:ascii="Arial" w:hAnsi="Arial" w:cs="Arial"/>
          <w:b/>
          <w:bCs/>
          <w:sz w:val="24"/>
        </w:rPr>
        <w:t>15</w:t>
      </w:r>
      <w:r>
        <w:rPr>
          <w:rFonts w:ascii="Arial" w:hAnsi="Arial" w:cs="Arial"/>
          <w:sz w:val="24"/>
        </w:rPr>
        <w:t xml:space="preserve">. </w:t>
      </w:r>
      <w:r w:rsidRPr="165E32E8">
        <w:rPr>
          <w:rFonts w:ascii="Arial" w:hAnsi="Arial" w:cs="Arial"/>
          <w:b/>
          <w:bCs/>
          <w:sz w:val="24"/>
          <w:u w:val="single"/>
        </w:rPr>
        <w:t>Explanation for Program Changes or Adjustments</w:t>
      </w:r>
    </w:p>
    <w:p w:rsidR="00811D1F" w:rsidP="004C0B88" w14:paraId="772EAEF9" w14:textId="134326F7">
      <w:pPr>
        <w:tabs>
          <w:tab w:val="num" w:pos="360"/>
        </w:tabs>
        <w:spacing w:before="120"/>
        <w:rPr>
          <w:rFonts w:ascii="Arial" w:hAnsi="Arial" w:cs="Arial"/>
          <w:sz w:val="24"/>
          <w:u w:val="single"/>
        </w:rPr>
      </w:pPr>
      <w:r>
        <w:rPr>
          <w:rFonts w:ascii="Arial" w:hAnsi="Arial" w:cs="Arial"/>
          <w:sz w:val="24"/>
        </w:rPr>
        <w:t>The changes to the collection will be as follows:</w:t>
      </w:r>
    </w:p>
    <w:p w:rsidR="00111C40" w:rsidRPr="00111C40" w:rsidP="000F562A" w14:paraId="2294C7CD" w14:textId="37DBC1BC">
      <w:pPr>
        <w:pStyle w:val="ListParagraph"/>
        <w:numPr>
          <w:ilvl w:val="0"/>
          <w:numId w:val="4"/>
        </w:numPr>
        <w:spacing w:before="120"/>
        <w:rPr>
          <w:rFonts w:ascii="Arial" w:hAnsi="Arial" w:cs="Arial"/>
          <w:sz w:val="24"/>
        </w:rPr>
      </w:pPr>
      <w:r w:rsidRPr="00111C40">
        <w:rPr>
          <w:rFonts w:ascii="Arial" w:hAnsi="Arial" w:cs="Arial"/>
          <w:sz w:val="24"/>
        </w:rPr>
        <w:t xml:space="preserve">There will be one new Data Form Element, the Repayment ID, which is generated by HRSA and provided in the email giving the recipient the opportunity to report, and will be entered by the provider in the </w:t>
      </w:r>
      <w:r w:rsidRPr="003E0DB3" w:rsidR="003E0DB3">
        <w:rPr>
          <w:rFonts w:ascii="Arial" w:hAnsi="Arial" w:cs="Arial"/>
          <w:sz w:val="24"/>
        </w:rPr>
        <w:t xml:space="preserve">HRSA Consolidated </w:t>
      </w:r>
      <w:r w:rsidRPr="00111C40">
        <w:rPr>
          <w:rFonts w:ascii="Arial" w:hAnsi="Arial" w:cs="Arial"/>
          <w:sz w:val="24"/>
        </w:rPr>
        <w:t xml:space="preserve">PRF Reporting Portal.  </w:t>
      </w:r>
    </w:p>
    <w:p w:rsidR="000F562A" w:rsidRPr="00EA5F08" w:rsidP="000F562A" w14:paraId="0CB6F7D4" w14:textId="64CD7602">
      <w:pPr>
        <w:pStyle w:val="ListParagraph"/>
        <w:numPr>
          <w:ilvl w:val="0"/>
          <w:numId w:val="4"/>
        </w:numPr>
        <w:spacing w:before="120"/>
        <w:rPr>
          <w:rFonts w:ascii="Arial" w:hAnsi="Arial" w:cs="Arial"/>
          <w:sz w:val="24"/>
        </w:rPr>
      </w:pPr>
      <w:r w:rsidRPr="00EA5F08">
        <w:rPr>
          <w:rFonts w:ascii="Arial" w:hAnsi="Arial" w:cs="Arial"/>
          <w:sz w:val="24"/>
        </w:rPr>
        <w:t xml:space="preserve">Approximately 50 data elements will be removed from the PRF and ARP Rural Reporting Portal, including sections on personnel, patient, and facility metrics as well as survey questions on the PRF program. This is because these elements are no longer needed, since the data will be needed </w:t>
      </w:r>
      <w:r w:rsidRPr="00EA5F08" w:rsidR="0011650E">
        <w:rPr>
          <w:rFonts w:ascii="Arial" w:hAnsi="Arial" w:cs="Arial"/>
          <w:sz w:val="24"/>
        </w:rPr>
        <w:t>in more limited circumstances</w:t>
      </w:r>
      <w:r w:rsidRPr="00EA5F08">
        <w:rPr>
          <w:rFonts w:ascii="Arial" w:hAnsi="Arial" w:cs="Arial"/>
          <w:sz w:val="24"/>
        </w:rPr>
        <w:t xml:space="preserve">. </w:t>
      </w:r>
    </w:p>
    <w:p w:rsidR="000F562A" w:rsidRPr="00EA5F08" w:rsidP="000F562A" w14:paraId="5387BC4A" w14:textId="77777777">
      <w:pPr>
        <w:pStyle w:val="ListParagraph"/>
        <w:numPr>
          <w:ilvl w:val="0"/>
          <w:numId w:val="4"/>
        </w:numPr>
        <w:spacing w:before="120"/>
        <w:rPr>
          <w:rFonts w:ascii="Arial" w:hAnsi="Arial" w:cs="Arial"/>
          <w:sz w:val="24"/>
        </w:rPr>
      </w:pPr>
      <w:r w:rsidRPr="00EA5F08">
        <w:rPr>
          <w:rFonts w:ascii="Arial" w:hAnsi="Arial" w:cs="Arial"/>
          <w:sz w:val="24"/>
        </w:rPr>
        <w:t>F</w:t>
      </w:r>
      <w:r w:rsidRPr="00EA5F08" w:rsidR="00456C95">
        <w:rPr>
          <w:rFonts w:ascii="Arial" w:hAnsi="Arial" w:cs="Arial"/>
          <w:sz w:val="24"/>
        </w:rPr>
        <w:t xml:space="preserve">ields related to PRF interest earned, nursing home infection control payment expenditures, and other PRF payment expenditures will be consolidated to overall totals. </w:t>
      </w:r>
    </w:p>
    <w:p w:rsidR="000F562A" w:rsidRPr="00EA5F08" w:rsidP="000F562A" w14:paraId="126203F7" w14:textId="3B33C235">
      <w:pPr>
        <w:pStyle w:val="ListParagraph"/>
        <w:numPr>
          <w:ilvl w:val="0"/>
          <w:numId w:val="4"/>
        </w:numPr>
        <w:spacing w:before="120"/>
        <w:rPr>
          <w:rFonts w:ascii="Arial" w:hAnsi="Arial" w:cs="Arial"/>
          <w:sz w:val="24"/>
        </w:rPr>
      </w:pPr>
      <w:r w:rsidRPr="00EA5F08">
        <w:rPr>
          <w:rFonts w:ascii="Arial" w:hAnsi="Arial" w:cs="Arial"/>
          <w:sz w:val="24"/>
        </w:rPr>
        <w:t>T</w:t>
      </w:r>
      <w:r w:rsidRPr="00EA5F08" w:rsidR="0042674A">
        <w:rPr>
          <w:rFonts w:ascii="Arial" w:hAnsi="Arial" w:cs="Arial"/>
          <w:sz w:val="24"/>
        </w:rPr>
        <w:t xml:space="preserve">he field “PRF Payments to Recipients” </w:t>
      </w:r>
      <w:r w:rsidRPr="00EA5F08" w:rsidR="00BD30B3">
        <w:rPr>
          <w:rFonts w:ascii="Arial" w:hAnsi="Arial" w:cs="Arial"/>
          <w:sz w:val="24"/>
        </w:rPr>
        <w:t>will un-consolidate</w:t>
      </w:r>
      <w:r w:rsidR="00D2773B">
        <w:rPr>
          <w:rFonts w:ascii="Arial" w:hAnsi="Arial" w:cs="Arial"/>
          <w:sz w:val="24"/>
        </w:rPr>
        <w:t xml:space="preserve"> the</w:t>
      </w:r>
      <w:r w:rsidRPr="00EA5F08" w:rsidR="00F62669">
        <w:rPr>
          <w:rFonts w:ascii="Arial" w:hAnsi="Arial" w:cs="Arial"/>
          <w:sz w:val="24"/>
        </w:rPr>
        <w:t xml:space="preserve"> currently used field “Certification of PRF Payments to Recipient,” so recipients provide </w:t>
      </w:r>
      <w:r w:rsidRPr="00EA5F08" w:rsidR="00BD30B3">
        <w:rPr>
          <w:rFonts w:ascii="Arial" w:hAnsi="Arial" w:cs="Arial"/>
          <w:sz w:val="24"/>
        </w:rPr>
        <w:t xml:space="preserve">the total amount of Nursing Home Infection Control Funding, </w:t>
      </w:r>
      <w:r w:rsidRPr="00EA5F08" w:rsidR="00DF0CB2">
        <w:rPr>
          <w:rFonts w:ascii="Arial" w:hAnsi="Arial" w:cs="Arial"/>
          <w:sz w:val="24"/>
        </w:rPr>
        <w:t xml:space="preserve">other PRF funds, </w:t>
      </w:r>
      <w:r w:rsidRPr="00EA5F08" w:rsidR="00BD30B3">
        <w:rPr>
          <w:rFonts w:ascii="Arial" w:hAnsi="Arial" w:cs="Arial"/>
          <w:sz w:val="24"/>
        </w:rPr>
        <w:t>and</w:t>
      </w:r>
      <w:r w:rsidR="00D2773B">
        <w:rPr>
          <w:rFonts w:ascii="Arial" w:hAnsi="Arial" w:cs="Arial"/>
          <w:sz w:val="24"/>
        </w:rPr>
        <w:t>/or</w:t>
      </w:r>
      <w:r w:rsidRPr="00EA5F08" w:rsidR="00BD30B3">
        <w:rPr>
          <w:rFonts w:ascii="Arial" w:hAnsi="Arial" w:cs="Arial"/>
          <w:sz w:val="24"/>
        </w:rPr>
        <w:t xml:space="preserve"> ARP Rural Funding received. </w:t>
      </w:r>
    </w:p>
    <w:p w:rsidR="000F562A" w:rsidRPr="00EA5F08" w:rsidP="000F562A" w14:paraId="32935C2C" w14:textId="22E869F9">
      <w:pPr>
        <w:pStyle w:val="ListParagraph"/>
        <w:numPr>
          <w:ilvl w:val="0"/>
          <w:numId w:val="4"/>
        </w:numPr>
        <w:spacing w:before="120"/>
        <w:rPr>
          <w:rFonts w:ascii="Arial" w:hAnsi="Arial" w:cs="Arial"/>
          <w:sz w:val="24"/>
        </w:rPr>
      </w:pPr>
      <w:r w:rsidRPr="00EA5F08">
        <w:rPr>
          <w:rFonts w:ascii="Arial" w:hAnsi="Arial" w:cs="Arial"/>
          <w:sz w:val="24"/>
        </w:rPr>
        <w:t xml:space="preserve">The ARP Rural Payment Expenditures was previously described in the Notice of Reporting Requirements, </w:t>
      </w:r>
      <w:r w:rsidRPr="00EA5F08" w:rsidR="00EA5F08">
        <w:rPr>
          <w:rFonts w:ascii="Arial" w:hAnsi="Arial" w:cs="Arial"/>
          <w:sz w:val="24"/>
        </w:rPr>
        <w:t>which will</w:t>
      </w:r>
      <w:r w:rsidRPr="00EA5F08">
        <w:rPr>
          <w:rFonts w:ascii="Arial" w:hAnsi="Arial" w:cs="Arial"/>
          <w:sz w:val="24"/>
        </w:rPr>
        <w:t xml:space="preserve"> now also be included in the Data Form Elements list for clarity. </w:t>
      </w:r>
    </w:p>
    <w:p w:rsidR="00811D1F" w:rsidRPr="00EA5F08" w:rsidP="00EA5F08" w14:paraId="72099416" w14:textId="4D968674">
      <w:pPr>
        <w:spacing w:before="120"/>
        <w:rPr>
          <w:rFonts w:ascii="Arial" w:hAnsi="Arial" w:cs="Arial"/>
          <w:sz w:val="24"/>
        </w:rPr>
      </w:pPr>
      <w:r w:rsidRPr="00EA5F08">
        <w:rPr>
          <w:rFonts w:ascii="Arial" w:hAnsi="Arial" w:cs="Arial"/>
          <w:sz w:val="24"/>
        </w:rPr>
        <w:t>A</w:t>
      </w:r>
      <w:r w:rsidRPr="00EA5F08" w:rsidR="00456C95">
        <w:rPr>
          <w:rFonts w:ascii="Arial" w:hAnsi="Arial" w:cs="Arial"/>
          <w:sz w:val="24"/>
        </w:rPr>
        <w:t xml:space="preserve">s a result, the total number of elements that can be submitted by recipients will </w:t>
      </w:r>
      <w:r w:rsidRPr="00EA5F08" w:rsidR="00DF0CB2">
        <w:rPr>
          <w:rFonts w:ascii="Arial" w:hAnsi="Arial" w:cs="Arial"/>
          <w:sz w:val="24"/>
        </w:rPr>
        <w:t xml:space="preserve">be reduced </w:t>
      </w:r>
      <w:r w:rsidRPr="00EA5F08" w:rsidR="00456C95">
        <w:rPr>
          <w:rFonts w:ascii="Arial" w:hAnsi="Arial" w:cs="Arial"/>
          <w:sz w:val="24"/>
        </w:rPr>
        <w:t>from 123 to approximately 53</w:t>
      </w:r>
      <w:r w:rsidRPr="00EA5F08">
        <w:rPr>
          <w:rFonts w:ascii="Arial" w:hAnsi="Arial" w:cs="Arial"/>
          <w:sz w:val="24"/>
        </w:rPr>
        <w:t xml:space="preserve">. </w:t>
      </w:r>
    </w:p>
    <w:p w:rsidR="004C0B88" w:rsidRPr="004C0B88" w:rsidP="004C0B88" w14:paraId="1AD0F486" w14:textId="20E45124">
      <w:pPr>
        <w:tabs>
          <w:tab w:val="num" w:pos="360"/>
        </w:tabs>
        <w:spacing w:before="120"/>
        <w:rPr>
          <w:rFonts w:ascii="Arial" w:hAnsi="Arial" w:cs="Arial"/>
          <w:b/>
          <w:bCs/>
          <w:sz w:val="24"/>
        </w:rPr>
      </w:pPr>
      <w:r w:rsidRPr="004C0B88">
        <w:rPr>
          <w:rFonts w:ascii="Arial" w:hAnsi="Arial" w:cs="Arial"/>
          <w:sz w:val="24"/>
        </w:rPr>
        <w:t>The supplemental document “Post-Payment Notice of Reporting Requirements” has been updated to reflect the removal of reporting periods 8 and 9 (including the applicable payment received period and period of availability dates), as the Public Health Emergency ended on May 11, 2023.</w:t>
      </w:r>
      <w:r w:rsidRPr="004C0B88">
        <w:rPr>
          <w:rFonts w:ascii="Arial" w:hAnsi="Arial" w:cs="Arial"/>
          <w:b/>
          <w:bCs/>
          <w:sz w:val="24"/>
        </w:rPr>
        <w:t> </w:t>
      </w:r>
    </w:p>
    <w:p w:rsidR="009B3794" w:rsidP="00B65186" w14:paraId="78711112" w14:textId="06B57D98">
      <w:pPr>
        <w:numPr>
          <w:ilvl w:val="0"/>
          <w:numId w:val="1"/>
        </w:numPr>
        <w:tabs>
          <w:tab w:val="num" w:pos="360"/>
          <w:tab w:val="clear" w:pos="1080"/>
        </w:tabs>
        <w:spacing w:before="240"/>
        <w:ind w:left="360"/>
        <w:rPr>
          <w:rFonts w:ascii="Arial" w:eastAsia="Arial" w:hAnsi="Arial" w:cs="Arial"/>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CD2B53" w:rsidP="0001620F" w14:paraId="7023CF95" w14:textId="1BDEDCBE">
      <w:pPr>
        <w:pStyle w:val="BodyTextIndent"/>
        <w:tabs>
          <w:tab w:val="num" w:pos="360"/>
        </w:tabs>
        <w:spacing w:before="120" w:line="259" w:lineRule="auto"/>
        <w:ind w:left="0"/>
        <w:rPr>
          <w:rFonts w:ascii="Arial" w:hAnsi="Arial" w:cs="Arial"/>
        </w:rPr>
      </w:pPr>
      <w:r w:rsidRPr="3B1780A6">
        <w:rPr>
          <w:rFonts w:ascii="Arial" w:hAnsi="Arial" w:cs="Arial"/>
        </w:rPr>
        <w:t xml:space="preserve">The </w:t>
      </w:r>
      <w:r w:rsidRPr="3B1780A6" w:rsidR="009B3794">
        <w:rPr>
          <w:rFonts w:ascii="Arial" w:hAnsi="Arial" w:cs="Arial"/>
        </w:rPr>
        <w:t xml:space="preserve">information collection requirements </w:t>
      </w:r>
      <w:r w:rsidRPr="3B1780A6" w:rsidR="53CABA4D">
        <w:rPr>
          <w:rFonts w:ascii="Arial" w:hAnsi="Arial" w:cs="Arial"/>
        </w:rPr>
        <w:t xml:space="preserve">will not </w:t>
      </w:r>
      <w:r w:rsidRPr="3B1780A6" w:rsidR="009B3794">
        <w:rPr>
          <w:rFonts w:ascii="Arial" w:hAnsi="Arial" w:cs="Arial"/>
        </w:rPr>
        <w:t xml:space="preserve">be published, tabulated or manipulated </w:t>
      </w:r>
      <w:r w:rsidRPr="3B1780A6" w:rsidR="53CABA4D">
        <w:rPr>
          <w:rFonts w:ascii="Arial" w:hAnsi="Arial" w:cs="Arial"/>
        </w:rPr>
        <w:t xml:space="preserve">and there will be no </w:t>
      </w:r>
      <w:r w:rsidRPr="3B1780A6" w:rsidR="009B3794">
        <w:rPr>
          <w:rFonts w:ascii="Arial" w:hAnsi="Arial" w:cs="Arial"/>
        </w:rPr>
        <w:t xml:space="preserve">publication on the </w:t>
      </w:r>
      <w:r w:rsidRPr="3B1780A6" w:rsidR="53CABA4D">
        <w:rPr>
          <w:rFonts w:ascii="Arial" w:hAnsi="Arial" w:cs="Arial"/>
        </w:rPr>
        <w:t>internet.</w:t>
      </w:r>
      <w:r w:rsidR="00D24745">
        <w:rPr>
          <w:rFonts w:ascii="Arial" w:hAnsi="Arial" w:cs="Arial"/>
        </w:rPr>
        <w:t xml:space="preserve"> </w:t>
      </w:r>
      <w:r w:rsidR="009C2482">
        <w:rPr>
          <w:rFonts w:ascii="Arial" w:hAnsi="Arial" w:cs="Arial"/>
        </w:rPr>
        <w:t xml:space="preserve">This is because </w:t>
      </w:r>
      <w:r>
        <w:rPr>
          <w:rFonts w:ascii="Arial" w:hAnsi="Arial" w:cs="Arial"/>
        </w:rPr>
        <w:t xml:space="preserve">sites like USASpending.gov already contain </w:t>
      </w:r>
      <w:r w:rsidR="00686D60">
        <w:rPr>
          <w:rFonts w:ascii="Arial" w:hAnsi="Arial" w:cs="Arial"/>
        </w:rPr>
        <w:t xml:space="preserve">information about which providers </w:t>
      </w:r>
      <w:r w:rsidR="003D13F3">
        <w:rPr>
          <w:rFonts w:ascii="Arial" w:hAnsi="Arial" w:cs="Arial"/>
        </w:rPr>
        <w:t>receive</w:t>
      </w:r>
      <w:r w:rsidR="003E0DB3">
        <w:rPr>
          <w:rFonts w:ascii="Arial" w:hAnsi="Arial" w:cs="Arial"/>
        </w:rPr>
        <w:t>d</w:t>
      </w:r>
      <w:r w:rsidR="00686D60">
        <w:rPr>
          <w:rFonts w:ascii="Arial" w:hAnsi="Arial" w:cs="Arial"/>
        </w:rPr>
        <w:t xml:space="preserve"> PRF and ARP Rural funds</w:t>
      </w:r>
      <w:r w:rsidR="002B4C90">
        <w:rPr>
          <w:rFonts w:ascii="Arial" w:hAnsi="Arial" w:cs="Arial"/>
        </w:rPr>
        <w:t xml:space="preserve">. Publishing </w:t>
      </w:r>
      <w:r w:rsidR="003D13F3">
        <w:rPr>
          <w:rFonts w:ascii="Arial" w:hAnsi="Arial" w:cs="Arial"/>
        </w:rPr>
        <w:t xml:space="preserve">additional </w:t>
      </w:r>
      <w:r w:rsidR="002B4C90">
        <w:rPr>
          <w:rFonts w:ascii="Arial" w:hAnsi="Arial" w:cs="Arial"/>
        </w:rPr>
        <w:t xml:space="preserve">data through this collection </w:t>
      </w:r>
      <w:r w:rsidR="00263F7C">
        <w:rPr>
          <w:rFonts w:ascii="Arial" w:hAnsi="Arial" w:cs="Arial"/>
        </w:rPr>
        <w:t xml:space="preserve">could result in more proprietary provider-level data being released. </w:t>
      </w:r>
      <w:r w:rsidR="003D13F3">
        <w:rPr>
          <w:rFonts w:ascii="Arial" w:hAnsi="Arial" w:cs="Arial"/>
        </w:rPr>
        <w:t xml:space="preserve">Furthermore, data collected at this point is </w:t>
      </w:r>
      <w:r w:rsidR="0001620F">
        <w:rPr>
          <w:rFonts w:ascii="Arial" w:hAnsi="Arial" w:cs="Arial"/>
        </w:rPr>
        <w:t xml:space="preserve">almost always related to legal and compliance issues associated with previously disbursed funding. </w:t>
      </w:r>
    </w:p>
    <w:p w:rsidR="00D24745" w:rsidP="3B1780A6" w14:paraId="6AB53004" w14:textId="7B150312">
      <w:pPr>
        <w:pStyle w:val="BodyTextIndent"/>
        <w:tabs>
          <w:tab w:val="num" w:pos="360"/>
        </w:tabs>
        <w:spacing w:before="120" w:line="259" w:lineRule="auto"/>
        <w:ind w:left="0"/>
        <w:rPr>
          <w:rFonts w:ascii="Arial" w:hAnsi="Arial" w:cs="Arial"/>
        </w:rPr>
      </w:pPr>
      <w:r>
        <w:rPr>
          <w:rFonts w:ascii="Arial" w:hAnsi="Arial" w:cs="Arial"/>
        </w:rPr>
        <w:t xml:space="preserve">Upon request, HRSA will use the data to provide </w:t>
      </w:r>
      <w:r w:rsidRPr="00282AD8">
        <w:rPr>
          <w:rFonts w:ascii="Arial" w:hAnsi="Arial" w:cs="Arial"/>
        </w:rPr>
        <w:t>reports to Congress and other stakeholders on the use of more than $178 billion in PRF funds and $8.5 billion in ARP Rural funds.</w:t>
      </w:r>
    </w:p>
    <w:p w:rsidR="009B3794" w:rsidRPr="00C45431" w:rsidP="00B65186" w14:paraId="22E2A3A3"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9B3794" w:rsidRPr="006763A2" w:rsidP="006763A2" w14:paraId="22E2A3A4" w14:textId="701615A5">
      <w:pPr>
        <w:pStyle w:val="BodyTextIndent"/>
        <w:spacing w:before="120"/>
        <w:ind w:left="0"/>
        <w:rPr>
          <w:rFonts w:ascii="Arial" w:hAnsi="Arial" w:cs="Arial"/>
          <w:bCs/>
        </w:rPr>
      </w:pPr>
      <w:r w:rsidRPr="006763A2">
        <w:rPr>
          <w:rFonts w:ascii="Arial" w:hAnsi="Arial" w:cs="Arial"/>
          <w:bCs/>
        </w:rPr>
        <w:t>The OMB number and Expiration date will be displayed on every page of every form/instrument.</w:t>
      </w:r>
    </w:p>
    <w:p w:rsidR="009B3794" w:rsidRPr="00C45431" w:rsidP="00B65186" w14:paraId="22E2A3A5" w14:textId="77777777">
      <w:pPr>
        <w:numPr>
          <w:ilvl w:val="0"/>
          <w:numId w:val="1"/>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9B3794" w:rsidRPr="006763A2" w:rsidP="006763A2" w14:paraId="22E2A3A6" w14:textId="7035C056">
      <w:pPr>
        <w:pStyle w:val="BodyTextIndent"/>
        <w:spacing w:before="120"/>
        <w:ind w:left="0"/>
        <w:rPr>
          <w:rFonts w:ascii="Arial" w:hAnsi="Arial" w:cs="Arial"/>
          <w:bCs/>
        </w:rPr>
      </w:pPr>
      <w:r w:rsidRPr="006763A2">
        <w:rPr>
          <w:rFonts w:ascii="Arial" w:hAnsi="Arial" w:cs="Arial"/>
          <w:bCs/>
        </w:rPr>
        <w:t>There are no exceptions to the certification.</w:t>
      </w:r>
    </w:p>
    <w:sectPr w:rsidSect="001D485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4FCA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150C9999">
    <w:pPr>
      <w:spacing w:line="259" w:lineRule="auto"/>
    </w:pPr>
    <w:r>
      <w:t xml:space="preserve">Updated: </w:t>
    </w:r>
    <w:r w:rsidR="00346E91">
      <w:t>12/18</w:t>
    </w:r>
    <w:r>
      <w:t>/</w:t>
    </w:r>
    <w:r w:rsidR="00907658">
      <w:t>2025</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66B0E9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4246FB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35F106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117" w14:paraId="1F5262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52705D8"/>
    <w:multiLevelType w:val="multilevel"/>
    <w:tmpl w:val="BB6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9B2926"/>
    <w:multiLevelType w:val="multilevel"/>
    <w:tmpl w:val="8DB2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335295"/>
    <w:multiLevelType w:val="multilevel"/>
    <w:tmpl w:val="E02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5935422">
    <w:abstractNumId w:val="0"/>
  </w:num>
  <w:num w:numId="2" w16cid:durableId="557590572">
    <w:abstractNumId w:val="3"/>
  </w:num>
  <w:num w:numId="3" w16cid:durableId="2142309598">
    <w:abstractNumId w:val="1"/>
  </w:num>
  <w:num w:numId="4" w16cid:durableId="187187067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0788"/>
    <w:rsid w:val="00010CD5"/>
    <w:rsid w:val="000134B2"/>
    <w:rsid w:val="00013E3B"/>
    <w:rsid w:val="00015505"/>
    <w:rsid w:val="0001620F"/>
    <w:rsid w:val="00045124"/>
    <w:rsid w:val="00052124"/>
    <w:rsid w:val="00052BEC"/>
    <w:rsid w:val="00054584"/>
    <w:rsid w:val="00074AC9"/>
    <w:rsid w:val="00091B5B"/>
    <w:rsid w:val="00097D8F"/>
    <w:rsid w:val="000B0380"/>
    <w:rsid w:val="000C2762"/>
    <w:rsid w:val="000D11F9"/>
    <w:rsid w:val="000D7585"/>
    <w:rsid w:val="000E3136"/>
    <w:rsid w:val="000F562A"/>
    <w:rsid w:val="000F6134"/>
    <w:rsid w:val="00111C40"/>
    <w:rsid w:val="0011650E"/>
    <w:rsid w:val="001259D7"/>
    <w:rsid w:val="001325B2"/>
    <w:rsid w:val="00141C73"/>
    <w:rsid w:val="00146F5E"/>
    <w:rsid w:val="00154501"/>
    <w:rsid w:val="001573D0"/>
    <w:rsid w:val="00173179"/>
    <w:rsid w:val="001920C3"/>
    <w:rsid w:val="001A5421"/>
    <w:rsid w:val="001B091B"/>
    <w:rsid w:val="001B5E66"/>
    <w:rsid w:val="001B74ED"/>
    <w:rsid w:val="001C7C3C"/>
    <w:rsid w:val="001D4856"/>
    <w:rsid w:val="001E0AC3"/>
    <w:rsid w:val="001F2003"/>
    <w:rsid w:val="001F2465"/>
    <w:rsid w:val="00202F21"/>
    <w:rsid w:val="002118B4"/>
    <w:rsid w:val="00217C68"/>
    <w:rsid w:val="00230633"/>
    <w:rsid w:val="002437E6"/>
    <w:rsid w:val="00244ABF"/>
    <w:rsid w:val="00245072"/>
    <w:rsid w:val="00245E76"/>
    <w:rsid w:val="00260C1F"/>
    <w:rsid w:val="0026110F"/>
    <w:rsid w:val="00261D9E"/>
    <w:rsid w:val="00263F7C"/>
    <w:rsid w:val="002640E7"/>
    <w:rsid w:val="00281924"/>
    <w:rsid w:val="00282AD8"/>
    <w:rsid w:val="002838F3"/>
    <w:rsid w:val="00285416"/>
    <w:rsid w:val="002B4C90"/>
    <w:rsid w:val="002C1781"/>
    <w:rsid w:val="002C7A95"/>
    <w:rsid w:val="002C7EF2"/>
    <w:rsid w:val="002D3B2B"/>
    <w:rsid w:val="002D4A35"/>
    <w:rsid w:val="002E504D"/>
    <w:rsid w:val="002E6CC6"/>
    <w:rsid w:val="002F08D7"/>
    <w:rsid w:val="002F1822"/>
    <w:rsid w:val="002F350B"/>
    <w:rsid w:val="00306CAB"/>
    <w:rsid w:val="003130C3"/>
    <w:rsid w:val="00317FF6"/>
    <w:rsid w:val="0032005D"/>
    <w:rsid w:val="00322313"/>
    <w:rsid w:val="00330FAE"/>
    <w:rsid w:val="003324DB"/>
    <w:rsid w:val="00332C5E"/>
    <w:rsid w:val="00346E91"/>
    <w:rsid w:val="00364EA2"/>
    <w:rsid w:val="00367117"/>
    <w:rsid w:val="003702F3"/>
    <w:rsid w:val="00370EE9"/>
    <w:rsid w:val="00391E16"/>
    <w:rsid w:val="00393E3E"/>
    <w:rsid w:val="00397651"/>
    <w:rsid w:val="003A1EE6"/>
    <w:rsid w:val="003A6A12"/>
    <w:rsid w:val="003B0892"/>
    <w:rsid w:val="003C36A9"/>
    <w:rsid w:val="003D13F3"/>
    <w:rsid w:val="003D23B1"/>
    <w:rsid w:val="003D4012"/>
    <w:rsid w:val="003E0DB3"/>
    <w:rsid w:val="003F34C1"/>
    <w:rsid w:val="00400270"/>
    <w:rsid w:val="00400D47"/>
    <w:rsid w:val="004054F4"/>
    <w:rsid w:val="00406C11"/>
    <w:rsid w:val="0041233E"/>
    <w:rsid w:val="00412EBE"/>
    <w:rsid w:val="00423BBE"/>
    <w:rsid w:val="00426319"/>
    <w:rsid w:val="0042674A"/>
    <w:rsid w:val="00427BC8"/>
    <w:rsid w:val="00430914"/>
    <w:rsid w:val="00432D7F"/>
    <w:rsid w:val="004332F0"/>
    <w:rsid w:val="00434B1E"/>
    <w:rsid w:val="00443A78"/>
    <w:rsid w:val="00444B41"/>
    <w:rsid w:val="00456C95"/>
    <w:rsid w:val="0047031F"/>
    <w:rsid w:val="00472847"/>
    <w:rsid w:val="00472C48"/>
    <w:rsid w:val="004746CA"/>
    <w:rsid w:val="00481715"/>
    <w:rsid w:val="00490720"/>
    <w:rsid w:val="0049624A"/>
    <w:rsid w:val="004A1FC7"/>
    <w:rsid w:val="004A2E12"/>
    <w:rsid w:val="004A4244"/>
    <w:rsid w:val="004B1581"/>
    <w:rsid w:val="004B6ED6"/>
    <w:rsid w:val="004C0B88"/>
    <w:rsid w:val="004D29AC"/>
    <w:rsid w:val="004D7417"/>
    <w:rsid w:val="004E22BB"/>
    <w:rsid w:val="004E687D"/>
    <w:rsid w:val="004F4E1D"/>
    <w:rsid w:val="00503BAB"/>
    <w:rsid w:val="00521E7E"/>
    <w:rsid w:val="00523752"/>
    <w:rsid w:val="005354D2"/>
    <w:rsid w:val="00544A5C"/>
    <w:rsid w:val="00544C1A"/>
    <w:rsid w:val="005455D4"/>
    <w:rsid w:val="0055582A"/>
    <w:rsid w:val="00562853"/>
    <w:rsid w:val="00575DE4"/>
    <w:rsid w:val="00576B08"/>
    <w:rsid w:val="00580585"/>
    <w:rsid w:val="005836A3"/>
    <w:rsid w:val="005868C3"/>
    <w:rsid w:val="005871CC"/>
    <w:rsid w:val="0059404A"/>
    <w:rsid w:val="005C39C5"/>
    <w:rsid w:val="005C78D2"/>
    <w:rsid w:val="005D023C"/>
    <w:rsid w:val="005D0892"/>
    <w:rsid w:val="005D7625"/>
    <w:rsid w:val="005E1765"/>
    <w:rsid w:val="005F5F05"/>
    <w:rsid w:val="00607379"/>
    <w:rsid w:val="00617CF3"/>
    <w:rsid w:val="00622E8C"/>
    <w:rsid w:val="00624019"/>
    <w:rsid w:val="00627FFD"/>
    <w:rsid w:val="00636345"/>
    <w:rsid w:val="00640DDC"/>
    <w:rsid w:val="006417E3"/>
    <w:rsid w:val="0064243E"/>
    <w:rsid w:val="00656C44"/>
    <w:rsid w:val="00662CD9"/>
    <w:rsid w:val="006763A2"/>
    <w:rsid w:val="006777F0"/>
    <w:rsid w:val="00680D76"/>
    <w:rsid w:val="00686D60"/>
    <w:rsid w:val="00691F4F"/>
    <w:rsid w:val="00694597"/>
    <w:rsid w:val="006A49CB"/>
    <w:rsid w:val="006B58A3"/>
    <w:rsid w:val="006B5BBF"/>
    <w:rsid w:val="006C251F"/>
    <w:rsid w:val="006C4C86"/>
    <w:rsid w:val="006D0327"/>
    <w:rsid w:val="006D2260"/>
    <w:rsid w:val="006D69FE"/>
    <w:rsid w:val="006F3633"/>
    <w:rsid w:val="006F6F02"/>
    <w:rsid w:val="00707080"/>
    <w:rsid w:val="00710F56"/>
    <w:rsid w:val="0072206E"/>
    <w:rsid w:val="00723FFD"/>
    <w:rsid w:val="007245CC"/>
    <w:rsid w:val="0073114C"/>
    <w:rsid w:val="00732920"/>
    <w:rsid w:val="00734A32"/>
    <w:rsid w:val="00760AF0"/>
    <w:rsid w:val="007649B4"/>
    <w:rsid w:val="007742C1"/>
    <w:rsid w:val="00786643"/>
    <w:rsid w:val="007C15F2"/>
    <w:rsid w:val="007C22E4"/>
    <w:rsid w:val="007E1E57"/>
    <w:rsid w:val="007F047A"/>
    <w:rsid w:val="007F5B75"/>
    <w:rsid w:val="008002AB"/>
    <w:rsid w:val="00802259"/>
    <w:rsid w:val="00805D68"/>
    <w:rsid w:val="00811D1F"/>
    <w:rsid w:val="0081546D"/>
    <w:rsid w:val="00824FF1"/>
    <w:rsid w:val="00827FEA"/>
    <w:rsid w:val="0085788E"/>
    <w:rsid w:val="00867BC5"/>
    <w:rsid w:val="008776A5"/>
    <w:rsid w:val="008866D3"/>
    <w:rsid w:val="00893391"/>
    <w:rsid w:val="00894C4E"/>
    <w:rsid w:val="008A4361"/>
    <w:rsid w:val="008B04CA"/>
    <w:rsid w:val="008C61BD"/>
    <w:rsid w:val="008D1CF9"/>
    <w:rsid w:val="008D2D24"/>
    <w:rsid w:val="008D2D67"/>
    <w:rsid w:val="008E57E7"/>
    <w:rsid w:val="008E61F9"/>
    <w:rsid w:val="008F1A29"/>
    <w:rsid w:val="008F55C2"/>
    <w:rsid w:val="008F6A20"/>
    <w:rsid w:val="008F6C97"/>
    <w:rsid w:val="0090456F"/>
    <w:rsid w:val="00907658"/>
    <w:rsid w:val="0091449C"/>
    <w:rsid w:val="009179E4"/>
    <w:rsid w:val="00930258"/>
    <w:rsid w:val="00935E77"/>
    <w:rsid w:val="009376AE"/>
    <w:rsid w:val="00942353"/>
    <w:rsid w:val="00944590"/>
    <w:rsid w:val="009576AC"/>
    <w:rsid w:val="00957B63"/>
    <w:rsid w:val="00957C59"/>
    <w:rsid w:val="00961A03"/>
    <w:rsid w:val="0097018C"/>
    <w:rsid w:val="00972E8D"/>
    <w:rsid w:val="009807AC"/>
    <w:rsid w:val="00981401"/>
    <w:rsid w:val="0098144D"/>
    <w:rsid w:val="009974D5"/>
    <w:rsid w:val="009A5EDD"/>
    <w:rsid w:val="009B2443"/>
    <w:rsid w:val="009B3794"/>
    <w:rsid w:val="009B38FA"/>
    <w:rsid w:val="009B7E4D"/>
    <w:rsid w:val="009C2482"/>
    <w:rsid w:val="009C33E4"/>
    <w:rsid w:val="009C594A"/>
    <w:rsid w:val="009D32B0"/>
    <w:rsid w:val="009D4D83"/>
    <w:rsid w:val="009E7A03"/>
    <w:rsid w:val="009F7B15"/>
    <w:rsid w:val="00A141AD"/>
    <w:rsid w:val="00A14B02"/>
    <w:rsid w:val="00A1688A"/>
    <w:rsid w:val="00A21AFD"/>
    <w:rsid w:val="00A32E50"/>
    <w:rsid w:val="00A506A8"/>
    <w:rsid w:val="00A51A3B"/>
    <w:rsid w:val="00A6141B"/>
    <w:rsid w:val="00A80DC9"/>
    <w:rsid w:val="00A84DC4"/>
    <w:rsid w:val="00A9063A"/>
    <w:rsid w:val="00A92CAB"/>
    <w:rsid w:val="00AA7ADE"/>
    <w:rsid w:val="00AA7B02"/>
    <w:rsid w:val="00AB0CDC"/>
    <w:rsid w:val="00AB2A0B"/>
    <w:rsid w:val="00AC6BCE"/>
    <w:rsid w:val="00AD45E0"/>
    <w:rsid w:val="00AD7737"/>
    <w:rsid w:val="00AE7154"/>
    <w:rsid w:val="00AE7F24"/>
    <w:rsid w:val="00B00A10"/>
    <w:rsid w:val="00B05D60"/>
    <w:rsid w:val="00B21566"/>
    <w:rsid w:val="00B22BF4"/>
    <w:rsid w:val="00B336B2"/>
    <w:rsid w:val="00B56058"/>
    <w:rsid w:val="00B6127B"/>
    <w:rsid w:val="00B62A91"/>
    <w:rsid w:val="00B63727"/>
    <w:rsid w:val="00B65186"/>
    <w:rsid w:val="00B655C6"/>
    <w:rsid w:val="00B6650B"/>
    <w:rsid w:val="00B824D3"/>
    <w:rsid w:val="00B84BC7"/>
    <w:rsid w:val="00B9560A"/>
    <w:rsid w:val="00BA1A0C"/>
    <w:rsid w:val="00BC646D"/>
    <w:rsid w:val="00BD0DF3"/>
    <w:rsid w:val="00BD1EEB"/>
    <w:rsid w:val="00BD30B3"/>
    <w:rsid w:val="00BE7F84"/>
    <w:rsid w:val="00BF2F34"/>
    <w:rsid w:val="00C076B8"/>
    <w:rsid w:val="00C12289"/>
    <w:rsid w:val="00C33D69"/>
    <w:rsid w:val="00C37765"/>
    <w:rsid w:val="00C45431"/>
    <w:rsid w:val="00C51BB1"/>
    <w:rsid w:val="00C5209B"/>
    <w:rsid w:val="00C613FF"/>
    <w:rsid w:val="00C6423A"/>
    <w:rsid w:val="00C64B21"/>
    <w:rsid w:val="00C65245"/>
    <w:rsid w:val="00C715F4"/>
    <w:rsid w:val="00C74B86"/>
    <w:rsid w:val="00C75735"/>
    <w:rsid w:val="00C96292"/>
    <w:rsid w:val="00C968F8"/>
    <w:rsid w:val="00CA0CE7"/>
    <w:rsid w:val="00CA3DA6"/>
    <w:rsid w:val="00CA461D"/>
    <w:rsid w:val="00CA6ADD"/>
    <w:rsid w:val="00CA7D7F"/>
    <w:rsid w:val="00CB2ACB"/>
    <w:rsid w:val="00CB5C19"/>
    <w:rsid w:val="00CC34A6"/>
    <w:rsid w:val="00CC3EDC"/>
    <w:rsid w:val="00CD2B53"/>
    <w:rsid w:val="00CD36E7"/>
    <w:rsid w:val="00CE5482"/>
    <w:rsid w:val="00CE5AA9"/>
    <w:rsid w:val="00CE5E3D"/>
    <w:rsid w:val="00D00AF5"/>
    <w:rsid w:val="00D01B3E"/>
    <w:rsid w:val="00D11CA3"/>
    <w:rsid w:val="00D13BC4"/>
    <w:rsid w:val="00D24745"/>
    <w:rsid w:val="00D2773B"/>
    <w:rsid w:val="00D27F25"/>
    <w:rsid w:val="00D32B15"/>
    <w:rsid w:val="00D34624"/>
    <w:rsid w:val="00D352FB"/>
    <w:rsid w:val="00D36D57"/>
    <w:rsid w:val="00D44964"/>
    <w:rsid w:val="00D44E2F"/>
    <w:rsid w:val="00D46313"/>
    <w:rsid w:val="00D52DAA"/>
    <w:rsid w:val="00D5631F"/>
    <w:rsid w:val="00D56CC2"/>
    <w:rsid w:val="00D61B6F"/>
    <w:rsid w:val="00D67143"/>
    <w:rsid w:val="00D70602"/>
    <w:rsid w:val="00D74B86"/>
    <w:rsid w:val="00D84757"/>
    <w:rsid w:val="00D92BFD"/>
    <w:rsid w:val="00D92E1D"/>
    <w:rsid w:val="00DA5D9C"/>
    <w:rsid w:val="00DB64D8"/>
    <w:rsid w:val="00DC01BE"/>
    <w:rsid w:val="00DC0C1E"/>
    <w:rsid w:val="00DC7B2C"/>
    <w:rsid w:val="00DD2AFC"/>
    <w:rsid w:val="00DD5052"/>
    <w:rsid w:val="00DE0481"/>
    <w:rsid w:val="00DE3A45"/>
    <w:rsid w:val="00DF0674"/>
    <w:rsid w:val="00DF0CB2"/>
    <w:rsid w:val="00E00CEE"/>
    <w:rsid w:val="00E01AED"/>
    <w:rsid w:val="00E030A0"/>
    <w:rsid w:val="00E03324"/>
    <w:rsid w:val="00E06499"/>
    <w:rsid w:val="00E14CBF"/>
    <w:rsid w:val="00E203FA"/>
    <w:rsid w:val="00E20A0F"/>
    <w:rsid w:val="00E26C95"/>
    <w:rsid w:val="00E34A1F"/>
    <w:rsid w:val="00E46C64"/>
    <w:rsid w:val="00E50855"/>
    <w:rsid w:val="00E51C1B"/>
    <w:rsid w:val="00E535FD"/>
    <w:rsid w:val="00E54302"/>
    <w:rsid w:val="00E829D2"/>
    <w:rsid w:val="00E830FF"/>
    <w:rsid w:val="00E83C1E"/>
    <w:rsid w:val="00E84AFD"/>
    <w:rsid w:val="00E87554"/>
    <w:rsid w:val="00E922D9"/>
    <w:rsid w:val="00E962DB"/>
    <w:rsid w:val="00E96530"/>
    <w:rsid w:val="00E97256"/>
    <w:rsid w:val="00EA5F08"/>
    <w:rsid w:val="00EB1D98"/>
    <w:rsid w:val="00EB4AB5"/>
    <w:rsid w:val="00EB7C70"/>
    <w:rsid w:val="00EC38CD"/>
    <w:rsid w:val="00ED18EA"/>
    <w:rsid w:val="00EE0DC7"/>
    <w:rsid w:val="00EE529C"/>
    <w:rsid w:val="00EE5D3B"/>
    <w:rsid w:val="00EF2A45"/>
    <w:rsid w:val="00EF348E"/>
    <w:rsid w:val="00EF701A"/>
    <w:rsid w:val="00EF7A7F"/>
    <w:rsid w:val="00F0052E"/>
    <w:rsid w:val="00F03498"/>
    <w:rsid w:val="00F109A3"/>
    <w:rsid w:val="00F12DDC"/>
    <w:rsid w:val="00F317C6"/>
    <w:rsid w:val="00F36655"/>
    <w:rsid w:val="00F404E8"/>
    <w:rsid w:val="00F4221E"/>
    <w:rsid w:val="00F43680"/>
    <w:rsid w:val="00F4631B"/>
    <w:rsid w:val="00F520D1"/>
    <w:rsid w:val="00F57D7A"/>
    <w:rsid w:val="00F61037"/>
    <w:rsid w:val="00F62669"/>
    <w:rsid w:val="00F73C3E"/>
    <w:rsid w:val="00F74BD1"/>
    <w:rsid w:val="00F87CC0"/>
    <w:rsid w:val="00F9149C"/>
    <w:rsid w:val="00F9769E"/>
    <w:rsid w:val="00FA4D63"/>
    <w:rsid w:val="00FC36D4"/>
    <w:rsid w:val="00FC49E4"/>
    <w:rsid w:val="00FE0FD4"/>
    <w:rsid w:val="00FE6273"/>
    <w:rsid w:val="00FE6C30"/>
    <w:rsid w:val="00FF16F0"/>
    <w:rsid w:val="00FF4C03"/>
    <w:rsid w:val="00FF78EC"/>
    <w:rsid w:val="01EA5112"/>
    <w:rsid w:val="05DAC311"/>
    <w:rsid w:val="07AE3047"/>
    <w:rsid w:val="08728CD3"/>
    <w:rsid w:val="09368C8F"/>
    <w:rsid w:val="0A5E7C83"/>
    <w:rsid w:val="0AA4ACE3"/>
    <w:rsid w:val="0C29A0A2"/>
    <w:rsid w:val="0D994D30"/>
    <w:rsid w:val="0E0ACBB9"/>
    <w:rsid w:val="10078FFC"/>
    <w:rsid w:val="107BC5F5"/>
    <w:rsid w:val="112F9B0B"/>
    <w:rsid w:val="114676A8"/>
    <w:rsid w:val="11B9FADA"/>
    <w:rsid w:val="12D95AD7"/>
    <w:rsid w:val="12F61E43"/>
    <w:rsid w:val="1315577C"/>
    <w:rsid w:val="1376A4E6"/>
    <w:rsid w:val="13F3BCC9"/>
    <w:rsid w:val="14900830"/>
    <w:rsid w:val="14DE4328"/>
    <w:rsid w:val="154B072B"/>
    <w:rsid w:val="165E32E8"/>
    <w:rsid w:val="16C2AB28"/>
    <w:rsid w:val="188D7F91"/>
    <w:rsid w:val="18F994A4"/>
    <w:rsid w:val="197D4299"/>
    <w:rsid w:val="1AA8885A"/>
    <w:rsid w:val="1C1144AE"/>
    <w:rsid w:val="1DD4BF49"/>
    <w:rsid w:val="1E115928"/>
    <w:rsid w:val="1E65074B"/>
    <w:rsid w:val="1F3C05D7"/>
    <w:rsid w:val="1F6F4E35"/>
    <w:rsid w:val="1F7D52F4"/>
    <w:rsid w:val="208CC7FB"/>
    <w:rsid w:val="20C17F92"/>
    <w:rsid w:val="211B3CE8"/>
    <w:rsid w:val="215B8D99"/>
    <w:rsid w:val="226427FE"/>
    <w:rsid w:val="226A32BA"/>
    <w:rsid w:val="2325618F"/>
    <w:rsid w:val="23FFB1F1"/>
    <w:rsid w:val="24023C58"/>
    <w:rsid w:val="247A87EE"/>
    <w:rsid w:val="25BECFBF"/>
    <w:rsid w:val="25F75F27"/>
    <w:rsid w:val="26174355"/>
    <w:rsid w:val="2651997C"/>
    <w:rsid w:val="2722816F"/>
    <w:rsid w:val="2744D8ED"/>
    <w:rsid w:val="27B36988"/>
    <w:rsid w:val="286EC219"/>
    <w:rsid w:val="294B3E1F"/>
    <w:rsid w:val="299D149C"/>
    <w:rsid w:val="2AC830A8"/>
    <w:rsid w:val="2BBF4461"/>
    <w:rsid w:val="2C475A69"/>
    <w:rsid w:val="2C86DAAB"/>
    <w:rsid w:val="2E22AB0C"/>
    <w:rsid w:val="2E46184B"/>
    <w:rsid w:val="2FD41F01"/>
    <w:rsid w:val="300DACA6"/>
    <w:rsid w:val="30470644"/>
    <w:rsid w:val="335041FD"/>
    <w:rsid w:val="33736BE8"/>
    <w:rsid w:val="3397774D"/>
    <w:rsid w:val="3496344D"/>
    <w:rsid w:val="34AE198D"/>
    <w:rsid w:val="353E7CDE"/>
    <w:rsid w:val="359F4EC5"/>
    <w:rsid w:val="360AB6A4"/>
    <w:rsid w:val="363177AA"/>
    <w:rsid w:val="37490F4C"/>
    <w:rsid w:val="38044AD5"/>
    <w:rsid w:val="384B2782"/>
    <w:rsid w:val="385F044C"/>
    <w:rsid w:val="39247135"/>
    <w:rsid w:val="39655DB3"/>
    <w:rsid w:val="3977E414"/>
    <w:rsid w:val="39DCF087"/>
    <w:rsid w:val="3A033EDC"/>
    <w:rsid w:val="3A1794D2"/>
    <w:rsid w:val="3A6325B8"/>
    <w:rsid w:val="3A9AE59D"/>
    <w:rsid w:val="3AAACFA1"/>
    <w:rsid w:val="3B1780A6"/>
    <w:rsid w:val="3B5998AE"/>
    <w:rsid w:val="3D514126"/>
    <w:rsid w:val="3E641B85"/>
    <w:rsid w:val="3EE8C9CA"/>
    <w:rsid w:val="3F26CE62"/>
    <w:rsid w:val="4023E997"/>
    <w:rsid w:val="414BB8C9"/>
    <w:rsid w:val="418427F8"/>
    <w:rsid w:val="424B0A2E"/>
    <w:rsid w:val="428E6441"/>
    <w:rsid w:val="42BBC51B"/>
    <w:rsid w:val="4501ACB9"/>
    <w:rsid w:val="45580B4E"/>
    <w:rsid w:val="478E6E4B"/>
    <w:rsid w:val="491A12DC"/>
    <w:rsid w:val="4AA6B683"/>
    <w:rsid w:val="4B0CB098"/>
    <w:rsid w:val="4B6B47FF"/>
    <w:rsid w:val="4E0DEF35"/>
    <w:rsid w:val="4E2333CF"/>
    <w:rsid w:val="4E8F3BE4"/>
    <w:rsid w:val="4EEE6132"/>
    <w:rsid w:val="51283871"/>
    <w:rsid w:val="51D431D7"/>
    <w:rsid w:val="52C408D2"/>
    <w:rsid w:val="52F6A4F2"/>
    <w:rsid w:val="53CABA4D"/>
    <w:rsid w:val="53D12A48"/>
    <w:rsid w:val="54B5F461"/>
    <w:rsid w:val="56490E98"/>
    <w:rsid w:val="5718BB59"/>
    <w:rsid w:val="57991CC5"/>
    <w:rsid w:val="5806A097"/>
    <w:rsid w:val="595877A6"/>
    <w:rsid w:val="5AE99C4B"/>
    <w:rsid w:val="5B249B61"/>
    <w:rsid w:val="5C1433E1"/>
    <w:rsid w:val="5CABA241"/>
    <w:rsid w:val="5CC3F76A"/>
    <w:rsid w:val="5DC48748"/>
    <w:rsid w:val="5E6C5694"/>
    <w:rsid w:val="5F479E86"/>
    <w:rsid w:val="5F7B7FC2"/>
    <w:rsid w:val="60E36EE7"/>
    <w:rsid w:val="6133D105"/>
    <w:rsid w:val="615A8BBB"/>
    <w:rsid w:val="61BA9E96"/>
    <w:rsid w:val="627ABD16"/>
    <w:rsid w:val="62F3597A"/>
    <w:rsid w:val="639682CA"/>
    <w:rsid w:val="641B0FA9"/>
    <w:rsid w:val="6460DBA6"/>
    <w:rsid w:val="64B086A3"/>
    <w:rsid w:val="64B1C016"/>
    <w:rsid w:val="6723D8B6"/>
    <w:rsid w:val="672537A1"/>
    <w:rsid w:val="67392623"/>
    <w:rsid w:val="67D2DEFC"/>
    <w:rsid w:val="6981A5CD"/>
    <w:rsid w:val="69D9A232"/>
    <w:rsid w:val="6D1FA0A4"/>
    <w:rsid w:val="6DA8C992"/>
    <w:rsid w:val="6E0B11DA"/>
    <w:rsid w:val="6EB86ACA"/>
    <w:rsid w:val="6F732BE0"/>
    <w:rsid w:val="7024F6F1"/>
    <w:rsid w:val="7180BF7D"/>
    <w:rsid w:val="71D42D47"/>
    <w:rsid w:val="72B53B30"/>
    <w:rsid w:val="72DDC560"/>
    <w:rsid w:val="7350C0D6"/>
    <w:rsid w:val="73E01283"/>
    <w:rsid w:val="7400FFFD"/>
    <w:rsid w:val="74EA9AC4"/>
    <w:rsid w:val="75421A04"/>
    <w:rsid w:val="75577FAF"/>
    <w:rsid w:val="75B3DB77"/>
    <w:rsid w:val="75E35865"/>
    <w:rsid w:val="761D46B2"/>
    <w:rsid w:val="78E9E622"/>
    <w:rsid w:val="79A927C0"/>
    <w:rsid w:val="7A841AE0"/>
    <w:rsid w:val="7ADDAB20"/>
    <w:rsid w:val="7B08EBBC"/>
    <w:rsid w:val="7BE00DF2"/>
    <w:rsid w:val="7D9776A6"/>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E3D1DABD-F60A-433C-8A46-E2FC2FD2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YEJUMFDJ6KMC-483555117-46332</_dlc_DocId>
    <_dlc_DocIdUrl xmlns="68c2e6f3-6ea4-42c3-835e-44e49d8f3a1e">
      <Url>https://nih.sharepoint.com/sites/HRSA-OA-OPAE/Teams/officeofexternalengagement/_layouts/15/DocIdRedir.aspx?ID=YEJUMFDJ6KMC-483555117-46332</Url>
      <Description>YEJUMFDJ6KMC-483555117-46332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3.xml><?xml version="1.0" encoding="utf-8"?>
<ds:datastoreItem xmlns:ds="http://schemas.openxmlformats.org/officeDocument/2006/customXml" ds:itemID="{596FC26F-3A37-4F67-850D-C42F6217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11010</Characters>
  <Application>Microsoft Office Word</Application>
  <DocSecurity>0</DocSecurity>
  <Lines>313</Lines>
  <Paragraphs>155</Paragraphs>
  <ScaleCrop>false</ScaleCrop>
  <Company>CMS</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52</cp:revision>
  <cp:lastPrinted>2010-10-14T19:41:00Z</cp:lastPrinted>
  <dcterms:created xsi:type="dcterms:W3CDTF">2025-12-17T16:17:00Z</dcterms:created>
  <dcterms:modified xsi:type="dcterms:W3CDTF">2026-01-07T15:45:00Z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TriggerFlowInfo">
    <vt:lpwstr/>
  </property>
  <property fmtid="{D5CDD505-2E9C-101B-9397-08002B2CF9AE}" pid="8" name="_dlc_DocIdItemGuid">
    <vt:lpwstr>0804f9d9-66cd-47e8-b6d9-acccf0515922</vt:lpwstr>
  </property>
  <property fmtid="{D5CDD505-2E9C-101B-9397-08002B2CF9AE}" pid="9" name="_ExtendedDescription">
    <vt:lpwstr/>
  </property>
</Properties>
</file>