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357C8A" w14:paraId="682CA048" w14:textId="721B6733">
      <w:pPr>
        <w:jc w:val="center"/>
        <w:rPr>
          <w:rFonts w:eastAsia="Calibri"/>
        </w:rPr>
      </w:pPr>
      <w:r w:rsidRPr="00357C8A">
        <w:rPr>
          <w:rFonts w:eastAsia="Calibri"/>
        </w:rPr>
        <w:t>United States Food and Drug Administration</w:t>
      </w:r>
    </w:p>
    <w:p w:rsidR="00357C8A" w:rsidP="00357C8A" w14:paraId="130DEAE3" w14:textId="77777777">
      <w:pPr>
        <w:jc w:val="center"/>
        <w:rPr>
          <w:rFonts w:eastAsia="Calibri"/>
        </w:rPr>
      </w:pPr>
    </w:p>
    <w:p w:rsidR="00357C8A" w:rsidP="00357C8A" w14:paraId="3C586058" w14:textId="153EFA6C">
      <w:pPr>
        <w:jc w:val="center"/>
      </w:pPr>
      <w:r>
        <w:t xml:space="preserve">Current Good Manufacturing Practice Regulations </w:t>
      </w:r>
      <w:r>
        <w:t>For</w:t>
      </w:r>
      <w:r>
        <w:t xml:space="preserve"> </w:t>
      </w:r>
      <w:r w:rsidR="22DD705B">
        <w:t xml:space="preserve">Type A Medicated Articles and </w:t>
      </w:r>
      <w:r>
        <w:t>Medicated Feeds</w:t>
      </w:r>
    </w:p>
    <w:p w:rsidR="002E5F48" w:rsidP="00357C8A" w14:paraId="51EC0193" w14:textId="77777777">
      <w:pPr>
        <w:jc w:val="center"/>
        <w:rPr>
          <w:rFonts w:eastAsia="Calibri"/>
        </w:rPr>
      </w:pPr>
    </w:p>
    <w:p w:rsidR="00357C8A" w:rsidP="00357C8A" w14:paraId="2574E0D1" w14:textId="1C509BB3">
      <w:pPr>
        <w:jc w:val="center"/>
        <w:rPr>
          <w:rFonts w:eastAsia="Calibri"/>
        </w:rPr>
      </w:pPr>
      <w:r w:rsidRPr="00357C8A">
        <w:rPr>
          <w:rFonts w:eastAsia="Calibri"/>
        </w:rPr>
        <w:t>OMB Control No</w:t>
      </w:r>
      <w:r w:rsidR="002E5F48">
        <w:rPr>
          <w:rFonts w:eastAsia="Calibri"/>
        </w:rPr>
        <w:t>s</w:t>
      </w:r>
      <w:r w:rsidRPr="00357C8A">
        <w:rPr>
          <w:rFonts w:eastAsia="Calibri"/>
        </w:rPr>
        <w:t>. 0910-</w:t>
      </w:r>
      <w:r w:rsidR="002E5F48">
        <w:rPr>
          <w:rFonts w:eastAsia="Calibri"/>
        </w:rPr>
        <w:t>0152 and 0910-0154</w:t>
      </w:r>
      <w:r w:rsidR="00727CDF">
        <w:rPr>
          <w:rFonts w:eastAsia="Calibri"/>
        </w:rPr>
        <w:t xml:space="preserve"> -- </w:t>
      </w:r>
      <w:r w:rsidR="00FF290F">
        <w:rPr>
          <w:rFonts w:eastAsia="Calibri"/>
        </w:rPr>
        <w:t>REVISION</w:t>
      </w:r>
    </w:p>
    <w:p w:rsidR="00357C8A" w:rsidP="00357C8A" w14:paraId="0FE18B65" w14:textId="77777777">
      <w:pPr>
        <w:jc w:val="center"/>
        <w:rPr>
          <w:rFonts w:eastAsia="Calibri"/>
        </w:rPr>
      </w:pPr>
    </w:p>
    <w:p w:rsidR="00357C8A" w:rsidP="00357C8A" w14:paraId="5AAD5085" w14:textId="77777777">
      <w:pPr>
        <w:jc w:val="center"/>
        <w:rPr>
          <w:rFonts w:eastAsia="Calibri"/>
        </w:rPr>
      </w:pPr>
      <w:r w:rsidRPr="00357C8A">
        <w:rPr>
          <w:rFonts w:eastAsia="Calibri"/>
        </w:rPr>
        <w:t>SUPPORTING STATEMENT</w:t>
      </w:r>
    </w:p>
    <w:p w:rsidR="009B4DF2" w:rsidP="00357C8A" w14:paraId="45F6EC50" w14:textId="77777777">
      <w:pPr>
        <w:jc w:val="center"/>
        <w:rPr>
          <w:rFonts w:eastAsia="Calibri"/>
        </w:rPr>
      </w:pPr>
    </w:p>
    <w:p w:rsidR="009B4DF2" w:rsidP="009B4DF2" w14:paraId="2CD4856A" w14:textId="2ED72578">
      <w:r w:rsidRPr="009122AE">
        <w:rPr>
          <w:rFonts w:eastAsia="Calibri"/>
          <w:u w:val="single"/>
        </w:rPr>
        <w:t>Terms of Clearance</w:t>
      </w:r>
      <w:r>
        <w:rPr>
          <w:rFonts w:eastAsia="Calibri"/>
        </w:rPr>
        <w:t xml:space="preserve">: </w:t>
      </w:r>
      <w:r w:rsidR="002E5F48">
        <w:rPr>
          <w:rFonts w:eastAsia="Calibri"/>
        </w:rPr>
        <w:t>None.</w:t>
      </w:r>
    </w:p>
    <w:p w:rsidR="00C71649" w:rsidP="009B4DF2" w14:paraId="700F10DE" w14:textId="77777777"/>
    <w:p w:rsidR="00357C8A" w:rsidP="000D79CC" w14:paraId="0D06FAEE" w14:textId="77777777">
      <w:pPr>
        <w:rPr>
          <w:rFonts w:eastAsia="Calibri"/>
        </w:rPr>
      </w:pPr>
      <w:r w:rsidRPr="00357C8A">
        <w:rPr>
          <w:rFonts w:eastAsia="Calibri"/>
          <w:b/>
        </w:rPr>
        <w:t>Part A</w:t>
      </w:r>
      <w:r w:rsidRPr="00357C8A">
        <w:rPr>
          <w:rFonts w:eastAsia="Calibri"/>
          <w:b/>
        </w:rPr>
        <w:t>:  Justification</w:t>
      </w:r>
      <w:r w:rsidRPr="00357C8A">
        <w:rPr>
          <w:rFonts w:eastAsia="Calibri"/>
        </w:rPr>
        <w:t>:</w:t>
      </w:r>
    </w:p>
    <w:p w:rsidR="000D79CC" w:rsidRPr="00357C8A" w:rsidP="000D79CC" w14:paraId="5FD52DB0" w14:textId="77777777">
      <w:pPr>
        <w:rPr>
          <w:rFonts w:eastAsia="Calibri"/>
        </w:rPr>
      </w:pPr>
    </w:p>
    <w:p w:rsidR="00357C8A" w:rsidRPr="00357C8A" w:rsidP="006705EA" w14:paraId="10469FBE"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2E5F48" w:rsidP="002E5F48" w14:paraId="46B5C7A5" w14:textId="5A6180A2">
      <w:pPr>
        <w:rPr>
          <w:rFonts w:eastAsia="Calibri"/>
        </w:rPr>
      </w:pPr>
      <w:r w:rsidRPr="3382482B">
        <w:rPr>
          <w:rFonts w:eastAsia="Calibri"/>
        </w:rPr>
        <w:t xml:space="preserve">This information collection supports implementation of section 501 of the Federal Food, Drug, and Cosmetic Act (the FD&amp;C Act) (21 U.S.C. 351), which governs current good manufacturing practice (CGMP) for drugs, including medicated feeds and Type A medicated articles.  Medicated feeds are administered to animals for the prevention, cure, mitigation, or treatment of disease or for growth promotion and feed efficiency.  A Type A medicated article </w:t>
      </w:r>
      <w:r w:rsidRPr="3382482B" w:rsidR="1E81CC72">
        <w:rPr>
          <w:rFonts w:eastAsia="Calibri"/>
        </w:rPr>
        <w:t xml:space="preserve">consists of </w:t>
      </w:r>
      <w:r w:rsidRPr="3382482B" w:rsidR="25A0A79C">
        <w:rPr>
          <w:rFonts w:eastAsia="Calibri"/>
        </w:rPr>
        <w:t>one or more</w:t>
      </w:r>
      <w:r w:rsidRPr="3382482B" w:rsidR="1E81CC72">
        <w:rPr>
          <w:rFonts w:eastAsia="Calibri"/>
        </w:rPr>
        <w:t xml:space="preserve"> new animal</w:t>
      </w:r>
      <w:r w:rsidRPr="3382482B">
        <w:rPr>
          <w:rFonts w:eastAsia="Calibri"/>
        </w:rPr>
        <w:t xml:space="preserve"> drug</w:t>
      </w:r>
      <w:r w:rsidRPr="3382482B" w:rsidR="22307623">
        <w:rPr>
          <w:rFonts w:eastAsia="Calibri"/>
        </w:rPr>
        <w:t>s</w:t>
      </w:r>
      <w:r w:rsidRPr="3382482B">
        <w:rPr>
          <w:rFonts w:eastAsia="Calibri"/>
        </w:rPr>
        <w:t xml:space="preserve"> with </w:t>
      </w:r>
      <w:r w:rsidRPr="3382482B" w:rsidR="277C40E8">
        <w:rPr>
          <w:rFonts w:eastAsia="Calibri"/>
        </w:rPr>
        <w:t xml:space="preserve">or without </w:t>
      </w:r>
      <w:r w:rsidRPr="3382482B">
        <w:rPr>
          <w:rFonts w:eastAsia="Calibri"/>
        </w:rPr>
        <w:t>carrier</w:t>
      </w:r>
      <w:r w:rsidRPr="3382482B" w:rsidR="0370385C">
        <w:rPr>
          <w:rFonts w:eastAsia="Calibri"/>
        </w:rPr>
        <w:t xml:space="preserve"> </w:t>
      </w:r>
      <w:r w:rsidRPr="3382482B" w:rsidR="6075C90E">
        <w:rPr>
          <w:rFonts w:eastAsia="Calibri"/>
        </w:rPr>
        <w:t xml:space="preserve">and </w:t>
      </w:r>
      <w:r w:rsidRPr="3382482B" w:rsidR="0370385C">
        <w:rPr>
          <w:rFonts w:eastAsia="Calibri"/>
        </w:rPr>
        <w:t>with or without inactive ingredients</w:t>
      </w:r>
      <w:r w:rsidRPr="3382482B">
        <w:rPr>
          <w:rFonts w:eastAsia="Calibri"/>
        </w:rPr>
        <w:t>.  A Type A medicated article is intended solely for use in the manufacture of another Type A medicated article or a Type B or Type C medicated feed.</w:t>
      </w:r>
    </w:p>
    <w:p w:rsidR="002E5F48" w:rsidRPr="002E5F48" w:rsidP="002E5F48" w14:paraId="6924F931" w14:textId="77777777">
      <w:pPr>
        <w:rPr>
          <w:rFonts w:eastAsia="Calibri"/>
        </w:rPr>
      </w:pPr>
    </w:p>
    <w:p w:rsidR="002E5F48" w:rsidRPr="002E5F48" w:rsidP="002E5F48" w14:paraId="46B8EBF8" w14:textId="6A0E04EB">
      <w:pPr>
        <w:rPr>
          <w:rFonts w:eastAsia="Calibri"/>
        </w:rPr>
      </w:pPr>
      <w:r w:rsidRPr="3382482B">
        <w:rPr>
          <w:rFonts w:eastAsia="Calibri"/>
        </w:rPr>
        <w:t xml:space="preserve">Under </w:t>
      </w:r>
      <w:r w:rsidRPr="3382482B" w:rsidR="18887CFD">
        <w:rPr>
          <w:rFonts w:eastAsia="Calibri"/>
        </w:rPr>
        <w:t xml:space="preserve">Title 21, Code of Federal Regulations, </w:t>
      </w:r>
      <w:r w:rsidRPr="3382482B">
        <w:rPr>
          <w:rFonts w:eastAsia="Calibri"/>
        </w:rPr>
        <w:t xml:space="preserve">part 225, </w:t>
      </w:r>
      <w:r w:rsidRPr="3382482B" w:rsidR="68CC387E">
        <w:rPr>
          <w:rFonts w:eastAsia="Calibri"/>
        </w:rPr>
        <w:t xml:space="preserve">CGMP for Medicated Feeds requirements (21 CFR part 225), </w:t>
      </w:r>
      <w:r w:rsidRPr="3382482B">
        <w:rPr>
          <w:rFonts w:eastAsia="Calibri"/>
        </w:rPr>
        <w:t>a manufacturer is required to establish, maintain, and retain records for a medicated feed, including records to document procedures required during the manufacturing process to assure that proper quality control is maintained.  Such records would, for example, contain information concerning receipt and inventory of drug components, batch production, laboratory assay results (i.e., batch and stability testing), labels, and product distribution.</w:t>
      </w:r>
    </w:p>
    <w:p w:rsidR="00423272" w:rsidP="002E5F48" w14:paraId="52D0C491" w14:textId="52276D8A">
      <w:pPr>
        <w:rPr>
          <w:rFonts w:eastAsia="Calibri"/>
        </w:rPr>
      </w:pPr>
      <w:r w:rsidRPr="3382482B">
        <w:rPr>
          <w:rFonts w:eastAsia="Calibri"/>
        </w:rPr>
        <w:t xml:space="preserve">Manufacturers are required to establish, maintain, and retain records for Type A medicated articles including records to document procedures required under the manufacturing process to assure that proper quality control is maintained under </w:t>
      </w:r>
      <w:r w:rsidRPr="3382482B" w:rsidR="5C5CF2FE">
        <w:rPr>
          <w:rFonts w:eastAsia="Calibri"/>
        </w:rPr>
        <w:t xml:space="preserve">21 CFR </w:t>
      </w:r>
      <w:r w:rsidRPr="3382482B">
        <w:rPr>
          <w:rFonts w:eastAsia="Calibri"/>
        </w:rPr>
        <w:t>part 226</w:t>
      </w:r>
      <w:r w:rsidRPr="3382482B" w:rsidR="05F1D125">
        <w:rPr>
          <w:rFonts w:eastAsia="Calibri"/>
        </w:rPr>
        <w:t xml:space="preserve">, CGMP for Type </w:t>
      </w:r>
      <w:r w:rsidRPr="3382482B" w:rsidR="05F1D125">
        <w:rPr>
          <w:rFonts w:eastAsia="Calibri"/>
        </w:rPr>
        <w:t>A</w:t>
      </w:r>
      <w:r w:rsidRPr="3382482B" w:rsidR="05F1D125">
        <w:rPr>
          <w:rFonts w:eastAsia="Calibri"/>
        </w:rPr>
        <w:t xml:space="preserve"> Medicated Articles</w:t>
      </w:r>
      <w:r w:rsidRPr="3382482B">
        <w:rPr>
          <w:rFonts w:eastAsia="Calibri"/>
        </w:rPr>
        <w:t>.  Type A medicated articles which are not manufactured in accordance with these regulations are considered adulterated under section 501(a)(2)(B) of the FD&amp;C Act (21 U.S.C. 351(a)(2)(B)).</w:t>
      </w:r>
    </w:p>
    <w:p w:rsidR="002E5F48" w:rsidP="002E5F48" w14:paraId="1015D2CA" w14:textId="77777777">
      <w:pPr>
        <w:rPr>
          <w:rFonts w:eastAsia="Calibri"/>
        </w:rPr>
      </w:pPr>
    </w:p>
    <w:p w:rsidR="002E5F48" w:rsidP="002E5F48" w14:paraId="385522F4" w14:textId="6FD47EF5">
      <w:pPr>
        <w:rPr>
          <w:rFonts w:eastAsia="Calibri"/>
        </w:rPr>
      </w:pPr>
      <w:r w:rsidRPr="3382482B">
        <w:rPr>
          <w:rFonts w:eastAsia="Calibri"/>
        </w:rPr>
        <w:t>Th</w:t>
      </w:r>
      <w:r w:rsidRPr="3382482B" w:rsidR="313E7527">
        <w:rPr>
          <w:rFonts w:eastAsia="Calibri"/>
        </w:rPr>
        <w:t xml:space="preserve">e above </w:t>
      </w:r>
      <w:r w:rsidRPr="3382482B">
        <w:rPr>
          <w:rFonts w:eastAsia="Calibri"/>
        </w:rPr>
        <w:t xml:space="preserve">information is needed so that FDA can monitor drug usage and possible misformulation of medicated feeds to investigate violative drug residues in products from treated animals and to investigate product defects when a drug is recalled.  In addition, FDA will use the CGMP criteria in </w:t>
      </w:r>
      <w:r w:rsidRPr="3382482B" w:rsidR="75B11FE6">
        <w:rPr>
          <w:rFonts w:eastAsia="Calibri"/>
        </w:rPr>
        <w:t xml:space="preserve">21 CFR </w:t>
      </w:r>
      <w:r w:rsidRPr="3382482B">
        <w:rPr>
          <w:rFonts w:eastAsia="Calibri"/>
        </w:rPr>
        <w:t>part 225 to determine whether the systems and procedures used by manufacturers of medicated feeds are adequate to ensure that their feeds meet the requirements of the FD&amp;C Act as to safety, and also that they meet their claimed identity, strength, quality, and purity, as required by section 501(a)(2)(B) of the FD&amp;C Act.</w:t>
      </w:r>
    </w:p>
    <w:p w:rsidR="002E5F48" w:rsidRPr="002E5F48" w:rsidP="002E5F48" w14:paraId="11797007" w14:textId="77777777">
      <w:pPr>
        <w:rPr>
          <w:rFonts w:eastAsia="Calibri"/>
        </w:rPr>
      </w:pPr>
    </w:p>
    <w:p w:rsidR="002E5F48" w:rsidRPr="002E5F48" w:rsidP="002E5F48" w14:paraId="352AB220" w14:textId="6990BAEA">
      <w:pPr>
        <w:rPr>
          <w:rFonts w:eastAsia="Calibri"/>
        </w:rPr>
      </w:pPr>
      <w:r w:rsidRPr="3382482B">
        <w:rPr>
          <w:rFonts w:eastAsia="Calibri"/>
        </w:rPr>
        <w:t xml:space="preserve">A </w:t>
      </w:r>
      <w:r w:rsidRPr="3382482B" w:rsidR="2B53A87D">
        <w:rPr>
          <w:rFonts w:eastAsia="Calibri"/>
        </w:rPr>
        <w:t xml:space="preserve">medicated feed mill </w:t>
      </w:r>
      <w:r w:rsidRPr="3382482B">
        <w:rPr>
          <w:rFonts w:eastAsia="Calibri"/>
        </w:rPr>
        <w:t>license is required when the manufactur</w:t>
      </w:r>
      <w:r w:rsidRPr="3382482B" w:rsidR="08201C7D">
        <w:rPr>
          <w:rFonts w:eastAsia="Calibri"/>
        </w:rPr>
        <w:t>ing</w:t>
      </w:r>
      <w:r w:rsidRPr="3382482B">
        <w:rPr>
          <w:rFonts w:eastAsia="Calibri"/>
        </w:rPr>
        <w:t xml:space="preserve"> </w:t>
      </w:r>
      <w:r w:rsidRPr="3382482B" w:rsidR="05BEF2BE">
        <w:rPr>
          <w:rFonts w:eastAsia="Calibri"/>
        </w:rPr>
        <w:t>process</w:t>
      </w:r>
      <w:r w:rsidRPr="3382482B">
        <w:rPr>
          <w:rFonts w:eastAsia="Calibri"/>
        </w:rPr>
        <w:t xml:space="preserve"> involves the use of a drug or drugs that FDA has determined requires more control because of the need for a withdrawal period before slaughter or because of carcinogenic concerns.  Conversely, a license is not required, and the recordkeeping requirements are less demanding, for those medicated feeds for which FDA has determined that the drugs used in their manufacture need less control. </w:t>
      </w:r>
    </w:p>
    <w:p w:rsidR="002E5F48" w:rsidP="002E5F48" w14:paraId="45F6A165" w14:textId="37F571CC">
      <w:pPr>
        <w:rPr>
          <w:rFonts w:eastAsia="Calibri"/>
        </w:rPr>
      </w:pPr>
      <w:r w:rsidRPr="23248501">
        <w:rPr>
          <w:rFonts w:eastAsia="Calibri"/>
        </w:rPr>
        <w:t xml:space="preserve">The information collection provisions approved under OMB control number 0910-0152 and 0910-0154 are similar in that they support FDA’s CGMP regulations.  Thus, with this notice, FDA proposes to consolidate these collections of information into one OMB control number for all reporting associated with CGMPs for </w:t>
      </w:r>
      <w:r w:rsidRPr="23248501" w:rsidR="59A7559F">
        <w:rPr>
          <w:rFonts w:eastAsia="Calibri"/>
        </w:rPr>
        <w:t xml:space="preserve">Type A medicated articles and </w:t>
      </w:r>
      <w:r w:rsidRPr="23248501" w:rsidR="0DF4C604">
        <w:rPr>
          <w:rFonts w:eastAsia="Calibri"/>
        </w:rPr>
        <w:t xml:space="preserve">CGMPs for </w:t>
      </w:r>
      <w:r w:rsidRPr="23248501">
        <w:rPr>
          <w:rFonts w:eastAsia="Calibri"/>
        </w:rPr>
        <w:t xml:space="preserve">medicated feeds.  FDA further proposes to consolidate </w:t>
      </w:r>
      <w:r w:rsidRPr="23248501" w:rsidR="243D9D1B">
        <w:rPr>
          <w:rFonts w:eastAsia="Calibri"/>
        </w:rPr>
        <w:t xml:space="preserve">each </w:t>
      </w:r>
      <w:r w:rsidRPr="23248501">
        <w:rPr>
          <w:rFonts w:eastAsia="Calibri"/>
        </w:rPr>
        <w:t xml:space="preserve">regulation into a summary.  </w:t>
      </w:r>
      <w:r w:rsidRPr="23248501" w:rsidR="5799B848">
        <w:rPr>
          <w:rFonts w:eastAsia="Calibri"/>
        </w:rPr>
        <w:t xml:space="preserve">As part of this consolidation, </w:t>
      </w:r>
      <w:r w:rsidRPr="23248501">
        <w:rPr>
          <w:rFonts w:eastAsia="Calibri"/>
        </w:rPr>
        <w:t>FDA has combined the commercial feed mills and the mixer</w:t>
      </w:r>
      <w:r w:rsidRPr="23248501" w:rsidR="583C60DB">
        <w:rPr>
          <w:rFonts w:eastAsia="Calibri"/>
        </w:rPr>
        <w:t>-</w:t>
      </w:r>
      <w:r w:rsidRPr="23248501">
        <w:rPr>
          <w:rFonts w:eastAsia="Calibri"/>
        </w:rPr>
        <w:t>feeders</w:t>
      </w:r>
      <w:r w:rsidRPr="23248501" w:rsidR="30681B7F">
        <w:rPr>
          <w:rFonts w:eastAsia="Calibri"/>
        </w:rPr>
        <w:t xml:space="preserve"> </w:t>
      </w:r>
      <w:r w:rsidRPr="23248501" w:rsidR="6C934265">
        <w:rPr>
          <w:rFonts w:eastAsia="Calibri"/>
        </w:rPr>
        <w:t>into a single category,</w:t>
      </w:r>
      <w:r w:rsidRPr="23248501">
        <w:rPr>
          <w:rFonts w:eastAsia="Calibri"/>
        </w:rPr>
        <w:t xml:space="preserve"> as the requirements for licensed medicated feed</w:t>
      </w:r>
      <w:r w:rsidRPr="23248501" w:rsidR="0A4A3F26">
        <w:rPr>
          <w:rFonts w:eastAsia="Calibri"/>
        </w:rPr>
        <w:t xml:space="preserve"> </w:t>
      </w:r>
      <w:r w:rsidRPr="23248501">
        <w:rPr>
          <w:rFonts w:eastAsia="Calibri"/>
        </w:rPr>
        <w:t xml:space="preserve">mills are the same for </w:t>
      </w:r>
      <w:r w:rsidRPr="23248501" w:rsidR="4968515F">
        <w:rPr>
          <w:rFonts w:eastAsia="Calibri"/>
        </w:rPr>
        <w:t>both facility type</w:t>
      </w:r>
      <w:r w:rsidRPr="23248501">
        <w:rPr>
          <w:rFonts w:eastAsia="Calibri"/>
        </w:rPr>
        <w:t xml:space="preserve">s.  FDA will continue to </w:t>
      </w:r>
      <w:r w:rsidRPr="23248501" w:rsidR="055793F1">
        <w:rPr>
          <w:rFonts w:eastAsia="Calibri"/>
        </w:rPr>
        <w:t>distinguish</w:t>
      </w:r>
      <w:r w:rsidRPr="23248501">
        <w:rPr>
          <w:rFonts w:eastAsia="Calibri"/>
        </w:rPr>
        <w:t xml:space="preserve"> </w:t>
      </w:r>
      <w:r w:rsidRPr="23248501" w:rsidR="5C7B73DB">
        <w:rPr>
          <w:rFonts w:eastAsia="Calibri"/>
        </w:rPr>
        <w:t>between</w:t>
      </w:r>
      <w:r w:rsidRPr="23248501">
        <w:rPr>
          <w:rFonts w:eastAsia="Calibri"/>
        </w:rPr>
        <w:t xml:space="preserve"> licensed f</w:t>
      </w:r>
      <w:r w:rsidRPr="23248501" w:rsidR="76839E8A">
        <w:rPr>
          <w:rFonts w:eastAsia="Calibri"/>
        </w:rPr>
        <w:t>and</w:t>
      </w:r>
      <w:r w:rsidRPr="23248501">
        <w:rPr>
          <w:rFonts w:eastAsia="Calibri"/>
        </w:rPr>
        <w:t xml:space="preserve"> non-licensed feed mills </w:t>
      </w:r>
      <w:r w:rsidRPr="23248501" w:rsidR="32C9687D">
        <w:rPr>
          <w:rFonts w:eastAsia="Calibri"/>
        </w:rPr>
        <w:t xml:space="preserve">because </w:t>
      </w:r>
      <w:r w:rsidRPr="23248501">
        <w:rPr>
          <w:rFonts w:eastAsia="Calibri"/>
        </w:rPr>
        <w:t>non-licensed feed</w:t>
      </w:r>
      <w:r w:rsidRPr="23248501" w:rsidR="4239E061">
        <w:rPr>
          <w:rFonts w:eastAsia="Calibri"/>
        </w:rPr>
        <w:t xml:space="preserve"> </w:t>
      </w:r>
      <w:r w:rsidRPr="23248501">
        <w:rPr>
          <w:rFonts w:eastAsia="Calibri"/>
        </w:rPr>
        <w:t xml:space="preserve">mills </w:t>
      </w:r>
      <w:r w:rsidRPr="23248501" w:rsidR="6133B917">
        <w:rPr>
          <w:rFonts w:eastAsia="Calibri"/>
        </w:rPr>
        <w:t xml:space="preserve">are subject to </w:t>
      </w:r>
      <w:r w:rsidRPr="23248501">
        <w:rPr>
          <w:rFonts w:eastAsia="Calibri"/>
        </w:rPr>
        <w:t>less burden</w:t>
      </w:r>
      <w:r w:rsidRPr="23248501" w:rsidR="593A56A0">
        <w:rPr>
          <w:rFonts w:eastAsia="Calibri"/>
        </w:rPr>
        <w:t>some recordkeeping requirements</w:t>
      </w:r>
      <w:r w:rsidRPr="23248501">
        <w:rPr>
          <w:rFonts w:eastAsia="Calibri"/>
        </w:rPr>
        <w:t xml:space="preserve"> than licensed feed</w:t>
      </w:r>
      <w:r w:rsidRPr="23248501" w:rsidR="217CCE44">
        <w:rPr>
          <w:rFonts w:eastAsia="Calibri"/>
        </w:rPr>
        <w:t xml:space="preserve"> </w:t>
      </w:r>
      <w:r w:rsidRPr="23248501">
        <w:rPr>
          <w:rFonts w:eastAsia="Calibri"/>
        </w:rPr>
        <w:t>mills.  As with the licensed facilit</w:t>
      </w:r>
      <w:r w:rsidRPr="23248501" w:rsidR="0AD569E2">
        <w:rPr>
          <w:rFonts w:eastAsia="Calibri"/>
        </w:rPr>
        <w:t>y category</w:t>
      </w:r>
      <w:r w:rsidRPr="23248501">
        <w:rPr>
          <w:rFonts w:eastAsia="Calibri"/>
        </w:rPr>
        <w:t xml:space="preserve">, </w:t>
      </w:r>
      <w:r w:rsidRPr="23248501" w:rsidR="78517659">
        <w:rPr>
          <w:rFonts w:eastAsia="Calibri"/>
        </w:rPr>
        <w:t xml:space="preserve">non-licensed </w:t>
      </w:r>
      <w:r w:rsidRPr="23248501">
        <w:rPr>
          <w:rFonts w:eastAsia="Calibri"/>
        </w:rPr>
        <w:t>commercial feed</w:t>
      </w:r>
      <w:r w:rsidRPr="23248501" w:rsidR="46A0692F">
        <w:rPr>
          <w:rFonts w:eastAsia="Calibri"/>
        </w:rPr>
        <w:t xml:space="preserve"> </w:t>
      </w:r>
      <w:r w:rsidRPr="23248501">
        <w:rPr>
          <w:rFonts w:eastAsia="Calibri"/>
        </w:rPr>
        <w:t xml:space="preserve">mills </w:t>
      </w:r>
      <w:r w:rsidRPr="23248501" w:rsidR="1F5F9627">
        <w:rPr>
          <w:rFonts w:eastAsia="Calibri"/>
        </w:rPr>
        <w:t xml:space="preserve">and </w:t>
      </w:r>
      <w:r w:rsidRPr="23248501">
        <w:rPr>
          <w:rFonts w:eastAsia="Calibri"/>
        </w:rPr>
        <w:t>mixer</w:t>
      </w:r>
      <w:r w:rsidRPr="23248501" w:rsidR="5C682675">
        <w:rPr>
          <w:rFonts w:eastAsia="Calibri"/>
        </w:rPr>
        <w:t>-</w:t>
      </w:r>
      <w:r w:rsidRPr="23248501">
        <w:rPr>
          <w:rFonts w:eastAsia="Calibri"/>
        </w:rPr>
        <w:t xml:space="preserve">feeders </w:t>
      </w:r>
      <w:r w:rsidRPr="23248501" w:rsidR="506037B6">
        <w:rPr>
          <w:rFonts w:eastAsia="Calibri"/>
        </w:rPr>
        <w:t xml:space="preserve">have also been combined </w:t>
      </w:r>
      <w:r w:rsidRPr="23248501">
        <w:rPr>
          <w:rFonts w:eastAsia="Calibri"/>
        </w:rPr>
        <w:t xml:space="preserve">as the requirements and </w:t>
      </w:r>
      <w:r w:rsidRPr="23248501" w:rsidR="78E49AA6">
        <w:rPr>
          <w:rFonts w:eastAsia="Calibri"/>
        </w:rPr>
        <w:t xml:space="preserve">associated </w:t>
      </w:r>
      <w:r w:rsidRPr="23248501">
        <w:rPr>
          <w:rFonts w:eastAsia="Calibri"/>
        </w:rPr>
        <w:t>burdens remain the same.  The number of non-licensed feed</w:t>
      </w:r>
      <w:r w:rsidRPr="23248501" w:rsidR="5E7B5598">
        <w:rPr>
          <w:rFonts w:eastAsia="Calibri"/>
        </w:rPr>
        <w:t xml:space="preserve"> </w:t>
      </w:r>
      <w:r w:rsidRPr="23248501">
        <w:rPr>
          <w:rFonts w:eastAsia="Calibri"/>
        </w:rPr>
        <w:t xml:space="preserve">mills </w:t>
      </w:r>
      <w:r w:rsidRPr="23248501" w:rsidR="427D1EEC">
        <w:rPr>
          <w:rFonts w:eastAsia="Calibri"/>
        </w:rPr>
        <w:t>ha</w:t>
      </w:r>
      <w:r w:rsidRPr="23248501" w:rsidR="77C5E759">
        <w:rPr>
          <w:rFonts w:eastAsia="Calibri"/>
        </w:rPr>
        <w:t>d</w:t>
      </w:r>
      <w:r w:rsidRPr="23248501" w:rsidR="427D1EEC">
        <w:rPr>
          <w:rFonts w:eastAsia="Calibri"/>
        </w:rPr>
        <w:t xml:space="preserve"> been</w:t>
      </w:r>
      <w:r w:rsidRPr="23248501">
        <w:rPr>
          <w:rFonts w:eastAsia="Calibri"/>
        </w:rPr>
        <w:t xml:space="preserve"> updated with our current inventory data utilizing production code</w:t>
      </w:r>
      <w:r w:rsidRPr="23248501" w:rsidR="398611FD">
        <w:rPr>
          <w:rFonts w:eastAsia="Calibri"/>
        </w:rPr>
        <w:t>s to identify</w:t>
      </w:r>
      <w:r w:rsidRPr="23248501">
        <w:rPr>
          <w:rFonts w:eastAsia="Calibri"/>
        </w:rPr>
        <w:t xml:space="preserve"> manufacturers of medicated feeds.</w:t>
      </w:r>
      <w:r w:rsidRPr="23248501" w:rsidR="41A9FE42">
        <w:rPr>
          <w:rFonts w:eastAsia="Calibri"/>
        </w:rPr>
        <w:t xml:space="preserve">  FDA will continue to </w:t>
      </w:r>
      <w:r w:rsidRPr="23248501" w:rsidR="17AF8444">
        <w:rPr>
          <w:rFonts w:eastAsia="Calibri"/>
        </w:rPr>
        <w:t xml:space="preserve">maintain a distinct category for </w:t>
      </w:r>
      <w:r w:rsidRPr="23248501" w:rsidR="41A9FE42">
        <w:rPr>
          <w:rFonts w:eastAsia="Calibri"/>
        </w:rPr>
        <w:t>Type A medicated article ma</w:t>
      </w:r>
      <w:r w:rsidRPr="23248501" w:rsidR="2826741E">
        <w:rPr>
          <w:rFonts w:eastAsia="Calibri"/>
        </w:rPr>
        <w:t>n</w:t>
      </w:r>
      <w:r w:rsidRPr="23248501" w:rsidR="41A9FE42">
        <w:rPr>
          <w:rFonts w:eastAsia="Calibri"/>
        </w:rPr>
        <w:t xml:space="preserve">ufacturers subject to </w:t>
      </w:r>
      <w:r w:rsidRPr="23248501" w:rsidR="20C103E1">
        <w:rPr>
          <w:rFonts w:eastAsia="Calibri"/>
        </w:rPr>
        <w:t xml:space="preserve">the </w:t>
      </w:r>
      <w:r w:rsidRPr="23248501" w:rsidR="49940641">
        <w:rPr>
          <w:rFonts w:eastAsia="Calibri"/>
        </w:rPr>
        <w:t xml:space="preserve">recordkeeping </w:t>
      </w:r>
      <w:r w:rsidRPr="23248501" w:rsidR="14E654E1">
        <w:rPr>
          <w:rFonts w:eastAsia="Calibri"/>
        </w:rPr>
        <w:t>requirements</w:t>
      </w:r>
      <w:r w:rsidRPr="23248501" w:rsidR="186D0BA4">
        <w:rPr>
          <w:rFonts w:eastAsia="Calibri"/>
        </w:rPr>
        <w:t xml:space="preserve"> under </w:t>
      </w:r>
      <w:r w:rsidRPr="23248501" w:rsidR="186D0BA4">
        <w:rPr>
          <w:rFonts w:eastAsia="Calibri"/>
        </w:rPr>
        <w:t>part</w:t>
      </w:r>
      <w:r w:rsidRPr="23248501" w:rsidR="186D0BA4">
        <w:rPr>
          <w:rFonts w:eastAsia="Calibri"/>
        </w:rPr>
        <w:t xml:space="preserve"> 226</w:t>
      </w:r>
      <w:r w:rsidRPr="23248501" w:rsidR="09A50EE3">
        <w:rPr>
          <w:rFonts w:eastAsia="Calibri"/>
        </w:rPr>
        <w:t>.</w:t>
      </w:r>
    </w:p>
    <w:p w:rsidR="002E5F48" w:rsidP="00423272" w14:paraId="050F64F7" w14:textId="77777777">
      <w:pPr>
        <w:rPr>
          <w:rFonts w:eastAsia="Calibri"/>
        </w:rPr>
      </w:pPr>
    </w:p>
    <w:p w:rsidR="002E5F48" w:rsidRPr="002E5F48" w:rsidP="002E5F48" w14:paraId="71D35118" w14:textId="750C2072">
      <w:pPr>
        <w:rPr>
          <w:rFonts w:eastAsia="Calibri"/>
        </w:rPr>
      </w:pPr>
      <w:r w:rsidRPr="3382482B">
        <w:rPr>
          <w:rFonts w:eastAsia="Calibri"/>
        </w:rPr>
        <w:t xml:space="preserve">Because we are proposing to combine all reporting associated with </w:t>
      </w:r>
      <w:r w:rsidRPr="3382482B" w:rsidR="0E6B6284">
        <w:rPr>
          <w:rFonts w:eastAsia="Calibri"/>
        </w:rPr>
        <w:t xml:space="preserve">CGMPs for Type A medicated articles and </w:t>
      </w:r>
      <w:r w:rsidRPr="3382482B">
        <w:rPr>
          <w:rFonts w:eastAsia="Calibri"/>
        </w:rPr>
        <w:t>CGMPs for medicated feeds into one collection, we are consolidating the burden under OMB control number 0910-0152 and discontinuing OMB control number 0910-0154.</w:t>
      </w:r>
    </w:p>
    <w:p w:rsidR="002E5F48" w:rsidP="00423272" w14:paraId="25F44FBC" w14:textId="77777777">
      <w:pPr>
        <w:rPr>
          <w:rFonts w:eastAsia="Calibri"/>
        </w:rPr>
      </w:pPr>
    </w:p>
    <w:p w:rsidR="00423272" w:rsidRPr="00423272" w:rsidP="36D0A7BB" w14:paraId="2E11CA80" w14:textId="68CD1915">
      <w:pPr>
        <w:rPr>
          <w:rFonts w:eastAsia="Calibri"/>
          <w:i/>
          <w:iCs/>
        </w:rPr>
      </w:pPr>
      <w:r w:rsidRPr="36D0A7BB">
        <w:rPr>
          <w:rFonts w:eastAsia="Calibri"/>
        </w:rPr>
        <w:t xml:space="preserve">We therefore request OMB extension of OMB approval of </w:t>
      </w:r>
      <w:r w:rsidRPr="36D0A7BB" w:rsidR="000C5757">
        <w:rPr>
          <w:rFonts w:eastAsia="Calibri"/>
        </w:rPr>
        <w:t xml:space="preserve">the reporting associated with CGMPs for </w:t>
      </w:r>
      <w:r w:rsidRPr="36D0A7BB" w:rsidR="6C9C419C">
        <w:rPr>
          <w:rFonts w:eastAsia="Calibri"/>
        </w:rPr>
        <w:t xml:space="preserve">Type A medicated articles and CGMPs for </w:t>
      </w:r>
      <w:r w:rsidRPr="36D0A7BB" w:rsidR="000C5757">
        <w:rPr>
          <w:rFonts w:eastAsia="Calibri"/>
        </w:rPr>
        <w:t xml:space="preserve">medicated feeds </w:t>
      </w:r>
      <w:r w:rsidRPr="36D0A7BB">
        <w:rPr>
          <w:rFonts w:eastAsia="Calibri"/>
        </w:rPr>
        <w:t xml:space="preserve">found in </w:t>
      </w:r>
      <w:r w:rsidRPr="36D0A7BB" w:rsidR="000C5757">
        <w:rPr>
          <w:rFonts w:eastAsia="Calibri"/>
        </w:rPr>
        <w:t>21 CFR part 225 and 21 CFR part 226</w:t>
      </w:r>
      <w:r w:rsidRPr="36D0A7BB">
        <w:rPr>
          <w:rFonts w:eastAsia="Calibri"/>
        </w:rPr>
        <w:t xml:space="preserve"> as discussed in this supporting statement</w:t>
      </w:r>
      <w:r w:rsidRPr="36D0A7BB" w:rsidR="000C5757">
        <w:rPr>
          <w:rFonts w:eastAsia="Calibri"/>
        </w:rPr>
        <w:t>.</w:t>
      </w:r>
    </w:p>
    <w:p w:rsidR="00357C8A" w:rsidRPr="00357C8A" w:rsidP="0022425B" w14:paraId="7B926E28" w14:textId="541F090C">
      <w:pPr>
        <w:spacing w:after="200"/>
        <w:rPr>
          <w:rFonts w:eastAsia="Calibri"/>
          <w:color w:val="FF0000"/>
        </w:rPr>
      </w:pPr>
    </w:p>
    <w:p w:rsidR="00357C8A" w:rsidRPr="00357C8A" w:rsidP="006705EA" w14:paraId="3B98F6AF"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0C5757" w:rsidRPr="000C5757" w:rsidP="000C5757" w14:paraId="01C8ECD1" w14:textId="2F3EA1BC">
      <w:pPr>
        <w:rPr>
          <w:rFonts w:eastAsia="Calibri"/>
        </w:rPr>
      </w:pPr>
      <w:r w:rsidRPr="3382482B">
        <w:rPr>
          <w:rFonts w:eastAsia="Calibri"/>
        </w:rPr>
        <w:t xml:space="preserve">The required records are used by both the respondents and the FDA. </w:t>
      </w:r>
      <w:r w:rsidRPr="3382482B" w:rsidR="38EBB7BA">
        <w:rPr>
          <w:rFonts w:eastAsia="Calibri"/>
        </w:rPr>
        <w:t>R</w:t>
      </w:r>
      <w:r w:rsidRPr="3382482B">
        <w:rPr>
          <w:rFonts w:eastAsia="Calibri"/>
        </w:rPr>
        <w:t>ecords are used by</w:t>
      </w:r>
    </w:p>
    <w:p w:rsidR="00357C8A" w:rsidP="000C5757" w14:paraId="05092184" w14:textId="042BAFCA">
      <w:pPr>
        <w:rPr>
          <w:rFonts w:eastAsia="Calibri"/>
        </w:rPr>
      </w:pPr>
      <w:r w:rsidRPr="3382482B">
        <w:rPr>
          <w:rFonts w:eastAsia="Calibri"/>
        </w:rPr>
        <w:t xml:space="preserve">manufacturers of medicated feeds and Type A medicated articles to verify that appropriate control measures have been maintained, or that appropriate corrective actions were taken if the control measures were not maintained. Such verification activities are essential to ensure that the CGMP system is working as planned. This permits us to determine whether the </w:t>
      </w:r>
      <w:r w:rsidRPr="3382482B" w:rsidR="5AAE59F3">
        <w:rPr>
          <w:rFonts w:eastAsia="Calibri"/>
        </w:rPr>
        <w:t>regulated</w:t>
      </w:r>
      <w:r w:rsidRPr="3382482B">
        <w:rPr>
          <w:rFonts w:eastAsia="Calibri"/>
        </w:rPr>
        <w:t xml:space="preserve"> products have been consistently processed in conformance with appropriate CGMP </w:t>
      </w:r>
      <w:r w:rsidRPr="3382482B" w:rsidR="00203B0D">
        <w:rPr>
          <w:rFonts w:eastAsia="Calibri"/>
        </w:rPr>
        <w:t>controls and</w:t>
      </w:r>
      <w:r w:rsidRPr="3382482B">
        <w:rPr>
          <w:rFonts w:eastAsia="Calibri"/>
        </w:rPr>
        <w:t xml:space="preserve"> monitor drug usage and possible misformulation of Type A medicated articles. We use the records required in </w:t>
      </w:r>
      <w:r w:rsidRPr="3382482B" w:rsidR="19BB7152">
        <w:rPr>
          <w:rFonts w:eastAsia="Calibri"/>
        </w:rPr>
        <w:t xml:space="preserve">21 CFR </w:t>
      </w:r>
      <w:r w:rsidRPr="3382482B">
        <w:rPr>
          <w:rFonts w:eastAsia="Calibri"/>
        </w:rPr>
        <w:t>part 225</w:t>
      </w:r>
      <w:r w:rsidRPr="3382482B" w:rsidR="00203B0D">
        <w:rPr>
          <w:rFonts w:eastAsia="Calibri"/>
        </w:rPr>
        <w:t xml:space="preserve"> and </w:t>
      </w:r>
      <w:r w:rsidRPr="3382482B" w:rsidR="756FF3C4">
        <w:rPr>
          <w:rFonts w:eastAsia="Calibri"/>
        </w:rPr>
        <w:t xml:space="preserve">part </w:t>
      </w:r>
      <w:r w:rsidRPr="3382482B" w:rsidR="00203B0D">
        <w:rPr>
          <w:rFonts w:eastAsia="Calibri"/>
        </w:rPr>
        <w:t>226</w:t>
      </w:r>
      <w:r w:rsidRPr="3382482B">
        <w:rPr>
          <w:rFonts w:eastAsia="Calibri"/>
        </w:rPr>
        <w:t xml:space="preserve"> to determine whether the systems and procedures used by manufacturers of</w:t>
      </w:r>
      <w:r w:rsidRPr="3382482B" w:rsidR="664724D1">
        <w:rPr>
          <w:rFonts w:eastAsia="Calibri"/>
        </w:rPr>
        <w:t xml:space="preserve"> </w:t>
      </w:r>
      <w:r w:rsidRPr="3382482B">
        <w:rPr>
          <w:rFonts w:eastAsia="Calibri"/>
        </w:rPr>
        <w:t xml:space="preserve">medicated feeds are adequate to ensure that their feeds </w:t>
      </w:r>
      <w:r w:rsidRPr="3382482B" w:rsidR="00203B0D">
        <w:rPr>
          <w:rFonts w:eastAsia="Calibri"/>
        </w:rPr>
        <w:t xml:space="preserve">and medicated articles </w:t>
      </w:r>
      <w:r w:rsidRPr="3382482B">
        <w:rPr>
          <w:rFonts w:eastAsia="Calibri"/>
        </w:rPr>
        <w:t>meet the requirements of the FD&amp;C</w:t>
      </w:r>
      <w:r w:rsidRPr="3382482B" w:rsidR="00203B0D">
        <w:rPr>
          <w:rFonts w:eastAsia="Calibri"/>
        </w:rPr>
        <w:t xml:space="preserve"> </w:t>
      </w:r>
      <w:r w:rsidRPr="3382482B">
        <w:rPr>
          <w:rFonts w:eastAsia="Calibri"/>
        </w:rPr>
        <w:t>Act as to safety, and that they meet their claimed identity, strength, quality, and purity,</w:t>
      </w:r>
      <w:r w:rsidRPr="3382482B" w:rsidR="00203B0D">
        <w:rPr>
          <w:rFonts w:eastAsia="Calibri"/>
        </w:rPr>
        <w:t xml:space="preserve"> </w:t>
      </w:r>
      <w:r w:rsidRPr="3382482B">
        <w:rPr>
          <w:rFonts w:eastAsia="Calibri"/>
        </w:rPr>
        <w:t>as required by section 501(a)(2)(B) of the FD&amp;C Act. We would examine the records during a periodic inspection or during an investigation.</w:t>
      </w:r>
    </w:p>
    <w:p w:rsidR="000C5757" w:rsidRPr="00357C8A" w:rsidP="000C5757" w14:paraId="77EFD2BC" w14:textId="77777777">
      <w:pPr>
        <w:rPr>
          <w:rFonts w:eastAsia="Calibri"/>
          <w:color w:val="FF0000"/>
        </w:rPr>
      </w:pPr>
    </w:p>
    <w:p w:rsidR="00357C8A" w:rsidRPr="00357C8A" w:rsidP="006705EA" w14:paraId="4A57726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985F09" w:rsidRPr="00985F09" w:rsidP="00985F09" w14:paraId="4FE1A823" w14:textId="77777777">
      <w:pPr>
        <w:rPr>
          <w:rFonts w:eastAsia="Calibri"/>
        </w:rPr>
      </w:pPr>
      <w:r w:rsidRPr="00985F09">
        <w:rPr>
          <w:rFonts w:eastAsia="Calibri"/>
        </w:rPr>
        <w:t>The regulation does not specifically prescribe the use of automated, electronic, mechanical,</w:t>
      </w:r>
    </w:p>
    <w:p w:rsidR="00985F09" w:rsidRPr="00985F09" w:rsidP="00985F09" w14:paraId="1EFC1518" w14:textId="77777777">
      <w:pPr>
        <w:rPr>
          <w:rFonts w:eastAsia="Calibri"/>
        </w:rPr>
      </w:pPr>
      <w:r w:rsidRPr="00985F09">
        <w:rPr>
          <w:rFonts w:eastAsia="Calibri"/>
        </w:rPr>
        <w:t>or other technological techniques or other forms of information technology as necessary for</w:t>
      </w:r>
    </w:p>
    <w:p w:rsidR="00985F09" w:rsidRPr="00985F09" w:rsidP="00985F09" w14:paraId="47C1ED0B" w14:textId="77777777">
      <w:pPr>
        <w:rPr>
          <w:rFonts w:eastAsia="Calibri"/>
        </w:rPr>
      </w:pPr>
      <w:r w:rsidRPr="00985F09">
        <w:rPr>
          <w:rFonts w:eastAsia="Calibri"/>
        </w:rPr>
        <w:t>use by firms. Companies are free to use whatever forms of information technology may best</w:t>
      </w:r>
    </w:p>
    <w:p w:rsidR="00985F09" w:rsidRPr="00985F09" w:rsidP="00985F09" w14:paraId="75AFA917" w14:textId="77777777">
      <w:pPr>
        <w:rPr>
          <w:rFonts w:eastAsia="Calibri"/>
        </w:rPr>
      </w:pPr>
      <w:r w:rsidRPr="00985F09">
        <w:rPr>
          <w:rFonts w:eastAsia="Calibri"/>
        </w:rPr>
        <w:t>assist them in retaining the appropriate records and making them available to regulatory</w:t>
      </w:r>
    </w:p>
    <w:p w:rsidR="00985F09" w:rsidRPr="00985F09" w:rsidP="00985F09" w14:paraId="6EF6DF59" w14:textId="77777777">
      <w:pPr>
        <w:rPr>
          <w:rFonts w:eastAsia="Calibri"/>
        </w:rPr>
      </w:pPr>
      <w:r w:rsidRPr="00985F09">
        <w:rPr>
          <w:rFonts w:eastAsia="Calibri"/>
        </w:rPr>
        <w:t>officials. We estimate that about ninety percent (90%) of respondents will keep some of the</w:t>
      </w:r>
    </w:p>
    <w:p w:rsidR="00357C8A" w:rsidP="00985F09" w14:paraId="527C39FD" w14:textId="485019A7">
      <w:pPr>
        <w:rPr>
          <w:rFonts w:eastAsia="Calibri"/>
        </w:rPr>
      </w:pPr>
      <w:r w:rsidRPr="00985F09">
        <w:rPr>
          <w:rFonts w:eastAsia="Calibri"/>
        </w:rPr>
        <w:t>required records electronically in the next 3 years.</w:t>
      </w:r>
    </w:p>
    <w:p w:rsidR="00985F09" w:rsidRPr="00357C8A" w:rsidP="00985F09" w14:paraId="41AD7022" w14:textId="77777777">
      <w:pPr>
        <w:rPr>
          <w:rFonts w:eastAsia="Calibri"/>
          <w:color w:val="FF0000"/>
        </w:rPr>
      </w:pPr>
    </w:p>
    <w:p w:rsidR="00357C8A" w:rsidRPr="00357C8A" w:rsidP="006705EA" w14:paraId="02C97588"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985F09" w:rsidP="0053380B" w14:paraId="15965255" w14:textId="17712265">
      <w:pPr>
        <w:spacing w:after="200"/>
      </w:pPr>
      <w:r w:rsidRPr="005C71CA">
        <w:t>We are unaware of duplicative information collection.</w:t>
      </w:r>
    </w:p>
    <w:p w:rsidR="00357C8A" w:rsidRPr="00357C8A" w:rsidP="006705EA" w14:paraId="42E135A0"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40890CEC" w14:textId="1B0383E2">
      <w:pPr>
        <w:spacing w:after="200"/>
        <w:rPr>
          <w:rFonts w:eastAsia="Calibri"/>
        </w:rPr>
      </w:pPr>
      <w:r w:rsidRPr="3382482B">
        <w:rPr>
          <w:rFonts w:eastAsia="Calibri"/>
        </w:rPr>
        <w:t xml:space="preserve">The recordkeeping is no more burdensome for small businesses than for large. The requirements are the minimum requirements for CGMPs.  </w:t>
      </w:r>
      <w:r w:rsidRPr="3382482B" w:rsidR="19B6C30C">
        <w:rPr>
          <w:rFonts w:eastAsia="Calibri"/>
        </w:rPr>
        <w:t xml:space="preserve">FDA </w:t>
      </w:r>
      <w:r w:rsidRPr="3382482B">
        <w:rPr>
          <w:rFonts w:eastAsia="Calibri"/>
        </w:rPr>
        <w:t>aid</w:t>
      </w:r>
      <w:r w:rsidRPr="3382482B" w:rsidR="0AAF4131">
        <w:rPr>
          <w:rFonts w:eastAsia="Calibri"/>
        </w:rPr>
        <w:t>s</w:t>
      </w:r>
      <w:r w:rsidRPr="3382482B">
        <w:rPr>
          <w:rFonts w:eastAsia="Calibri"/>
        </w:rPr>
        <w:t xml:space="preserve"> small businesses in complying with our requirements through our Regional Small Business Representatives and through the scientific and administrative </w:t>
      </w:r>
      <w:r w:rsidRPr="3382482B">
        <w:rPr>
          <w:rFonts w:eastAsia="Calibri"/>
        </w:rPr>
        <w:t>staffs</w:t>
      </w:r>
      <w:r w:rsidRPr="3382482B">
        <w:rPr>
          <w:rFonts w:eastAsia="Calibri"/>
        </w:rPr>
        <w:t xml:space="preserve"> within the agency. We have provided a Small Business Guide on our website at </w:t>
      </w:r>
      <w:hyperlink r:id="rId7">
        <w:r w:rsidRPr="3382482B">
          <w:rPr>
            <w:rStyle w:val="Hyperlink"/>
            <w:rFonts w:eastAsia="Calibri"/>
          </w:rPr>
          <w:t>https://www.fda.gov/animal-veterinary/resources-you/cvm-small-business-assistance</w:t>
        </w:r>
      </w:hyperlink>
      <w:r w:rsidRPr="3382482B">
        <w:rPr>
          <w:rFonts w:eastAsia="Calibri"/>
        </w:rPr>
        <w:t>.</w:t>
      </w:r>
    </w:p>
    <w:p w:rsidR="00357C8A" w:rsidRPr="00357C8A" w:rsidP="006705EA" w14:paraId="64C18DE0"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188A829B" w14:textId="73C431C1">
      <w:pPr>
        <w:spacing w:after="200"/>
        <w:rPr>
          <w:rFonts w:eastAsia="Calibri"/>
          <w:color w:val="FF0000"/>
        </w:rPr>
      </w:pPr>
      <w:r w:rsidRPr="3382482B">
        <w:rPr>
          <w:rFonts w:eastAsia="Calibri"/>
        </w:rPr>
        <w:t>Under a CGMP system, manufacturer</w:t>
      </w:r>
      <w:r w:rsidRPr="3382482B" w:rsidR="60EAA148">
        <w:rPr>
          <w:rFonts w:eastAsia="Calibri"/>
        </w:rPr>
        <w:t>s</w:t>
      </w:r>
      <w:r w:rsidRPr="3382482B">
        <w:rPr>
          <w:rFonts w:eastAsia="Calibri"/>
        </w:rPr>
        <w:t xml:space="preserve"> and processor</w:t>
      </w:r>
      <w:r w:rsidRPr="3382482B" w:rsidR="3510DA6D">
        <w:rPr>
          <w:rFonts w:eastAsia="Calibri"/>
        </w:rPr>
        <w:t>s</w:t>
      </w:r>
      <w:r w:rsidRPr="3382482B">
        <w:rPr>
          <w:rFonts w:eastAsia="Calibri"/>
        </w:rPr>
        <w:t xml:space="preserve"> </w:t>
      </w:r>
      <w:r w:rsidRPr="3382482B" w:rsidR="1167D944">
        <w:rPr>
          <w:rFonts w:eastAsia="Calibri"/>
        </w:rPr>
        <w:t>collect data</w:t>
      </w:r>
      <w:r w:rsidRPr="3382482B">
        <w:rPr>
          <w:rFonts w:eastAsia="Calibri"/>
        </w:rPr>
        <w:t xml:space="preserve"> periodically during manufacturing operations, </w:t>
      </w:r>
      <w:r w:rsidRPr="3382482B" w:rsidR="17D7FE69">
        <w:rPr>
          <w:rFonts w:eastAsia="Calibri"/>
        </w:rPr>
        <w:t>however</w:t>
      </w:r>
      <w:r w:rsidR="00455802">
        <w:rPr>
          <w:rFonts w:eastAsia="Calibri"/>
        </w:rPr>
        <w:t xml:space="preserve"> </w:t>
      </w:r>
      <w:r w:rsidRPr="3382482B" w:rsidR="469B14A9">
        <w:rPr>
          <w:rFonts w:eastAsia="Calibri"/>
        </w:rPr>
        <w:t xml:space="preserve">the </w:t>
      </w:r>
      <w:r w:rsidRPr="3382482B">
        <w:rPr>
          <w:rFonts w:eastAsia="Calibri"/>
        </w:rPr>
        <w:t>frequency var</w:t>
      </w:r>
      <w:r w:rsidRPr="3382482B" w:rsidR="631C02A8">
        <w:rPr>
          <w:rFonts w:eastAsia="Calibri"/>
        </w:rPr>
        <w:t>ies</w:t>
      </w:r>
      <w:r w:rsidRPr="3382482B">
        <w:rPr>
          <w:rFonts w:eastAsia="Calibri"/>
        </w:rPr>
        <w:t xml:space="preserve"> considerably </w:t>
      </w:r>
      <w:r w:rsidRPr="3382482B" w:rsidR="21A18EBC">
        <w:rPr>
          <w:rFonts w:eastAsia="Calibri"/>
        </w:rPr>
        <w:t xml:space="preserve">across </w:t>
      </w:r>
      <w:r w:rsidRPr="3382482B">
        <w:rPr>
          <w:rFonts w:eastAsia="Calibri"/>
        </w:rPr>
        <w:t>different manufacturers and medicated feed products</w:t>
      </w:r>
      <w:r w:rsidRPr="3382482B" w:rsidR="7B23DF24">
        <w:rPr>
          <w:rFonts w:eastAsia="Calibri"/>
        </w:rPr>
        <w:t xml:space="preserve"> and Type A medicated </w:t>
      </w:r>
      <w:r w:rsidRPr="3382482B">
        <w:rPr>
          <w:rFonts w:eastAsia="Calibri"/>
        </w:rPr>
        <w:t xml:space="preserve">articles. </w:t>
      </w:r>
      <w:r w:rsidRPr="3382482B" w:rsidR="1039DD59">
        <w:rPr>
          <w:rFonts w:eastAsia="Calibri"/>
        </w:rPr>
        <w:t xml:space="preserve">Reducing the </w:t>
      </w:r>
      <w:r w:rsidRPr="3382482B">
        <w:rPr>
          <w:rFonts w:eastAsia="Calibri"/>
        </w:rPr>
        <w:t>frequen</w:t>
      </w:r>
      <w:r w:rsidRPr="3382482B" w:rsidR="0EA7414D">
        <w:rPr>
          <w:rFonts w:eastAsia="Calibri"/>
        </w:rPr>
        <w:t>cy</w:t>
      </w:r>
      <w:r w:rsidRPr="3382482B">
        <w:rPr>
          <w:rFonts w:eastAsia="Calibri"/>
        </w:rPr>
        <w:t xml:space="preserve"> </w:t>
      </w:r>
      <w:r w:rsidRPr="3382482B" w:rsidR="737002A7">
        <w:rPr>
          <w:rFonts w:eastAsia="Calibri"/>
        </w:rPr>
        <w:t xml:space="preserve">of </w:t>
      </w:r>
      <w:r w:rsidRPr="3382482B">
        <w:rPr>
          <w:rFonts w:eastAsia="Calibri"/>
        </w:rPr>
        <w:t xml:space="preserve">recordkeeping would reduce or nullify the effectiveness of the regulation </w:t>
      </w:r>
      <w:r w:rsidRPr="3382482B" w:rsidR="175EB53D">
        <w:rPr>
          <w:rFonts w:eastAsia="Calibri"/>
        </w:rPr>
        <w:t>in</w:t>
      </w:r>
      <w:r w:rsidR="00455802">
        <w:rPr>
          <w:rFonts w:eastAsia="Calibri"/>
        </w:rPr>
        <w:t xml:space="preserve"> </w:t>
      </w:r>
      <w:r w:rsidRPr="3382482B">
        <w:rPr>
          <w:rFonts w:eastAsia="Calibri"/>
        </w:rPr>
        <w:t>provid</w:t>
      </w:r>
      <w:r w:rsidRPr="3382482B" w:rsidR="3100B5E1">
        <w:rPr>
          <w:rFonts w:eastAsia="Calibri"/>
        </w:rPr>
        <w:t>ing</w:t>
      </w:r>
      <w:r w:rsidRPr="3382482B">
        <w:rPr>
          <w:rFonts w:eastAsia="Calibri"/>
        </w:rPr>
        <w:t xml:space="preserve"> assurance</w:t>
      </w:r>
      <w:r w:rsidRPr="3382482B" w:rsidR="3D6226B9">
        <w:rPr>
          <w:rFonts w:eastAsia="Calibri"/>
        </w:rPr>
        <w:t>s</w:t>
      </w:r>
      <w:r w:rsidRPr="3382482B">
        <w:rPr>
          <w:rFonts w:eastAsia="Calibri"/>
        </w:rPr>
        <w:t xml:space="preserve"> </w:t>
      </w:r>
      <w:r w:rsidRPr="3382482B" w:rsidR="448019C8">
        <w:rPr>
          <w:rFonts w:eastAsia="Calibri"/>
        </w:rPr>
        <w:t>-</w:t>
      </w:r>
      <w:r w:rsidRPr="3382482B">
        <w:rPr>
          <w:rFonts w:eastAsia="Calibri"/>
        </w:rPr>
        <w:t xml:space="preserve"> both t</w:t>
      </w:r>
      <w:r w:rsidRPr="3382482B" w:rsidR="3199A100">
        <w:rPr>
          <w:rFonts w:eastAsia="Calibri"/>
        </w:rPr>
        <w:t>o</w:t>
      </w:r>
      <w:r w:rsidRPr="3382482B">
        <w:rPr>
          <w:rFonts w:eastAsia="Calibri"/>
        </w:rPr>
        <w:t xml:space="preserve"> manufacturers </w:t>
      </w:r>
      <w:r w:rsidRPr="3382482B" w:rsidR="3FB2FFB3">
        <w:rPr>
          <w:rFonts w:eastAsia="Calibri"/>
        </w:rPr>
        <w:t>and to</w:t>
      </w:r>
      <w:r w:rsidRPr="3382482B">
        <w:rPr>
          <w:rFonts w:eastAsia="Calibri"/>
        </w:rPr>
        <w:t xml:space="preserve"> FDA </w:t>
      </w:r>
      <w:r w:rsidRPr="3382482B" w:rsidR="2413097B">
        <w:rPr>
          <w:rFonts w:eastAsia="Calibri"/>
        </w:rPr>
        <w:t xml:space="preserve">- </w:t>
      </w:r>
      <w:r w:rsidRPr="3382482B">
        <w:rPr>
          <w:rFonts w:eastAsia="Calibri"/>
        </w:rPr>
        <w:t xml:space="preserve">that medicated feed and Type A medicated article meet standards for safety and meet the claimed identity, strength, quality, and purity </w:t>
      </w:r>
      <w:r w:rsidRPr="3382482B" w:rsidR="10CDEC1E">
        <w:rPr>
          <w:rFonts w:eastAsia="Calibri"/>
        </w:rPr>
        <w:t>requirements</w:t>
      </w:r>
      <w:r w:rsidRPr="3382482B">
        <w:rPr>
          <w:rFonts w:eastAsia="Calibri"/>
        </w:rPr>
        <w:t xml:space="preserve">. </w:t>
      </w:r>
      <w:r w:rsidRPr="3382482B" w:rsidR="6B0A53D8">
        <w:rPr>
          <w:rFonts w:eastAsia="Calibri"/>
        </w:rPr>
        <w:t>FDA</w:t>
      </w:r>
      <w:r w:rsidRPr="3382482B">
        <w:rPr>
          <w:rFonts w:eastAsia="Calibri"/>
        </w:rPr>
        <w:t xml:space="preserve"> do</w:t>
      </w:r>
      <w:r w:rsidRPr="3382482B" w:rsidR="149D71BE">
        <w:rPr>
          <w:rFonts w:eastAsia="Calibri"/>
        </w:rPr>
        <w:t>es</w:t>
      </w:r>
      <w:r w:rsidRPr="3382482B">
        <w:rPr>
          <w:rFonts w:eastAsia="Calibri"/>
        </w:rPr>
        <w:t xml:space="preserve"> not collect CGMP records as a routine matter. R</w:t>
      </w:r>
      <w:r w:rsidRPr="3382482B" w:rsidR="34BC9EC4">
        <w:rPr>
          <w:rFonts w:eastAsia="Calibri"/>
        </w:rPr>
        <w:t>ather, r</w:t>
      </w:r>
      <w:r w:rsidRPr="3382482B">
        <w:rPr>
          <w:rFonts w:eastAsia="Calibri"/>
        </w:rPr>
        <w:t xml:space="preserve">ecords </w:t>
      </w:r>
      <w:r w:rsidRPr="3382482B" w:rsidR="5B5292E0">
        <w:rPr>
          <w:rFonts w:eastAsia="Calibri"/>
        </w:rPr>
        <w:t xml:space="preserve">are maintained </w:t>
      </w:r>
      <w:r w:rsidRPr="3382482B">
        <w:rPr>
          <w:rFonts w:eastAsia="Calibri"/>
        </w:rPr>
        <w:t>on file at each facility</w:t>
      </w:r>
      <w:r w:rsidR="00455802">
        <w:rPr>
          <w:rFonts w:eastAsia="Calibri"/>
        </w:rPr>
        <w:t xml:space="preserve"> </w:t>
      </w:r>
      <w:r w:rsidRPr="3382482B" w:rsidR="04E1E3FA">
        <w:rPr>
          <w:rFonts w:eastAsia="Calibri"/>
        </w:rPr>
        <w:t xml:space="preserve">and are reviewed by FDA </w:t>
      </w:r>
      <w:r w:rsidRPr="3382482B">
        <w:rPr>
          <w:rFonts w:eastAsia="Calibri"/>
        </w:rPr>
        <w:t>during periodic inspection</w:t>
      </w:r>
      <w:r w:rsidRPr="3382482B" w:rsidR="6AA9376E">
        <w:rPr>
          <w:rFonts w:eastAsia="Calibri"/>
        </w:rPr>
        <w:t>s</w:t>
      </w:r>
      <w:r w:rsidRPr="3382482B">
        <w:rPr>
          <w:rFonts w:eastAsia="Calibri"/>
        </w:rPr>
        <w:t xml:space="preserve"> or during an investigation.</w:t>
      </w:r>
    </w:p>
    <w:p w:rsidR="00357C8A" w:rsidRPr="00357C8A" w:rsidP="006705EA" w14:paraId="14C1262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080F29" w:rsidP="0022425B" w14:paraId="50E0DE89" w14:textId="53FAC20B">
      <w:pPr>
        <w:spacing w:after="200"/>
        <w:rPr>
          <w:rFonts w:eastAsia="Calibri"/>
        </w:rPr>
      </w:pPr>
      <w:r w:rsidRPr="00080F29">
        <w:rPr>
          <w:rFonts w:eastAsia="Calibri"/>
        </w:rPr>
        <w:t>There are no special circumstances associated with this collection of information.</w:t>
      </w:r>
    </w:p>
    <w:p w:rsidR="00357C8A" w:rsidRPr="00357C8A" w:rsidP="006705EA" w14:paraId="5DC6151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FC596B" w:rsidRPr="005F30C2" w:rsidP="00E73F5C" w14:paraId="184B8BAD" w14:textId="52AF9E5B">
      <w:pPr>
        <w:contextualSpacing/>
      </w:pPr>
      <w:r w:rsidRPr="3382482B">
        <w:rPr>
          <w:rFonts w:eastAsia="Calibri"/>
        </w:rPr>
        <w:t xml:space="preserve">FDA published a 60-day notice for public comment in the </w:t>
      </w:r>
      <w:r w:rsidRPr="3382482B">
        <w:rPr>
          <w:rFonts w:eastAsia="Calibri"/>
          <w:i/>
          <w:iCs/>
        </w:rPr>
        <w:t>Federal Register</w:t>
      </w:r>
      <w:r w:rsidRPr="3382482B">
        <w:rPr>
          <w:rFonts w:eastAsia="Calibri"/>
        </w:rPr>
        <w:t xml:space="preserve"> of</w:t>
      </w:r>
      <w:r w:rsidRPr="3382482B" w:rsidR="00F345B6">
        <w:rPr>
          <w:rFonts w:eastAsia="Calibri"/>
        </w:rPr>
        <w:t xml:space="preserve"> February 25, 2026</w:t>
      </w:r>
      <w:r w:rsidRPr="3382482B" w:rsidR="009009E7">
        <w:rPr>
          <w:rFonts w:eastAsia="Calibri"/>
        </w:rPr>
        <w:t xml:space="preserve"> (</w:t>
      </w:r>
      <w:r w:rsidRPr="3382482B" w:rsidR="00F345B6">
        <w:rPr>
          <w:rFonts w:eastAsia="Calibri"/>
        </w:rPr>
        <w:t xml:space="preserve">91 </w:t>
      </w:r>
      <w:r w:rsidRPr="3382482B" w:rsidR="009009E7">
        <w:rPr>
          <w:rFonts w:eastAsia="Calibri"/>
        </w:rPr>
        <w:t>FR</w:t>
      </w:r>
      <w:r w:rsidRPr="3382482B" w:rsidR="00F345B6">
        <w:rPr>
          <w:rFonts w:eastAsia="Calibri"/>
        </w:rPr>
        <w:t xml:space="preserve"> 9285</w:t>
      </w:r>
      <w:r w:rsidRPr="3382482B" w:rsidR="009009E7">
        <w:rPr>
          <w:rFonts w:eastAsia="Calibri"/>
        </w:rPr>
        <w:t>)</w:t>
      </w:r>
      <w:r w:rsidRPr="3382482B" w:rsidR="00F345B6">
        <w:rPr>
          <w:rFonts w:eastAsia="Calibri"/>
        </w:rPr>
        <w:t>.</w:t>
      </w:r>
      <w:r w:rsidRPr="3382482B">
        <w:rPr>
          <w:rFonts w:eastAsia="Calibri"/>
        </w:rPr>
        <w:t xml:space="preserve">  </w:t>
      </w:r>
      <w:r>
        <w:t xml:space="preserve">One comment was received.  While the comment did not address the collection of information topics solicited, it did point out an error in the definition of a Type A medicated </w:t>
      </w:r>
      <w:r w:rsidR="0635C20F">
        <w:t>a</w:t>
      </w:r>
      <w:r>
        <w:t>rticle.</w:t>
      </w:r>
    </w:p>
    <w:p w:rsidR="008B793D" w:rsidP="008B793D" w14:paraId="77339797" w14:textId="77777777">
      <w:pPr>
        <w:contextualSpacing/>
      </w:pPr>
    </w:p>
    <w:p w:rsidR="16ABD43B" w:rsidP="00E73F5C" w14:paraId="01E12E85" w14:textId="7E628A3F">
      <w:pPr>
        <w:contextualSpacing/>
      </w:pPr>
      <w:r>
        <w:t>The commenter is correct, and we have updated the definition in th</w:t>
      </w:r>
      <w:r w:rsidR="002A1B01">
        <w:t xml:space="preserve">e </w:t>
      </w:r>
      <w:r w:rsidR="008B793D">
        <w:t>30 Day</w:t>
      </w:r>
      <w:r>
        <w:t xml:space="preserve"> notice</w:t>
      </w:r>
      <w:r w:rsidR="008B793D">
        <w:t xml:space="preserve"> and this Supporting Statement</w:t>
      </w:r>
      <w:r>
        <w:t xml:space="preserve"> </w:t>
      </w:r>
      <w:r w:rsidR="6D427968">
        <w:t>to</w:t>
      </w:r>
      <w:r w:rsidR="6C697844">
        <w:t xml:space="preserve"> align</w:t>
      </w:r>
      <w:r w:rsidR="6D427968">
        <w:t xml:space="preserve"> with the </w:t>
      </w:r>
      <w:r w:rsidR="37E37245">
        <w:t>definition</w:t>
      </w:r>
      <w:r w:rsidR="6D427968">
        <w:t xml:space="preserve"> of </w:t>
      </w:r>
      <w:r w:rsidR="07ED41D4">
        <w:t xml:space="preserve">a </w:t>
      </w:r>
      <w:r w:rsidR="6D427968">
        <w:t>Type A medicated article in 21 CFR 558.3(b)(</w:t>
      </w:r>
      <w:r w:rsidR="77E6BBBF">
        <w:t>2)</w:t>
      </w:r>
      <w:r w:rsidR="41920D21">
        <w:t>.</w:t>
      </w:r>
      <w:r>
        <w:t xml:space="preserve"> </w:t>
      </w:r>
    </w:p>
    <w:p w:rsidR="00792947" w:rsidRPr="00357C8A" w:rsidP="00357C8A" w14:paraId="4839A625" w14:textId="44CD226C">
      <w:pPr>
        <w:spacing w:after="200"/>
        <w:rPr>
          <w:rFonts w:eastAsia="Calibri"/>
        </w:rPr>
      </w:pPr>
    </w:p>
    <w:p w:rsidR="00357C8A" w:rsidRPr="00357C8A" w:rsidP="006705EA" w14:paraId="4B369B96"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08FBA249" w14:textId="4674C0E6">
      <w:pPr>
        <w:spacing w:after="200"/>
        <w:rPr>
          <w:rFonts w:eastAsia="Calibri"/>
          <w:i/>
        </w:rPr>
      </w:pPr>
      <w:r w:rsidRPr="002074FE">
        <w:rPr>
          <w:rFonts w:eastAsia="Calibri"/>
        </w:rPr>
        <w:t>There are no incentives, payments or gifts associated with this information collection.</w:t>
      </w:r>
    </w:p>
    <w:p w:rsidR="00357C8A" w:rsidRPr="00357C8A" w:rsidP="006705EA" w14:paraId="288EC12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F345B6" w:rsidP="00F345B6" w14:paraId="2C20552C" w14:textId="77777777">
      <w:pPr>
        <w:rPr>
          <w:i/>
          <w:iCs/>
        </w:rPr>
      </w:pPr>
      <w:r w:rsidRPr="00935B76">
        <w:rPr>
          <w:i/>
          <w:iCs/>
        </w:rPr>
        <w:t>The Privacy Act of 1974 (5 U.S.C. 552a)</w:t>
      </w:r>
    </w:p>
    <w:p w:rsidR="00F345B6" w:rsidRPr="00935B76" w:rsidP="00F345B6" w14:paraId="6F70385F" w14:textId="77777777">
      <w:pPr>
        <w:rPr>
          <w:i/>
          <w:iCs/>
        </w:rPr>
      </w:pPr>
    </w:p>
    <w:p w:rsidR="00F345B6" w:rsidRPr="002E0341" w:rsidP="00F345B6" w14:paraId="3F2F87FA" w14:textId="77777777">
      <w:pPr>
        <w:spacing w:after="200"/>
        <w:rPr>
          <w:rFonts w:eastAsia="Calibri"/>
        </w:rPr>
      </w:pPr>
      <w:r w:rsidRPr="002E0341">
        <w:rPr>
          <w:rFonts w:eastAsia="Calibri"/>
        </w:rPr>
        <w:t>In preparing this Supporting Statement, we consulted our Privacy Office to ensure appropriate identification and handling of information collected.</w:t>
      </w:r>
      <w:r>
        <w:rPr>
          <w:rFonts w:eastAsia="Calibri"/>
        </w:rPr>
        <w:t xml:space="preserve"> </w:t>
      </w:r>
      <w:r w:rsidRPr="002E0341">
        <w:rPr>
          <w:rFonts w:eastAsia="Calibri"/>
        </w:rPr>
        <w:t>This ICR collects personally identifiable information (PII)</w:t>
      </w:r>
      <w:r>
        <w:rPr>
          <w:rFonts w:eastAsia="Calibri"/>
        </w:rPr>
        <w:t xml:space="preserve"> </w:t>
      </w:r>
      <w:r w:rsidRPr="002E0341">
        <w:rPr>
          <w:rFonts w:eastAsia="Calibri"/>
        </w:rPr>
        <w:t xml:space="preserve">in the context of the subject individuals’ professional capacity and the FDA-related work they perform for their employer (e.g., point of contact at a regulated entity).  The PII submitted is name, address, email address, phone number, and fax number. Information collected </w:t>
      </w:r>
      <w:r w:rsidRPr="002E0341">
        <w:rPr>
          <w:rFonts w:eastAsia="Calibri"/>
        </w:rPr>
        <w:t>is maintained in a Privacy Act system of records as described in HHS/FDA System of Records Notice (SORN) 09-10-0002 for Regulated Industry Employee Enforcement Records. Through appropriate instruction, FDA limited submission fields and minimized the PII collected to protect the privacy of the individuals.</w:t>
      </w:r>
    </w:p>
    <w:p w:rsidR="00F345B6" w:rsidRPr="002E0341" w:rsidP="00F345B6" w14:paraId="1D805837" w14:textId="77777777">
      <w:pPr>
        <w:spacing w:after="200"/>
        <w:rPr>
          <w:rFonts w:eastAsia="Calibri"/>
        </w:rPr>
      </w:pPr>
      <w:r w:rsidRPr="002E0341">
        <w:rPr>
          <w:rFonts w:eastAsia="Calibri"/>
          <w:i/>
          <w:iCs/>
        </w:rPr>
        <w:t>The Freedom of Information Act (FOIA)</w:t>
      </w:r>
    </w:p>
    <w:p w:rsidR="00F345B6" w:rsidP="00F345B6" w14:paraId="5FC4FA04" w14:textId="77777777">
      <w:pPr>
        <w:spacing w:after="200"/>
        <w:rPr>
          <w:rFonts w:eastAsia="Calibri"/>
        </w:rPr>
      </w:pPr>
      <w:r w:rsidRPr="002E0341">
        <w:rPr>
          <w:rFonts w:eastAsia="Calibri"/>
        </w:rPr>
        <w:t>Under the Freedom of Information Act (FOIA) (5 U.S.C. 552), the public has broad access to government documents. However, FOIA provides certain exemptions from mandatory public disclosure of government records (5 U.S.C. 552(b</w:t>
      </w:r>
      <w:r w:rsidRPr="002E0341">
        <w:rPr>
          <w:rFonts w:eastAsia="Calibri"/>
        </w:rPr>
        <w:t>)(</w:t>
      </w:r>
      <w:r w:rsidRPr="002E0341">
        <w:rPr>
          <w:rFonts w:eastAsia="Calibri"/>
        </w:rPr>
        <w:t xml:space="preserve">1-9)).  FDA will make the fullest possible disclosure of records to the public, consistent with the rights of individuals to privacy, the property rights of persons in trade and confidential commercial or financial information. </w:t>
      </w:r>
    </w:p>
    <w:p w:rsidR="00357C8A" w:rsidRPr="00357C8A" w:rsidP="006705EA" w14:paraId="6AA05974"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080F29" w:rsidP="0022425B" w14:paraId="75595E85" w14:textId="4797131C">
      <w:pPr>
        <w:spacing w:after="200"/>
        <w:rPr>
          <w:rFonts w:eastAsia="Calibri"/>
          <w:iCs/>
        </w:rPr>
      </w:pPr>
      <w:r w:rsidRPr="00080F29">
        <w:rPr>
          <w:rFonts w:eastAsia="Calibri"/>
          <w:iCs/>
        </w:rPr>
        <w:t>The collection of information does not involve sensitive questions.</w:t>
      </w:r>
    </w:p>
    <w:p w:rsidR="00357C8A" w:rsidRPr="00357C8A" w:rsidP="006705EA" w14:paraId="008C199E"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1431A2" w:rsidP="001431A2" w14:paraId="3F9B0A2B" w14:textId="3AACDE05">
      <w:pPr>
        <w:spacing w:after="200"/>
        <w:ind w:left="360"/>
        <w:rPr>
          <w:rFonts w:eastAsia="Calibri"/>
          <w:i/>
        </w:rPr>
      </w:pPr>
      <w:r w:rsidRPr="005C71CA">
        <w:rPr>
          <w:rFonts w:eastAsia="Calibri"/>
        </w:rPr>
        <w:t>12a.  Annualized Hour Burden Estimate</w:t>
      </w:r>
      <w:bookmarkStart w:id="0" w:name="_Hlk220586077"/>
    </w:p>
    <w:p w:rsidR="00080F29" w:rsidRPr="00080F29" w:rsidP="001431A2" w14:paraId="21EF863F" w14:textId="37AE951B">
      <w:pPr>
        <w:ind w:left="360"/>
        <w:jc w:val="center"/>
        <w:rPr>
          <w:rFonts w:eastAsia="Calibri"/>
          <w:sz w:val="20"/>
          <w:szCs w:val="20"/>
          <w:vertAlign w:val="superscript"/>
        </w:rPr>
      </w:pPr>
      <w:r w:rsidRPr="00080F29">
        <w:rPr>
          <w:rFonts w:eastAsia="Calibri"/>
          <w:sz w:val="20"/>
          <w:szCs w:val="20"/>
        </w:rPr>
        <w:t>Table 1. – Estimated Annual Recordkeeping Burden (Registered Licensed Commercial Feed Mills)</w:t>
      </w:r>
    </w:p>
    <w:tbl>
      <w:tblPr>
        <w:tblW w:w="52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1"/>
        <w:gridCol w:w="1282"/>
        <w:gridCol w:w="1463"/>
        <w:gridCol w:w="1096"/>
        <w:gridCol w:w="1187"/>
        <w:gridCol w:w="912"/>
      </w:tblGrid>
      <w:tr w14:paraId="2DCFDD30" w14:textId="77777777" w:rsidTr="00080F29">
        <w:tblPrEx>
          <w:tblW w:w="52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2018" w:type="pct"/>
            <w:shd w:val="clear" w:color="auto" w:fill="auto"/>
          </w:tcPr>
          <w:p w:rsidR="00080F29" w:rsidRPr="00080F29" w:rsidP="0014715D" w14:paraId="7CFDE757" w14:textId="77777777">
            <w:pPr>
              <w:jc w:val="center"/>
              <w:rPr>
                <w:sz w:val="20"/>
                <w:szCs w:val="20"/>
              </w:rPr>
            </w:pPr>
            <w:r w:rsidRPr="00080F29">
              <w:rPr>
                <w:sz w:val="20"/>
                <w:szCs w:val="20"/>
              </w:rPr>
              <w:t xml:space="preserve">21 CFR Section, Activity </w:t>
            </w:r>
          </w:p>
        </w:tc>
        <w:tc>
          <w:tcPr>
            <w:tcW w:w="643" w:type="pct"/>
            <w:shd w:val="clear" w:color="auto" w:fill="auto"/>
          </w:tcPr>
          <w:p w:rsidR="00080F29" w:rsidRPr="00080F29" w:rsidP="0014715D" w14:paraId="33A0E73F" w14:textId="77777777">
            <w:pPr>
              <w:jc w:val="center"/>
              <w:rPr>
                <w:sz w:val="20"/>
                <w:szCs w:val="20"/>
              </w:rPr>
            </w:pPr>
            <w:r w:rsidRPr="00080F29">
              <w:rPr>
                <w:sz w:val="20"/>
                <w:szCs w:val="20"/>
              </w:rPr>
              <w:t>No. of Respondents</w:t>
            </w:r>
          </w:p>
        </w:tc>
        <w:tc>
          <w:tcPr>
            <w:tcW w:w="734" w:type="pct"/>
            <w:shd w:val="clear" w:color="auto" w:fill="auto"/>
          </w:tcPr>
          <w:p w:rsidR="00080F29" w:rsidRPr="00080F29" w:rsidP="0014715D" w14:paraId="3ED4326E" w14:textId="77777777">
            <w:pPr>
              <w:jc w:val="center"/>
              <w:rPr>
                <w:sz w:val="20"/>
                <w:szCs w:val="20"/>
              </w:rPr>
            </w:pPr>
            <w:r w:rsidRPr="00080F29">
              <w:rPr>
                <w:bCs/>
                <w:sz w:val="20"/>
                <w:szCs w:val="20"/>
              </w:rPr>
              <w:t>No. of Responses per Respondent</w:t>
            </w:r>
          </w:p>
        </w:tc>
        <w:tc>
          <w:tcPr>
            <w:tcW w:w="550" w:type="pct"/>
            <w:shd w:val="clear" w:color="auto" w:fill="auto"/>
          </w:tcPr>
          <w:p w:rsidR="00080F29" w:rsidRPr="00080F29" w:rsidP="0014715D" w14:paraId="6D9F77EE" w14:textId="77777777">
            <w:pPr>
              <w:jc w:val="center"/>
              <w:rPr>
                <w:sz w:val="20"/>
                <w:szCs w:val="20"/>
              </w:rPr>
            </w:pPr>
            <w:r w:rsidRPr="00080F29">
              <w:rPr>
                <w:sz w:val="20"/>
                <w:szCs w:val="20"/>
              </w:rPr>
              <w:t>Total Annual Responses</w:t>
            </w:r>
          </w:p>
        </w:tc>
        <w:tc>
          <w:tcPr>
            <w:tcW w:w="596" w:type="pct"/>
            <w:shd w:val="clear" w:color="auto" w:fill="auto"/>
          </w:tcPr>
          <w:p w:rsidR="00080F29" w:rsidRPr="00080F29" w:rsidP="0014715D" w14:paraId="19C8DABA" w14:textId="77777777">
            <w:pPr>
              <w:jc w:val="center"/>
              <w:rPr>
                <w:sz w:val="20"/>
                <w:szCs w:val="20"/>
              </w:rPr>
            </w:pPr>
            <w:r w:rsidRPr="00080F29">
              <w:rPr>
                <w:bCs/>
                <w:sz w:val="20"/>
                <w:szCs w:val="20"/>
              </w:rPr>
              <w:t>Average Burden per Response</w:t>
            </w:r>
          </w:p>
        </w:tc>
        <w:tc>
          <w:tcPr>
            <w:tcW w:w="458" w:type="pct"/>
            <w:shd w:val="clear" w:color="auto" w:fill="auto"/>
          </w:tcPr>
          <w:p w:rsidR="00080F29" w:rsidRPr="00080F29" w:rsidP="0014715D" w14:paraId="497BCF63" w14:textId="00C520F7">
            <w:pPr>
              <w:jc w:val="center"/>
              <w:rPr>
                <w:sz w:val="20"/>
                <w:szCs w:val="20"/>
              </w:rPr>
            </w:pPr>
            <w:r w:rsidRPr="00080F29">
              <w:rPr>
                <w:sz w:val="20"/>
                <w:szCs w:val="20"/>
              </w:rPr>
              <w:t>Total Hours</w:t>
            </w:r>
          </w:p>
        </w:tc>
      </w:tr>
      <w:tr w14:paraId="2A63B113" w14:textId="77777777" w:rsidTr="00080F29">
        <w:tblPrEx>
          <w:tblW w:w="5246" w:type="pct"/>
          <w:tblInd w:w="-5" w:type="dxa"/>
          <w:tblLayout w:type="fixed"/>
          <w:tblLook w:val="01E0"/>
        </w:tblPrEx>
        <w:trPr>
          <w:cantSplit/>
          <w:trHeight w:val="20"/>
        </w:trPr>
        <w:tc>
          <w:tcPr>
            <w:tcW w:w="2018" w:type="pct"/>
            <w:shd w:val="clear" w:color="auto" w:fill="auto"/>
          </w:tcPr>
          <w:p w:rsidR="00080F29" w:rsidRPr="00080F29" w:rsidP="0014715D" w14:paraId="1A653436" w14:textId="77777777">
            <w:pPr>
              <w:rPr>
                <w:sz w:val="20"/>
                <w:szCs w:val="20"/>
              </w:rPr>
            </w:pPr>
            <w:r w:rsidRPr="00080F29">
              <w:rPr>
                <w:sz w:val="20"/>
                <w:szCs w:val="20"/>
              </w:rPr>
              <w:t>225.42, 225.58, 225.80, 225.102, 225.110, and 225.115; Recordkeeping and maintenance of records for components used in the manufacture of the medicated feeds and premixes, laboratory controls, packaging and labeling, master formula and batch-production, distribution records and complaint files.</w:t>
            </w:r>
          </w:p>
        </w:tc>
        <w:tc>
          <w:tcPr>
            <w:tcW w:w="643" w:type="pct"/>
            <w:shd w:val="clear" w:color="auto" w:fill="auto"/>
          </w:tcPr>
          <w:p w:rsidR="00080F29" w:rsidRPr="00080F29" w:rsidP="0014715D" w14:paraId="3790B0D1" w14:textId="77777777">
            <w:pPr>
              <w:jc w:val="center"/>
              <w:rPr>
                <w:sz w:val="20"/>
                <w:szCs w:val="20"/>
              </w:rPr>
            </w:pPr>
            <w:r w:rsidRPr="00080F29">
              <w:rPr>
                <w:sz w:val="20"/>
                <w:szCs w:val="20"/>
              </w:rPr>
              <w:t>768</w:t>
            </w:r>
          </w:p>
        </w:tc>
        <w:tc>
          <w:tcPr>
            <w:tcW w:w="734" w:type="pct"/>
            <w:shd w:val="clear" w:color="auto" w:fill="auto"/>
          </w:tcPr>
          <w:p w:rsidR="00080F29" w:rsidRPr="00080F29" w:rsidP="0014715D" w14:paraId="44DC1A6B" w14:textId="77777777">
            <w:pPr>
              <w:jc w:val="center"/>
              <w:rPr>
                <w:sz w:val="20"/>
                <w:szCs w:val="20"/>
              </w:rPr>
            </w:pPr>
            <w:r w:rsidRPr="00080F29">
              <w:rPr>
                <w:sz w:val="20"/>
                <w:szCs w:val="20"/>
              </w:rPr>
              <w:t>2919</w:t>
            </w:r>
          </w:p>
        </w:tc>
        <w:tc>
          <w:tcPr>
            <w:tcW w:w="550" w:type="pct"/>
            <w:shd w:val="clear" w:color="auto" w:fill="auto"/>
          </w:tcPr>
          <w:p w:rsidR="00080F29" w:rsidRPr="00080F29" w:rsidP="0014715D" w14:paraId="4AEE4234" w14:textId="77777777">
            <w:pPr>
              <w:jc w:val="right"/>
              <w:rPr>
                <w:sz w:val="20"/>
                <w:szCs w:val="20"/>
              </w:rPr>
            </w:pPr>
            <w:r w:rsidRPr="00080F29">
              <w:rPr>
                <w:sz w:val="20"/>
                <w:szCs w:val="20"/>
              </w:rPr>
              <w:t>2,241,792</w:t>
            </w:r>
          </w:p>
        </w:tc>
        <w:tc>
          <w:tcPr>
            <w:tcW w:w="596" w:type="pct"/>
            <w:tcBorders>
              <w:top w:val="single" w:sz="4" w:space="0" w:color="auto"/>
              <w:left w:val="single" w:sz="4" w:space="0" w:color="auto"/>
              <w:bottom w:val="single" w:sz="4" w:space="0" w:color="auto"/>
              <w:right w:val="single" w:sz="4" w:space="0" w:color="auto"/>
            </w:tcBorders>
          </w:tcPr>
          <w:p w:rsidR="00080F29" w:rsidRPr="00080F29" w:rsidP="0014715D" w14:paraId="316E9BBC" w14:textId="77777777">
            <w:pPr>
              <w:jc w:val="right"/>
              <w:rPr>
                <w:sz w:val="20"/>
                <w:szCs w:val="20"/>
              </w:rPr>
            </w:pPr>
            <w:r w:rsidRPr="00080F29">
              <w:rPr>
                <w:sz w:val="20"/>
                <w:szCs w:val="20"/>
              </w:rPr>
              <w:t xml:space="preserve">.305 (18.3 minutes) </w:t>
            </w:r>
          </w:p>
        </w:tc>
        <w:tc>
          <w:tcPr>
            <w:tcW w:w="458" w:type="pct"/>
            <w:tcBorders>
              <w:top w:val="single" w:sz="4" w:space="0" w:color="auto"/>
              <w:left w:val="single" w:sz="4" w:space="0" w:color="auto"/>
              <w:bottom w:val="single" w:sz="4" w:space="0" w:color="auto"/>
              <w:right w:val="single" w:sz="4" w:space="0" w:color="auto"/>
            </w:tcBorders>
          </w:tcPr>
          <w:p w:rsidR="00080F29" w:rsidRPr="00080F29" w:rsidP="0014715D" w14:paraId="7B5942C6" w14:textId="5F332F41">
            <w:pPr>
              <w:jc w:val="right"/>
              <w:rPr>
                <w:sz w:val="20"/>
                <w:szCs w:val="20"/>
              </w:rPr>
            </w:pPr>
            <w:r w:rsidRPr="00080F29">
              <w:rPr>
                <w:sz w:val="20"/>
                <w:szCs w:val="20"/>
              </w:rPr>
              <w:t>683,747</w:t>
            </w:r>
          </w:p>
        </w:tc>
      </w:tr>
    </w:tbl>
    <w:p w:rsidR="00080F29" w:rsidP="00080F29" w14:paraId="4D8CE537" w14:textId="6F10B76A">
      <w:pPr>
        <w:rPr>
          <w:sz w:val="20"/>
          <w:szCs w:val="20"/>
        </w:rPr>
      </w:pPr>
    </w:p>
    <w:p w:rsidR="00080F29" w:rsidRPr="00080F29" w:rsidP="00080F29" w14:paraId="59BC31C2" w14:textId="77777777">
      <w:pPr>
        <w:jc w:val="center"/>
        <w:rPr>
          <w:sz w:val="20"/>
          <w:szCs w:val="20"/>
        </w:rPr>
      </w:pPr>
    </w:p>
    <w:p w:rsidR="00080F29" w:rsidRPr="00080F29" w:rsidP="001431A2" w14:paraId="47894427" w14:textId="42809098">
      <w:pPr>
        <w:jc w:val="center"/>
        <w:rPr>
          <w:rFonts w:eastAsia="Calibri"/>
          <w:sz w:val="20"/>
          <w:szCs w:val="20"/>
          <w:vertAlign w:val="superscript"/>
        </w:rPr>
      </w:pPr>
      <w:r w:rsidRPr="00080F29">
        <w:rPr>
          <w:rFonts w:eastAsia="Calibri"/>
          <w:sz w:val="20"/>
          <w:szCs w:val="20"/>
        </w:rPr>
        <w:t xml:space="preserve">Table </w:t>
      </w:r>
      <w:r w:rsidR="00221601">
        <w:rPr>
          <w:rFonts w:eastAsia="Calibri"/>
          <w:sz w:val="20"/>
          <w:szCs w:val="20"/>
        </w:rPr>
        <w:t>2</w:t>
      </w:r>
      <w:r w:rsidRPr="00080F29">
        <w:rPr>
          <w:rFonts w:eastAsia="Calibri"/>
          <w:sz w:val="20"/>
          <w:szCs w:val="20"/>
        </w:rPr>
        <w:t>. – Estimated Annual Recordkeeping Burden (Nonregistered Non-licensed Commercial Feed Mills)</w:t>
      </w:r>
    </w:p>
    <w:tbl>
      <w:tblPr>
        <w:tblW w:w="528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06"/>
        <w:gridCol w:w="1461"/>
        <w:gridCol w:w="1372"/>
        <w:gridCol w:w="915"/>
        <w:gridCol w:w="1462"/>
        <w:gridCol w:w="913"/>
      </w:tblGrid>
      <w:tr w14:paraId="5FFABD82" w14:textId="77777777" w:rsidTr="0014715D">
        <w:tblPrEx>
          <w:tblW w:w="528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82"/>
        </w:trPr>
        <w:tc>
          <w:tcPr>
            <w:tcW w:w="1947" w:type="pct"/>
          </w:tcPr>
          <w:p w:rsidR="00080F29" w:rsidRPr="00080F29" w:rsidP="0014715D" w14:paraId="78087597" w14:textId="77777777">
            <w:pPr>
              <w:contextualSpacing/>
              <w:jc w:val="center"/>
              <w:rPr>
                <w:sz w:val="20"/>
                <w:szCs w:val="20"/>
              </w:rPr>
            </w:pPr>
            <w:bookmarkStart w:id="1" w:name="_Hlk219885312"/>
            <w:r w:rsidRPr="00080F29">
              <w:rPr>
                <w:sz w:val="20"/>
                <w:szCs w:val="20"/>
              </w:rPr>
              <w:t>21 CFR Section, Activity</w:t>
            </w:r>
          </w:p>
        </w:tc>
        <w:tc>
          <w:tcPr>
            <w:tcW w:w="728" w:type="pct"/>
          </w:tcPr>
          <w:p w:rsidR="00080F29" w:rsidRPr="00080F29" w:rsidP="0014715D" w14:paraId="7794117F" w14:textId="77777777">
            <w:pPr>
              <w:contextualSpacing/>
              <w:jc w:val="center"/>
              <w:rPr>
                <w:sz w:val="20"/>
                <w:szCs w:val="20"/>
              </w:rPr>
            </w:pPr>
            <w:r w:rsidRPr="00080F29">
              <w:rPr>
                <w:sz w:val="20"/>
                <w:szCs w:val="20"/>
              </w:rPr>
              <w:t>No. of Recordkeepers</w:t>
            </w:r>
          </w:p>
        </w:tc>
        <w:tc>
          <w:tcPr>
            <w:tcW w:w="684" w:type="pct"/>
          </w:tcPr>
          <w:p w:rsidR="00080F29" w:rsidRPr="00080F29" w:rsidP="0014715D" w14:paraId="067027DB" w14:textId="77777777">
            <w:pPr>
              <w:contextualSpacing/>
              <w:jc w:val="center"/>
              <w:rPr>
                <w:sz w:val="20"/>
                <w:szCs w:val="20"/>
              </w:rPr>
            </w:pPr>
            <w:r w:rsidRPr="00080F29">
              <w:rPr>
                <w:bCs/>
                <w:sz w:val="20"/>
                <w:szCs w:val="20"/>
              </w:rPr>
              <w:t>No. of Records per Recordkeeper</w:t>
            </w:r>
          </w:p>
        </w:tc>
        <w:tc>
          <w:tcPr>
            <w:tcW w:w="456" w:type="pct"/>
          </w:tcPr>
          <w:p w:rsidR="00080F29" w:rsidRPr="00080F29" w:rsidP="0014715D" w14:paraId="17B5B3A2" w14:textId="77777777">
            <w:pPr>
              <w:contextualSpacing/>
              <w:jc w:val="center"/>
              <w:rPr>
                <w:sz w:val="20"/>
                <w:szCs w:val="20"/>
              </w:rPr>
            </w:pPr>
            <w:r w:rsidRPr="00080F29">
              <w:rPr>
                <w:sz w:val="20"/>
                <w:szCs w:val="20"/>
              </w:rPr>
              <w:t>Total Annual Records</w:t>
            </w:r>
          </w:p>
        </w:tc>
        <w:tc>
          <w:tcPr>
            <w:tcW w:w="729" w:type="pct"/>
          </w:tcPr>
          <w:p w:rsidR="00080F29" w:rsidRPr="00080F29" w:rsidP="0014715D" w14:paraId="30B914BC" w14:textId="77777777">
            <w:pPr>
              <w:contextualSpacing/>
              <w:jc w:val="center"/>
              <w:rPr>
                <w:sz w:val="20"/>
                <w:szCs w:val="20"/>
              </w:rPr>
            </w:pPr>
            <w:r w:rsidRPr="00080F29">
              <w:rPr>
                <w:bCs/>
                <w:sz w:val="20"/>
                <w:szCs w:val="20"/>
              </w:rPr>
              <w:t>Average Burden per Recordkeeping</w:t>
            </w:r>
          </w:p>
        </w:tc>
        <w:tc>
          <w:tcPr>
            <w:tcW w:w="455" w:type="pct"/>
          </w:tcPr>
          <w:p w:rsidR="00080F29" w:rsidRPr="00080F29" w:rsidP="0014715D" w14:paraId="475D43B1" w14:textId="77777777">
            <w:pPr>
              <w:contextualSpacing/>
              <w:jc w:val="center"/>
              <w:rPr>
                <w:sz w:val="20"/>
                <w:szCs w:val="20"/>
              </w:rPr>
            </w:pPr>
            <w:r w:rsidRPr="00080F29">
              <w:rPr>
                <w:sz w:val="20"/>
                <w:szCs w:val="20"/>
              </w:rPr>
              <w:t>Total Hours</w:t>
            </w:r>
          </w:p>
        </w:tc>
      </w:tr>
      <w:tr w14:paraId="5A39B9F9" w14:textId="77777777" w:rsidTr="0014715D">
        <w:tblPrEx>
          <w:tblW w:w="5282" w:type="pct"/>
          <w:tblInd w:w="18" w:type="dxa"/>
          <w:tblLayout w:type="fixed"/>
          <w:tblLook w:val="01E0"/>
        </w:tblPrEx>
        <w:trPr>
          <w:cantSplit/>
          <w:trHeight w:val="1313"/>
        </w:trPr>
        <w:tc>
          <w:tcPr>
            <w:tcW w:w="1947" w:type="pct"/>
          </w:tcPr>
          <w:p w:rsidR="00080F29" w:rsidRPr="00080F29" w:rsidP="0014715D" w14:paraId="314506C2" w14:textId="78711576">
            <w:pPr>
              <w:autoSpaceDE w:val="0"/>
              <w:autoSpaceDN w:val="0"/>
              <w:adjustRightInd w:val="0"/>
              <w:contextualSpacing/>
              <w:rPr>
                <w:sz w:val="20"/>
                <w:szCs w:val="20"/>
              </w:rPr>
            </w:pPr>
            <w:r w:rsidRPr="00080F29">
              <w:rPr>
                <w:sz w:val="20"/>
                <w:szCs w:val="20"/>
              </w:rPr>
              <w:t>22</w:t>
            </w:r>
            <w:r w:rsidR="002940B8">
              <w:rPr>
                <w:sz w:val="20"/>
                <w:szCs w:val="20"/>
              </w:rPr>
              <w:t>5</w:t>
            </w:r>
            <w:r w:rsidRPr="00080F29">
              <w:rPr>
                <w:sz w:val="20"/>
                <w:szCs w:val="20"/>
              </w:rPr>
              <w:t>.142, 22</w:t>
            </w:r>
            <w:r w:rsidR="002940B8">
              <w:rPr>
                <w:sz w:val="20"/>
                <w:szCs w:val="20"/>
              </w:rPr>
              <w:t>5</w:t>
            </w:r>
            <w:r w:rsidRPr="00080F29">
              <w:rPr>
                <w:sz w:val="20"/>
                <w:szCs w:val="20"/>
              </w:rPr>
              <w:t>.158, 22</w:t>
            </w:r>
            <w:r w:rsidR="002940B8">
              <w:rPr>
                <w:sz w:val="20"/>
                <w:szCs w:val="20"/>
              </w:rPr>
              <w:t>5</w:t>
            </w:r>
            <w:r w:rsidRPr="00080F29">
              <w:rPr>
                <w:sz w:val="20"/>
                <w:szCs w:val="20"/>
              </w:rPr>
              <w:t>.180, and 22</w:t>
            </w:r>
            <w:r w:rsidR="002940B8">
              <w:rPr>
                <w:sz w:val="20"/>
                <w:szCs w:val="20"/>
              </w:rPr>
              <w:t>5</w:t>
            </w:r>
            <w:r w:rsidRPr="00080F29">
              <w:rPr>
                <w:sz w:val="20"/>
                <w:szCs w:val="20"/>
              </w:rPr>
              <w:t xml:space="preserve">.202; Recordkeeping and maintenance of records for components used in the manufacture of the medicated feeds and premixes, laboratory controls, packaging and labeling, production and distribution records </w:t>
            </w:r>
          </w:p>
        </w:tc>
        <w:tc>
          <w:tcPr>
            <w:tcW w:w="728" w:type="pct"/>
          </w:tcPr>
          <w:p w:rsidR="00080F29" w:rsidRPr="00080F29" w:rsidP="0014715D" w14:paraId="402114D9" w14:textId="25514DD3">
            <w:pPr>
              <w:contextualSpacing/>
              <w:jc w:val="center"/>
              <w:rPr>
                <w:sz w:val="20"/>
                <w:szCs w:val="20"/>
              </w:rPr>
            </w:pPr>
            <w:r>
              <w:rPr>
                <w:sz w:val="20"/>
                <w:szCs w:val="20"/>
              </w:rPr>
              <w:t>1658</w:t>
            </w:r>
          </w:p>
        </w:tc>
        <w:tc>
          <w:tcPr>
            <w:tcW w:w="684" w:type="pct"/>
          </w:tcPr>
          <w:p w:rsidR="00080F29" w:rsidRPr="00080F29" w:rsidP="0014715D" w14:paraId="5029908A" w14:textId="77777777">
            <w:pPr>
              <w:contextualSpacing/>
              <w:jc w:val="right"/>
              <w:rPr>
                <w:sz w:val="20"/>
                <w:szCs w:val="20"/>
              </w:rPr>
            </w:pPr>
            <w:r w:rsidRPr="00080F29">
              <w:rPr>
                <w:sz w:val="20"/>
                <w:szCs w:val="20"/>
              </w:rPr>
              <w:t>91</w:t>
            </w:r>
          </w:p>
        </w:tc>
        <w:tc>
          <w:tcPr>
            <w:tcW w:w="456" w:type="pct"/>
          </w:tcPr>
          <w:p w:rsidR="00080F29" w:rsidRPr="00080F29" w:rsidP="0014715D" w14:paraId="659AD173" w14:textId="3B23582B">
            <w:pPr>
              <w:contextualSpacing/>
              <w:jc w:val="right"/>
              <w:rPr>
                <w:sz w:val="20"/>
                <w:szCs w:val="20"/>
              </w:rPr>
            </w:pPr>
            <w:r>
              <w:rPr>
                <w:sz w:val="20"/>
                <w:szCs w:val="20"/>
              </w:rPr>
              <w:t>150</w:t>
            </w:r>
            <w:r w:rsidR="00E1111A">
              <w:rPr>
                <w:sz w:val="20"/>
                <w:szCs w:val="20"/>
              </w:rPr>
              <w:t>,</w:t>
            </w:r>
            <w:r>
              <w:rPr>
                <w:sz w:val="20"/>
                <w:szCs w:val="20"/>
              </w:rPr>
              <w:t>878</w:t>
            </w:r>
          </w:p>
        </w:tc>
        <w:tc>
          <w:tcPr>
            <w:tcW w:w="729" w:type="pct"/>
          </w:tcPr>
          <w:p w:rsidR="00080F29" w:rsidRPr="00080F29" w:rsidP="0014715D" w14:paraId="7F622860" w14:textId="77777777">
            <w:pPr>
              <w:contextualSpacing/>
              <w:jc w:val="right"/>
              <w:rPr>
                <w:sz w:val="20"/>
                <w:szCs w:val="20"/>
              </w:rPr>
            </w:pPr>
            <w:r w:rsidRPr="00080F29">
              <w:rPr>
                <w:sz w:val="20"/>
                <w:szCs w:val="20"/>
              </w:rPr>
              <w:t>1.44</w:t>
            </w:r>
          </w:p>
        </w:tc>
        <w:tc>
          <w:tcPr>
            <w:tcW w:w="455" w:type="pct"/>
          </w:tcPr>
          <w:p w:rsidR="00080F29" w:rsidRPr="00080F29" w:rsidP="0014715D" w14:paraId="73B3F7E3" w14:textId="55FA2C28">
            <w:pPr>
              <w:contextualSpacing/>
              <w:jc w:val="right"/>
              <w:rPr>
                <w:sz w:val="20"/>
                <w:szCs w:val="20"/>
              </w:rPr>
            </w:pPr>
            <w:r>
              <w:rPr>
                <w:sz w:val="20"/>
                <w:szCs w:val="20"/>
              </w:rPr>
              <w:t>217,265</w:t>
            </w:r>
            <w:r w:rsidRPr="00080F29">
              <w:rPr>
                <w:sz w:val="20"/>
                <w:szCs w:val="20"/>
              </w:rPr>
              <w:t xml:space="preserve"> </w:t>
            </w:r>
          </w:p>
        </w:tc>
      </w:tr>
      <w:bookmarkEnd w:id="1"/>
    </w:tbl>
    <w:p w:rsidR="00080F29" w:rsidP="00080F29" w14:paraId="6A5DB950" w14:textId="77777777">
      <w:pPr>
        <w:spacing w:line="192" w:lineRule="auto"/>
        <w:ind w:left="360"/>
        <w:jc w:val="center"/>
        <w:rPr>
          <w:sz w:val="20"/>
          <w:szCs w:val="20"/>
        </w:rPr>
      </w:pPr>
    </w:p>
    <w:p w:rsidR="00584195" w:rsidP="00080F29" w14:paraId="60276189" w14:textId="21B2EB12">
      <w:pPr>
        <w:spacing w:line="192" w:lineRule="auto"/>
        <w:ind w:left="360"/>
        <w:jc w:val="center"/>
        <w:rPr>
          <w:sz w:val="20"/>
          <w:szCs w:val="20"/>
        </w:rPr>
      </w:pPr>
      <w:r>
        <w:rPr>
          <w:sz w:val="20"/>
          <w:szCs w:val="20"/>
        </w:rPr>
        <w:t xml:space="preserve">Table </w:t>
      </w:r>
      <w:r w:rsidR="00221601">
        <w:rPr>
          <w:sz w:val="20"/>
          <w:szCs w:val="20"/>
        </w:rPr>
        <w:t>3</w:t>
      </w:r>
      <w:r>
        <w:rPr>
          <w:sz w:val="20"/>
          <w:szCs w:val="20"/>
        </w:rPr>
        <w:t>. – Estimated Annual Recordkeeping Burden (Nonregistered Non-licensed Mixer/Feeders)</w:t>
      </w:r>
    </w:p>
    <w:tbl>
      <w:tblPr>
        <w:tblW w:w="528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5"/>
        <w:gridCol w:w="1406"/>
        <w:gridCol w:w="1446"/>
        <w:gridCol w:w="1103"/>
        <w:gridCol w:w="1506"/>
        <w:gridCol w:w="963"/>
      </w:tblGrid>
      <w:tr w14:paraId="341E06A4" w14:textId="77777777" w:rsidTr="00A4313B">
        <w:tblPrEx>
          <w:tblW w:w="528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82"/>
        </w:trPr>
        <w:tc>
          <w:tcPr>
            <w:tcW w:w="1797" w:type="pct"/>
          </w:tcPr>
          <w:p w:rsidR="00584195" w:rsidRPr="00584195" w:rsidP="00584195" w14:paraId="6C12E9FE" w14:textId="77777777">
            <w:pPr>
              <w:spacing w:line="192" w:lineRule="auto"/>
              <w:ind w:left="360"/>
              <w:jc w:val="center"/>
              <w:rPr>
                <w:sz w:val="20"/>
                <w:szCs w:val="20"/>
              </w:rPr>
            </w:pPr>
            <w:r w:rsidRPr="00584195">
              <w:rPr>
                <w:sz w:val="20"/>
                <w:szCs w:val="20"/>
              </w:rPr>
              <w:t>21 CFR Section, Activity</w:t>
            </w:r>
          </w:p>
        </w:tc>
        <w:tc>
          <w:tcPr>
            <w:tcW w:w="701" w:type="pct"/>
          </w:tcPr>
          <w:p w:rsidR="00584195" w:rsidRPr="00584195" w:rsidP="00A4313B" w14:paraId="2CA7AF1C" w14:textId="77777777">
            <w:pPr>
              <w:spacing w:line="192" w:lineRule="auto"/>
              <w:jc w:val="center"/>
              <w:rPr>
                <w:sz w:val="20"/>
                <w:szCs w:val="20"/>
              </w:rPr>
            </w:pPr>
            <w:r w:rsidRPr="00584195">
              <w:rPr>
                <w:sz w:val="20"/>
                <w:szCs w:val="20"/>
              </w:rPr>
              <w:t>No. of Recordkeepers</w:t>
            </w:r>
          </w:p>
        </w:tc>
        <w:tc>
          <w:tcPr>
            <w:tcW w:w="721" w:type="pct"/>
          </w:tcPr>
          <w:p w:rsidR="00584195" w:rsidRPr="00584195" w:rsidP="00A4313B" w14:paraId="37F58623" w14:textId="77777777">
            <w:pPr>
              <w:spacing w:line="192" w:lineRule="auto"/>
              <w:jc w:val="center"/>
              <w:rPr>
                <w:sz w:val="20"/>
                <w:szCs w:val="20"/>
              </w:rPr>
            </w:pPr>
            <w:r w:rsidRPr="00584195">
              <w:rPr>
                <w:bCs/>
                <w:sz w:val="20"/>
                <w:szCs w:val="20"/>
              </w:rPr>
              <w:t>No. of Records per Recordkeeper</w:t>
            </w:r>
          </w:p>
        </w:tc>
        <w:tc>
          <w:tcPr>
            <w:tcW w:w="550" w:type="pct"/>
          </w:tcPr>
          <w:p w:rsidR="00584195" w:rsidRPr="00584195" w:rsidP="00A4313B" w14:paraId="6127B2B2" w14:textId="77777777">
            <w:pPr>
              <w:spacing w:line="192" w:lineRule="auto"/>
              <w:jc w:val="center"/>
              <w:rPr>
                <w:sz w:val="20"/>
                <w:szCs w:val="20"/>
              </w:rPr>
            </w:pPr>
            <w:r w:rsidRPr="00584195">
              <w:rPr>
                <w:sz w:val="20"/>
                <w:szCs w:val="20"/>
              </w:rPr>
              <w:t>Total Annual Records</w:t>
            </w:r>
          </w:p>
        </w:tc>
        <w:tc>
          <w:tcPr>
            <w:tcW w:w="751" w:type="pct"/>
          </w:tcPr>
          <w:p w:rsidR="00584195" w:rsidRPr="00584195" w:rsidP="00A4313B" w14:paraId="4AFF4987" w14:textId="77777777">
            <w:pPr>
              <w:spacing w:line="192" w:lineRule="auto"/>
              <w:jc w:val="center"/>
              <w:rPr>
                <w:sz w:val="20"/>
                <w:szCs w:val="20"/>
              </w:rPr>
            </w:pPr>
            <w:r w:rsidRPr="00584195">
              <w:rPr>
                <w:bCs/>
                <w:sz w:val="20"/>
                <w:szCs w:val="20"/>
              </w:rPr>
              <w:t>Average Burden per Recordkeeping</w:t>
            </w:r>
          </w:p>
        </w:tc>
        <w:tc>
          <w:tcPr>
            <w:tcW w:w="480" w:type="pct"/>
          </w:tcPr>
          <w:p w:rsidR="00584195" w:rsidRPr="00584195" w:rsidP="00A4313B" w14:paraId="3EB4AB57" w14:textId="77777777">
            <w:pPr>
              <w:spacing w:line="192" w:lineRule="auto"/>
              <w:jc w:val="center"/>
              <w:rPr>
                <w:sz w:val="20"/>
                <w:szCs w:val="20"/>
              </w:rPr>
            </w:pPr>
            <w:r w:rsidRPr="00584195">
              <w:rPr>
                <w:sz w:val="20"/>
                <w:szCs w:val="20"/>
              </w:rPr>
              <w:t>Total Hours</w:t>
            </w:r>
          </w:p>
        </w:tc>
      </w:tr>
      <w:tr w14:paraId="503639D2" w14:textId="77777777" w:rsidTr="00A4313B">
        <w:tblPrEx>
          <w:tblW w:w="5282" w:type="pct"/>
          <w:tblInd w:w="18" w:type="dxa"/>
          <w:tblLayout w:type="fixed"/>
          <w:tblLook w:val="01E0"/>
        </w:tblPrEx>
        <w:trPr>
          <w:cantSplit/>
          <w:trHeight w:val="1313"/>
        </w:trPr>
        <w:tc>
          <w:tcPr>
            <w:tcW w:w="1797" w:type="pct"/>
          </w:tcPr>
          <w:p w:rsidR="00584195" w:rsidRPr="00584195" w:rsidP="00A4313B" w14:paraId="7EF199D7" w14:textId="207FBBBE">
            <w:pPr>
              <w:spacing w:line="192" w:lineRule="auto"/>
              <w:rPr>
                <w:sz w:val="20"/>
                <w:szCs w:val="20"/>
              </w:rPr>
            </w:pPr>
            <w:r w:rsidRPr="00584195">
              <w:rPr>
                <w:sz w:val="20"/>
                <w:szCs w:val="20"/>
              </w:rPr>
              <w:t>22</w:t>
            </w:r>
            <w:r w:rsidR="002940B8">
              <w:rPr>
                <w:sz w:val="20"/>
                <w:szCs w:val="20"/>
              </w:rPr>
              <w:t>5</w:t>
            </w:r>
            <w:r w:rsidRPr="00584195">
              <w:rPr>
                <w:sz w:val="20"/>
                <w:szCs w:val="20"/>
              </w:rPr>
              <w:t>.142, 22</w:t>
            </w:r>
            <w:r w:rsidR="002940B8">
              <w:rPr>
                <w:sz w:val="20"/>
                <w:szCs w:val="20"/>
              </w:rPr>
              <w:t>5</w:t>
            </w:r>
            <w:r w:rsidRPr="00584195">
              <w:rPr>
                <w:sz w:val="20"/>
                <w:szCs w:val="20"/>
              </w:rPr>
              <w:t>.158, 22</w:t>
            </w:r>
            <w:r w:rsidR="002940B8">
              <w:rPr>
                <w:sz w:val="20"/>
                <w:szCs w:val="20"/>
              </w:rPr>
              <w:t>5</w:t>
            </w:r>
            <w:r w:rsidRPr="00584195">
              <w:rPr>
                <w:sz w:val="20"/>
                <w:szCs w:val="20"/>
              </w:rPr>
              <w:t>.180, and 22</w:t>
            </w:r>
            <w:r w:rsidR="002940B8">
              <w:rPr>
                <w:sz w:val="20"/>
                <w:szCs w:val="20"/>
              </w:rPr>
              <w:t>5</w:t>
            </w:r>
            <w:r w:rsidRPr="00584195">
              <w:rPr>
                <w:sz w:val="20"/>
                <w:szCs w:val="20"/>
              </w:rPr>
              <w:t xml:space="preserve">.202; Recordkeeping and maintenance of records for components used in the manufacture of the medicated feeds and premixes, laboratory controls, packaging and labeling, production and distribution records </w:t>
            </w:r>
          </w:p>
        </w:tc>
        <w:tc>
          <w:tcPr>
            <w:tcW w:w="701" w:type="pct"/>
          </w:tcPr>
          <w:p w:rsidR="00584195" w:rsidRPr="00584195" w:rsidP="00A4313B" w14:paraId="15A7CC43" w14:textId="150C665F">
            <w:pPr>
              <w:spacing w:line="192" w:lineRule="auto"/>
              <w:ind w:left="360"/>
              <w:rPr>
                <w:sz w:val="20"/>
                <w:szCs w:val="20"/>
              </w:rPr>
            </w:pPr>
            <w:r>
              <w:rPr>
                <w:sz w:val="20"/>
                <w:szCs w:val="20"/>
              </w:rPr>
              <w:t>3,400</w:t>
            </w:r>
          </w:p>
        </w:tc>
        <w:tc>
          <w:tcPr>
            <w:tcW w:w="721" w:type="pct"/>
          </w:tcPr>
          <w:p w:rsidR="00584195" w:rsidRPr="00584195" w:rsidP="00A4313B" w14:paraId="6153E341" w14:textId="6C184D9E">
            <w:pPr>
              <w:spacing w:line="192" w:lineRule="auto"/>
              <w:ind w:left="360"/>
              <w:rPr>
                <w:sz w:val="20"/>
                <w:szCs w:val="20"/>
              </w:rPr>
            </w:pPr>
            <w:r>
              <w:rPr>
                <w:sz w:val="20"/>
                <w:szCs w:val="20"/>
              </w:rPr>
              <w:t xml:space="preserve">91 </w:t>
            </w:r>
          </w:p>
        </w:tc>
        <w:tc>
          <w:tcPr>
            <w:tcW w:w="550" w:type="pct"/>
          </w:tcPr>
          <w:p w:rsidR="00584195" w:rsidRPr="00584195" w:rsidP="00A4313B" w14:paraId="6A42284D" w14:textId="7B669B0F">
            <w:pPr>
              <w:spacing w:line="192" w:lineRule="auto"/>
              <w:jc w:val="center"/>
              <w:rPr>
                <w:sz w:val="20"/>
                <w:szCs w:val="20"/>
              </w:rPr>
            </w:pPr>
            <w:r>
              <w:rPr>
                <w:sz w:val="20"/>
                <w:szCs w:val="20"/>
              </w:rPr>
              <w:t xml:space="preserve"> 309,400</w:t>
            </w:r>
          </w:p>
        </w:tc>
        <w:tc>
          <w:tcPr>
            <w:tcW w:w="751" w:type="pct"/>
          </w:tcPr>
          <w:p w:rsidR="00584195" w:rsidRPr="00584195" w:rsidP="00A4313B" w14:paraId="0710FD33" w14:textId="0642122A">
            <w:pPr>
              <w:spacing w:line="192" w:lineRule="auto"/>
              <w:ind w:left="360"/>
              <w:rPr>
                <w:sz w:val="20"/>
                <w:szCs w:val="20"/>
              </w:rPr>
            </w:pPr>
            <w:r w:rsidRPr="00584195">
              <w:rPr>
                <w:sz w:val="20"/>
                <w:szCs w:val="20"/>
              </w:rPr>
              <w:t>1.</w:t>
            </w:r>
            <w:r w:rsidR="00572657">
              <w:rPr>
                <w:sz w:val="20"/>
                <w:szCs w:val="20"/>
              </w:rPr>
              <w:t>36</w:t>
            </w:r>
          </w:p>
        </w:tc>
        <w:tc>
          <w:tcPr>
            <w:tcW w:w="480" w:type="pct"/>
          </w:tcPr>
          <w:p w:rsidR="00584195" w:rsidRPr="00584195" w:rsidP="00A4313B" w14:paraId="31CE3E3B" w14:textId="2A57879C">
            <w:pPr>
              <w:spacing w:line="192" w:lineRule="auto"/>
              <w:rPr>
                <w:sz w:val="20"/>
                <w:szCs w:val="20"/>
              </w:rPr>
            </w:pPr>
            <w:r>
              <w:rPr>
                <w:sz w:val="20"/>
                <w:szCs w:val="20"/>
              </w:rPr>
              <w:t>420,784</w:t>
            </w:r>
          </w:p>
        </w:tc>
      </w:tr>
    </w:tbl>
    <w:p w:rsidR="00584195" w:rsidP="00080F29" w14:paraId="1E51ABA5" w14:textId="77777777">
      <w:pPr>
        <w:spacing w:line="192" w:lineRule="auto"/>
        <w:ind w:left="360"/>
        <w:jc w:val="center"/>
        <w:rPr>
          <w:sz w:val="20"/>
          <w:szCs w:val="20"/>
        </w:rPr>
      </w:pPr>
    </w:p>
    <w:p w:rsidR="00080F29" w:rsidP="00080F29" w14:paraId="648A2E86" w14:textId="77777777">
      <w:pPr>
        <w:spacing w:line="192" w:lineRule="auto"/>
        <w:ind w:left="360"/>
        <w:jc w:val="center"/>
        <w:rPr>
          <w:sz w:val="20"/>
          <w:szCs w:val="20"/>
        </w:rPr>
      </w:pPr>
    </w:p>
    <w:p w:rsidR="00080F29" w:rsidRPr="00080F29" w:rsidP="00080F29" w14:paraId="22F2F08E" w14:textId="77777777">
      <w:pPr>
        <w:spacing w:line="192" w:lineRule="auto"/>
        <w:ind w:left="360"/>
        <w:jc w:val="center"/>
        <w:rPr>
          <w:sz w:val="20"/>
          <w:szCs w:val="20"/>
        </w:rPr>
      </w:pPr>
    </w:p>
    <w:p w:rsidR="00080F29" w:rsidRPr="00080F29" w:rsidP="00080F29" w14:paraId="289B2C92" w14:textId="65259208">
      <w:pPr>
        <w:spacing w:line="192" w:lineRule="auto"/>
        <w:ind w:left="360"/>
        <w:jc w:val="center"/>
        <w:rPr>
          <w:rFonts w:eastAsia="Calibri"/>
          <w:sz w:val="20"/>
          <w:szCs w:val="20"/>
          <w:vertAlign w:val="superscript"/>
        </w:rPr>
      </w:pPr>
      <w:r w:rsidRPr="00080F29">
        <w:rPr>
          <w:sz w:val="20"/>
          <w:szCs w:val="20"/>
        </w:rPr>
        <w:t xml:space="preserve">Table </w:t>
      </w:r>
      <w:r w:rsidR="00221601">
        <w:rPr>
          <w:sz w:val="20"/>
          <w:szCs w:val="20"/>
        </w:rPr>
        <w:t>4</w:t>
      </w:r>
      <w:r w:rsidRPr="00080F29">
        <w:rPr>
          <w:sz w:val="20"/>
          <w:szCs w:val="20"/>
        </w:rPr>
        <w:t>.</w:t>
      </w:r>
      <w:r w:rsidRPr="00080F29">
        <w:rPr>
          <w:rFonts w:eastAsia="Calibri"/>
          <w:sz w:val="20"/>
          <w:szCs w:val="20"/>
        </w:rPr>
        <w:t xml:space="preserve"> –</w:t>
      </w:r>
      <w:r w:rsidRPr="00080F29">
        <w:rPr>
          <w:sz w:val="20"/>
          <w:szCs w:val="20"/>
        </w:rPr>
        <w:t xml:space="preserve"> Estimated Annual Recordkeeping Burden (Manufacturers of Type </w:t>
      </w:r>
      <w:r w:rsidRPr="00080F29">
        <w:rPr>
          <w:sz w:val="20"/>
          <w:szCs w:val="20"/>
        </w:rPr>
        <w:t>A</w:t>
      </w:r>
      <w:r w:rsidRPr="00080F29">
        <w:rPr>
          <w:sz w:val="20"/>
          <w:szCs w:val="20"/>
        </w:rPr>
        <w:t xml:space="preserve"> Medicated </w:t>
      </w:r>
      <w:r w:rsidR="00F345B6">
        <w:rPr>
          <w:sz w:val="20"/>
          <w:szCs w:val="20"/>
        </w:rPr>
        <w:t>Articles</w:t>
      </w:r>
      <w:r w:rsidRPr="00080F29">
        <w:rPr>
          <w:sz w:val="20"/>
          <w:szCs w:val="20"/>
        </w:rPr>
        <w:t>)</w:t>
      </w:r>
    </w:p>
    <w:tbl>
      <w:tblPr>
        <w:tblW w:w="52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1279"/>
        <w:gridCol w:w="1190"/>
        <w:gridCol w:w="1096"/>
        <w:gridCol w:w="1190"/>
        <w:gridCol w:w="818"/>
      </w:tblGrid>
      <w:tr w14:paraId="5086F2D4" w14:textId="77777777" w:rsidTr="00080F29">
        <w:tblPrEx>
          <w:tblW w:w="52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2228" w:type="pct"/>
            <w:shd w:val="clear" w:color="auto" w:fill="auto"/>
          </w:tcPr>
          <w:p w:rsidR="00080F29" w:rsidRPr="00080F29" w:rsidP="0014715D" w14:paraId="6409B634" w14:textId="77777777">
            <w:pPr>
              <w:jc w:val="center"/>
              <w:rPr>
                <w:sz w:val="20"/>
                <w:szCs w:val="20"/>
              </w:rPr>
            </w:pPr>
            <w:r w:rsidRPr="00080F29">
              <w:rPr>
                <w:sz w:val="20"/>
                <w:szCs w:val="20"/>
              </w:rPr>
              <w:t xml:space="preserve">21 CFR Section, Activity </w:t>
            </w:r>
          </w:p>
        </w:tc>
        <w:tc>
          <w:tcPr>
            <w:tcW w:w="636" w:type="pct"/>
            <w:shd w:val="clear" w:color="auto" w:fill="auto"/>
          </w:tcPr>
          <w:p w:rsidR="00080F29" w:rsidRPr="00080F29" w:rsidP="0014715D" w14:paraId="639FC892" w14:textId="77777777">
            <w:pPr>
              <w:jc w:val="center"/>
              <w:rPr>
                <w:sz w:val="20"/>
                <w:szCs w:val="20"/>
              </w:rPr>
            </w:pPr>
            <w:r w:rsidRPr="00080F29">
              <w:rPr>
                <w:sz w:val="20"/>
                <w:szCs w:val="20"/>
              </w:rPr>
              <w:t>No. of Respondents</w:t>
            </w:r>
          </w:p>
        </w:tc>
        <w:tc>
          <w:tcPr>
            <w:tcW w:w="592" w:type="pct"/>
            <w:shd w:val="clear" w:color="auto" w:fill="auto"/>
          </w:tcPr>
          <w:p w:rsidR="00080F29" w:rsidRPr="00080F29" w:rsidP="0014715D" w14:paraId="03DE8786" w14:textId="77777777">
            <w:pPr>
              <w:jc w:val="center"/>
              <w:rPr>
                <w:sz w:val="20"/>
                <w:szCs w:val="20"/>
              </w:rPr>
            </w:pPr>
            <w:r w:rsidRPr="00080F29">
              <w:rPr>
                <w:bCs/>
                <w:sz w:val="20"/>
                <w:szCs w:val="20"/>
              </w:rPr>
              <w:t>No. of Responses per Respondent</w:t>
            </w:r>
          </w:p>
        </w:tc>
        <w:tc>
          <w:tcPr>
            <w:tcW w:w="545" w:type="pct"/>
            <w:shd w:val="clear" w:color="auto" w:fill="auto"/>
          </w:tcPr>
          <w:p w:rsidR="00080F29" w:rsidRPr="00080F29" w:rsidP="0014715D" w14:paraId="0B01C42C" w14:textId="77777777">
            <w:pPr>
              <w:jc w:val="center"/>
              <w:rPr>
                <w:sz w:val="20"/>
                <w:szCs w:val="20"/>
              </w:rPr>
            </w:pPr>
            <w:r w:rsidRPr="00080F29">
              <w:rPr>
                <w:sz w:val="20"/>
                <w:szCs w:val="20"/>
              </w:rPr>
              <w:t>Total Annual Responses</w:t>
            </w:r>
          </w:p>
        </w:tc>
        <w:tc>
          <w:tcPr>
            <w:tcW w:w="592" w:type="pct"/>
            <w:shd w:val="clear" w:color="auto" w:fill="auto"/>
          </w:tcPr>
          <w:p w:rsidR="00080F29" w:rsidRPr="00080F29" w:rsidP="0014715D" w14:paraId="5DCF9111" w14:textId="77777777">
            <w:pPr>
              <w:jc w:val="center"/>
              <w:rPr>
                <w:sz w:val="20"/>
                <w:szCs w:val="20"/>
              </w:rPr>
            </w:pPr>
            <w:r w:rsidRPr="00080F29">
              <w:rPr>
                <w:bCs/>
                <w:sz w:val="20"/>
                <w:szCs w:val="20"/>
              </w:rPr>
              <w:t>Average Burden per Response</w:t>
            </w:r>
          </w:p>
        </w:tc>
        <w:tc>
          <w:tcPr>
            <w:tcW w:w="408" w:type="pct"/>
            <w:shd w:val="clear" w:color="auto" w:fill="auto"/>
          </w:tcPr>
          <w:p w:rsidR="00080F29" w:rsidRPr="00080F29" w:rsidP="0014715D" w14:paraId="7EFD2525" w14:textId="43E4ABB1">
            <w:pPr>
              <w:jc w:val="center"/>
              <w:rPr>
                <w:sz w:val="20"/>
                <w:szCs w:val="20"/>
              </w:rPr>
            </w:pPr>
            <w:r w:rsidRPr="00080F29">
              <w:rPr>
                <w:sz w:val="20"/>
                <w:szCs w:val="20"/>
              </w:rPr>
              <w:t>Total Hours</w:t>
            </w:r>
          </w:p>
        </w:tc>
      </w:tr>
      <w:tr w14:paraId="31E55173" w14:textId="77777777" w:rsidTr="00080F29">
        <w:tblPrEx>
          <w:tblW w:w="5294" w:type="pct"/>
          <w:tblInd w:w="-5" w:type="dxa"/>
          <w:tblLayout w:type="fixed"/>
          <w:tblLook w:val="01E0"/>
        </w:tblPrEx>
        <w:trPr>
          <w:cantSplit/>
          <w:trHeight w:val="20"/>
          <w:tblHeader/>
        </w:trPr>
        <w:tc>
          <w:tcPr>
            <w:tcW w:w="2228" w:type="pct"/>
            <w:shd w:val="clear" w:color="auto" w:fill="auto"/>
          </w:tcPr>
          <w:p w:rsidR="00080F29" w:rsidRPr="00080F29" w:rsidP="0014715D" w14:paraId="641E888E" w14:textId="77777777">
            <w:pPr>
              <w:rPr>
                <w:sz w:val="20"/>
                <w:szCs w:val="20"/>
              </w:rPr>
            </w:pPr>
            <w:r w:rsidRPr="00080F29">
              <w:rPr>
                <w:sz w:val="20"/>
                <w:szCs w:val="20"/>
              </w:rPr>
              <w:t>226.42, 226.58, 226.80, 226.102, 226.110, and 226.115; Recordkeeping and maintenance of records for components used in the manufacture of the medicated premixes, laboratory controls, packaging and labeling, master formula and batch-production, distribution records and complaint files.</w:t>
            </w:r>
          </w:p>
        </w:tc>
        <w:tc>
          <w:tcPr>
            <w:tcW w:w="636" w:type="pct"/>
            <w:shd w:val="clear" w:color="auto" w:fill="auto"/>
          </w:tcPr>
          <w:p w:rsidR="00080F29" w:rsidRPr="00080F29" w:rsidP="0014715D" w14:paraId="02698BC0" w14:textId="77777777">
            <w:pPr>
              <w:jc w:val="right"/>
              <w:rPr>
                <w:rFonts w:eastAsia="Calibri"/>
                <w:sz w:val="20"/>
                <w:szCs w:val="20"/>
              </w:rPr>
            </w:pPr>
            <w:r w:rsidRPr="00080F29">
              <w:rPr>
                <w:rFonts w:eastAsia="Calibri"/>
                <w:sz w:val="20"/>
                <w:szCs w:val="20"/>
              </w:rPr>
              <w:t>65</w:t>
            </w:r>
          </w:p>
        </w:tc>
        <w:tc>
          <w:tcPr>
            <w:tcW w:w="592" w:type="pct"/>
            <w:shd w:val="clear" w:color="auto" w:fill="auto"/>
          </w:tcPr>
          <w:p w:rsidR="00080F29" w:rsidRPr="00080F29" w:rsidP="0014715D" w14:paraId="26230843" w14:textId="77777777">
            <w:pPr>
              <w:jc w:val="right"/>
              <w:rPr>
                <w:rFonts w:eastAsia="Calibri"/>
                <w:sz w:val="20"/>
                <w:szCs w:val="20"/>
              </w:rPr>
            </w:pPr>
            <w:r w:rsidRPr="00080F29">
              <w:rPr>
                <w:rFonts w:eastAsia="Calibri"/>
                <w:sz w:val="20"/>
                <w:szCs w:val="20"/>
              </w:rPr>
              <w:t>1,370</w:t>
            </w:r>
          </w:p>
        </w:tc>
        <w:tc>
          <w:tcPr>
            <w:tcW w:w="545" w:type="pct"/>
            <w:shd w:val="clear" w:color="auto" w:fill="auto"/>
          </w:tcPr>
          <w:p w:rsidR="00080F29" w:rsidRPr="00080F29" w:rsidP="0014715D" w14:paraId="2900BF12" w14:textId="77777777">
            <w:pPr>
              <w:jc w:val="right"/>
              <w:rPr>
                <w:rFonts w:eastAsia="Calibri"/>
                <w:sz w:val="20"/>
                <w:szCs w:val="20"/>
              </w:rPr>
            </w:pPr>
            <w:r w:rsidRPr="00080F29">
              <w:rPr>
                <w:rFonts w:eastAsia="Calibri"/>
                <w:sz w:val="20"/>
                <w:szCs w:val="20"/>
              </w:rPr>
              <w:t>89,050</w:t>
            </w:r>
          </w:p>
        </w:tc>
        <w:tc>
          <w:tcPr>
            <w:tcW w:w="592" w:type="pct"/>
            <w:shd w:val="clear" w:color="auto" w:fill="auto"/>
          </w:tcPr>
          <w:p w:rsidR="00080F29" w:rsidRPr="00080F29" w:rsidP="0014715D" w14:paraId="1CAEE005" w14:textId="77777777">
            <w:pPr>
              <w:jc w:val="right"/>
              <w:rPr>
                <w:rFonts w:eastAsia="Calibri"/>
                <w:sz w:val="20"/>
                <w:szCs w:val="20"/>
              </w:rPr>
            </w:pPr>
            <w:r w:rsidRPr="00080F29">
              <w:rPr>
                <w:rFonts w:eastAsia="Calibri"/>
                <w:sz w:val="20"/>
                <w:szCs w:val="20"/>
              </w:rPr>
              <w:t>~ 1 hour</w:t>
            </w:r>
          </w:p>
        </w:tc>
        <w:tc>
          <w:tcPr>
            <w:tcW w:w="408" w:type="pct"/>
            <w:shd w:val="clear" w:color="auto" w:fill="auto"/>
          </w:tcPr>
          <w:p w:rsidR="00080F29" w:rsidRPr="00080F29" w:rsidP="0014715D" w14:paraId="7BD4E86B" w14:textId="08FE7C02">
            <w:pPr>
              <w:jc w:val="right"/>
              <w:rPr>
                <w:rFonts w:eastAsia="Calibri"/>
                <w:sz w:val="20"/>
                <w:szCs w:val="20"/>
              </w:rPr>
            </w:pPr>
            <w:r w:rsidRPr="00080F29">
              <w:rPr>
                <w:rFonts w:eastAsia="Calibri"/>
                <w:sz w:val="20"/>
                <w:szCs w:val="20"/>
              </w:rPr>
              <w:t>89,050</w:t>
            </w:r>
          </w:p>
        </w:tc>
      </w:tr>
    </w:tbl>
    <w:p w:rsidR="00C40A0D" w:rsidP="0022425B" w14:paraId="01D153C4" w14:textId="53494D3F">
      <w:pPr>
        <w:spacing w:after="200"/>
        <w:ind w:left="360"/>
        <w:rPr>
          <w:rFonts w:eastAsia="Calibri"/>
          <w:i/>
        </w:rPr>
      </w:pPr>
    </w:p>
    <w:bookmarkEnd w:id="0"/>
    <w:p w:rsidR="00D0402C" w:rsidRPr="00D0402C" w:rsidP="0022425B" w14:paraId="21807D97" w14:textId="77777777">
      <w:pPr>
        <w:spacing w:after="200"/>
        <w:ind w:left="360"/>
        <w:rPr>
          <w:rFonts w:eastAsia="Calibri"/>
          <w:iCs/>
        </w:rPr>
      </w:pPr>
    </w:p>
    <w:p w:rsidR="00357C8A" w:rsidRPr="005C71CA" w:rsidP="00DC371B" w14:paraId="24A5FFA1" w14:textId="77777777">
      <w:pPr>
        <w:spacing w:after="200"/>
        <w:ind w:left="360"/>
        <w:rPr>
          <w:rFonts w:eastAsia="Calibri"/>
        </w:rPr>
      </w:pPr>
      <w:r w:rsidRPr="005C71CA">
        <w:rPr>
          <w:rFonts w:eastAsia="Calibri"/>
        </w:rPr>
        <w:t>12b.  Annualized Cost Burden Estimate</w:t>
      </w:r>
    </w:p>
    <w:p w:rsidR="00A707CC" w:rsidP="0022425B" w14:paraId="62133D98"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4AC3440E" w14:textId="77777777" w:rsidTr="0031262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A707CC" w:rsidRPr="00080F29" w:rsidP="00312622" w14:paraId="172EED6D" w14:textId="6886C8C0">
            <w:pPr>
              <w:jc w:val="center"/>
              <w:rPr>
                <w:vertAlign w:val="superscript"/>
              </w:rPr>
            </w:pPr>
            <w:r w:rsidRPr="00355B62">
              <w:t>Type of Respondent</w:t>
            </w:r>
          </w:p>
        </w:tc>
        <w:tc>
          <w:tcPr>
            <w:tcW w:w="1890" w:type="dxa"/>
            <w:shd w:val="clear" w:color="auto" w:fill="auto"/>
          </w:tcPr>
          <w:p w:rsidR="00A707CC" w:rsidP="00312622" w14:paraId="7E573613" w14:textId="77777777">
            <w:pPr>
              <w:jc w:val="center"/>
            </w:pPr>
            <w:r>
              <w:t>Total Burden Hours</w:t>
            </w:r>
          </w:p>
        </w:tc>
        <w:tc>
          <w:tcPr>
            <w:tcW w:w="1944" w:type="dxa"/>
            <w:shd w:val="clear" w:color="auto" w:fill="auto"/>
          </w:tcPr>
          <w:p w:rsidR="00A707CC" w:rsidP="00312622" w14:paraId="72C2820B" w14:textId="77777777">
            <w:pPr>
              <w:jc w:val="center"/>
            </w:pPr>
            <w:r>
              <w:t>Hourly Wage Rate</w:t>
            </w:r>
          </w:p>
        </w:tc>
        <w:tc>
          <w:tcPr>
            <w:tcW w:w="1926" w:type="dxa"/>
            <w:shd w:val="clear" w:color="auto" w:fill="auto"/>
          </w:tcPr>
          <w:p w:rsidR="00A707CC" w:rsidP="00312622" w14:paraId="2B03C5AD" w14:textId="77777777">
            <w:pPr>
              <w:jc w:val="center"/>
            </w:pPr>
            <w:r>
              <w:t>Total Respondent Costs</w:t>
            </w:r>
          </w:p>
        </w:tc>
      </w:tr>
      <w:tr w14:paraId="3990E975" w14:textId="77777777" w:rsidTr="00312622">
        <w:tblPrEx>
          <w:tblW w:w="0" w:type="auto"/>
          <w:tblInd w:w="828" w:type="dxa"/>
          <w:tblLook w:val="01E0"/>
        </w:tblPrEx>
        <w:tc>
          <w:tcPr>
            <w:tcW w:w="2520" w:type="dxa"/>
            <w:shd w:val="clear" w:color="auto" w:fill="auto"/>
          </w:tcPr>
          <w:p w:rsidR="00A707CC" w:rsidRPr="00080F29" w:rsidP="00312622" w14:paraId="4016AE7E" w14:textId="77B8D3DA">
            <w:pPr>
              <w:rPr>
                <w:vertAlign w:val="superscript"/>
              </w:rPr>
            </w:pPr>
            <w:r>
              <w:t>Records Clerk</w:t>
            </w:r>
            <w:r>
              <w:rPr>
                <w:vertAlign w:val="superscript"/>
              </w:rPr>
              <w:t>1</w:t>
            </w:r>
          </w:p>
        </w:tc>
        <w:tc>
          <w:tcPr>
            <w:tcW w:w="1890" w:type="dxa"/>
            <w:shd w:val="clear" w:color="auto" w:fill="auto"/>
          </w:tcPr>
          <w:p w:rsidR="00A707CC" w:rsidP="00703035" w14:paraId="4130F6B5" w14:textId="08A43840">
            <w:pPr>
              <w:jc w:val="center"/>
            </w:pPr>
            <w:r w:rsidRPr="00A4313B">
              <w:t>1,410,846</w:t>
            </w:r>
          </w:p>
        </w:tc>
        <w:tc>
          <w:tcPr>
            <w:tcW w:w="1944" w:type="dxa"/>
            <w:shd w:val="clear" w:color="auto" w:fill="auto"/>
          </w:tcPr>
          <w:p w:rsidR="00A707CC" w:rsidP="00703035" w14:paraId="0E755CEB" w14:textId="495F27AD">
            <w:pPr>
              <w:jc w:val="center"/>
            </w:pPr>
            <w:r>
              <w:t>$31.37</w:t>
            </w:r>
          </w:p>
        </w:tc>
        <w:tc>
          <w:tcPr>
            <w:tcW w:w="1926" w:type="dxa"/>
            <w:shd w:val="clear" w:color="auto" w:fill="auto"/>
          </w:tcPr>
          <w:p w:rsidR="00A707CC" w:rsidP="00703035" w14:paraId="477A4AB5" w14:textId="6FA32BEB">
            <w:pPr>
              <w:jc w:val="right"/>
            </w:pPr>
            <w:r>
              <w:t>$</w:t>
            </w:r>
            <w:r w:rsidRPr="005F5B35" w:rsidR="005F5B35">
              <w:t>44,258,239.02</w:t>
            </w:r>
          </w:p>
        </w:tc>
      </w:tr>
    </w:tbl>
    <w:p w:rsidR="00703035" w:rsidP="00703035" w14:paraId="2A2B1CC6" w14:textId="423C39E1">
      <w:pPr>
        <w:pStyle w:val="Default"/>
        <w:ind w:left="720"/>
        <w:rPr>
          <w:sz w:val="18"/>
          <w:szCs w:val="18"/>
        </w:rPr>
      </w:pPr>
      <w:r w:rsidRPr="00DF305B">
        <w:rPr>
          <w:sz w:val="18"/>
          <w:szCs w:val="18"/>
          <w:vertAlign w:val="superscript"/>
        </w:rPr>
        <w:t>1</w:t>
      </w:r>
      <w:r w:rsidRPr="00DF305B">
        <w:rPr>
          <w:sz w:val="18"/>
          <w:szCs w:val="18"/>
        </w:rPr>
        <w:t>May</w:t>
      </w:r>
      <w:r>
        <w:rPr>
          <w:sz w:val="18"/>
          <w:szCs w:val="18"/>
        </w:rPr>
        <w:t xml:space="preserve"> 2024 National Industry-Specific Occupational Employment and Wage Estimates, Bureau of Labor Statistics (43-4199) and including 30% for benefits (</w:t>
      </w:r>
      <w:hyperlink r:id="rId8" w:anchor="/industry/000000" w:history="1">
        <w:r>
          <w:rPr>
            <w:rStyle w:val="Hyperlink"/>
            <w:sz w:val="18"/>
            <w:szCs w:val="18"/>
          </w:rPr>
          <w:t>https://data.bls.gov/oes/#/industry/000000</w:t>
        </w:r>
      </w:hyperlink>
      <w:r>
        <w:rPr>
          <w:sz w:val="18"/>
          <w:szCs w:val="18"/>
        </w:rPr>
        <w:t>)</w:t>
      </w:r>
    </w:p>
    <w:p w:rsidR="00357C8A" w:rsidRPr="00357C8A" w:rsidP="00357C8A" w14:paraId="312D6122" w14:textId="52FB90CD">
      <w:pPr>
        <w:rPr>
          <w:rFonts w:eastAsia="Calibri"/>
        </w:rPr>
      </w:pPr>
    </w:p>
    <w:p w:rsidR="00357C8A" w:rsidRPr="00357C8A" w:rsidP="006705EA" w14:paraId="34F41A49"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707CC" w:rsidP="0022425B" w14:paraId="13A1408F" w14:textId="65444FDA">
      <w:pPr>
        <w:spacing w:after="200"/>
        <w:rPr>
          <w:rFonts w:eastAsia="Calibri"/>
        </w:rPr>
      </w:pPr>
      <w:r>
        <w:rPr>
          <w:rFonts w:eastAsia="Calibri"/>
        </w:rPr>
        <w:t>There are no capital, start-up, operating or maintenance costs associated with this information.</w:t>
      </w:r>
    </w:p>
    <w:p w:rsidR="00357C8A" w:rsidRPr="00357C8A" w:rsidP="006705EA" w14:paraId="3D0806F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3C6D78" w14:paraId="52EEB678" w14:textId="1C592A95">
      <w:pPr>
        <w:spacing w:after="200"/>
        <w:rPr>
          <w:rFonts w:eastAsia="Calibri"/>
          <w:color w:val="FF0000"/>
        </w:rPr>
      </w:pPr>
      <w:r w:rsidRPr="3382482B">
        <w:rPr>
          <w:rFonts w:eastAsia="Calibri"/>
        </w:rPr>
        <w:t>Our review of the records at feed</w:t>
      </w:r>
      <w:r w:rsidRPr="3382482B" w:rsidR="4BAEAF2F">
        <w:rPr>
          <w:rFonts w:eastAsia="Calibri"/>
        </w:rPr>
        <w:t xml:space="preserve"> </w:t>
      </w:r>
      <w:r w:rsidRPr="3382482B">
        <w:rPr>
          <w:rFonts w:eastAsia="Calibri"/>
        </w:rPr>
        <w:t>mills would generally occur as part of our inspection activities. We estimate that our review of the records would take 2 hours per inspection. We estimate the hourly cost for the review to be $</w:t>
      </w:r>
      <w:r w:rsidRPr="3382482B" w:rsidR="00722F9F">
        <w:rPr>
          <w:rFonts w:eastAsia="Calibri"/>
        </w:rPr>
        <w:t>55</w:t>
      </w:r>
      <w:r w:rsidRPr="3382482B">
        <w:rPr>
          <w:rFonts w:eastAsia="Calibri"/>
        </w:rPr>
        <w:t>.</w:t>
      </w:r>
      <w:r w:rsidRPr="3382482B" w:rsidR="00BE1679">
        <w:rPr>
          <w:rFonts w:eastAsia="Calibri"/>
        </w:rPr>
        <w:t>62</w:t>
      </w:r>
      <w:r w:rsidRPr="3382482B" w:rsidR="00722F9F">
        <w:rPr>
          <w:rFonts w:eastAsia="Calibri"/>
        </w:rPr>
        <w:t xml:space="preserve"> </w:t>
      </w:r>
      <w:r w:rsidRPr="3382482B">
        <w:rPr>
          <w:rFonts w:eastAsia="Calibri"/>
        </w:rPr>
        <w:t xml:space="preserve">per hour, based on the GS-12/Step-5 rate in the pay area of Washington-Baltimore-Arlington, DC-MD-VA-WV-PA for the year </w:t>
      </w:r>
      <w:r w:rsidRPr="3382482B" w:rsidR="00722F9F">
        <w:rPr>
          <w:rFonts w:eastAsia="Calibri"/>
        </w:rPr>
        <w:t>202</w:t>
      </w:r>
      <w:r w:rsidRPr="3382482B" w:rsidR="00BE1679">
        <w:rPr>
          <w:rFonts w:eastAsia="Calibri"/>
        </w:rPr>
        <w:t>6</w:t>
      </w:r>
      <w:r w:rsidRPr="3382482B">
        <w:rPr>
          <w:rFonts w:eastAsia="Calibri"/>
        </w:rPr>
        <w:t>.  Thus, we estimate the cost to the Federal Government for the review of records to be $ $</w:t>
      </w:r>
      <w:r w:rsidRPr="3382482B" w:rsidR="00722F9F">
        <w:rPr>
          <w:rFonts w:eastAsia="Calibri"/>
        </w:rPr>
        <w:t>11</w:t>
      </w:r>
      <w:r w:rsidRPr="3382482B" w:rsidR="00BE1679">
        <w:rPr>
          <w:rFonts w:eastAsia="Calibri"/>
        </w:rPr>
        <w:t>1</w:t>
      </w:r>
      <w:r w:rsidRPr="3382482B" w:rsidR="00722F9F">
        <w:rPr>
          <w:rFonts w:eastAsia="Calibri"/>
        </w:rPr>
        <w:t>.</w:t>
      </w:r>
      <w:r w:rsidRPr="3382482B" w:rsidR="00BE1679">
        <w:rPr>
          <w:rFonts w:eastAsia="Calibri"/>
        </w:rPr>
        <w:t>2</w:t>
      </w:r>
      <w:r w:rsidRPr="3382482B" w:rsidR="00722F9F">
        <w:rPr>
          <w:rFonts w:eastAsia="Calibri"/>
        </w:rPr>
        <w:t>4</w:t>
      </w:r>
      <w:r w:rsidRPr="3382482B">
        <w:rPr>
          <w:rFonts w:eastAsia="Calibri"/>
        </w:rPr>
        <w:t xml:space="preserve"> per review ($</w:t>
      </w:r>
      <w:r w:rsidRPr="3382482B" w:rsidR="00722F9F">
        <w:rPr>
          <w:rFonts w:eastAsia="Calibri"/>
        </w:rPr>
        <w:t>55</w:t>
      </w:r>
      <w:r w:rsidRPr="3382482B">
        <w:rPr>
          <w:rFonts w:eastAsia="Calibri"/>
        </w:rPr>
        <w:t>.</w:t>
      </w:r>
      <w:r w:rsidRPr="3382482B" w:rsidR="00BE1679">
        <w:rPr>
          <w:rFonts w:eastAsia="Calibri"/>
        </w:rPr>
        <w:t>62</w:t>
      </w:r>
      <w:r w:rsidRPr="3382482B" w:rsidR="00722F9F">
        <w:rPr>
          <w:rFonts w:eastAsia="Calibri"/>
        </w:rPr>
        <w:t xml:space="preserve"> </w:t>
      </w:r>
      <w:r w:rsidRPr="3382482B">
        <w:rPr>
          <w:rFonts w:eastAsia="Calibri"/>
        </w:rPr>
        <w:t>/hour x 2 hours). Assuming we review records for 200 inspections per year, we estimate that the total annual cost to the Federal Government would be $</w:t>
      </w:r>
      <w:r w:rsidRPr="3382482B" w:rsidR="00722F9F">
        <w:rPr>
          <w:rFonts w:eastAsia="Calibri"/>
        </w:rPr>
        <w:t>22,</w:t>
      </w:r>
      <w:r w:rsidRPr="3382482B" w:rsidR="00BE1679">
        <w:rPr>
          <w:rFonts w:eastAsia="Calibri"/>
        </w:rPr>
        <w:t>24</w:t>
      </w:r>
      <w:r w:rsidRPr="3382482B" w:rsidR="00722F9F">
        <w:rPr>
          <w:rFonts w:eastAsia="Calibri"/>
        </w:rPr>
        <w:t>8</w:t>
      </w:r>
      <w:r w:rsidR="0049697D">
        <w:rPr>
          <w:rFonts w:eastAsia="Calibri"/>
        </w:rPr>
        <w:t xml:space="preserve"> </w:t>
      </w:r>
      <w:r w:rsidRPr="3382482B">
        <w:rPr>
          <w:rFonts w:eastAsia="Calibri"/>
        </w:rPr>
        <w:t>($</w:t>
      </w:r>
      <w:r w:rsidRPr="3382482B" w:rsidR="00722F9F">
        <w:rPr>
          <w:rFonts w:eastAsia="Calibri"/>
        </w:rPr>
        <w:t>11</w:t>
      </w:r>
      <w:r w:rsidRPr="3382482B" w:rsidR="00BE1679">
        <w:rPr>
          <w:rFonts w:eastAsia="Calibri"/>
        </w:rPr>
        <w:t>1</w:t>
      </w:r>
      <w:r w:rsidRPr="3382482B" w:rsidR="00722F9F">
        <w:rPr>
          <w:rFonts w:eastAsia="Calibri"/>
        </w:rPr>
        <w:t>.</w:t>
      </w:r>
      <w:r w:rsidRPr="3382482B" w:rsidR="00BE1679">
        <w:rPr>
          <w:rFonts w:eastAsia="Calibri"/>
        </w:rPr>
        <w:t>2</w:t>
      </w:r>
      <w:r w:rsidRPr="3382482B" w:rsidR="00722F9F">
        <w:rPr>
          <w:rFonts w:eastAsia="Calibri"/>
        </w:rPr>
        <w:t>4</w:t>
      </w:r>
      <w:r w:rsidRPr="3382482B">
        <w:rPr>
          <w:rFonts w:eastAsia="Calibri"/>
        </w:rPr>
        <w:t xml:space="preserve"> x 200 inspections).</w:t>
      </w:r>
    </w:p>
    <w:p w:rsidR="009C1B1B" w:rsidP="003C6D78" w14:paraId="23D0E04D" w14:textId="08C879E7">
      <w:pPr>
        <w:spacing w:after="200"/>
        <w:rPr>
          <w:rFonts w:eastAsia="Calibri"/>
        </w:rPr>
      </w:pPr>
      <w:r>
        <w:rPr>
          <w:rFonts w:eastAsia="Calibri"/>
        </w:rPr>
        <w:t xml:space="preserve">Our review of the records at Type A medicated article manufacturers would generally occur as part of our inspection activities. We estimate that our review of the records </w:t>
      </w:r>
      <w:r>
        <w:rPr>
          <w:rFonts w:eastAsia="Calibri"/>
        </w:rPr>
        <w:t>would</w:t>
      </w:r>
      <w:r>
        <w:rPr>
          <w:rFonts w:eastAsia="Calibri"/>
        </w:rPr>
        <w:t xml:space="preserve"> take 36 hours per inspection. </w:t>
      </w:r>
      <w:r w:rsidRPr="003C6D78">
        <w:rPr>
          <w:rFonts w:eastAsia="Calibri"/>
        </w:rPr>
        <w:t>We estimate the</w:t>
      </w:r>
      <w:r>
        <w:rPr>
          <w:rFonts w:eastAsia="Calibri"/>
        </w:rPr>
        <w:t xml:space="preserve"> </w:t>
      </w:r>
      <w:r w:rsidRPr="003C6D78">
        <w:rPr>
          <w:rFonts w:eastAsia="Calibri"/>
        </w:rPr>
        <w:t>hourly cost for the review to be $</w:t>
      </w:r>
      <w:r w:rsidRPr="003C6D78" w:rsidR="00722F9F">
        <w:rPr>
          <w:rFonts w:eastAsia="Calibri"/>
        </w:rPr>
        <w:t>5</w:t>
      </w:r>
      <w:r w:rsidR="00722F9F">
        <w:rPr>
          <w:rFonts w:eastAsia="Calibri"/>
        </w:rPr>
        <w:t>5</w:t>
      </w:r>
      <w:r w:rsidRPr="003C6D78">
        <w:rPr>
          <w:rFonts w:eastAsia="Calibri"/>
        </w:rPr>
        <w:t>.</w:t>
      </w:r>
      <w:r w:rsidR="00BE1679">
        <w:rPr>
          <w:rFonts w:eastAsia="Calibri"/>
        </w:rPr>
        <w:t>62</w:t>
      </w:r>
      <w:r w:rsidRPr="003C6D78" w:rsidR="00722F9F">
        <w:rPr>
          <w:rFonts w:eastAsia="Calibri"/>
        </w:rPr>
        <w:t xml:space="preserve"> </w:t>
      </w:r>
      <w:r w:rsidRPr="003C6D78">
        <w:rPr>
          <w:rFonts w:eastAsia="Calibri"/>
        </w:rPr>
        <w:t xml:space="preserve">per hour, based on the GS-12/Step-5 rate in the pay area of Washington-Baltimore-Arlington, DC-MD-VA-WV-PA for the year </w:t>
      </w:r>
      <w:r w:rsidRPr="003C6D78" w:rsidR="00722F9F">
        <w:rPr>
          <w:rFonts w:eastAsia="Calibri"/>
        </w:rPr>
        <w:t>202</w:t>
      </w:r>
      <w:r w:rsidR="00BE1679">
        <w:rPr>
          <w:rFonts w:eastAsia="Calibri"/>
        </w:rPr>
        <w:t>6</w:t>
      </w:r>
      <w:r w:rsidRPr="003C6D78">
        <w:rPr>
          <w:rFonts w:eastAsia="Calibri"/>
        </w:rPr>
        <w:t xml:space="preserve">.  Thus, we estimate the cost to the Federal Government for the review of records to </w:t>
      </w:r>
      <w:r w:rsidRPr="003C6D78">
        <w:rPr>
          <w:rFonts w:eastAsia="Calibri"/>
        </w:rPr>
        <w:t>be  $</w:t>
      </w:r>
      <w:r w:rsidR="00BE1679">
        <w:rPr>
          <w:rFonts w:eastAsia="Calibri"/>
        </w:rPr>
        <w:t>2,002.32</w:t>
      </w:r>
      <w:r w:rsidRPr="003C6D78">
        <w:rPr>
          <w:rFonts w:eastAsia="Calibri"/>
        </w:rPr>
        <w:t xml:space="preserve"> per review ($</w:t>
      </w:r>
      <w:r w:rsidRPr="003C6D78" w:rsidR="00722F9F">
        <w:rPr>
          <w:rFonts w:eastAsia="Calibri"/>
        </w:rPr>
        <w:t>5</w:t>
      </w:r>
      <w:r w:rsidR="00722F9F">
        <w:rPr>
          <w:rFonts w:eastAsia="Calibri"/>
        </w:rPr>
        <w:t>5</w:t>
      </w:r>
      <w:r w:rsidRPr="003C6D78">
        <w:rPr>
          <w:rFonts w:eastAsia="Calibri"/>
        </w:rPr>
        <w:t>.</w:t>
      </w:r>
      <w:r w:rsidR="00BE1679">
        <w:rPr>
          <w:rFonts w:eastAsia="Calibri"/>
        </w:rPr>
        <w:t>62</w:t>
      </w:r>
      <w:r w:rsidRPr="003C6D78" w:rsidR="00722F9F">
        <w:rPr>
          <w:rFonts w:eastAsia="Calibri"/>
        </w:rPr>
        <w:t xml:space="preserve"> </w:t>
      </w:r>
      <w:r w:rsidRPr="003C6D78">
        <w:rPr>
          <w:rFonts w:eastAsia="Calibri"/>
        </w:rPr>
        <w:t xml:space="preserve">/hour x </w:t>
      </w:r>
      <w:r>
        <w:rPr>
          <w:rFonts w:eastAsia="Calibri"/>
        </w:rPr>
        <w:t>36</w:t>
      </w:r>
      <w:r w:rsidRPr="003C6D78">
        <w:rPr>
          <w:rFonts w:eastAsia="Calibri"/>
        </w:rPr>
        <w:t xml:space="preserve"> hours). Assuming we review records for </w:t>
      </w:r>
      <w:r w:rsidRPr="003C6D78" w:rsidR="00722F9F">
        <w:rPr>
          <w:rFonts w:eastAsia="Calibri"/>
        </w:rPr>
        <w:t>2</w:t>
      </w:r>
      <w:r w:rsidR="00722F9F">
        <w:rPr>
          <w:rFonts w:eastAsia="Calibri"/>
        </w:rPr>
        <w:t>1</w:t>
      </w:r>
      <w:r w:rsidRPr="003C6D78" w:rsidR="00722F9F">
        <w:rPr>
          <w:rFonts w:eastAsia="Calibri"/>
        </w:rPr>
        <w:t xml:space="preserve"> </w:t>
      </w:r>
      <w:r w:rsidRPr="003C6D78">
        <w:rPr>
          <w:rFonts w:eastAsia="Calibri"/>
        </w:rPr>
        <w:t>inspections per year, we estimate that the total annual cost to the Federal Government would be $</w:t>
      </w:r>
      <w:r w:rsidR="00722F9F">
        <w:rPr>
          <w:rFonts w:eastAsia="Calibri"/>
        </w:rPr>
        <w:t>4</w:t>
      </w:r>
      <w:r w:rsidR="00BE1679">
        <w:rPr>
          <w:rFonts w:eastAsia="Calibri"/>
        </w:rPr>
        <w:t>2</w:t>
      </w:r>
      <w:r w:rsidR="00722F9F">
        <w:rPr>
          <w:rFonts w:eastAsia="Calibri"/>
        </w:rPr>
        <w:t>,</w:t>
      </w:r>
      <w:r w:rsidR="00BE1679">
        <w:rPr>
          <w:rFonts w:eastAsia="Calibri"/>
        </w:rPr>
        <w:t>048</w:t>
      </w:r>
      <w:r w:rsidR="00722F9F">
        <w:rPr>
          <w:rFonts w:eastAsia="Calibri"/>
        </w:rPr>
        <w:t>.</w:t>
      </w:r>
      <w:r w:rsidR="00BE1679">
        <w:rPr>
          <w:rFonts w:eastAsia="Calibri"/>
        </w:rPr>
        <w:t>7</w:t>
      </w:r>
      <w:r w:rsidR="00722F9F">
        <w:rPr>
          <w:rFonts w:eastAsia="Calibri"/>
        </w:rPr>
        <w:t>2</w:t>
      </w:r>
      <w:r w:rsidRPr="003C6D78">
        <w:rPr>
          <w:rFonts w:eastAsia="Calibri"/>
        </w:rPr>
        <w:t xml:space="preserve"> ($</w:t>
      </w:r>
      <w:r w:rsidR="00BE1679">
        <w:rPr>
          <w:rFonts w:eastAsia="Calibri"/>
        </w:rPr>
        <w:t>2,002.32</w:t>
      </w:r>
      <w:r w:rsidRPr="003C6D78" w:rsidR="00BE1679">
        <w:rPr>
          <w:rFonts w:eastAsia="Calibri"/>
        </w:rPr>
        <w:t xml:space="preserve"> </w:t>
      </w:r>
      <w:r w:rsidRPr="003C6D78">
        <w:rPr>
          <w:rFonts w:eastAsia="Calibri"/>
        </w:rPr>
        <w:t xml:space="preserve">x </w:t>
      </w:r>
      <w:r>
        <w:rPr>
          <w:rFonts w:eastAsia="Calibri"/>
        </w:rPr>
        <w:t>21</w:t>
      </w:r>
      <w:r w:rsidRPr="003C6D78">
        <w:rPr>
          <w:rFonts w:eastAsia="Calibri"/>
        </w:rPr>
        <w:t xml:space="preserve"> inspections).</w:t>
      </w:r>
    </w:p>
    <w:p w:rsidR="00357C8A" w:rsidP="006705EA" w14:paraId="2ADB0904"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FF3D91" w:rsidP="00FF3D91" w14:paraId="7071FA3A" w14:textId="14B1864D">
      <w:r w:rsidRPr="001431A2">
        <w:t xml:space="preserve">After </w:t>
      </w:r>
      <w:r w:rsidRPr="001431A2">
        <w:t>review of</w:t>
      </w:r>
      <w:r w:rsidRPr="001431A2">
        <w:t xml:space="preserve"> the information collection, we have reduced the number of CGMP for medicated feeds recordkeepers by 2,722.  The reduction accurately reflects the current number of firms that hold a medicated feed mill license and the number of firms that are listed in the FDA database as manufacturing with medicated feeds and meet the definition of a commercial feed manufacturing </w:t>
      </w:r>
      <w:r w:rsidRPr="001431A2">
        <w:t>facility.  With this update, we note a corresponding decrease of 13,731,017 records and a decrease of 913,153 hours.</w:t>
      </w:r>
    </w:p>
    <w:p w:rsidR="00FF3D91" w:rsidRPr="00FF3D91" w:rsidP="00FF3D91" w14:paraId="4E71D6AE" w14:textId="77777777">
      <w:pPr>
        <w:rPr>
          <w:rFonts w:ascii="Aptos" w:eastAsia="Aptos" w:hAnsi="Aptos" w:cs="Aptos"/>
        </w:rPr>
      </w:pPr>
    </w:p>
    <w:p w:rsidR="00357C8A" w:rsidRPr="00357C8A" w:rsidP="006705EA" w14:paraId="25022A92"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457BF256" w14:textId="272AFF27">
      <w:pPr>
        <w:spacing w:after="200"/>
        <w:rPr>
          <w:rFonts w:eastAsia="Calibri"/>
          <w:color w:val="FF0000"/>
        </w:rPr>
      </w:pPr>
      <w:r w:rsidRPr="005C71CA">
        <w:rPr>
          <w:rFonts w:eastAsia="Calibri"/>
        </w:rPr>
        <w:t>This information collected will not be published or tabulated.</w:t>
      </w:r>
    </w:p>
    <w:p w:rsidR="00357C8A" w:rsidRPr="00357C8A" w:rsidP="006705EA" w14:paraId="3F0CA22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4C9739A1" w14:textId="20BE0F93">
      <w:pPr>
        <w:spacing w:after="200"/>
        <w:rPr>
          <w:rFonts w:eastAsia="Calibri"/>
          <w:color w:val="FF0000"/>
        </w:rPr>
      </w:pPr>
      <w:r w:rsidRPr="00DC32BB">
        <w:rPr>
          <w:rFonts w:eastAsia="Calibri"/>
        </w:rPr>
        <w:t>The OMB expiration date will be displayed.</w:t>
      </w:r>
      <w:r w:rsidRPr="00357C8A">
        <w:rPr>
          <w:rFonts w:eastAsia="Calibri"/>
          <w:color w:val="FF0000"/>
        </w:rPr>
        <w:t xml:space="preserve"> </w:t>
      </w:r>
    </w:p>
    <w:p w:rsidR="00357C8A" w:rsidRPr="00357C8A" w:rsidP="006705EA" w14:paraId="608AA37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DC32BB" w14:paraId="26D86BB4" w14:textId="6E8AB220">
      <w:pPr>
        <w:spacing w:after="200"/>
        <w:rPr>
          <w:rFonts w:eastAsia="Calibri"/>
        </w:rPr>
      </w:pPr>
      <w:r w:rsidRPr="007E59A8">
        <w:rPr>
          <w:rFonts w:eastAsia="Calibri"/>
        </w:rPr>
        <w:t>There are no exceptions to the certification</w:t>
      </w:r>
      <w:r w:rsidR="007B6318">
        <w:rPr>
          <w:rFonts w:eastAsia="Calibri"/>
          <w:color w:val="FF0000"/>
        </w:rPr>
        <w:t>.</w:t>
      </w:r>
    </w:p>
    <w:sectPr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511D88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8AC0A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E850C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14C7A9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18698438">
    <w:abstractNumId w:val="5"/>
  </w:num>
  <w:num w:numId="2" w16cid:durableId="2060863565">
    <w:abstractNumId w:val="1"/>
  </w:num>
  <w:num w:numId="3" w16cid:durableId="34160515">
    <w:abstractNumId w:val="6"/>
  </w:num>
  <w:num w:numId="4" w16cid:durableId="1082262152">
    <w:abstractNumId w:val="3"/>
  </w:num>
  <w:num w:numId="5" w16cid:durableId="1194919461">
    <w:abstractNumId w:val="7"/>
  </w:num>
  <w:num w:numId="6" w16cid:durableId="1934706758">
    <w:abstractNumId w:val="0"/>
  </w:num>
  <w:num w:numId="7" w16cid:durableId="1904557361">
    <w:abstractNumId w:val="2"/>
  </w:num>
  <w:num w:numId="8" w16cid:durableId="93116606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22C6E"/>
    <w:rsid w:val="00031A2C"/>
    <w:rsid w:val="00042B93"/>
    <w:rsid w:val="00043C7F"/>
    <w:rsid w:val="000467A8"/>
    <w:rsid w:val="00052BAC"/>
    <w:rsid w:val="0006570F"/>
    <w:rsid w:val="00075DE8"/>
    <w:rsid w:val="00080F29"/>
    <w:rsid w:val="00087439"/>
    <w:rsid w:val="000A7123"/>
    <w:rsid w:val="000C1260"/>
    <w:rsid w:val="000C560C"/>
    <w:rsid w:val="000C5757"/>
    <w:rsid w:val="000D080B"/>
    <w:rsid w:val="000D48FD"/>
    <w:rsid w:val="000D79CC"/>
    <w:rsid w:val="000E1C64"/>
    <w:rsid w:val="000F7119"/>
    <w:rsid w:val="00100739"/>
    <w:rsid w:val="0010452F"/>
    <w:rsid w:val="0010493E"/>
    <w:rsid w:val="001075D3"/>
    <w:rsid w:val="00107885"/>
    <w:rsid w:val="00114FC4"/>
    <w:rsid w:val="0012329C"/>
    <w:rsid w:val="00127CE3"/>
    <w:rsid w:val="00134FA7"/>
    <w:rsid w:val="00137950"/>
    <w:rsid w:val="00140762"/>
    <w:rsid w:val="001431A2"/>
    <w:rsid w:val="00144749"/>
    <w:rsid w:val="0014715D"/>
    <w:rsid w:val="00152F29"/>
    <w:rsid w:val="00174D54"/>
    <w:rsid w:val="0017702C"/>
    <w:rsid w:val="00185270"/>
    <w:rsid w:val="001A3B5A"/>
    <w:rsid w:val="001A458C"/>
    <w:rsid w:val="001B7CE9"/>
    <w:rsid w:val="001D495A"/>
    <w:rsid w:val="001E244C"/>
    <w:rsid w:val="001E49C3"/>
    <w:rsid w:val="001E6BA7"/>
    <w:rsid w:val="001F1437"/>
    <w:rsid w:val="00203B0D"/>
    <w:rsid w:val="00206799"/>
    <w:rsid w:val="002074FE"/>
    <w:rsid w:val="00221601"/>
    <w:rsid w:val="0022425B"/>
    <w:rsid w:val="002259EF"/>
    <w:rsid w:val="00242ED1"/>
    <w:rsid w:val="002444BB"/>
    <w:rsid w:val="00254069"/>
    <w:rsid w:val="00270748"/>
    <w:rsid w:val="002734E5"/>
    <w:rsid w:val="002746DB"/>
    <w:rsid w:val="00280CAF"/>
    <w:rsid w:val="00282F09"/>
    <w:rsid w:val="00291810"/>
    <w:rsid w:val="002940B8"/>
    <w:rsid w:val="0029439D"/>
    <w:rsid w:val="00294D62"/>
    <w:rsid w:val="00297532"/>
    <w:rsid w:val="00297FFD"/>
    <w:rsid w:val="002A1210"/>
    <w:rsid w:val="002A1B01"/>
    <w:rsid w:val="002A47D2"/>
    <w:rsid w:val="002A7FB5"/>
    <w:rsid w:val="002B2074"/>
    <w:rsid w:val="002D14D8"/>
    <w:rsid w:val="002D36AC"/>
    <w:rsid w:val="002D4799"/>
    <w:rsid w:val="002E0341"/>
    <w:rsid w:val="002E3FA4"/>
    <w:rsid w:val="002E53A5"/>
    <w:rsid w:val="002E5F48"/>
    <w:rsid w:val="002E64B8"/>
    <w:rsid w:val="002E6834"/>
    <w:rsid w:val="002F7827"/>
    <w:rsid w:val="003113FF"/>
    <w:rsid w:val="00312622"/>
    <w:rsid w:val="0032277F"/>
    <w:rsid w:val="00330DB6"/>
    <w:rsid w:val="00336B69"/>
    <w:rsid w:val="0034302B"/>
    <w:rsid w:val="00346725"/>
    <w:rsid w:val="00350523"/>
    <w:rsid w:val="0035189D"/>
    <w:rsid w:val="00355B62"/>
    <w:rsid w:val="00357C8A"/>
    <w:rsid w:val="003740BC"/>
    <w:rsid w:val="0037456B"/>
    <w:rsid w:val="003801A3"/>
    <w:rsid w:val="00383D90"/>
    <w:rsid w:val="003870AE"/>
    <w:rsid w:val="003A1A27"/>
    <w:rsid w:val="003A50CC"/>
    <w:rsid w:val="003A6BF0"/>
    <w:rsid w:val="003B42B3"/>
    <w:rsid w:val="003B6384"/>
    <w:rsid w:val="003C0FE2"/>
    <w:rsid w:val="003C4EBB"/>
    <w:rsid w:val="003C6D78"/>
    <w:rsid w:val="003D1531"/>
    <w:rsid w:val="003D1D34"/>
    <w:rsid w:val="003E4EC6"/>
    <w:rsid w:val="003E527E"/>
    <w:rsid w:val="003E553E"/>
    <w:rsid w:val="003E7078"/>
    <w:rsid w:val="003F3DF5"/>
    <w:rsid w:val="003F73B8"/>
    <w:rsid w:val="0040297E"/>
    <w:rsid w:val="00411D11"/>
    <w:rsid w:val="00414494"/>
    <w:rsid w:val="00415E23"/>
    <w:rsid w:val="0041670D"/>
    <w:rsid w:val="00423272"/>
    <w:rsid w:val="00424061"/>
    <w:rsid w:val="0043132E"/>
    <w:rsid w:val="00442A3C"/>
    <w:rsid w:val="00443969"/>
    <w:rsid w:val="00447D74"/>
    <w:rsid w:val="00450A74"/>
    <w:rsid w:val="004546BF"/>
    <w:rsid w:val="00455802"/>
    <w:rsid w:val="00465350"/>
    <w:rsid w:val="004658EF"/>
    <w:rsid w:val="00476B91"/>
    <w:rsid w:val="004846BF"/>
    <w:rsid w:val="00494912"/>
    <w:rsid w:val="0049697D"/>
    <w:rsid w:val="004A5323"/>
    <w:rsid w:val="004A5A99"/>
    <w:rsid w:val="004C6979"/>
    <w:rsid w:val="004D13A2"/>
    <w:rsid w:val="004D3E7A"/>
    <w:rsid w:val="004F594B"/>
    <w:rsid w:val="004F61E1"/>
    <w:rsid w:val="0053380B"/>
    <w:rsid w:val="00543194"/>
    <w:rsid w:val="00544138"/>
    <w:rsid w:val="00554E34"/>
    <w:rsid w:val="00572657"/>
    <w:rsid w:val="00584195"/>
    <w:rsid w:val="00584583"/>
    <w:rsid w:val="00590E90"/>
    <w:rsid w:val="00590EEB"/>
    <w:rsid w:val="005A4099"/>
    <w:rsid w:val="005C38B2"/>
    <w:rsid w:val="005C4BF2"/>
    <w:rsid w:val="005C5029"/>
    <w:rsid w:val="005C55C2"/>
    <w:rsid w:val="005C71CA"/>
    <w:rsid w:val="005C745C"/>
    <w:rsid w:val="005D4DF5"/>
    <w:rsid w:val="005E42BA"/>
    <w:rsid w:val="005F30C2"/>
    <w:rsid w:val="005F5B35"/>
    <w:rsid w:val="00611D6B"/>
    <w:rsid w:val="00625CFD"/>
    <w:rsid w:val="006326EC"/>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3035"/>
    <w:rsid w:val="00705086"/>
    <w:rsid w:val="00722001"/>
    <w:rsid w:val="00722F9F"/>
    <w:rsid w:val="00727CDF"/>
    <w:rsid w:val="00744525"/>
    <w:rsid w:val="00751E66"/>
    <w:rsid w:val="00754497"/>
    <w:rsid w:val="0075632F"/>
    <w:rsid w:val="00773201"/>
    <w:rsid w:val="00787C39"/>
    <w:rsid w:val="00792947"/>
    <w:rsid w:val="00795DF3"/>
    <w:rsid w:val="007A373C"/>
    <w:rsid w:val="007B225C"/>
    <w:rsid w:val="007B6318"/>
    <w:rsid w:val="007C4A3D"/>
    <w:rsid w:val="007C75B1"/>
    <w:rsid w:val="007D3DFC"/>
    <w:rsid w:val="007E2F07"/>
    <w:rsid w:val="007E59A8"/>
    <w:rsid w:val="0080776D"/>
    <w:rsid w:val="00810145"/>
    <w:rsid w:val="008108FA"/>
    <w:rsid w:val="00810FF1"/>
    <w:rsid w:val="00814D3E"/>
    <w:rsid w:val="00822336"/>
    <w:rsid w:val="00823DFA"/>
    <w:rsid w:val="00824DE0"/>
    <w:rsid w:val="00842DB7"/>
    <w:rsid w:val="00843752"/>
    <w:rsid w:val="0084479F"/>
    <w:rsid w:val="0085725E"/>
    <w:rsid w:val="0086324D"/>
    <w:rsid w:val="008661EC"/>
    <w:rsid w:val="00873D4F"/>
    <w:rsid w:val="0087509F"/>
    <w:rsid w:val="00885B09"/>
    <w:rsid w:val="00892400"/>
    <w:rsid w:val="008A209D"/>
    <w:rsid w:val="008A22BB"/>
    <w:rsid w:val="008A30B5"/>
    <w:rsid w:val="008A7037"/>
    <w:rsid w:val="008B035D"/>
    <w:rsid w:val="008B0E29"/>
    <w:rsid w:val="008B0EFA"/>
    <w:rsid w:val="008B30AB"/>
    <w:rsid w:val="008B68F2"/>
    <w:rsid w:val="008B793D"/>
    <w:rsid w:val="008C3BB8"/>
    <w:rsid w:val="008C4B65"/>
    <w:rsid w:val="008E5A66"/>
    <w:rsid w:val="008E5F55"/>
    <w:rsid w:val="009009E7"/>
    <w:rsid w:val="00905DEF"/>
    <w:rsid w:val="00906056"/>
    <w:rsid w:val="009122AE"/>
    <w:rsid w:val="00913B43"/>
    <w:rsid w:val="00930203"/>
    <w:rsid w:val="009311D2"/>
    <w:rsid w:val="009311E6"/>
    <w:rsid w:val="00931275"/>
    <w:rsid w:val="00935B76"/>
    <w:rsid w:val="00936AC7"/>
    <w:rsid w:val="00947761"/>
    <w:rsid w:val="00953B64"/>
    <w:rsid w:val="009646A7"/>
    <w:rsid w:val="00970A88"/>
    <w:rsid w:val="009818A1"/>
    <w:rsid w:val="00985F09"/>
    <w:rsid w:val="009A1674"/>
    <w:rsid w:val="009B38BE"/>
    <w:rsid w:val="009B4DF2"/>
    <w:rsid w:val="009C1B1B"/>
    <w:rsid w:val="009C684F"/>
    <w:rsid w:val="009D074C"/>
    <w:rsid w:val="009D6E73"/>
    <w:rsid w:val="009F1F1D"/>
    <w:rsid w:val="009F2B4F"/>
    <w:rsid w:val="009F3C63"/>
    <w:rsid w:val="009F66B5"/>
    <w:rsid w:val="00A0187C"/>
    <w:rsid w:val="00A02F10"/>
    <w:rsid w:val="00A1060C"/>
    <w:rsid w:val="00A16221"/>
    <w:rsid w:val="00A20A7D"/>
    <w:rsid w:val="00A25780"/>
    <w:rsid w:val="00A33C5C"/>
    <w:rsid w:val="00A35D42"/>
    <w:rsid w:val="00A4313B"/>
    <w:rsid w:val="00A44D72"/>
    <w:rsid w:val="00A46CCF"/>
    <w:rsid w:val="00A506DE"/>
    <w:rsid w:val="00A53451"/>
    <w:rsid w:val="00A70426"/>
    <w:rsid w:val="00A707CC"/>
    <w:rsid w:val="00A71410"/>
    <w:rsid w:val="00A72368"/>
    <w:rsid w:val="00A91E9A"/>
    <w:rsid w:val="00A93ED9"/>
    <w:rsid w:val="00A96221"/>
    <w:rsid w:val="00AC2DBB"/>
    <w:rsid w:val="00AC6A99"/>
    <w:rsid w:val="00AD6048"/>
    <w:rsid w:val="00AE20AA"/>
    <w:rsid w:val="00AF0A45"/>
    <w:rsid w:val="00B055EF"/>
    <w:rsid w:val="00B06B5B"/>
    <w:rsid w:val="00B23769"/>
    <w:rsid w:val="00B41789"/>
    <w:rsid w:val="00B81808"/>
    <w:rsid w:val="00B86DFA"/>
    <w:rsid w:val="00B936D0"/>
    <w:rsid w:val="00BB15FB"/>
    <w:rsid w:val="00BD3D5B"/>
    <w:rsid w:val="00BE1679"/>
    <w:rsid w:val="00BE3600"/>
    <w:rsid w:val="00C01F6F"/>
    <w:rsid w:val="00C041EA"/>
    <w:rsid w:val="00C13BBD"/>
    <w:rsid w:val="00C149AB"/>
    <w:rsid w:val="00C16929"/>
    <w:rsid w:val="00C20690"/>
    <w:rsid w:val="00C36020"/>
    <w:rsid w:val="00C40694"/>
    <w:rsid w:val="00C40A0D"/>
    <w:rsid w:val="00C42B77"/>
    <w:rsid w:val="00C479BF"/>
    <w:rsid w:val="00C5124B"/>
    <w:rsid w:val="00C52CBF"/>
    <w:rsid w:val="00C62EAA"/>
    <w:rsid w:val="00C70542"/>
    <w:rsid w:val="00C71649"/>
    <w:rsid w:val="00C75CBF"/>
    <w:rsid w:val="00C97243"/>
    <w:rsid w:val="00CC2894"/>
    <w:rsid w:val="00CC4B24"/>
    <w:rsid w:val="00CD77C3"/>
    <w:rsid w:val="00CE112C"/>
    <w:rsid w:val="00CF55D4"/>
    <w:rsid w:val="00D0402C"/>
    <w:rsid w:val="00D43B7B"/>
    <w:rsid w:val="00D608DA"/>
    <w:rsid w:val="00D730BF"/>
    <w:rsid w:val="00D852F4"/>
    <w:rsid w:val="00DB1110"/>
    <w:rsid w:val="00DB3730"/>
    <w:rsid w:val="00DC32BB"/>
    <w:rsid w:val="00DC371B"/>
    <w:rsid w:val="00DC3788"/>
    <w:rsid w:val="00DC4E2E"/>
    <w:rsid w:val="00DC76C7"/>
    <w:rsid w:val="00DD09F5"/>
    <w:rsid w:val="00DD0E02"/>
    <w:rsid w:val="00DD4201"/>
    <w:rsid w:val="00DD5E9F"/>
    <w:rsid w:val="00DE0D99"/>
    <w:rsid w:val="00DE5711"/>
    <w:rsid w:val="00DF305B"/>
    <w:rsid w:val="00E00583"/>
    <w:rsid w:val="00E00EA0"/>
    <w:rsid w:val="00E021CB"/>
    <w:rsid w:val="00E1111A"/>
    <w:rsid w:val="00E138F1"/>
    <w:rsid w:val="00E17750"/>
    <w:rsid w:val="00E2309D"/>
    <w:rsid w:val="00E238A7"/>
    <w:rsid w:val="00E26758"/>
    <w:rsid w:val="00E4357B"/>
    <w:rsid w:val="00E443A7"/>
    <w:rsid w:val="00E45904"/>
    <w:rsid w:val="00E63DE5"/>
    <w:rsid w:val="00E647AF"/>
    <w:rsid w:val="00E647C7"/>
    <w:rsid w:val="00E65A37"/>
    <w:rsid w:val="00E65EF7"/>
    <w:rsid w:val="00E73F5C"/>
    <w:rsid w:val="00E77A41"/>
    <w:rsid w:val="00E77B48"/>
    <w:rsid w:val="00E857FB"/>
    <w:rsid w:val="00E91799"/>
    <w:rsid w:val="00E97DF8"/>
    <w:rsid w:val="00EA21FE"/>
    <w:rsid w:val="00EA34E3"/>
    <w:rsid w:val="00EB7538"/>
    <w:rsid w:val="00EC1868"/>
    <w:rsid w:val="00EE158E"/>
    <w:rsid w:val="00EE6468"/>
    <w:rsid w:val="00F126F1"/>
    <w:rsid w:val="00F1299B"/>
    <w:rsid w:val="00F207A4"/>
    <w:rsid w:val="00F25173"/>
    <w:rsid w:val="00F2794F"/>
    <w:rsid w:val="00F345B6"/>
    <w:rsid w:val="00F355AC"/>
    <w:rsid w:val="00F40CF7"/>
    <w:rsid w:val="00F44194"/>
    <w:rsid w:val="00F4521B"/>
    <w:rsid w:val="00F71A5A"/>
    <w:rsid w:val="00F73A1A"/>
    <w:rsid w:val="00F769E0"/>
    <w:rsid w:val="00FA4A46"/>
    <w:rsid w:val="00FA75FE"/>
    <w:rsid w:val="00FB1032"/>
    <w:rsid w:val="00FB39BC"/>
    <w:rsid w:val="00FB6A53"/>
    <w:rsid w:val="00FC11CA"/>
    <w:rsid w:val="00FC596B"/>
    <w:rsid w:val="00FC6BDE"/>
    <w:rsid w:val="00FF290F"/>
    <w:rsid w:val="00FF3D91"/>
    <w:rsid w:val="00FF404F"/>
    <w:rsid w:val="00FF6138"/>
    <w:rsid w:val="02B3E452"/>
    <w:rsid w:val="02CCA8DB"/>
    <w:rsid w:val="0370385C"/>
    <w:rsid w:val="03C47D53"/>
    <w:rsid w:val="04E1E3FA"/>
    <w:rsid w:val="050B1086"/>
    <w:rsid w:val="055793F1"/>
    <w:rsid w:val="05BEF2BE"/>
    <w:rsid w:val="05F1D125"/>
    <w:rsid w:val="0635C20F"/>
    <w:rsid w:val="07560028"/>
    <w:rsid w:val="07ED41D4"/>
    <w:rsid w:val="081CCEF0"/>
    <w:rsid w:val="08201C7D"/>
    <w:rsid w:val="0977DDF9"/>
    <w:rsid w:val="09A50EE3"/>
    <w:rsid w:val="0A4A3F26"/>
    <w:rsid w:val="0A573FB1"/>
    <w:rsid w:val="0AAF4131"/>
    <w:rsid w:val="0AD569E2"/>
    <w:rsid w:val="0DF4C604"/>
    <w:rsid w:val="0E6B6284"/>
    <w:rsid w:val="0EA7414D"/>
    <w:rsid w:val="0EF22E15"/>
    <w:rsid w:val="0EFE697F"/>
    <w:rsid w:val="1039DD59"/>
    <w:rsid w:val="10CDEC1E"/>
    <w:rsid w:val="115D09DD"/>
    <w:rsid w:val="1167D944"/>
    <w:rsid w:val="11ED3BE6"/>
    <w:rsid w:val="12C7EA43"/>
    <w:rsid w:val="148092B8"/>
    <w:rsid w:val="149D71BE"/>
    <w:rsid w:val="14E654E1"/>
    <w:rsid w:val="16ABD43B"/>
    <w:rsid w:val="175EB53D"/>
    <w:rsid w:val="17AF8444"/>
    <w:rsid w:val="17D7FE69"/>
    <w:rsid w:val="17ED25D3"/>
    <w:rsid w:val="17EDBD3B"/>
    <w:rsid w:val="184D34A3"/>
    <w:rsid w:val="185192C3"/>
    <w:rsid w:val="186D0BA4"/>
    <w:rsid w:val="18887CFD"/>
    <w:rsid w:val="19B6C30C"/>
    <w:rsid w:val="19BB7152"/>
    <w:rsid w:val="19C547A6"/>
    <w:rsid w:val="19FC0897"/>
    <w:rsid w:val="1ABF0912"/>
    <w:rsid w:val="1DA869EB"/>
    <w:rsid w:val="1E81CC72"/>
    <w:rsid w:val="1EBDC59E"/>
    <w:rsid w:val="1F5F9627"/>
    <w:rsid w:val="1F853DAD"/>
    <w:rsid w:val="20C103E1"/>
    <w:rsid w:val="2164F1A3"/>
    <w:rsid w:val="217CCE44"/>
    <w:rsid w:val="21A18EBC"/>
    <w:rsid w:val="21BDC96D"/>
    <w:rsid w:val="22307623"/>
    <w:rsid w:val="22ADD543"/>
    <w:rsid w:val="22DD705B"/>
    <w:rsid w:val="23248501"/>
    <w:rsid w:val="2413097B"/>
    <w:rsid w:val="243D9D1B"/>
    <w:rsid w:val="25A0A79C"/>
    <w:rsid w:val="25B17390"/>
    <w:rsid w:val="25B18823"/>
    <w:rsid w:val="277C40E8"/>
    <w:rsid w:val="2826741E"/>
    <w:rsid w:val="28469FDD"/>
    <w:rsid w:val="2B53A87D"/>
    <w:rsid w:val="2B8DB036"/>
    <w:rsid w:val="2D35549E"/>
    <w:rsid w:val="2D3CAA4C"/>
    <w:rsid w:val="2E6F6518"/>
    <w:rsid w:val="2FF4DED6"/>
    <w:rsid w:val="30681B7F"/>
    <w:rsid w:val="3100B5E1"/>
    <w:rsid w:val="31046707"/>
    <w:rsid w:val="313E7527"/>
    <w:rsid w:val="3199A100"/>
    <w:rsid w:val="319E8A14"/>
    <w:rsid w:val="32C9687D"/>
    <w:rsid w:val="3382482B"/>
    <w:rsid w:val="34BC9EC4"/>
    <w:rsid w:val="34C22A2F"/>
    <w:rsid w:val="3510DA6D"/>
    <w:rsid w:val="36B65540"/>
    <w:rsid w:val="36D0A7BB"/>
    <w:rsid w:val="37E37245"/>
    <w:rsid w:val="37F069C4"/>
    <w:rsid w:val="38EBB7BA"/>
    <w:rsid w:val="398611FD"/>
    <w:rsid w:val="3D202DF7"/>
    <w:rsid w:val="3D6226B9"/>
    <w:rsid w:val="3E95FD24"/>
    <w:rsid w:val="3EC36CE3"/>
    <w:rsid w:val="3FB2FFB3"/>
    <w:rsid w:val="40CC2AD2"/>
    <w:rsid w:val="4191D7E8"/>
    <w:rsid w:val="41920D21"/>
    <w:rsid w:val="41A9FE42"/>
    <w:rsid w:val="41DCD7BB"/>
    <w:rsid w:val="4239E061"/>
    <w:rsid w:val="427D1EEC"/>
    <w:rsid w:val="448019C8"/>
    <w:rsid w:val="465B137F"/>
    <w:rsid w:val="469B14A9"/>
    <w:rsid w:val="46A0692F"/>
    <w:rsid w:val="48C2E87D"/>
    <w:rsid w:val="4968515F"/>
    <w:rsid w:val="49940641"/>
    <w:rsid w:val="49A0D684"/>
    <w:rsid w:val="49B90087"/>
    <w:rsid w:val="4A52B39A"/>
    <w:rsid w:val="4BAEAF2F"/>
    <w:rsid w:val="4C716281"/>
    <w:rsid w:val="4CC1EA54"/>
    <w:rsid w:val="4DC65880"/>
    <w:rsid w:val="4F72D2A0"/>
    <w:rsid w:val="4FB7668C"/>
    <w:rsid w:val="506037B6"/>
    <w:rsid w:val="51AC231C"/>
    <w:rsid w:val="521F2F69"/>
    <w:rsid w:val="52434EFA"/>
    <w:rsid w:val="5354D3AC"/>
    <w:rsid w:val="5484DCE9"/>
    <w:rsid w:val="5632948A"/>
    <w:rsid w:val="565BA456"/>
    <w:rsid w:val="5710CC7C"/>
    <w:rsid w:val="5733B1CB"/>
    <w:rsid w:val="573D9F67"/>
    <w:rsid w:val="5799B848"/>
    <w:rsid w:val="5833741E"/>
    <w:rsid w:val="583C60DB"/>
    <w:rsid w:val="585091F8"/>
    <w:rsid w:val="585C2851"/>
    <w:rsid w:val="5910EAF8"/>
    <w:rsid w:val="593A56A0"/>
    <w:rsid w:val="59A7559F"/>
    <w:rsid w:val="5AAE59F3"/>
    <w:rsid w:val="5B5292E0"/>
    <w:rsid w:val="5C5CF2FE"/>
    <w:rsid w:val="5C638BAA"/>
    <w:rsid w:val="5C682675"/>
    <w:rsid w:val="5C7B73DB"/>
    <w:rsid w:val="5DA49FCC"/>
    <w:rsid w:val="5E276575"/>
    <w:rsid w:val="5E7B5598"/>
    <w:rsid w:val="5E868916"/>
    <w:rsid w:val="5F5C87ED"/>
    <w:rsid w:val="6075C90E"/>
    <w:rsid w:val="60EAA148"/>
    <w:rsid w:val="6133B917"/>
    <w:rsid w:val="62661D65"/>
    <w:rsid w:val="631C02A8"/>
    <w:rsid w:val="65FB25B6"/>
    <w:rsid w:val="661420FE"/>
    <w:rsid w:val="664724D1"/>
    <w:rsid w:val="66A966A3"/>
    <w:rsid w:val="674075FE"/>
    <w:rsid w:val="68CC387E"/>
    <w:rsid w:val="691B7913"/>
    <w:rsid w:val="6AA9376E"/>
    <w:rsid w:val="6B0A53D8"/>
    <w:rsid w:val="6B0F350B"/>
    <w:rsid w:val="6C697844"/>
    <w:rsid w:val="6C934265"/>
    <w:rsid w:val="6C9C419C"/>
    <w:rsid w:val="6CA588BA"/>
    <w:rsid w:val="6D427968"/>
    <w:rsid w:val="72387272"/>
    <w:rsid w:val="737002A7"/>
    <w:rsid w:val="73D88ACD"/>
    <w:rsid w:val="756FF3C4"/>
    <w:rsid w:val="75B11FE6"/>
    <w:rsid w:val="76839E8A"/>
    <w:rsid w:val="7710D7E2"/>
    <w:rsid w:val="77C5E759"/>
    <w:rsid w:val="77E6BBBF"/>
    <w:rsid w:val="7800AB81"/>
    <w:rsid w:val="78517659"/>
    <w:rsid w:val="78E49AA6"/>
    <w:rsid w:val="7974F4CF"/>
    <w:rsid w:val="7B23DF24"/>
    <w:rsid w:val="7BECC25B"/>
    <w:rsid w:val="7D1815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F1BE39"/>
  <w15:chartTrackingRefBased/>
  <w15:docId w15:val="{B15299DE-E31F-4932-84BC-12C4AEA3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41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703035"/>
    <w:rPr>
      <w:sz w:val="16"/>
      <w:szCs w:val="16"/>
    </w:rPr>
  </w:style>
  <w:style w:type="paragraph" w:styleId="CommentText">
    <w:name w:val="annotation text"/>
    <w:basedOn w:val="Normal"/>
    <w:link w:val="CommentTextChar"/>
    <w:rsid w:val="00703035"/>
    <w:rPr>
      <w:sz w:val="20"/>
      <w:szCs w:val="20"/>
    </w:rPr>
  </w:style>
  <w:style w:type="character" w:customStyle="1" w:styleId="CommentTextChar">
    <w:name w:val="Comment Text Char"/>
    <w:basedOn w:val="DefaultParagraphFont"/>
    <w:link w:val="CommentText"/>
    <w:rsid w:val="00703035"/>
  </w:style>
  <w:style w:type="paragraph" w:styleId="CommentSubject">
    <w:name w:val="annotation subject"/>
    <w:basedOn w:val="CommentText"/>
    <w:next w:val="CommentText"/>
    <w:link w:val="CommentSubjectChar"/>
    <w:rsid w:val="00703035"/>
    <w:rPr>
      <w:b/>
      <w:bCs/>
    </w:rPr>
  </w:style>
  <w:style w:type="character" w:customStyle="1" w:styleId="CommentSubjectChar">
    <w:name w:val="Comment Subject Char"/>
    <w:basedOn w:val="CommentTextChar"/>
    <w:link w:val="CommentSubject"/>
    <w:rsid w:val="00703035"/>
    <w:rPr>
      <w:b/>
      <w:bCs/>
    </w:rPr>
  </w:style>
  <w:style w:type="paragraph" w:styleId="Revision">
    <w:name w:val="Revision"/>
    <w:hidden/>
    <w:uiPriority w:val="99"/>
    <w:semiHidden/>
    <w:rsid w:val="009C1B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animal-veterinary/resources-you/cvm-small-business-assistance" TargetMode="External" /><Relationship Id="rId8" Type="http://schemas.openxmlformats.org/officeDocument/2006/relationships/hyperlink" Target="https://data.bls.gov/oe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EA53B0180ACC43B0B8E04111DEB3F8" ma:contentTypeVersion="7" ma:contentTypeDescription="Create a new document." ma:contentTypeScope="" ma:versionID="5f8bc39f6e996eda9a4cb9a1f941d2af">
  <xsd:schema xmlns:xsd="http://www.w3.org/2001/XMLSchema" xmlns:xs="http://www.w3.org/2001/XMLSchema" xmlns:p="http://schemas.microsoft.com/office/2006/metadata/properties" xmlns:ns2="6ee1f512-2ca5-48ef-a3b9-ab99638126e9" xmlns:ns3="31c81500-8b38-4d76-b94f-c6d7ff086587" targetNamespace="http://schemas.microsoft.com/office/2006/metadata/properties" ma:root="true" ma:fieldsID="16c4df113987b590316103dcb305ad17" ns2:_="" ns3:_="">
    <xsd:import namespace="6ee1f512-2ca5-48ef-a3b9-ab99638126e9"/>
    <xsd:import namespace="31c81500-8b38-4d76-b94f-c6d7ff0865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1f512-2ca5-48ef-a3b9-ab9963812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81500-8b38-4d76-b94f-c6d7ff0865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2.xml><?xml version="1.0" encoding="utf-8"?>
<ds:datastoreItem xmlns:ds="http://schemas.openxmlformats.org/officeDocument/2006/customXml" ds:itemID="{4ACDD97E-3AB0-424C-B203-2B37EC0D230B}">
  <ds:schemaRefs>
    <ds:schemaRef ds:uri="http://schemas.microsoft.com/office/2006/documentManagement/types"/>
    <ds:schemaRef ds:uri="http://schemas.microsoft.com/office/2006/metadata/properties"/>
    <ds:schemaRef ds:uri="31c81500-8b38-4d76-b94f-c6d7ff086587"/>
    <ds:schemaRef ds:uri="http://www.w3.org/XML/1998/namespace"/>
    <ds:schemaRef ds:uri="http://purl.org/dc/terms/"/>
    <ds:schemaRef ds:uri="http://schemas.openxmlformats.org/package/2006/metadata/core-properties"/>
    <ds:schemaRef ds:uri="http://schemas.microsoft.com/office/infopath/2007/PartnerControls"/>
    <ds:schemaRef ds:uri="6ee1f512-2ca5-48ef-a3b9-ab99638126e9"/>
    <ds:schemaRef ds:uri="http://purl.org/dc/dcmitype/"/>
    <ds:schemaRef ds:uri="http://purl.org/dc/elements/1.1/"/>
  </ds:schemaRefs>
</ds:datastoreItem>
</file>

<file path=customXml/itemProps3.xml><?xml version="1.0" encoding="utf-8"?>
<ds:datastoreItem xmlns:ds="http://schemas.openxmlformats.org/officeDocument/2006/customXml" ds:itemID="{26C7610B-D3C9-4CCE-9776-9230D8B39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1f512-2ca5-48ef-a3b9-ab99638126e9"/>
    <ds:schemaRef ds:uri="31c81500-8b38-4d76-b94f-c6d7ff086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2310</Words>
  <Characters>13454</Characters>
  <Application>Microsoft Office Word</Application>
  <DocSecurity>0</DocSecurity>
  <Lines>112</Lines>
  <Paragraphs>31</Paragraphs>
  <ScaleCrop>false</ScaleCrop>
  <Company>US FDA</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Covington, Kelly</cp:lastModifiedBy>
  <cp:revision>3</cp:revision>
  <cp:lastPrinted>2019-07-03T16:25:00Z</cp:lastPrinted>
  <dcterms:created xsi:type="dcterms:W3CDTF">2026-06-18T14:49:00Z</dcterms:created>
  <dcterms:modified xsi:type="dcterms:W3CDTF">2026-06-23T12:58:00Z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0x0101000BEA53B0180ACC43B0B8E04111DEB3F8</vt:lpwstr>
  </property>
</Properties>
</file>