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2882" w:rsidRPr="00BF0050" w:rsidP="00432DCE" w14:paraId="693F46CD" w14:textId="4DB5A267">
      <w:pPr>
        <w:pStyle w:val="Title"/>
        <w:contextualSpacing w:val="0"/>
        <w:jc w:val="center"/>
        <w:rPr>
          <w:rFonts w:ascii="Times New Roman" w:hAnsi="Times New Roman" w:cs="Times New Roman"/>
          <w:sz w:val="24"/>
          <w:szCs w:val="24"/>
        </w:rPr>
      </w:pPr>
      <w:bookmarkStart w:id="0" w:name="_Hlk528565784"/>
      <w:r w:rsidRPr="00BF0050">
        <w:rPr>
          <w:rFonts w:ascii="Times New Roman" w:hAnsi="Times New Roman" w:cs="Times New Roman"/>
          <w:sz w:val="24"/>
          <w:szCs w:val="24"/>
        </w:rPr>
        <w:t>Supporting Statement – Part A</w:t>
      </w:r>
    </w:p>
    <w:p w:rsidR="00FC2882" w:rsidRPr="00BF0050" w:rsidP="00432DCE" w14:paraId="3B8C1238" w14:textId="77777777">
      <w:pPr>
        <w:pStyle w:val="Title"/>
        <w:contextualSpacing w:val="0"/>
        <w:jc w:val="center"/>
        <w:rPr>
          <w:rFonts w:ascii="Times New Roman" w:hAnsi="Times New Roman" w:cs="Times New Roman"/>
          <w:sz w:val="24"/>
          <w:szCs w:val="24"/>
        </w:rPr>
      </w:pPr>
      <w:r w:rsidRPr="00BF0050">
        <w:rPr>
          <w:rFonts w:ascii="Times New Roman" w:hAnsi="Times New Roman" w:cs="Times New Roman"/>
          <w:sz w:val="24"/>
          <w:szCs w:val="24"/>
        </w:rPr>
        <w:t>Medicaid Managed Care and Supporting Regulations</w:t>
      </w:r>
    </w:p>
    <w:p w:rsidR="00FC2882" w:rsidRPr="00BF0050" w:rsidP="00432DCE" w14:paraId="07A3CFD4" w14:textId="77777777">
      <w:pPr>
        <w:pStyle w:val="Title"/>
        <w:contextualSpacing w:val="0"/>
        <w:jc w:val="center"/>
        <w:rPr>
          <w:rFonts w:ascii="Times New Roman" w:hAnsi="Times New Roman" w:cs="Times New Roman"/>
          <w:sz w:val="24"/>
          <w:szCs w:val="24"/>
        </w:rPr>
      </w:pPr>
      <w:r w:rsidRPr="00BF0050">
        <w:rPr>
          <w:rFonts w:ascii="Times New Roman" w:hAnsi="Times New Roman" w:cs="Times New Roman"/>
          <w:sz w:val="24"/>
          <w:szCs w:val="24"/>
        </w:rPr>
        <w:t>CMS-10108, OMB 0938-0920</w:t>
      </w:r>
    </w:p>
    <w:p w:rsidR="006219BC" w:rsidP="00432DCE" w14:paraId="7E353D87" w14:textId="77777777">
      <w:pPr>
        <w:pStyle w:val="BodyText"/>
        <w:spacing w:after="0" w:line="240" w:lineRule="auto"/>
        <w:rPr>
          <w:rFonts w:ascii="Times New Roman" w:hAnsi="Times New Roman" w:cs="Times New Roman"/>
          <w:sz w:val="24"/>
          <w:szCs w:val="24"/>
        </w:rPr>
      </w:pPr>
    </w:p>
    <w:p w:rsidR="00377A6D" w:rsidP="00432DCE" w14:paraId="3530B12A" w14:textId="2BD6A423">
      <w:pPr>
        <w:pStyle w:val="BodyText"/>
        <w:spacing w:after="0" w:line="240" w:lineRule="auto"/>
        <w:rPr>
          <w:rFonts w:ascii="Times New Roman" w:hAnsi="Times New Roman" w:cs="Times New Roman"/>
          <w:sz w:val="24"/>
          <w:szCs w:val="24"/>
        </w:rPr>
      </w:pPr>
      <w:r w:rsidRPr="006872E2">
        <w:rPr>
          <w:rFonts w:ascii="Times New Roman" w:hAnsi="Times New Roman" w:cs="Times New Roman"/>
          <w:sz w:val="24"/>
          <w:szCs w:val="24"/>
        </w:rPr>
        <w:t>The regulatory sections that support this collection of information</w:t>
      </w:r>
      <w:r w:rsidR="00FA25B5">
        <w:rPr>
          <w:rFonts w:ascii="Times New Roman" w:hAnsi="Times New Roman" w:cs="Times New Roman"/>
          <w:sz w:val="24"/>
          <w:szCs w:val="24"/>
        </w:rPr>
        <w:t xml:space="preserve"> request </w:t>
      </w:r>
      <w:r w:rsidRPr="006872E2">
        <w:rPr>
          <w:rFonts w:ascii="Times New Roman" w:hAnsi="Times New Roman" w:cs="Times New Roman"/>
          <w:sz w:val="24"/>
          <w:szCs w:val="24"/>
        </w:rPr>
        <w:t xml:space="preserve">are set out in 42 CFR </w:t>
      </w:r>
      <w:r w:rsidRPr="00946F43">
        <w:rPr>
          <w:rFonts w:ascii="Times New Roman" w:hAnsi="Times New Roman" w:cs="Times New Roman"/>
          <w:sz w:val="24"/>
          <w:szCs w:val="24"/>
        </w:rPr>
        <w:t>part 438 (Managed Care)</w:t>
      </w:r>
      <w:r w:rsidRPr="00946F43" w:rsidR="00FA25B5">
        <w:rPr>
          <w:rFonts w:ascii="Times New Roman" w:hAnsi="Times New Roman" w:cs="Times New Roman"/>
          <w:sz w:val="24"/>
          <w:szCs w:val="24"/>
        </w:rPr>
        <w:t>. See section 12 of this Supporting Statement for details.</w:t>
      </w:r>
    </w:p>
    <w:p w:rsidR="00432DCE" w:rsidRPr="00946F43" w:rsidP="00432DCE" w14:paraId="7D7EDA6A" w14:textId="77777777">
      <w:pPr>
        <w:pStyle w:val="BodyText"/>
        <w:spacing w:after="0" w:line="240" w:lineRule="auto"/>
        <w:rPr>
          <w:rFonts w:ascii="Times New Roman" w:hAnsi="Times New Roman" w:cs="Times New Roman"/>
          <w:sz w:val="24"/>
          <w:szCs w:val="24"/>
        </w:rPr>
      </w:pPr>
    </w:p>
    <w:p w:rsidR="00FD4002" w:rsidP="00432DCE" w14:paraId="62210CD6" w14:textId="52ABFF0C">
      <w:pPr>
        <w:pStyle w:val="Heading1"/>
        <w:spacing w:before="0" w:line="240" w:lineRule="auto"/>
        <w:rPr>
          <w:rFonts w:ascii="Times New Roman" w:hAnsi="Times New Roman" w:cs="Times New Roman"/>
          <w:color w:val="auto"/>
          <w:sz w:val="24"/>
          <w:szCs w:val="24"/>
        </w:rPr>
      </w:pPr>
      <w:bookmarkStart w:id="1" w:name="_Toc528571020"/>
      <w:bookmarkStart w:id="2" w:name="_Toc528571486"/>
      <w:bookmarkStart w:id="3" w:name="_Toc528571580"/>
      <w:bookmarkEnd w:id="0"/>
      <w:r w:rsidRPr="0034625E">
        <w:rPr>
          <w:rFonts w:ascii="Times New Roman" w:hAnsi="Times New Roman" w:cs="Times New Roman"/>
          <w:color w:val="auto"/>
          <w:sz w:val="24"/>
          <w:szCs w:val="24"/>
        </w:rPr>
        <w:t>The contents of this Supporting Statement and the associated attachments have been reviewed</w:t>
      </w:r>
      <w:r w:rsidRPr="00946F43">
        <w:rPr>
          <w:rFonts w:ascii="Times New Roman" w:hAnsi="Times New Roman" w:cs="Times New Roman"/>
          <w:color w:val="auto"/>
          <w:sz w:val="24"/>
          <w:szCs w:val="24"/>
        </w:rPr>
        <w:t xml:space="preserve"> to ensure that they are consistent with the Trump administration’s policies, goals, and objectives.</w:t>
      </w:r>
    </w:p>
    <w:p w:rsidR="00432DCE" w:rsidRPr="00432DCE" w:rsidP="00432DCE" w14:paraId="63988D1B" w14:textId="77777777"/>
    <w:p w:rsidR="00FC2882" w:rsidRPr="00E93BA5" w:rsidP="00432DCE" w14:paraId="76569D9F" w14:textId="42C16008">
      <w:pPr>
        <w:pStyle w:val="Heading1"/>
        <w:spacing w:before="0" w:line="240" w:lineRule="auto"/>
        <w:rPr>
          <w:rFonts w:ascii="Times New Roman" w:hAnsi="Times New Roman" w:cs="Times New Roman"/>
          <w:b/>
          <w:color w:val="auto"/>
          <w:sz w:val="24"/>
          <w:szCs w:val="24"/>
        </w:rPr>
      </w:pPr>
      <w:r w:rsidRPr="00E93BA5">
        <w:rPr>
          <w:rFonts w:ascii="Times New Roman" w:hAnsi="Times New Roman" w:cs="Times New Roman"/>
          <w:b/>
          <w:color w:val="auto"/>
          <w:sz w:val="24"/>
          <w:szCs w:val="24"/>
        </w:rPr>
        <w:t>Background</w:t>
      </w:r>
      <w:bookmarkEnd w:id="1"/>
      <w:bookmarkEnd w:id="2"/>
      <w:bookmarkEnd w:id="3"/>
    </w:p>
    <w:p w:rsidR="00386EE0" w:rsidRPr="00E93BA5" w:rsidP="00432DCE" w14:paraId="4BBBBE6E" w14:textId="77777777">
      <w:pPr>
        <w:pStyle w:val="BodyText"/>
        <w:spacing w:after="0" w:line="240" w:lineRule="auto"/>
        <w:rPr>
          <w:rFonts w:ascii="Times New Roman" w:hAnsi="Times New Roman" w:cs="Times New Roman"/>
          <w:sz w:val="24"/>
          <w:szCs w:val="24"/>
        </w:rPr>
      </w:pPr>
    </w:p>
    <w:p w:rsidR="00BF0050" w:rsidRPr="00BF0050" w:rsidP="002A4711" w14:paraId="688A014D" w14:textId="36DB1F7E">
      <w:pPr>
        <w:pStyle w:val="BodyText"/>
        <w:widowControl w:val="0"/>
        <w:spacing w:after="0" w:line="240" w:lineRule="auto"/>
        <w:rPr>
          <w:rFonts w:ascii="Times New Roman" w:hAnsi="Times New Roman" w:cs="Times New Roman"/>
          <w:sz w:val="24"/>
          <w:szCs w:val="24"/>
        </w:rPr>
      </w:pPr>
      <w:r w:rsidRPr="000534B6">
        <w:rPr>
          <w:rFonts w:ascii="Times New Roman" w:hAnsi="Times New Roman" w:cs="Times New Roman"/>
          <w:sz w:val="24"/>
          <w:szCs w:val="24"/>
        </w:rPr>
        <w:t xml:space="preserve">This 2026 collection of information request proposes to adjust our active burden estimates based </w:t>
      </w:r>
      <w:r w:rsidRPr="002A4711">
        <w:rPr>
          <w:rFonts w:ascii="Times New Roman" w:hAnsi="Times New Roman" w:cs="Times New Roman"/>
          <w:sz w:val="24"/>
          <w:szCs w:val="24"/>
        </w:rPr>
        <w:t>on recent data.</w:t>
      </w:r>
      <w:r w:rsidRPr="002A4711" w:rsidR="002A4711">
        <w:rPr>
          <w:rFonts w:ascii="Times New Roman" w:hAnsi="Times New Roman" w:cs="Times New Roman"/>
          <w:sz w:val="24"/>
          <w:szCs w:val="24"/>
        </w:rPr>
        <w:t xml:space="preserve"> </w:t>
      </w:r>
      <w:r w:rsidRPr="002A4711" w:rsidR="00CC3A41">
        <w:rPr>
          <w:rFonts w:ascii="Times New Roman" w:hAnsi="Times New Roman" w:cs="Times New Roman"/>
          <w:sz w:val="24"/>
          <w:szCs w:val="24"/>
        </w:rPr>
        <w:t xml:space="preserve">Please see </w:t>
      </w:r>
      <w:r w:rsidRPr="002A4711" w:rsidR="000D5CD4">
        <w:rPr>
          <w:rFonts w:ascii="Times New Roman" w:hAnsi="Times New Roman" w:cs="Times New Roman"/>
          <w:sz w:val="24"/>
          <w:szCs w:val="24"/>
        </w:rPr>
        <w:t>s</w:t>
      </w:r>
      <w:r w:rsidRPr="002A4711" w:rsidR="00CC3A41">
        <w:rPr>
          <w:rFonts w:ascii="Times New Roman" w:hAnsi="Times New Roman" w:cs="Times New Roman"/>
          <w:sz w:val="24"/>
          <w:szCs w:val="24"/>
        </w:rPr>
        <w:t xml:space="preserve">ection 15 </w:t>
      </w:r>
      <w:r w:rsidRPr="002A4711" w:rsidR="000D5CD4">
        <w:rPr>
          <w:rFonts w:ascii="Times New Roman" w:hAnsi="Times New Roman" w:cs="Times New Roman"/>
          <w:sz w:val="24"/>
          <w:szCs w:val="24"/>
        </w:rPr>
        <w:t xml:space="preserve">of this Supporting Statement </w:t>
      </w:r>
      <w:r w:rsidRPr="002A4711" w:rsidR="00CC3A41">
        <w:rPr>
          <w:rFonts w:ascii="Times New Roman" w:hAnsi="Times New Roman" w:cs="Times New Roman"/>
          <w:sz w:val="24"/>
          <w:szCs w:val="24"/>
        </w:rPr>
        <w:t xml:space="preserve">for details.  </w:t>
      </w:r>
      <w:r w:rsidRPr="002A4711" w:rsidR="00574EB1">
        <w:rPr>
          <w:rFonts w:ascii="Times New Roman" w:hAnsi="Times New Roman" w:cs="Times New Roman"/>
          <w:sz w:val="24"/>
          <w:szCs w:val="24"/>
        </w:rPr>
        <w:t>We are not</w:t>
      </w:r>
      <w:r w:rsidRPr="00E93BA5" w:rsidR="00574EB1">
        <w:rPr>
          <w:rFonts w:ascii="Times New Roman" w:hAnsi="Times New Roman" w:cs="Times New Roman"/>
          <w:sz w:val="24"/>
          <w:szCs w:val="24"/>
        </w:rPr>
        <w:t xml:space="preserve"> pro</w:t>
      </w:r>
      <w:r w:rsidRPr="00E93BA5" w:rsidR="00174AC2">
        <w:rPr>
          <w:rFonts w:ascii="Times New Roman" w:hAnsi="Times New Roman" w:cs="Times New Roman"/>
          <w:sz w:val="24"/>
          <w:szCs w:val="24"/>
        </w:rPr>
        <w:t>po</w:t>
      </w:r>
      <w:r w:rsidRPr="00E93BA5" w:rsidR="00574EB1">
        <w:rPr>
          <w:rFonts w:ascii="Times New Roman" w:hAnsi="Times New Roman" w:cs="Times New Roman"/>
          <w:sz w:val="24"/>
          <w:szCs w:val="24"/>
        </w:rPr>
        <w:t xml:space="preserve">sing </w:t>
      </w:r>
      <w:r w:rsidR="002A4711">
        <w:rPr>
          <w:rFonts w:ascii="Times New Roman" w:hAnsi="Times New Roman" w:cs="Times New Roman"/>
          <w:sz w:val="24"/>
          <w:szCs w:val="24"/>
        </w:rPr>
        <w:t xml:space="preserve">to </w:t>
      </w:r>
      <w:r w:rsidRPr="00E93BA5" w:rsidR="00574EB1">
        <w:rPr>
          <w:rFonts w:ascii="Times New Roman" w:hAnsi="Times New Roman" w:cs="Times New Roman"/>
          <w:sz w:val="24"/>
          <w:szCs w:val="24"/>
        </w:rPr>
        <w:t>change</w:t>
      </w:r>
      <w:r w:rsidR="00432DCE">
        <w:rPr>
          <w:rFonts w:ascii="Times New Roman" w:hAnsi="Times New Roman" w:cs="Times New Roman"/>
          <w:sz w:val="24"/>
          <w:szCs w:val="24"/>
        </w:rPr>
        <w:t xml:space="preserve"> </w:t>
      </w:r>
      <w:r w:rsidR="002A4711">
        <w:rPr>
          <w:rFonts w:ascii="Times New Roman" w:hAnsi="Times New Roman" w:cs="Times New Roman"/>
          <w:sz w:val="24"/>
          <w:szCs w:val="24"/>
        </w:rPr>
        <w:t xml:space="preserve">any of </w:t>
      </w:r>
      <w:r w:rsidRPr="00E93BA5" w:rsidR="00574EB1">
        <w:rPr>
          <w:rFonts w:ascii="Times New Roman" w:hAnsi="Times New Roman" w:cs="Times New Roman"/>
          <w:sz w:val="24"/>
          <w:szCs w:val="24"/>
        </w:rPr>
        <w:t>our three active templates:</w:t>
      </w:r>
    </w:p>
    <w:p w:rsidR="00BF0050" w:rsidRPr="00BF0050" w:rsidP="00432DCE" w14:paraId="4CE222E8" w14:textId="77777777">
      <w:pPr>
        <w:pStyle w:val="BodyText"/>
        <w:spacing w:after="0" w:line="240" w:lineRule="auto"/>
        <w:rPr>
          <w:rFonts w:ascii="Times New Roman" w:hAnsi="Times New Roman" w:cs="Times New Roman"/>
          <w:sz w:val="24"/>
          <w:szCs w:val="24"/>
        </w:rPr>
      </w:pPr>
    </w:p>
    <w:p w:rsidR="001D273D" w:rsidRPr="007E7816" w:rsidP="002A4711" w14:paraId="5234D6DD" w14:textId="4C317B4F">
      <w:pPr>
        <w:pStyle w:val="BodyText"/>
        <w:spacing w:after="0" w:line="240" w:lineRule="auto"/>
        <w:rPr>
          <w:rFonts w:ascii="Times New Roman" w:hAnsi="Times New Roman" w:cs="Times New Roman"/>
          <w:sz w:val="24"/>
          <w:szCs w:val="24"/>
        </w:rPr>
      </w:pPr>
      <w:bookmarkStart w:id="4" w:name="_Hlk132609767"/>
      <w:r w:rsidRPr="007E7816">
        <w:rPr>
          <w:rFonts w:ascii="Times New Roman" w:hAnsi="Times New Roman" w:cs="Times New Roman"/>
          <w:sz w:val="24"/>
          <w:szCs w:val="24"/>
        </w:rPr>
        <w:t xml:space="preserve">This collection also seeks to extend the </w:t>
      </w:r>
      <w:r w:rsidRPr="007E7816">
        <w:rPr>
          <w:rFonts w:ascii="Times New Roman" w:hAnsi="Times New Roman" w:cs="Times New Roman"/>
          <w:sz w:val="24"/>
          <w:szCs w:val="24"/>
        </w:rPr>
        <w:t>aforementioned OMB</w:t>
      </w:r>
      <w:r w:rsidRPr="007E7816">
        <w:rPr>
          <w:rFonts w:ascii="Times New Roman" w:hAnsi="Times New Roman" w:cs="Times New Roman"/>
          <w:sz w:val="24"/>
          <w:szCs w:val="24"/>
        </w:rPr>
        <w:t xml:space="preserve"> control number for three years</w:t>
      </w:r>
      <w:bookmarkEnd w:id="4"/>
      <w:r w:rsidRPr="007E7816">
        <w:rPr>
          <w:rFonts w:ascii="Times New Roman" w:hAnsi="Times New Roman" w:cs="Times New Roman"/>
          <w:sz w:val="24"/>
          <w:szCs w:val="24"/>
        </w:rPr>
        <w:t>.</w:t>
      </w:r>
    </w:p>
    <w:p w:rsidR="001D273D" w:rsidRPr="00BF0050" w:rsidP="00432DCE" w14:paraId="1BE4B653" w14:textId="77777777">
      <w:pPr>
        <w:pStyle w:val="BodyText"/>
        <w:spacing w:after="0" w:line="240" w:lineRule="auto"/>
        <w:rPr>
          <w:rFonts w:ascii="Times New Roman" w:hAnsi="Times New Roman" w:cs="Times New Roman"/>
          <w:sz w:val="24"/>
          <w:szCs w:val="24"/>
        </w:rPr>
      </w:pPr>
    </w:p>
    <w:p w:rsidR="00DC3994" w:rsidP="00417EAF" w14:paraId="6A7DB551" w14:textId="2D1F0412">
      <w:pPr>
        <w:pStyle w:val="Heading2"/>
        <w:keepNext w:val="0"/>
        <w:keepLines w:val="0"/>
        <w:widowControl w:val="0"/>
        <w:numPr>
          <w:ilvl w:val="0"/>
          <w:numId w:val="1"/>
        </w:numPr>
        <w:spacing w:before="0" w:line="240" w:lineRule="auto"/>
        <w:ind w:left="0" w:firstLine="0"/>
        <w:rPr>
          <w:rFonts w:ascii="Times New Roman" w:hAnsi="Times New Roman" w:cs="Times New Roman"/>
          <w:b/>
          <w:color w:val="auto"/>
          <w:sz w:val="24"/>
          <w:szCs w:val="24"/>
        </w:rPr>
      </w:pPr>
      <w:bookmarkStart w:id="5" w:name="_Toc528571021"/>
      <w:bookmarkStart w:id="6" w:name="_Toc528571487"/>
      <w:bookmarkStart w:id="7" w:name="_Toc528571581"/>
      <w:r w:rsidRPr="00BF0050">
        <w:rPr>
          <w:rFonts w:ascii="Times New Roman" w:hAnsi="Times New Roman" w:cs="Times New Roman"/>
          <w:b/>
          <w:color w:val="auto"/>
          <w:sz w:val="24"/>
          <w:szCs w:val="24"/>
        </w:rPr>
        <w:t>Justification</w:t>
      </w:r>
      <w:bookmarkEnd w:id="5"/>
      <w:bookmarkEnd w:id="6"/>
      <w:bookmarkEnd w:id="7"/>
    </w:p>
    <w:p w:rsidR="002323A0" w:rsidRPr="0064444F" w:rsidP="00432DCE" w14:paraId="68F566FE" w14:textId="77777777">
      <w:pPr>
        <w:spacing w:after="0" w:line="240" w:lineRule="auto"/>
      </w:pPr>
    </w:p>
    <w:p w:rsidR="00FC2882" w:rsidRPr="00BF0050" w:rsidP="00417EAF" w14:paraId="58B70851" w14:textId="1F04076C">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8" w:name="_Toc528571022"/>
      <w:bookmarkStart w:id="9" w:name="_Toc528571488"/>
      <w:bookmarkStart w:id="10" w:name="_Toc528571582"/>
      <w:r w:rsidRPr="00BF0050">
        <w:rPr>
          <w:rFonts w:ascii="Times New Roman" w:hAnsi="Times New Roman" w:cs="Times New Roman"/>
          <w:color w:val="auto"/>
          <w:u w:val="single"/>
        </w:rPr>
        <w:t>Need and Legal Basis:</w:t>
      </w:r>
      <w:bookmarkEnd w:id="8"/>
      <w:bookmarkEnd w:id="9"/>
      <w:bookmarkEnd w:id="10"/>
    </w:p>
    <w:p w:rsidR="00087ECB" w:rsidRPr="006872E2" w:rsidP="00432DCE" w14:paraId="00337305" w14:textId="77777777">
      <w:pPr>
        <w:pStyle w:val="Norman"/>
        <w:spacing w:after="0" w:line="240" w:lineRule="auto"/>
        <w:rPr>
          <w:rFonts w:ascii="Times New Roman" w:hAnsi="Times New Roman" w:cs="Times New Roman"/>
          <w:sz w:val="24"/>
          <w:szCs w:val="24"/>
        </w:rPr>
      </w:pPr>
    </w:p>
    <w:p w:rsidR="007A3603" w:rsidRPr="006872E2" w:rsidP="00432DCE" w14:paraId="00C6EA97" w14:textId="1432E979">
      <w:pPr>
        <w:pStyle w:val="Norman"/>
        <w:spacing w:after="0" w:line="240" w:lineRule="auto"/>
        <w:rPr>
          <w:rFonts w:ascii="Times New Roman" w:hAnsi="Times New Roman" w:cs="Times New Roman"/>
          <w:sz w:val="24"/>
          <w:szCs w:val="24"/>
        </w:rPr>
      </w:pPr>
      <w:r w:rsidRPr="006872E2">
        <w:rPr>
          <w:rFonts w:ascii="Times New Roman" w:hAnsi="Times New Roman" w:cs="Times New Roman"/>
          <w:sz w:val="24"/>
          <w:szCs w:val="24"/>
        </w:rPr>
        <w:t xml:space="preserve">Section 4701 of the </w:t>
      </w:r>
      <w:r w:rsidRPr="006872E2" w:rsidR="00B16DAA">
        <w:rPr>
          <w:rFonts w:ascii="Times New Roman" w:hAnsi="Times New Roman" w:cs="Times New Roman"/>
          <w:sz w:val="24"/>
          <w:szCs w:val="24"/>
        </w:rPr>
        <w:t xml:space="preserve">Bipartisan Budget Act (BBA) of </w:t>
      </w:r>
      <w:r w:rsidRPr="006872E2" w:rsidR="00544D26">
        <w:rPr>
          <w:rFonts w:ascii="Times New Roman" w:hAnsi="Times New Roman" w:cs="Times New Roman"/>
          <w:sz w:val="24"/>
          <w:szCs w:val="24"/>
        </w:rPr>
        <w:t>1997</w:t>
      </w:r>
      <w:r w:rsidRPr="006872E2" w:rsidR="00B16DAA">
        <w:rPr>
          <w:rFonts w:ascii="Times New Roman" w:hAnsi="Times New Roman" w:cs="Times New Roman"/>
          <w:sz w:val="24"/>
          <w:szCs w:val="24"/>
        </w:rPr>
        <w:t xml:space="preserve"> </w:t>
      </w:r>
      <w:r w:rsidRPr="006872E2">
        <w:rPr>
          <w:rFonts w:ascii="Times New Roman" w:hAnsi="Times New Roman" w:cs="Times New Roman"/>
          <w:sz w:val="24"/>
          <w:szCs w:val="24"/>
        </w:rPr>
        <w:t xml:space="preserve">created section 1932(a) of the </w:t>
      </w:r>
      <w:r w:rsidRPr="006872E2" w:rsidR="00D6702F">
        <w:rPr>
          <w:rFonts w:ascii="Times New Roman" w:hAnsi="Times New Roman" w:cs="Times New Roman"/>
          <w:sz w:val="24"/>
          <w:szCs w:val="24"/>
        </w:rPr>
        <w:t>Social Security Act (the Act)</w:t>
      </w:r>
      <w:r w:rsidRPr="006872E2">
        <w:rPr>
          <w:rFonts w:ascii="Times New Roman" w:hAnsi="Times New Roman" w:cs="Times New Roman"/>
          <w:sz w:val="24"/>
          <w:szCs w:val="24"/>
        </w:rPr>
        <w:t xml:space="preserve">, changed terminology in Title XIX of the Act and amended section 1903(m) to require that contracts and managed care organizations (MCOs) comply with applicable requirements in the new section.  Section 1932(a) permits States to mandatorily enroll most groups of Medicaid beneficiaries into managed care arrangements without section 1915(b) or section 1115 waiver authority.  </w:t>
      </w:r>
    </w:p>
    <w:p w:rsidR="007A3603" w:rsidRPr="006872E2" w:rsidP="00432DCE" w14:paraId="6A224A31"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 xml:space="preserve">Section 1932 also defines the term "managed care entity" (MCE) to include MCOs and primary care case managers (PCCMs); establishes new requirements for managed care enrollment and choice of coverage; and requires MCEs and State agencies to provide specified information to enrollees and potential enrollees.  </w:t>
      </w:r>
    </w:p>
    <w:p w:rsidR="007A3603" w:rsidRPr="006872E2" w:rsidP="00432DCE" w14:paraId="40852181"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4702 amended section 1905 to permit States to provide PCCM services without the need for waiver authority.  Instead, PCCM services may be made available under a State’s Medicaid plan as an optional service.</w:t>
      </w:r>
    </w:p>
    <w:p w:rsidR="007A3603" w:rsidRPr="006872E2" w:rsidP="00432DCE" w14:paraId="4E631FCA"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4703 eliminated a former statutory requirement that no more than 75 percent of the enrollees in an MCO be Medicaid or Medicare beneficiaries.</w:t>
      </w:r>
    </w:p>
    <w:p w:rsidR="007A3603" w:rsidRPr="006872E2" w:rsidP="00432DCE" w14:paraId="4BC75EA0"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4704 created section 1932(b) to add increased beneficiary protections for those enrolled under managed care arrangements.  These include, among other things, the use of a prudent layperson’s definition of emergency medical condition when presenting at an emergency room; standards for demonstration of adequate capacity and services; grievance procedures; and protections for enrollees against liability for payment of an organization’s or provider’s debts in the case of insolvency.</w:t>
      </w:r>
    </w:p>
    <w:p w:rsidR="007A3603" w:rsidRPr="006872E2" w:rsidP="00432DCE" w14:paraId="3A85FC96"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4705 created section 1932(c), which requires States to develop and implement quality assessment and improvement strategies for their managed care arrangements.</w:t>
      </w:r>
    </w:p>
    <w:p w:rsidR="007A3603" w:rsidRPr="006872E2" w:rsidP="00432DCE" w14:paraId="4137E5E0"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4706 provided that with limited exceptions an MCO must meet the same solvency standards set by States for a private HMO, or be licensed or certified by the State as a risk-bearing entity.</w:t>
      </w:r>
    </w:p>
    <w:p w:rsidR="007A3603" w:rsidRPr="006872E2" w:rsidP="00432DCE" w14:paraId="187AA4FC"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4707 created section 1932(d) to add protections against fraud and abuse, such as restrictions on marketing and sanctions for noncompliance.</w:t>
      </w:r>
    </w:p>
    <w:p w:rsidR="007A3603" w:rsidRPr="006872E2" w:rsidP="00432DCE" w14:paraId="34180C86"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 xml:space="preserve">Section 4708 added </w:t>
      </w:r>
      <w:r w:rsidRPr="006872E2">
        <w:rPr>
          <w:rFonts w:ascii="Times New Roman" w:hAnsi="Times New Roman" w:cs="Times New Roman"/>
          <w:sz w:val="24"/>
          <w:szCs w:val="24"/>
        </w:rPr>
        <w:t>a number of</w:t>
      </w:r>
      <w:r w:rsidRPr="006872E2">
        <w:rPr>
          <w:rFonts w:ascii="Times New Roman" w:hAnsi="Times New Roman" w:cs="Times New Roman"/>
          <w:sz w:val="24"/>
          <w:szCs w:val="24"/>
        </w:rPr>
        <w:t xml:space="preserve"> provisions to improve the administration of managed care arrangements.  These include, among other things, changing the threshold amount of managed care contracts requiring the Secretary’s prior approval, and permitting the same copayments in MCOs as apply to fee-for-service arrangements.</w:t>
      </w:r>
    </w:p>
    <w:p w:rsidR="007A3603" w:rsidRPr="006872E2" w:rsidP="00432DCE" w14:paraId="19A53445"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4709 allowed States the option to provide six months of guaranteed eligibility for all individuals enrolled with an MCO or PCCM.</w:t>
      </w:r>
    </w:p>
    <w:p w:rsidR="007A3603" w:rsidRPr="006872E2" w:rsidP="00432DCE" w14:paraId="71D2E865"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4710 specified the effective dates for all the provisions identified in sections 4701 through 4709.</w:t>
      </w:r>
    </w:p>
    <w:p w:rsidR="007A3603" w:rsidP="00432DCE" w14:paraId="432A66C6" w14:textId="77777777">
      <w:pPr>
        <w:pStyle w:val="ListParagraph"/>
        <w:numPr>
          <w:ilvl w:val="0"/>
          <w:numId w:val="7"/>
        </w:numPr>
        <w:spacing w:after="0" w:line="240" w:lineRule="auto"/>
        <w:ind w:left="0"/>
        <w:contextualSpacing w:val="0"/>
        <w:rPr>
          <w:rFonts w:ascii="Times New Roman" w:hAnsi="Times New Roman" w:cs="Times New Roman"/>
          <w:sz w:val="24"/>
          <w:szCs w:val="24"/>
        </w:rPr>
      </w:pPr>
      <w:r w:rsidRPr="006872E2">
        <w:rPr>
          <w:rFonts w:ascii="Times New Roman" w:hAnsi="Times New Roman" w:cs="Times New Roman"/>
          <w:sz w:val="24"/>
          <w:szCs w:val="24"/>
        </w:rPr>
        <w:t>Section 1902(a)(4) of the Social Security Act requires such methods of administration as are found by the Secretary to be necessary for the proper and efficient operation of the plan.</w:t>
      </w:r>
    </w:p>
    <w:p w:rsidR="00AF37F8" w:rsidRPr="00AF37F8" w:rsidP="00AF37F8" w14:paraId="6460E5EC" w14:textId="77777777">
      <w:pPr>
        <w:spacing w:after="0" w:line="240" w:lineRule="auto"/>
        <w:ind w:left="-360"/>
        <w:rPr>
          <w:rFonts w:ascii="Times New Roman" w:hAnsi="Times New Roman" w:cs="Times New Roman"/>
          <w:sz w:val="24"/>
          <w:szCs w:val="24"/>
        </w:rPr>
      </w:pPr>
    </w:p>
    <w:p w:rsidR="00FC2882" w:rsidRPr="00ED201C" w:rsidP="00F76704" w14:paraId="4CB58BFA" w14:textId="3F1CDB3F">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11" w:name="_Toc528571023"/>
      <w:bookmarkStart w:id="12" w:name="_Toc528571489"/>
      <w:bookmarkStart w:id="13" w:name="_Toc528571583"/>
      <w:r w:rsidRPr="00ED201C">
        <w:rPr>
          <w:rFonts w:ascii="Times New Roman" w:hAnsi="Times New Roman" w:cs="Times New Roman"/>
          <w:color w:val="auto"/>
          <w:u w:val="single"/>
        </w:rPr>
        <w:t>Information Users:</w:t>
      </w:r>
      <w:bookmarkEnd w:id="11"/>
      <w:bookmarkEnd w:id="12"/>
      <w:bookmarkEnd w:id="13"/>
    </w:p>
    <w:p w:rsidR="00DC3994" w:rsidRPr="00ED201C" w:rsidP="00432DCE" w14:paraId="5113DEAC" w14:textId="77777777">
      <w:pPr>
        <w:spacing w:after="0" w:line="240" w:lineRule="auto"/>
        <w:rPr>
          <w:rFonts w:ascii="Times New Roman" w:hAnsi="Times New Roman" w:cs="Times New Roman"/>
          <w:u w:val="single"/>
        </w:rPr>
      </w:pPr>
    </w:p>
    <w:p w:rsidR="00BA3585" w:rsidP="00432DCE" w14:paraId="4B4D4ECF" w14:textId="3F1BC64E">
      <w:pPr>
        <w:spacing w:after="0" w:line="240" w:lineRule="auto"/>
        <w:rPr>
          <w:rFonts w:ascii="Times New Roman" w:hAnsi="Times New Roman" w:cs="Times New Roman"/>
          <w:sz w:val="24"/>
          <w:szCs w:val="24"/>
        </w:rPr>
      </w:pPr>
      <w:r w:rsidRPr="0064444F">
        <w:rPr>
          <w:rFonts w:ascii="Times New Roman" w:hAnsi="Times New Roman" w:cs="Times New Roman"/>
          <w:i/>
          <w:iCs/>
          <w:sz w:val="24"/>
          <w:szCs w:val="24"/>
          <w:u w:val="single"/>
        </w:rPr>
        <w:t>Reporting:</w:t>
      </w:r>
      <w:r>
        <w:rPr>
          <w:rFonts w:ascii="Times New Roman" w:hAnsi="Times New Roman" w:cs="Times New Roman"/>
          <w:sz w:val="24"/>
          <w:szCs w:val="24"/>
        </w:rPr>
        <w:t xml:space="preserve"> Information required to be reported as specified in 42 CFR part 438 regulations and as indicated the burden estimates in Section 12 below, is used by states for program administration as well as reported to CMS for program compliance monitoring and policy development. </w:t>
      </w:r>
      <w:r w:rsidRPr="00BE5568" w:rsidR="00BE5568">
        <w:rPr>
          <w:rFonts w:ascii="Times New Roman" w:hAnsi="Times New Roman" w:cs="Times New Roman"/>
          <w:sz w:val="24"/>
          <w:szCs w:val="24"/>
        </w:rPr>
        <w:t>The three templates included in this Supporting Statement are used by states for reporting: Managed Care Program Annual Report (MCPAR), Medical Loss Ratio (MLR) Reporting Template, and Network Adequacy and Access Assurances Tool are used for state reporting to CMS.</w:t>
      </w:r>
      <w:r w:rsidR="00BE5568">
        <w:rPr>
          <w:rFonts w:ascii="Times New Roman" w:hAnsi="Times New Roman" w:cs="Times New Roman"/>
          <w:sz w:val="24"/>
          <w:szCs w:val="24"/>
        </w:rPr>
        <w:t xml:space="preserve"> </w:t>
      </w:r>
      <w:r>
        <w:rPr>
          <w:rFonts w:ascii="Times New Roman" w:hAnsi="Times New Roman" w:cs="Times New Roman"/>
          <w:sz w:val="24"/>
          <w:szCs w:val="24"/>
        </w:rPr>
        <w:t>Some of the information reported by States is collected from their contracted managed care plans</w:t>
      </w:r>
      <w:r w:rsidR="008D1C12">
        <w:rPr>
          <w:rFonts w:ascii="Times New Roman" w:hAnsi="Times New Roman" w:cs="Times New Roman"/>
          <w:sz w:val="24"/>
          <w:szCs w:val="24"/>
        </w:rPr>
        <w:t>, as indicated in th</w:t>
      </w:r>
      <w:r w:rsidR="00BE5568">
        <w:rPr>
          <w:rFonts w:ascii="Times New Roman" w:hAnsi="Times New Roman" w:cs="Times New Roman"/>
          <w:sz w:val="24"/>
          <w:szCs w:val="24"/>
        </w:rPr>
        <w:t xml:space="preserve">e Private Sector burden estimates in </w:t>
      </w:r>
      <w:r w:rsidR="008D1C12">
        <w:rPr>
          <w:rFonts w:ascii="Times New Roman" w:hAnsi="Times New Roman" w:cs="Times New Roman"/>
          <w:sz w:val="24"/>
          <w:szCs w:val="24"/>
        </w:rPr>
        <w:t>Section 12</w:t>
      </w:r>
      <w:r>
        <w:rPr>
          <w:rFonts w:ascii="Times New Roman" w:hAnsi="Times New Roman" w:cs="Times New Roman"/>
          <w:sz w:val="24"/>
          <w:szCs w:val="24"/>
        </w:rPr>
        <w:t xml:space="preserve">. </w:t>
      </w:r>
    </w:p>
    <w:p w:rsidR="00AF37F8" w:rsidRPr="00AF37F8" w:rsidP="00AF37F8" w14:paraId="21934B42" w14:textId="77777777">
      <w:pPr>
        <w:pStyle w:val="BodyText"/>
      </w:pPr>
    </w:p>
    <w:p w:rsidR="00BA3585" w:rsidRPr="008F2F37" w:rsidP="00432DCE" w14:paraId="1CA39E39" w14:textId="3436DE9B">
      <w:pPr>
        <w:pStyle w:val="BodyText"/>
        <w:spacing w:after="0" w:line="240" w:lineRule="auto"/>
        <w:rPr>
          <w:rFonts w:ascii="Times New Roman" w:hAnsi="Times New Roman" w:cs="Times New Roman"/>
          <w:sz w:val="24"/>
          <w:szCs w:val="24"/>
        </w:rPr>
      </w:pPr>
      <w:r w:rsidRPr="0064444F">
        <w:rPr>
          <w:rFonts w:ascii="Times New Roman" w:hAnsi="Times New Roman" w:cs="Times New Roman"/>
          <w:i/>
          <w:iCs/>
          <w:sz w:val="24"/>
          <w:szCs w:val="24"/>
          <w:u w:val="single"/>
        </w:rPr>
        <w:t>Third Party Disclosures:</w:t>
      </w:r>
      <w:r w:rsidRPr="008F2F37">
        <w:rPr>
          <w:rFonts w:ascii="Times New Roman" w:hAnsi="Times New Roman" w:cs="Times New Roman"/>
          <w:sz w:val="24"/>
          <w:szCs w:val="24"/>
        </w:rPr>
        <w:t xml:space="preserve"> </w:t>
      </w:r>
      <w:r w:rsidRPr="008F2F37" w:rsidR="009534CC">
        <w:rPr>
          <w:rFonts w:ascii="Times New Roman" w:hAnsi="Times New Roman" w:cs="Times New Roman"/>
          <w:sz w:val="24"/>
          <w:szCs w:val="24"/>
        </w:rPr>
        <w:t xml:space="preserve">States are required as specified in 42 CFR part 438 regulations and as indicated the burden estimates in Section 12 below, </w:t>
      </w:r>
      <w:r w:rsidRPr="008F2F37" w:rsidR="00BE5568">
        <w:rPr>
          <w:rFonts w:ascii="Times New Roman" w:hAnsi="Times New Roman" w:cs="Times New Roman"/>
          <w:sz w:val="24"/>
          <w:szCs w:val="24"/>
        </w:rPr>
        <w:t xml:space="preserve">to include certain requirements in their </w:t>
      </w:r>
      <w:r w:rsidRPr="008F2F37" w:rsidR="009534CC">
        <w:rPr>
          <w:rFonts w:ascii="Times New Roman" w:hAnsi="Times New Roman" w:cs="Times New Roman"/>
          <w:sz w:val="24"/>
          <w:szCs w:val="24"/>
        </w:rPr>
        <w:t xml:space="preserve">contracts </w:t>
      </w:r>
      <w:r w:rsidRPr="008F2F37" w:rsidR="00BE5568">
        <w:rPr>
          <w:rFonts w:ascii="Times New Roman" w:hAnsi="Times New Roman" w:cs="Times New Roman"/>
          <w:sz w:val="24"/>
          <w:szCs w:val="24"/>
        </w:rPr>
        <w:t>with</w:t>
      </w:r>
      <w:r w:rsidRPr="008F2F37" w:rsidR="009534CC">
        <w:rPr>
          <w:rFonts w:ascii="Times New Roman" w:hAnsi="Times New Roman" w:cs="Times New Roman"/>
          <w:sz w:val="24"/>
          <w:szCs w:val="24"/>
        </w:rPr>
        <w:t xml:space="preserve"> their managed care plans. Managed care plans must distribute certain information to their enrollees (ex. handbooks and notices) and to their providers (ex. practice guidelines and notices).</w:t>
      </w:r>
    </w:p>
    <w:p w:rsidR="007A3603" w:rsidRPr="006872E2" w:rsidP="00432DCE" w14:paraId="6189716F" w14:textId="6E8663F9">
      <w:pPr>
        <w:spacing w:after="0" w:line="240" w:lineRule="auto"/>
        <w:rPr>
          <w:rFonts w:ascii="Times New Roman" w:hAnsi="Times New Roman" w:cs="Times New Roman"/>
          <w:sz w:val="24"/>
          <w:szCs w:val="24"/>
        </w:rPr>
      </w:pPr>
    </w:p>
    <w:p w:rsidR="00FC2882" w:rsidRPr="0089070F" w:rsidP="00F76704" w14:paraId="70D19719" w14:textId="10E4063B">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14" w:name="_Toc528571024"/>
      <w:bookmarkStart w:id="15" w:name="_Toc528571490"/>
      <w:bookmarkStart w:id="16" w:name="_Toc528571584"/>
      <w:r w:rsidRPr="0089070F">
        <w:rPr>
          <w:rFonts w:ascii="Times New Roman" w:hAnsi="Times New Roman" w:cs="Times New Roman"/>
          <w:color w:val="auto"/>
          <w:u w:val="single"/>
        </w:rPr>
        <w:t>Improved Information Technology:</w:t>
      </w:r>
      <w:bookmarkEnd w:id="14"/>
      <w:bookmarkEnd w:id="15"/>
      <w:bookmarkEnd w:id="16"/>
    </w:p>
    <w:p w:rsidR="00DC3994" w:rsidRPr="0089070F" w:rsidP="00432DCE" w14:paraId="16CFB4B7" w14:textId="77777777">
      <w:pPr>
        <w:spacing w:after="0" w:line="240" w:lineRule="auto"/>
        <w:rPr>
          <w:rFonts w:ascii="Times New Roman" w:hAnsi="Times New Roman" w:cs="Times New Roman"/>
          <w:u w:val="single"/>
        </w:rPr>
      </w:pPr>
    </w:p>
    <w:p w:rsidR="007A3603" w:rsidP="00432DCE" w14:paraId="339E89E0" w14:textId="059DA110">
      <w:pPr>
        <w:autoSpaceDE w:val="0"/>
        <w:autoSpaceDN w:val="0"/>
        <w:adjustRightInd w:val="0"/>
        <w:spacing w:after="0" w:line="240" w:lineRule="auto"/>
        <w:rPr>
          <w:rFonts w:ascii="Times New Roman" w:hAnsi="Times New Roman" w:cs="Times New Roman"/>
          <w:sz w:val="24"/>
          <w:szCs w:val="24"/>
        </w:rPr>
      </w:pPr>
      <w:r w:rsidRPr="0089070F">
        <w:rPr>
          <w:rFonts w:ascii="Times New Roman" w:hAnsi="Times New Roman" w:cs="Times New Roman"/>
          <w:sz w:val="24"/>
          <w:szCs w:val="24"/>
        </w:rPr>
        <w:t>Section 438.10 permit</w:t>
      </w:r>
      <w:r w:rsidRPr="0089070F" w:rsidR="00594304">
        <w:rPr>
          <w:rFonts w:ascii="Times New Roman" w:hAnsi="Times New Roman" w:cs="Times New Roman"/>
          <w:sz w:val="24"/>
          <w:szCs w:val="24"/>
        </w:rPr>
        <w:t>s</w:t>
      </w:r>
      <w:r w:rsidRPr="0089070F">
        <w:rPr>
          <w:rFonts w:ascii="Times New Roman" w:hAnsi="Times New Roman" w:cs="Times New Roman"/>
          <w:sz w:val="24"/>
          <w:szCs w:val="24"/>
        </w:rPr>
        <w:t xml:space="preserve"> quarterly updates to paper directories if the managed care plan offers a mobile-enabled, electronic directory.  </w:t>
      </w:r>
    </w:p>
    <w:p w:rsidR="00AF37F8" w:rsidRPr="00AF37F8" w:rsidP="00AF37F8" w14:paraId="5F12172B" w14:textId="77777777">
      <w:pPr>
        <w:pStyle w:val="BodyText"/>
      </w:pPr>
    </w:p>
    <w:p w:rsidR="007A3603" w:rsidP="00432DCE" w14:paraId="641C3083" w14:textId="5B7D5EC2">
      <w:pPr>
        <w:autoSpaceDE w:val="0"/>
        <w:autoSpaceDN w:val="0"/>
        <w:adjustRightInd w:val="0"/>
        <w:spacing w:after="0" w:line="240" w:lineRule="auto"/>
        <w:rPr>
          <w:rFonts w:ascii="Times New Roman" w:hAnsi="Times New Roman" w:cs="Times New Roman"/>
          <w:sz w:val="24"/>
          <w:szCs w:val="24"/>
        </w:rPr>
      </w:pPr>
      <w:r w:rsidRPr="0089070F">
        <w:rPr>
          <w:rFonts w:ascii="Times New Roman" w:hAnsi="Times New Roman" w:cs="Times New Roman"/>
          <w:sz w:val="24"/>
          <w:szCs w:val="24"/>
        </w:rPr>
        <w:t xml:space="preserve">Sections </w:t>
      </w:r>
      <w:bookmarkStart w:id="17" w:name="_Hlk119586372"/>
      <w:r w:rsidRPr="0089070F" w:rsidR="00DA7DE7">
        <w:rPr>
          <w:rFonts w:ascii="Times New Roman" w:hAnsi="Times New Roman" w:cs="Times New Roman"/>
          <w:sz w:val="24"/>
          <w:szCs w:val="24"/>
        </w:rPr>
        <w:t>438.3</w:t>
      </w:r>
      <w:r w:rsidRPr="0089070F" w:rsidR="008D6D97">
        <w:rPr>
          <w:rFonts w:ascii="Times New Roman" w:hAnsi="Times New Roman" w:cs="Times New Roman"/>
          <w:sz w:val="24"/>
          <w:szCs w:val="24"/>
        </w:rPr>
        <w:t>(a)</w:t>
      </w:r>
      <w:r w:rsidRPr="0089070F" w:rsidR="00DA7DE7">
        <w:rPr>
          <w:rFonts w:ascii="Times New Roman" w:hAnsi="Times New Roman" w:cs="Times New Roman"/>
          <w:sz w:val="24"/>
          <w:szCs w:val="24"/>
        </w:rPr>
        <w:t xml:space="preserve">, 438.7, </w:t>
      </w:r>
      <w:r w:rsidRPr="0089070F">
        <w:rPr>
          <w:rFonts w:ascii="Times New Roman" w:hAnsi="Times New Roman" w:cs="Times New Roman"/>
          <w:sz w:val="24"/>
          <w:szCs w:val="24"/>
        </w:rPr>
        <w:t>438.66</w:t>
      </w:r>
      <w:r w:rsidRPr="0089070F" w:rsidR="008D6D97">
        <w:rPr>
          <w:rFonts w:ascii="Times New Roman" w:hAnsi="Times New Roman" w:cs="Times New Roman"/>
          <w:sz w:val="24"/>
          <w:szCs w:val="24"/>
        </w:rPr>
        <w:t>(e)</w:t>
      </w:r>
      <w:r w:rsidRPr="0089070F">
        <w:rPr>
          <w:rFonts w:ascii="Times New Roman" w:hAnsi="Times New Roman" w:cs="Times New Roman"/>
          <w:sz w:val="24"/>
          <w:szCs w:val="24"/>
        </w:rPr>
        <w:t>, 438.74, 438.207</w:t>
      </w:r>
      <w:r w:rsidRPr="0089070F" w:rsidR="008D6D97">
        <w:rPr>
          <w:rFonts w:ascii="Times New Roman" w:hAnsi="Times New Roman" w:cs="Times New Roman"/>
          <w:sz w:val="24"/>
          <w:szCs w:val="24"/>
        </w:rPr>
        <w:t>(d)</w:t>
      </w:r>
      <w:r w:rsidRPr="0089070F">
        <w:rPr>
          <w:rFonts w:ascii="Times New Roman" w:hAnsi="Times New Roman" w:cs="Times New Roman"/>
          <w:sz w:val="24"/>
          <w:szCs w:val="24"/>
        </w:rPr>
        <w:t>, and 438.818</w:t>
      </w:r>
      <w:bookmarkEnd w:id="17"/>
      <w:r w:rsidRPr="0089070F">
        <w:rPr>
          <w:rFonts w:ascii="Times New Roman" w:hAnsi="Times New Roman" w:cs="Times New Roman"/>
          <w:sz w:val="24"/>
          <w:szCs w:val="24"/>
        </w:rPr>
        <w:t xml:space="preserve"> contain requirements concerning specific reporting to CMS and will all be done electronically.  </w:t>
      </w:r>
      <w:r w:rsidRPr="0089070F" w:rsidR="006F0E7F">
        <w:rPr>
          <w:rFonts w:ascii="Times New Roman" w:hAnsi="Times New Roman" w:cs="Times New Roman"/>
          <w:sz w:val="24"/>
          <w:szCs w:val="24"/>
        </w:rPr>
        <w:t xml:space="preserve">CMS </w:t>
      </w:r>
      <w:r w:rsidR="008F2F37">
        <w:rPr>
          <w:rFonts w:ascii="Times New Roman" w:hAnsi="Times New Roman" w:cs="Times New Roman"/>
          <w:sz w:val="24"/>
          <w:szCs w:val="24"/>
        </w:rPr>
        <w:t>ha</w:t>
      </w:r>
      <w:r w:rsidRPr="0089070F" w:rsidR="006F0E7F">
        <w:rPr>
          <w:rFonts w:ascii="Times New Roman" w:hAnsi="Times New Roman" w:cs="Times New Roman"/>
          <w:sz w:val="24"/>
          <w:szCs w:val="24"/>
        </w:rPr>
        <w:t>s publish</w:t>
      </w:r>
      <w:r w:rsidR="008F2F37">
        <w:rPr>
          <w:rFonts w:ascii="Times New Roman" w:hAnsi="Times New Roman" w:cs="Times New Roman"/>
          <w:sz w:val="24"/>
          <w:szCs w:val="24"/>
        </w:rPr>
        <w:t>ed</w:t>
      </w:r>
      <w:r w:rsidRPr="0089070F" w:rsidR="006F0E7F">
        <w:rPr>
          <w:rFonts w:ascii="Times New Roman" w:hAnsi="Times New Roman" w:cs="Times New Roman"/>
          <w:sz w:val="24"/>
          <w:szCs w:val="24"/>
        </w:rPr>
        <w:t xml:space="preserve"> </w:t>
      </w:r>
      <w:r w:rsidR="008F2F37">
        <w:rPr>
          <w:rFonts w:ascii="Times New Roman" w:hAnsi="Times New Roman" w:cs="Times New Roman"/>
          <w:sz w:val="24"/>
          <w:szCs w:val="24"/>
        </w:rPr>
        <w:t xml:space="preserve">a </w:t>
      </w:r>
      <w:r w:rsidRPr="0089070F" w:rsidR="006F0E7F">
        <w:rPr>
          <w:rFonts w:ascii="Times New Roman" w:hAnsi="Times New Roman" w:cs="Times New Roman"/>
          <w:sz w:val="24"/>
          <w:szCs w:val="24"/>
        </w:rPr>
        <w:t xml:space="preserve">template for states to use to comply with the reporting requirements in </w:t>
      </w:r>
      <w:r w:rsidRPr="0089070F" w:rsidR="00594304">
        <w:rPr>
          <w:rFonts w:ascii="Times New Roman" w:hAnsi="Times New Roman" w:cs="Times New Roman"/>
          <w:sz w:val="24"/>
          <w:szCs w:val="24"/>
        </w:rPr>
        <w:t>§</w:t>
      </w:r>
      <w:r w:rsidRPr="0089070F" w:rsidR="00DA7DE7">
        <w:rPr>
          <w:rFonts w:ascii="Times New Roman" w:hAnsi="Times New Roman" w:cs="Times New Roman"/>
          <w:sz w:val="24"/>
          <w:szCs w:val="24"/>
        </w:rPr>
        <w:t xml:space="preserve"> </w:t>
      </w:r>
      <w:r w:rsidRPr="0089070F" w:rsidR="006F0E7F">
        <w:rPr>
          <w:rFonts w:ascii="Times New Roman" w:hAnsi="Times New Roman" w:cs="Times New Roman"/>
          <w:sz w:val="24"/>
          <w:szCs w:val="24"/>
        </w:rPr>
        <w:t>438.207(d)</w:t>
      </w:r>
      <w:r w:rsidR="00972742">
        <w:rPr>
          <w:rFonts w:ascii="Times New Roman" w:hAnsi="Times New Roman" w:cs="Times New Roman"/>
          <w:sz w:val="24"/>
          <w:szCs w:val="24"/>
        </w:rPr>
        <w:t xml:space="preserve"> </w:t>
      </w:r>
      <w:r w:rsidRPr="008F2F37" w:rsidR="008F2F37">
        <w:rPr>
          <w:rFonts w:ascii="Times New Roman" w:hAnsi="Times New Roman" w:cs="Times New Roman"/>
          <w:sz w:val="24"/>
          <w:szCs w:val="24"/>
        </w:rPr>
        <w:t>for rating periods beginning before July 9, 2025. For all rating periods starting on or after July 9, 2025, states must complete the NAAAR in M</w:t>
      </w:r>
      <w:r w:rsidR="001036B0">
        <w:rPr>
          <w:rFonts w:ascii="Times New Roman" w:hAnsi="Times New Roman" w:cs="Times New Roman"/>
          <w:sz w:val="24"/>
          <w:szCs w:val="24"/>
        </w:rPr>
        <w:t xml:space="preserve">edicaid </w:t>
      </w:r>
      <w:r w:rsidRPr="008F2F37" w:rsidR="008F2F37">
        <w:rPr>
          <w:rFonts w:ascii="Times New Roman" w:hAnsi="Times New Roman" w:cs="Times New Roman"/>
          <w:sz w:val="24"/>
          <w:szCs w:val="24"/>
        </w:rPr>
        <w:t>D</w:t>
      </w:r>
      <w:r w:rsidR="001036B0">
        <w:rPr>
          <w:rFonts w:ascii="Times New Roman" w:hAnsi="Times New Roman" w:cs="Times New Roman"/>
          <w:sz w:val="24"/>
          <w:szCs w:val="24"/>
        </w:rPr>
        <w:t xml:space="preserve">ata </w:t>
      </w:r>
      <w:r w:rsidRPr="008F2F37" w:rsidR="008F2F37">
        <w:rPr>
          <w:rFonts w:ascii="Times New Roman" w:hAnsi="Times New Roman" w:cs="Times New Roman"/>
          <w:sz w:val="24"/>
          <w:szCs w:val="24"/>
        </w:rPr>
        <w:t>C</w:t>
      </w:r>
      <w:r w:rsidR="001036B0">
        <w:rPr>
          <w:rFonts w:ascii="Times New Roman" w:hAnsi="Times New Roman" w:cs="Times New Roman"/>
          <w:sz w:val="24"/>
          <w:szCs w:val="24"/>
        </w:rPr>
        <w:t xml:space="preserve">ollection </w:t>
      </w:r>
      <w:r w:rsidRPr="008F2F37" w:rsidR="008F2F37">
        <w:rPr>
          <w:rFonts w:ascii="Times New Roman" w:hAnsi="Times New Roman" w:cs="Times New Roman"/>
          <w:sz w:val="24"/>
          <w:szCs w:val="24"/>
        </w:rPr>
        <w:t>T</w:t>
      </w:r>
      <w:r w:rsidR="001036B0">
        <w:rPr>
          <w:rFonts w:ascii="Times New Roman" w:hAnsi="Times New Roman" w:cs="Times New Roman"/>
          <w:sz w:val="24"/>
          <w:szCs w:val="24"/>
        </w:rPr>
        <w:t>ool-</w:t>
      </w:r>
      <w:r w:rsidRPr="008F2F37" w:rsidR="008F2F37">
        <w:rPr>
          <w:rFonts w:ascii="Times New Roman" w:hAnsi="Times New Roman" w:cs="Times New Roman"/>
          <w:sz w:val="24"/>
          <w:szCs w:val="24"/>
        </w:rPr>
        <w:t xml:space="preserve"> M</w:t>
      </w:r>
      <w:r w:rsidR="001036B0">
        <w:rPr>
          <w:rFonts w:ascii="Times New Roman" w:hAnsi="Times New Roman" w:cs="Times New Roman"/>
          <w:sz w:val="24"/>
          <w:szCs w:val="24"/>
        </w:rPr>
        <w:t xml:space="preserve">anaged </w:t>
      </w:r>
      <w:r w:rsidRPr="008F2F37" w:rsidR="008F2F37">
        <w:rPr>
          <w:rFonts w:ascii="Times New Roman" w:hAnsi="Times New Roman" w:cs="Times New Roman"/>
          <w:sz w:val="24"/>
          <w:szCs w:val="24"/>
        </w:rPr>
        <w:t>C</w:t>
      </w:r>
      <w:r w:rsidR="001036B0">
        <w:rPr>
          <w:rFonts w:ascii="Times New Roman" w:hAnsi="Times New Roman" w:cs="Times New Roman"/>
          <w:sz w:val="24"/>
          <w:szCs w:val="24"/>
        </w:rPr>
        <w:t xml:space="preserve">are </w:t>
      </w:r>
      <w:r w:rsidRPr="008F2F37" w:rsidR="008F2F37">
        <w:rPr>
          <w:rFonts w:ascii="Times New Roman" w:hAnsi="Times New Roman" w:cs="Times New Roman"/>
          <w:sz w:val="24"/>
          <w:szCs w:val="24"/>
        </w:rPr>
        <w:t>R</w:t>
      </w:r>
      <w:r w:rsidR="001036B0">
        <w:rPr>
          <w:rFonts w:ascii="Times New Roman" w:hAnsi="Times New Roman" w:cs="Times New Roman"/>
          <w:sz w:val="24"/>
          <w:szCs w:val="24"/>
        </w:rPr>
        <w:t>eporting</w:t>
      </w:r>
      <w:r w:rsidRPr="008F2F37" w:rsidR="008F2F37">
        <w:rPr>
          <w:rFonts w:ascii="Times New Roman" w:hAnsi="Times New Roman" w:cs="Times New Roman"/>
          <w:sz w:val="24"/>
          <w:szCs w:val="24"/>
        </w:rPr>
        <w:t>.</w:t>
      </w:r>
      <w:r w:rsidR="008F2F37">
        <w:rPr>
          <w:rFonts w:ascii="Times New Roman" w:hAnsi="Times New Roman" w:cs="Times New Roman"/>
          <w:sz w:val="24"/>
          <w:szCs w:val="24"/>
        </w:rPr>
        <w:t xml:space="preserve"> </w:t>
      </w:r>
      <w:r w:rsidRPr="0089070F" w:rsidR="006F0E7F">
        <w:rPr>
          <w:rFonts w:ascii="Times New Roman" w:hAnsi="Times New Roman" w:cs="Times New Roman"/>
          <w:sz w:val="24"/>
          <w:szCs w:val="24"/>
        </w:rPr>
        <w:t xml:space="preserve">  </w:t>
      </w:r>
      <w:r w:rsidR="00881E08">
        <w:rPr>
          <w:rFonts w:ascii="Times New Roman" w:hAnsi="Times New Roman" w:cs="Times New Roman"/>
          <w:sz w:val="24"/>
          <w:szCs w:val="24"/>
        </w:rPr>
        <w:t>Except for</w:t>
      </w:r>
      <w:r w:rsidRPr="0089070F" w:rsidR="003E22ED">
        <w:rPr>
          <w:rFonts w:ascii="Times New Roman" w:hAnsi="Times New Roman" w:cs="Times New Roman"/>
          <w:sz w:val="24"/>
          <w:szCs w:val="24"/>
        </w:rPr>
        <w:t xml:space="preserve"> §§</w:t>
      </w:r>
      <w:r w:rsidRPr="0089070F" w:rsidR="00DA7DE7">
        <w:rPr>
          <w:rFonts w:ascii="Times New Roman" w:hAnsi="Times New Roman" w:cs="Times New Roman"/>
          <w:sz w:val="24"/>
          <w:szCs w:val="24"/>
        </w:rPr>
        <w:t xml:space="preserve"> 438.3</w:t>
      </w:r>
      <w:r w:rsidRPr="0089070F" w:rsidR="008D6D97">
        <w:rPr>
          <w:rFonts w:ascii="Times New Roman" w:hAnsi="Times New Roman" w:cs="Times New Roman"/>
          <w:sz w:val="24"/>
          <w:szCs w:val="24"/>
        </w:rPr>
        <w:t>(a)</w:t>
      </w:r>
      <w:r w:rsidRPr="0089070F" w:rsidR="00DA7DE7">
        <w:rPr>
          <w:rFonts w:ascii="Times New Roman" w:hAnsi="Times New Roman" w:cs="Times New Roman"/>
          <w:sz w:val="24"/>
          <w:szCs w:val="24"/>
        </w:rPr>
        <w:t>, 438.7, 438.66</w:t>
      </w:r>
      <w:r w:rsidRPr="0089070F" w:rsidR="008D6D97">
        <w:rPr>
          <w:rFonts w:ascii="Times New Roman" w:hAnsi="Times New Roman" w:cs="Times New Roman"/>
          <w:sz w:val="24"/>
          <w:szCs w:val="24"/>
        </w:rPr>
        <w:t>(e)</w:t>
      </w:r>
      <w:r w:rsidRPr="0089070F" w:rsidR="00DA7DE7">
        <w:rPr>
          <w:rFonts w:ascii="Times New Roman" w:hAnsi="Times New Roman" w:cs="Times New Roman"/>
          <w:sz w:val="24"/>
          <w:szCs w:val="24"/>
        </w:rPr>
        <w:t>, 438.74, 438.207</w:t>
      </w:r>
      <w:r w:rsidRPr="0089070F" w:rsidR="008D6D97">
        <w:rPr>
          <w:rFonts w:ascii="Times New Roman" w:hAnsi="Times New Roman" w:cs="Times New Roman"/>
          <w:sz w:val="24"/>
          <w:szCs w:val="24"/>
        </w:rPr>
        <w:t>(d)</w:t>
      </w:r>
      <w:r w:rsidRPr="0089070F" w:rsidR="00DA7DE7">
        <w:rPr>
          <w:rFonts w:ascii="Times New Roman" w:hAnsi="Times New Roman" w:cs="Times New Roman"/>
          <w:sz w:val="24"/>
          <w:szCs w:val="24"/>
        </w:rPr>
        <w:t>, and 438.818,</w:t>
      </w:r>
      <w:r w:rsidRPr="0089070F">
        <w:rPr>
          <w:rFonts w:ascii="Times New Roman" w:hAnsi="Times New Roman" w:cs="Times New Roman"/>
          <w:sz w:val="24"/>
          <w:szCs w:val="24"/>
        </w:rPr>
        <w:t xml:space="preserve"> the </w:t>
      </w:r>
      <w:r w:rsidRPr="0089070F" w:rsidR="006F0E7F">
        <w:rPr>
          <w:rFonts w:ascii="Times New Roman" w:hAnsi="Times New Roman" w:cs="Times New Roman"/>
          <w:sz w:val="24"/>
          <w:szCs w:val="24"/>
        </w:rPr>
        <w:t xml:space="preserve">other </w:t>
      </w:r>
      <w:r w:rsidRPr="0089070F">
        <w:rPr>
          <w:rFonts w:ascii="Times New Roman" w:hAnsi="Times New Roman" w:cs="Times New Roman"/>
          <w:sz w:val="24"/>
          <w:szCs w:val="24"/>
        </w:rPr>
        <w:t xml:space="preserve">sections do </w:t>
      </w:r>
      <w:r w:rsidRPr="0089070F">
        <w:rPr>
          <w:rFonts w:ascii="Times New Roman" w:hAnsi="Times New Roman" w:cs="Times New Roman"/>
          <w:sz w:val="24"/>
          <w:szCs w:val="24"/>
        </w:rPr>
        <w:t>not involve submitting information to any entity</w:t>
      </w:r>
      <w:r w:rsidRPr="0089070F" w:rsidR="00DA7DE7">
        <w:rPr>
          <w:rFonts w:ascii="Times New Roman" w:hAnsi="Times New Roman" w:cs="Times New Roman"/>
          <w:sz w:val="24"/>
          <w:szCs w:val="24"/>
        </w:rPr>
        <w:t xml:space="preserve"> other than</w:t>
      </w:r>
      <w:r w:rsidRPr="0089070F">
        <w:rPr>
          <w:rFonts w:ascii="Times New Roman" w:hAnsi="Times New Roman" w:cs="Times New Roman"/>
          <w:sz w:val="24"/>
          <w:szCs w:val="24"/>
        </w:rPr>
        <w:t xml:space="preserve"> between states and plans.  Because this concerns disclosure to a third party, we do not dictate how the information may be disclosed.</w:t>
      </w:r>
    </w:p>
    <w:p w:rsidR="00AF37F8" w:rsidRPr="00AF37F8" w:rsidP="00AF37F8" w14:paraId="7C6295A2" w14:textId="77777777">
      <w:pPr>
        <w:pStyle w:val="BodyText"/>
      </w:pPr>
    </w:p>
    <w:p w:rsidR="007A3603" w:rsidP="00432DCE" w14:paraId="287DFF23" w14:textId="47D024CB">
      <w:pPr>
        <w:autoSpaceDE w:val="0"/>
        <w:autoSpaceDN w:val="0"/>
        <w:adjustRightInd w:val="0"/>
        <w:spacing w:after="0" w:line="240" w:lineRule="auto"/>
        <w:rPr>
          <w:rFonts w:ascii="Times New Roman" w:hAnsi="Times New Roman" w:cs="Times New Roman"/>
          <w:sz w:val="24"/>
          <w:szCs w:val="24"/>
        </w:rPr>
      </w:pPr>
      <w:r w:rsidRPr="0089070F">
        <w:rPr>
          <w:rFonts w:ascii="Times New Roman" w:hAnsi="Times New Roman" w:cs="Times New Roman"/>
          <w:sz w:val="24"/>
          <w:szCs w:val="24"/>
        </w:rPr>
        <w:t>Section 438.242 requires that states ensure that each MCO, PIHP, and PAHP implement an openly published Application Programming Interface (API) that permits third-party applications to retrieve standardized data concerning adjudicated claims, encounters with sub-capitated providers, provider remittances and enrollee cost-sharing, provider directories, and preferred drug lists.  The API</w:t>
      </w:r>
      <w:r w:rsidRPr="0089070F">
        <w:rPr>
          <w:rFonts w:ascii="Times New Roman" w:hAnsi="Times New Roman" w:cs="Times New Roman"/>
          <w:bCs/>
          <w:sz w:val="24"/>
          <w:szCs w:val="24"/>
        </w:rPr>
        <w:t xml:space="preserve"> will make the data available to enrollees</w:t>
      </w:r>
      <w:r w:rsidR="001036B0">
        <w:rPr>
          <w:rFonts w:ascii="Times New Roman" w:hAnsi="Times New Roman" w:cs="Times New Roman"/>
          <w:bCs/>
          <w:sz w:val="24"/>
          <w:szCs w:val="24"/>
        </w:rPr>
        <w:t>, providers, and other health care payers</w:t>
      </w:r>
      <w:r w:rsidR="00F234FA">
        <w:rPr>
          <w:rFonts w:ascii="Times New Roman" w:hAnsi="Times New Roman" w:cs="Times New Roman"/>
          <w:bCs/>
          <w:sz w:val="24"/>
          <w:szCs w:val="24"/>
        </w:rPr>
        <w:t xml:space="preserve"> </w:t>
      </w:r>
      <w:r w:rsidRPr="0089070F">
        <w:rPr>
          <w:rFonts w:ascii="Times New Roman" w:hAnsi="Times New Roman" w:cs="Times New Roman"/>
          <w:bCs/>
          <w:sz w:val="24"/>
          <w:szCs w:val="24"/>
        </w:rPr>
        <w:t>through common technologies and without special effort from enrollees</w:t>
      </w:r>
      <w:r w:rsidRPr="0089070F">
        <w:rPr>
          <w:rFonts w:ascii="Times New Roman" w:hAnsi="Times New Roman" w:cs="Times New Roman"/>
          <w:sz w:val="24"/>
          <w:szCs w:val="24"/>
        </w:rPr>
        <w:t xml:space="preserve">.  </w:t>
      </w:r>
      <w:r w:rsidRPr="0089070F" w:rsidR="008D6D97">
        <w:rPr>
          <w:rFonts w:ascii="Times New Roman" w:hAnsi="Times New Roman" w:cs="Times New Roman"/>
          <w:sz w:val="24"/>
          <w:szCs w:val="24"/>
        </w:rPr>
        <w:t>T</w:t>
      </w:r>
      <w:r w:rsidRPr="0089070F">
        <w:rPr>
          <w:rFonts w:ascii="Times New Roman" w:hAnsi="Times New Roman" w:cs="Times New Roman"/>
          <w:sz w:val="24"/>
          <w:szCs w:val="24"/>
        </w:rPr>
        <w:t>he standardized framework (both the API specification and data standards) align</w:t>
      </w:r>
      <w:r w:rsidRPr="0089070F" w:rsidR="008D6D97">
        <w:rPr>
          <w:rFonts w:ascii="Times New Roman" w:hAnsi="Times New Roman" w:cs="Times New Roman"/>
          <w:sz w:val="24"/>
          <w:szCs w:val="24"/>
        </w:rPr>
        <w:t>s</w:t>
      </w:r>
      <w:r w:rsidRPr="0089070F">
        <w:rPr>
          <w:rFonts w:ascii="Times New Roman" w:hAnsi="Times New Roman" w:cs="Times New Roman"/>
          <w:sz w:val="24"/>
          <w:szCs w:val="24"/>
        </w:rPr>
        <w:t xml:space="preserve"> across Medicaid</w:t>
      </w:r>
      <w:r w:rsidRPr="0089070F" w:rsidR="008D6D97">
        <w:rPr>
          <w:rFonts w:ascii="Times New Roman" w:hAnsi="Times New Roman" w:cs="Times New Roman"/>
          <w:sz w:val="24"/>
          <w:szCs w:val="24"/>
        </w:rPr>
        <w:t>, Medicare Advantage,</w:t>
      </w:r>
      <w:r w:rsidRPr="0089070F" w:rsidR="006F0E7F">
        <w:rPr>
          <w:rFonts w:ascii="Times New Roman" w:hAnsi="Times New Roman" w:cs="Times New Roman"/>
          <w:sz w:val="24"/>
          <w:szCs w:val="24"/>
        </w:rPr>
        <w:t xml:space="preserve"> </w:t>
      </w:r>
      <w:r w:rsidRPr="0089070F">
        <w:rPr>
          <w:rFonts w:ascii="Times New Roman" w:hAnsi="Times New Roman" w:cs="Times New Roman"/>
          <w:sz w:val="24"/>
          <w:szCs w:val="24"/>
        </w:rPr>
        <w:t xml:space="preserve">and the </w:t>
      </w:r>
      <w:r w:rsidRPr="0089070F" w:rsidR="008D6D97">
        <w:rPr>
          <w:rFonts w:ascii="Times New Roman" w:hAnsi="Times New Roman" w:cs="Times New Roman"/>
          <w:sz w:val="24"/>
          <w:szCs w:val="24"/>
        </w:rPr>
        <w:t>Marketplace</w:t>
      </w:r>
      <w:r w:rsidRPr="0089070F">
        <w:rPr>
          <w:rFonts w:ascii="Times New Roman" w:hAnsi="Times New Roman" w:cs="Times New Roman"/>
          <w:sz w:val="24"/>
          <w:szCs w:val="24"/>
        </w:rPr>
        <w:t xml:space="preserve">. See </w:t>
      </w:r>
      <w:r w:rsidRPr="0089070F" w:rsidR="00251E58">
        <w:rPr>
          <w:rFonts w:ascii="Times New Roman" w:hAnsi="Times New Roman" w:cs="Times New Roman"/>
          <w:sz w:val="24"/>
          <w:szCs w:val="24"/>
        </w:rPr>
        <w:t>our May 1, 2020 (85 FR 25510) final rule (</w:t>
      </w:r>
      <w:r w:rsidRPr="0089070F">
        <w:rPr>
          <w:rFonts w:ascii="Times New Roman" w:hAnsi="Times New Roman" w:cs="Times New Roman"/>
          <w:sz w:val="24"/>
          <w:szCs w:val="24"/>
        </w:rPr>
        <w:t>CMS-9115-</w:t>
      </w:r>
      <w:r w:rsidRPr="0089070F" w:rsidR="006F0E7F">
        <w:rPr>
          <w:rFonts w:ascii="Times New Roman" w:hAnsi="Times New Roman" w:cs="Times New Roman"/>
          <w:sz w:val="24"/>
          <w:szCs w:val="24"/>
        </w:rPr>
        <w:t>F</w:t>
      </w:r>
      <w:r w:rsidRPr="0089070F" w:rsidR="00251E58">
        <w:rPr>
          <w:rFonts w:ascii="Times New Roman" w:hAnsi="Times New Roman" w:cs="Times New Roman"/>
          <w:sz w:val="24"/>
          <w:szCs w:val="24"/>
        </w:rPr>
        <w:t xml:space="preserve">; RIN 0938–AT79) </w:t>
      </w:r>
      <w:r w:rsidRPr="0089070F">
        <w:rPr>
          <w:rFonts w:ascii="Times New Roman" w:hAnsi="Times New Roman" w:cs="Times New Roman"/>
          <w:sz w:val="24"/>
          <w:szCs w:val="24"/>
        </w:rPr>
        <w:t>for more information.</w:t>
      </w:r>
    </w:p>
    <w:p w:rsidR="00AF37F8" w:rsidRPr="00AF37F8" w:rsidP="00AF37F8" w14:paraId="1AF38533" w14:textId="77777777">
      <w:pPr>
        <w:pStyle w:val="BodyText"/>
      </w:pPr>
    </w:p>
    <w:p w:rsidR="00FC2882" w:rsidRPr="006872E2" w:rsidP="00F76704" w14:paraId="04B1AAA0" w14:textId="5490527C">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18" w:name="_Toc528571025"/>
      <w:bookmarkStart w:id="19" w:name="_Toc528571491"/>
      <w:bookmarkStart w:id="20" w:name="_Toc528571585"/>
      <w:r w:rsidRPr="006872E2">
        <w:rPr>
          <w:rFonts w:ascii="Times New Roman" w:hAnsi="Times New Roman" w:cs="Times New Roman"/>
          <w:color w:val="auto"/>
          <w:u w:val="single"/>
        </w:rPr>
        <w:t xml:space="preserve">Duplication of Similar </w:t>
      </w:r>
      <w:r w:rsidRPr="006872E2" w:rsidR="00293A9B">
        <w:rPr>
          <w:rFonts w:ascii="Times New Roman" w:hAnsi="Times New Roman" w:cs="Times New Roman"/>
          <w:color w:val="auto"/>
          <w:u w:val="single"/>
        </w:rPr>
        <w:t>Information</w:t>
      </w:r>
      <w:r w:rsidRPr="006872E2">
        <w:rPr>
          <w:rFonts w:ascii="Times New Roman" w:hAnsi="Times New Roman" w:cs="Times New Roman"/>
          <w:color w:val="auto"/>
          <w:u w:val="single"/>
        </w:rPr>
        <w:t>:</w:t>
      </w:r>
      <w:bookmarkEnd w:id="18"/>
      <w:bookmarkEnd w:id="19"/>
      <w:bookmarkEnd w:id="20"/>
    </w:p>
    <w:p w:rsidR="006274D7" w:rsidRPr="006872E2" w:rsidP="00432DCE" w14:paraId="5843FA33" w14:textId="77777777">
      <w:pPr>
        <w:tabs>
          <w:tab w:val="left" w:pos="-720"/>
          <w:tab w:val="left" w:pos="0"/>
        </w:tabs>
        <w:suppressAutoHyphens/>
        <w:spacing w:after="0" w:line="240" w:lineRule="auto"/>
        <w:rPr>
          <w:rFonts w:ascii="Times New Roman" w:hAnsi="Times New Roman"/>
          <w:sz w:val="24"/>
          <w:szCs w:val="24"/>
        </w:rPr>
      </w:pPr>
    </w:p>
    <w:p w:rsidR="007A3603" w:rsidP="00432DCE" w14:paraId="2EEB657D" w14:textId="40CA7E52">
      <w:pPr>
        <w:tabs>
          <w:tab w:val="left" w:pos="-720"/>
          <w:tab w:val="left" w:pos="0"/>
        </w:tabs>
        <w:suppressAutoHyphens/>
        <w:spacing w:after="0" w:line="240" w:lineRule="auto"/>
        <w:rPr>
          <w:rFonts w:ascii="Times New Roman" w:hAnsi="Times New Roman"/>
          <w:sz w:val="24"/>
          <w:szCs w:val="24"/>
        </w:rPr>
      </w:pPr>
      <w:r w:rsidRPr="006872E2">
        <w:rPr>
          <w:rFonts w:ascii="Times New Roman" w:hAnsi="Times New Roman"/>
          <w:sz w:val="24"/>
          <w:szCs w:val="24"/>
        </w:rPr>
        <w:t xml:space="preserve">The information collection requirements </w:t>
      </w:r>
      <w:r w:rsidRPr="006872E2" w:rsidR="00E808CA">
        <w:rPr>
          <w:rFonts w:ascii="Times New Roman" w:hAnsi="Times New Roman"/>
          <w:sz w:val="24"/>
          <w:szCs w:val="24"/>
        </w:rPr>
        <w:t>that are set out below under section 12</w:t>
      </w:r>
      <w:r w:rsidRPr="006872E2">
        <w:rPr>
          <w:rFonts w:ascii="Times New Roman" w:hAnsi="Times New Roman"/>
          <w:sz w:val="24"/>
          <w:szCs w:val="24"/>
        </w:rPr>
        <w:t xml:space="preserve"> do not duplicate </w:t>
      </w:r>
      <w:r w:rsidRPr="006872E2" w:rsidR="005A18C2">
        <w:rPr>
          <w:rFonts w:ascii="Times New Roman" w:hAnsi="Times New Roman"/>
          <w:sz w:val="24"/>
          <w:szCs w:val="24"/>
        </w:rPr>
        <w:t xml:space="preserve">any other </w:t>
      </w:r>
      <w:r w:rsidRPr="006872E2">
        <w:rPr>
          <w:rFonts w:ascii="Times New Roman" w:hAnsi="Times New Roman"/>
          <w:sz w:val="24"/>
          <w:szCs w:val="24"/>
        </w:rPr>
        <w:t>information collections.</w:t>
      </w:r>
    </w:p>
    <w:p w:rsidR="00AF37F8" w:rsidRPr="00AF37F8" w:rsidP="00AF37F8" w14:paraId="265800D8" w14:textId="77777777">
      <w:pPr>
        <w:pStyle w:val="BodyText"/>
      </w:pPr>
    </w:p>
    <w:p w:rsidR="00FC2882" w:rsidRPr="006872E2" w:rsidP="00F76704" w14:paraId="17A12A14" w14:textId="6F1D1875">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21" w:name="_Toc528571026"/>
      <w:bookmarkStart w:id="22" w:name="_Toc528571492"/>
      <w:bookmarkStart w:id="23" w:name="_Toc528571586"/>
      <w:r w:rsidRPr="006872E2">
        <w:rPr>
          <w:rFonts w:ascii="Times New Roman" w:hAnsi="Times New Roman" w:cs="Times New Roman"/>
          <w:color w:val="auto"/>
          <w:u w:val="single"/>
        </w:rPr>
        <w:t>Small Businesses:</w:t>
      </w:r>
      <w:bookmarkEnd w:id="21"/>
      <w:bookmarkEnd w:id="22"/>
      <w:bookmarkEnd w:id="23"/>
    </w:p>
    <w:p w:rsidR="00E808CA" w:rsidRPr="006872E2" w:rsidP="00432DCE" w14:paraId="4A403B9C" w14:textId="77777777">
      <w:pPr>
        <w:spacing w:after="0" w:line="240" w:lineRule="auto"/>
        <w:rPr>
          <w:rFonts w:ascii="Times New Roman" w:hAnsi="Times New Roman" w:cs="Times New Roman"/>
          <w:u w:val="single"/>
        </w:rPr>
      </w:pPr>
    </w:p>
    <w:p w:rsidR="00694847" w:rsidP="00432DCE" w14:paraId="124E3342" w14:textId="12D10E8F">
      <w:pPr>
        <w:pStyle w:val="BodyText"/>
        <w:spacing w:after="0" w:line="240" w:lineRule="auto"/>
        <w:rPr>
          <w:rFonts w:ascii="Times New Roman" w:hAnsi="Times New Roman" w:cs="Times New Roman"/>
          <w:sz w:val="24"/>
          <w:szCs w:val="24"/>
        </w:rPr>
      </w:pPr>
      <w:r w:rsidRPr="006872E2">
        <w:rPr>
          <w:rFonts w:ascii="Times New Roman" w:eastAsia="Times New Roman" w:hAnsi="Times New Roman" w:cs="Times New Roman"/>
          <w:snapToGrid w:val="0"/>
          <w:sz w:val="24"/>
          <w:szCs w:val="20"/>
        </w:rPr>
        <w:t>As of 202</w:t>
      </w:r>
      <w:r w:rsidR="004767DF">
        <w:rPr>
          <w:rFonts w:ascii="Times New Roman" w:eastAsia="Times New Roman" w:hAnsi="Times New Roman" w:cs="Times New Roman"/>
          <w:snapToGrid w:val="0"/>
          <w:sz w:val="24"/>
          <w:szCs w:val="20"/>
        </w:rPr>
        <w:t>4</w:t>
      </w:r>
      <w:r w:rsidRPr="006872E2">
        <w:rPr>
          <w:rFonts w:ascii="Times New Roman" w:eastAsia="Times New Roman" w:hAnsi="Times New Roman" w:cs="Times New Roman"/>
          <w:snapToGrid w:val="0"/>
          <w:sz w:val="24"/>
          <w:szCs w:val="20"/>
        </w:rPr>
        <w:t xml:space="preserve">, there were </w:t>
      </w:r>
      <w:r w:rsidRPr="006872E2">
        <w:rPr>
          <w:rFonts w:ascii="Times New Roman" w:eastAsia="Times New Roman" w:hAnsi="Times New Roman" w:cs="Times New Roman"/>
          <w:snapToGrid w:val="0"/>
          <w:sz w:val="24"/>
          <w:szCs w:val="24"/>
        </w:rPr>
        <w:t>4</w:t>
      </w:r>
      <w:r w:rsidR="0046662F">
        <w:rPr>
          <w:rFonts w:ascii="Times New Roman" w:eastAsia="Times New Roman" w:hAnsi="Times New Roman" w:cs="Times New Roman"/>
          <w:snapToGrid w:val="0"/>
          <w:sz w:val="24"/>
          <w:szCs w:val="24"/>
        </w:rPr>
        <w:t>92</w:t>
      </w:r>
      <w:r w:rsidRPr="006872E2">
        <w:rPr>
          <w:rFonts w:ascii="Times New Roman" w:eastAsia="Times New Roman" w:hAnsi="Times New Roman" w:cs="Times New Roman"/>
          <w:snapToGrid w:val="0"/>
          <w:sz w:val="24"/>
          <w:szCs w:val="24"/>
        </w:rPr>
        <w:t xml:space="preserve"> MCOs, 1</w:t>
      </w:r>
      <w:r w:rsidR="0046662F">
        <w:rPr>
          <w:rFonts w:ascii="Times New Roman" w:eastAsia="Times New Roman" w:hAnsi="Times New Roman" w:cs="Times New Roman"/>
          <w:snapToGrid w:val="0"/>
          <w:sz w:val="24"/>
          <w:szCs w:val="24"/>
        </w:rPr>
        <w:t>78</w:t>
      </w:r>
      <w:r w:rsidRPr="006872E2">
        <w:rPr>
          <w:rFonts w:ascii="Times New Roman" w:eastAsia="Times New Roman" w:hAnsi="Times New Roman" w:cs="Times New Roman"/>
          <w:snapToGrid w:val="0"/>
          <w:sz w:val="24"/>
          <w:szCs w:val="24"/>
        </w:rPr>
        <w:t xml:space="preserve"> PIHPs or PAHPs, 21 non-emergency transportation PAHPs, and </w:t>
      </w:r>
      <w:r w:rsidR="0046662F">
        <w:rPr>
          <w:rFonts w:ascii="Times New Roman" w:eastAsia="Times New Roman" w:hAnsi="Times New Roman" w:cs="Times New Roman"/>
          <w:snapToGrid w:val="0"/>
          <w:sz w:val="24"/>
          <w:szCs w:val="24"/>
        </w:rPr>
        <w:t>19</w:t>
      </w:r>
      <w:r w:rsidRPr="006872E2">
        <w:rPr>
          <w:rFonts w:ascii="Times New Roman" w:eastAsia="Times New Roman" w:hAnsi="Times New Roman" w:cs="Times New Roman"/>
          <w:snapToGrid w:val="0"/>
          <w:sz w:val="24"/>
          <w:szCs w:val="24"/>
        </w:rPr>
        <w:t xml:space="preserve"> PCCM entities</w:t>
      </w:r>
      <w:r w:rsidRPr="006872E2">
        <w:rPr>
          <w:rFonts w:ascii="Times New Roman" w:eastAsia="Times New Roman" w:hAnsi="Times New Roman" w:cs="Times New Roman"/>
          <w:snapToGrid w:val="0"/>
          <w:sz w:val="24"/>
          <w:szCs w:val="20"/>
        </w:rPr>
        <w:t xml:space="preserve"> participating in the Medicaid managed care program. </w:t>
      </w:r>
      <w:r w:rsidRPr="006872E2" w:rsidR="00CD6F56">
        <w:rPr>
          <w:rFonts w:ascii="Times New Roman" w:eastAsia="Times New Roman" w:hAnsi="Times New Roman" w:cs="Times New Roman"/>
          <w:snapToGrid w:val="0"/>
          <w:sz w:val="24"/>
          <w:szCs w:val="20"/>
        </w:rPr>
        <w:t xml:space="preserve">Research on publicly available records for the entities allowed us to determine that </w:t>
      </w:r>
      <w:r w:rsidRPr="006872E2">
        <w:rPr>
          <w:rFonts w:ascii="Times New Roman" w:eastAsia="Times New Roman" w:hAnsi="Times New Roman" w:cs="Times New Roman"/>
          <w:snapToGrid w:val="0"/>
          <w:sz w:val="24"/>
          <w:szCs w:val="20"/>
        </w:rPr>
        <w:t>only a few of these entities qualify as small entities. Specifically, we believe that approximately 14 – 25 of these plans may be small entities.</w:t>
      </w:r>
      <w:r w:rsidRPr="006872E2" w:rsidR="00CD6F56">
        <w:rPr>
          <w:rFonts w:ascii="Times New Roman" w:hAnsi="Times New Roman" w:cs="Times New Roman"/>
          <w:sz w:val="24"/>
          <w:szCs w:val="24"/>
        </w:rPr>
        <w:t xml:space="preserve"> </w:t>
      </w:r>
    </w:p>
    <w:p w:rsidR="00AF37F8" w:rsidP="00432DCE" w14:paraId="41759CD3" w14:textId="77777777">
      <w:pPr>
        <w:pStyle w:val="BodyText"/>
        <w:spacing w:after="0" w:line="240" w:lineRule="auto"/>
        <w:rPr>
          <w:rFonts w:ascii="Times New Roman" w:hAnsi="Times New Roman" w:cs="Times New Roman"/>
          <w:sz w:val="24"/>
          <w:szCs w:val="24"/>
        </w:rPr>
      </w:pPr>
    </w:p>
    <w:p w:rsidR="007A3603" w:rsidP="00432DCE" w14:paraId="2FD87550" w14:textId="02402AB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 xml:space="preserve">We have determined that there </w:t>
      </w:r>
      <w:r w:rsidR="00694847">
        <w:rPr>
          <w:rFonts w:ascii="Times New Roman" w:hAnsi="Times New Roman" w:cs="Times New Roman"/>
          <w:sz w:val="24"/>
          <w:szCs w:val="24"/>
        </w:rPr>
        <w:t xml:space="preserve">is no </w:t>
      </w:r>
      <w:r w:rsidRPr="006872E2">
        <w:rPr>
          <w:rFonts w:ascii="Times New Roman" w:hAnsi="Times New Roman" w:cs="Times New Roman"/>
          <w:sz w:val="24"/>
          <w:szCs w:val="24"/>
        </w:rPr>
        <w:t>significant economic impact on a substantial number of small entities for the requirements in section 12 of this Supporting Statement.</w:t>
      </w:r>
    </w:p>
    <w:p w:rsidR="00AF37F8" w:rsidRPr="00AF37F8" w:rsidP="00AF37F8" w14:paraId="640A020B" w14:textId="77777777">
      <w:pPr>
        <w:pStyle w:val="BodyText"/>
      </w:pPr>
    </w:p>
    <w:p w:rsidR="00FC2882" w:rsidRPr="006872E2" w:rsidP="00F76704" w14:paraId="1E194279" w14:textId="6E05EEE3">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24" w:name="_Toc528571027"/>
      <w:bookmarkStart w:id="25" w:name="_Toc528571493"/>
      <w:bookmarkStart w:id="26" w:name="_Toc528571587"/>
      <w:r w:rsidRPr="006872E2">
        <w:rPr>
          <w:rFonts w:ascii="Times New Roman" w:hAnsi="Times New Roman" w:cs="Times New Roman"/>
          <w:color w:val="auto"/>
          <w:u w:val="single"/>
        </w:rPr>
        <w:t xml:space="preserve">Less </w:t>
      </w:r>
      <w:r w:rsidRPr="006872E2" w:rsidR="00293A9B">
        <w:rPr>
          <w:rFonts w:ascii="Times New Roman" w:hAnsi="Times New Roman" w:cs="Times New Roman"/>
          <w:color w:val="auto"/>
          <w:u w:val="single"/>
        </w:rPr>
        <w:t>Frequent</w:t>
      </w:r>
      <w:r w:rsidRPr="006872E2">
        <w:rPr>
          <w:rFonts w:ascii="Times New Roman" w:hAnsi="Times New Roman" w:cs="Times New Roman"/>
          <w:color w:val="auto"/>
          <w:u w:val="single"/>
        </w:rPr>
        <w:t xml:space="preserve"> Collection:</w:t>
      </w:r>
      <w:bookmarkEnd w:id="24"/>
      <w:bookmarkEnd w:id="25"/>
      <w:bookmarkEnd w:id="26"/>
    </w:p>
    <w:p w:rsidR="00D0525B" w:rsidRPr="006872E2" w:rsidP="00432DCE" w14:paraId="74AA63E3" w14:textId="77777777">
      <w:pPr>
        <w:spacing w:after="0" w:line="240" w:lineRule="auto"/>
        <w:rPr>
          <w:rFonts w:ascii="Times New Roman" w:hAnsi="Times New Roman" w:cs="Times New Roman"/>
          <w:u w:val="single"/>
        </w:rPr>
      </w:pPr>
    </w:p>
    <w:p w:rsidR="00694847" w:rsidP="00432DCE" w14:paraId="3259D621" w14:textId="67138A85">
      <w:pPr>
        <w:tabs>
          <w:tab w:val="left" w:pos="-720"/>
          <w:tab w:val="left" w:pos="0"/>
        </w:tabs>
        <w:suppressAutoHyphens/>
        <w:spacing w:after="0" w:line="240" w:lineRule="auto"/>
        <w:rPr>
          <w:rFonts w:ascii="Times New Roman" w:hAnsi="Times New Roman"/>
          <w:sz w:val="24"/>
          <w:szCs w:val="24"/>
        </w:rPr>
      </w:pPr>
      <w:r w:rsidRPr="006872E2">
        <w:rPr>
          <w:rFonts w:ascii="Times New Roman" w:hAnsi="Times New Roman"/>
          <w:sz w:val="24"/>
          <w:szCs w:val="24"/>
        </w:rPr>
        <w:t xml:space="preserve">Many of the </w:t>
      </w:r>
      <w:r w:rsidRPr="006872E2" w:rsidR="00A21DA0">
        <w:rPr>
          <w:rFonts w:ascii="Times New Roman" w:hAnsi="Times New Roman"/>
          <w:sz w:val="24"/>
          <w:szCs w:val="24"/>
        </w:rPr>
        <w:t>information collection requirements that are set out below under section 12 are</w:t>
      </w:r>
      <w:r w:rsidRPr="006872E2">
        <w:rPr>
          <w:rFonts w:ascii="Times New Roman" w:hAnsi="Times New Roman"/>
          <w:sz w:val="24"/>
          <w:szCs w:val="24"/>
        </w:rPr>
        <w:t xml:space="preserve"> mandated by the BBA.  If CMS were to collect them less frequently, we would be in violation of the law.  </w:t>
      </w:r>
    </w:p>
    <w:p w:rsidR="00AF37F8" w:rsidRPr="00AF37F8" w:rsidP="00AF37F8" w14:paraId="05EDDDE8" w14:textId="77777777">
      <w:pPr>
        <w:pStyle w:val="BodyText"/>
      </w:pPr>
    </w:p>
    <w:p w:rsidR="007A3603" w:rsidP="00432DCE" w14:paraId="4A17EF94" w14:textId="72B36ADF">
      <w:pPr>
        <w:tabs>
          <w:tab w:val="left" w:pos="-720"/>
          <w:tab w:val="left" w:pos="0"/>
        </w:tabs>
        <w:suppressAutoHyphens/>
        <w:spacing w:after="0" w:line="240" w:lineRule="auto"/>
        <w:rPr>
          <w:rFonts w:ascii="Times New Roman" w:hAnsi="Times New Roman" w:cs="Times New Roman"/>
          <w:sz w:val="24"/>
          <w:szCs w:val="24"/>
        </w:rPr>
      </w:pPr>
      <w:r w:rsidRPr="006872E2">
        <w:rPr>
          <w:rFonts w:ascii="Times New Roman" w:hAnsi="Times New Roman"/>
          <w:sz w:val="24"/>
          <w:szCs w:val="24"/>
        </w:rPr>
        <w:t xml:space="preserve">While others are not required by statute, we believe them necessary for </w:t>
      </w:r>
      <w:r w:rsidRPr="006872E2">
        <w:rPr>
          <w:rFonts w:ascii="Times New Roman" w:hAnsi="Times New Roman" w:cs="Times New Roman"/>
          <w:sz w:val="24"/>
          <w:szCs w:val="24"/>
        </w:rPr>
        <w:t xml:space="preserve">program administration and have set them at frequencies as low as possible. </w:t>
      </w:r>
      <w:r w:rsidRPr="006872E2" w:rsidR="00E23404">
        <w:rPr>
          <w:rFonts w:ascii="Times New Roman" w:hAnsi="Times New Roman" w:cs="Times New Roman"/>
          <w:sz w:val="24"/>
          <w:szCs w:val="24"/>
        </w:rPr>
        <w:t xml:space="preserve"> </w:t>
      </w:r>
      <w:r w:rsidR="00DB3B14">
        <w:rPr>
          <w:rFonts w:ascii="Times New Roman" w:hAnsi="Times New Roman" w:cs="Times New Roman"/>
          <w:sz w:val="24"/>
          <w:szCs w:val="24"/>
        </w:rPr>
        <w:t xml:space="preserve">None of the </w:t>
      </w:r>
      <w:r w:rsidRPr="006872E2" w:rsidR="00E23404">
        <w:rPr>
          <w:rFonts w:ascii="Times New Roman" w:hAnsi="Times New Roman" w:cs="Times New Roman"/>
          <w:sz w:val="24"/>
          <w:szCs w:val="24"/>
        </w:rPr>
        <w:t xml:space="preserve">respondents </w:t>
      </w:r>
      <w:r w:rsidR="00DB3B14">
        <w:rPr>
          <w:rFonts w:ascii="Times New Roman" w:hAnsi="Times New Roman" w:cs="Times New Roman"/>
          <w:sz w:val="24"/>
          <w:szCs w:val="24"/>
        </w:rPr>
        <w:t xml:space="preserve">are required </w:t>
      </w:r>
      <w:r w:rsidRPr="006872E2" w:rsidR="00E23404">
        <w:rPr>
          <w:rFonts w:ascii="Times New Roman" w:hAnsi="Times New Roman" w:cs="Times New Roman"/>
          <w:sz w:val="24"/>
          <w:szCs w:val="24"/>
        </w:rPr>
        <w:t>to report information more often than quarterly.</w:t>
      </w:r>
    </w:p>
    <w:p w:rsidR="00AF37F8" w:rsidRPr="00AF37F8" w:rsidP="00AF37F8" w14:paraId="2DCFA638" w14:textId="77777777">
      <w:pPr>
        <w:pStyle w:val="BodyText"/>
      </w:pPr>
    </w:p>
    <w:p w:rsidR="00FC2882" w:rsidRPr="006872E2" w:rsidP="00F76704" w14:paraId="134ECF85" w14:textId="5CA28A25">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27" w:name="_Toc528571028"/>
      <w:bookmarkStart w:id="28" w:name="_Toc528571494"/>
      <w:bookmarkStart w:id="29" w:name="_Toc528571588"/>
      <w:r w:rsidRPr="006872E2">
        <w:rPr>
          <w:rFonts w:ascii="Times New Roman" w:hAnsi="Times New Roman" w:cs="Times New Roman"/>
          <w:color w:val="auto"/>
          <w:u w:val="single"/>
        </w:rPr>
        <w:t xml:space="preserve">Special </w:t>
      </w:r>
      <w:r w:rsidRPr="006872E2" w:rsidR="00293A9B">
        <w:rPr>
          <w:rFonts w:ascii="Times New Roman" w:hAnsi="Times New Roman" w:cs="Times New Roman"/>
          <w:color w:val="auto"/>
          <w:u w:val="single"/>
        </w:rPr>
        <w:t>Circumstances</w:t>
      </w:r>
      <w:r w:rsidRPr="006872E2">
        <w:rPr>
          <w:rFonts w:ascii="Times New Roman" w:hAnsi="Times New Roman" w:cs="Times New Roman"/>
          <w:color w:val="auto"/>
          <w:u w:val="single"/>
        </w:rPr>
        <w:t>:</w:t>
      </w:r>
      <w:bookmarkEnd w:id="27"/>
      <w:bookmarkEnd w:id="28"/>
      <w:bookmarkEnd w:id="29"/>
    </w:p>
    <w:p w:rsidR="00E23404" w:rsidRPr="006872E2" w:rsidP="00432DCE" w14:paraId="629A9823" w14:textId="77777777">
      <w:pPr>
        <w:spacing w:after="0" w:line="240" w:lineRule="auto"/>
        <w:rPr>
          <w:rFonts w:ascii="Times New Roman" w:hAnsi="Times New Roman" w:cs="Times New Roman"/>
          <w:u w:val="single"/>
        </w:rPr>
      </w:pPr>
    </w:p>
    <w:p w:rsidR="007A3603" w:rsidRPr="006872E2" w:rsidP="00432DCE" w14:paraId="517BD11F"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There are no special circumstances. More specifically, this information collection does not do any of the following:</w:t>
      </w:r>
    </w:p>
    <w:p w:rsidR="007A3603" w:rsidRPr="006872E2" w:rsidP="00432DCE" w14:paraId="161267C2"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-Require respondents to report information to the agency more often than quarterly;</w:t>
      </w:r>
    </w:p>
    <w:p w:rsidR="007A3603" w:rsidRPr="006872E2" w:rsidP="00432DCE" w14:paraId="5B233A9E" w14:textId="6611FB9F">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 xml:space="preserve">-Require respondents to prepare a written response to a collection of information in fewer than 30 days after </w:t>
      </w:r>
      <w:r w:rsidRPr="006872E2" w:rsidR="00BB6221">
        <w:rPr>
          <w:rFonts w:ascii="Times New Roman" w:hAnsi="Times New Roman" w:cs="Times New Roman"/>
          <w:sz w:val="24"/>
          <w:szCs w:val="24"/>
        </w:rPr>
        <w:t>receiving</w:t>
      </w:r>
      <w:r w:rsidRPr="006872E2">
        <w:rPr>
          <w:rFonts w:ascii="Times New Roman" w:hAnsi="Times New Roman" w:cs="Times New Roman"/>
          <w:sz w:val="24"/>
          <w:szCs w:val="24"/>
        </w:rPr>
        <w:t xml:space="preserve"> it;</w:t>
      </w:r>
    </w:p>
    <w:p w:rsidR="007A3603" w:rsidRPr="006872E2" w:rsidP="00432DCE" w14:paraId="718CA1A0"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-Require respondents to submit more than an original and two copies of any document;</w:t>
      </w:r>
    </w:p>
    <w:p w:rsidR="007A3603" w:rsidRPr="006872E2" w:rsidP="00432DCE" w14:paraId="3B217C59"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-Require respondents to retain records, other than health, medical, government contract, grant-in-aid, or tax records for more than three years;</w:t>
      </w:r>
    </w:p>
    <w:p w:rsidR="007A3603" w:rsidRPr="006872E2" w:rsidP="00432DCE" w14:paraId="0EAC3AAD"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-Is connected with a statistical survey that is not designed to produce valid and reliable results that can be generalized to the universe of study,</w:t>
      </w:r>
    </w:p>
    <w:p w:rsidR="007A3603" w:rsidRPr="006872E2" w:rsidP="00432DCE" w14:paraId="0053B83F"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-Require the use of a statistical data classification that has not been reviewed and approved by OMB;</w:t>
      </w:r>
    </w:p>
    <w:p w:rsidR="007A3603" w:rsidRPr="006872E2" w:rsidP="00432DCE" w14:paraId="26D0019C"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A3603" w:rsidP="00432DCE" w14:paraId="14DA8469" w14:textId="6DA6D49D">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-Require respondents to submit proprietary trade secret, or other confidential information unless the agency can demonstrate that it has ins</w:t>
      </w:r>
      <w:r w:rsidRPr="006872E2" w:rsidR="00882B76">
        <w:rPr>
          <w:rFonts w:ascii="Times New Roman" w:hAnsi="Times New Roman" w:cs="Times New Roman"/>
          <w:sz w:val="24"/>
          <w:szCs w:val="24"/>
        </w:rPr>
        <w:t>tituted procedures to protect th</w:t>
      </w:r>
      <w:r w:rsidRPr="006872E2">
        <w:rPr>
          <w:rFonts w:ascii="Times New Roman" w:hAnsi="Times New Roman" w:cs="Times New Roman"/>
          <w:sz w:val="24"/>
          <w:szCs w:val="24"/>
        </w:rPr>
        <w:t>e information's confidentiality to the extent permitted by law.</w:t>
      </w:r>
    </w:p>
    <w:p w:rsidR="00714B50" w:rsidRPr="00714B50" w:rsidP="00432DCE" w14:paraId="34378193" w14:textId="77777777">
      <w:pPr>
        <w:pStyle w:val="BodyText"/>
        <w:spacing w:after="0" w:line="240" w:lineRule="auto"/>
      </w:pPr>
    </w:p>
    <w:p w:rsidR="00FC2882" w:rsidRPr="005B3649" w:rsidP="00F76704" w14:paraId="1E165DA1" w14:textId="490ECFE6">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30" w:name="_Toc528571029"/>
      <w:bookmarkStart w:id="31" w:name="_Toc528571495"/>
      <w:bookmarkStart w:id="32" w:name="_Toc528571589"/>
      <w:r w:rsidRPr="005B3649">
        <w:rPr>
          <w:rFonts w:ascii="Times New Roman" w:hAnsi="Times New Roman" w:cs="Times New Roman"/>
          <w:color w:val="auto"/>
          <w:u w:val="single"/>
        </w:rPr>
        <w:t xml:space="preserve">Federal Register Notice/Outside </w:t>
      </w:r>
      <w:r w:rsidRPr="005B3649" w:rsidR="00293A9B">
        <w:rPr>
          <w:rFonts w:ascii="Times New Roman" w:hAnsi="Times New Roman" w:cs="Times New Roman"/>
          <w:color w:val="auto"/>
          <w:u w:val="single"/>
        </w:rPr>
        <w:t>Consultation</w:t>
      </w:r>
      <w:r w:rsidRPr="005B3649">
        <w:rPr>
          <w:rFonts w:ascii="Times New Roman" w:hAnsi="Times New Roman" w:cs="Times New Roman"/>
          <w:color w:val="auto"/>
          <w:u w:val="single"/>
        </w:rPr>
        <w:t>:</w:t>
      </w:r>
      <w:bookmarkEnd w:id="30"/>
      <w:bookmarkEnd w:id="31"/>
      <w:bookmarkEnd w:id="32"/>
    </w:p>
    <w:p w:rsidR="00455C89" w:rsidRPr="005B3649" w:rsidP="00432DCE" w14:paraId="584A957A" w14:textId="647DB519">
      <w:pPr>
        <w:spacing w:after="0" w:line="240" w:lineRule="auto"/>
        <w:rPr>
          <w:rFonts w:ascii="Times New Roman" w:hAnsi="Times New Roman" w:cs="Times New Roman"/>
          <w:sz w:val="24"/>
          <w:szCs w:val="24"/>
          <w:u w:val="single"/>
        </w:rPr>
      </w:pPr>
    </w:p>
    <w:p w:rsidR="005B3649" w:rsidRPr="005B3649" w:rsidP="00432DCE" w14:paraId="3EFC04F9" w14:textId="4580B94B">
      <w:pPr>
        <w:pStyle w:val="BodyText"/>
        <w:spacing w:after="0" w:line="240" w:lineRule="auto"/>
        <w:rPr>
          <w:rFonts w:ascii="Times New Roman" w:hAnsi="Times New Roman" w:cs="Times New Roman"/>
          <w:sz w:val="24"/>
          <w:szCs w:val="24"/>
        </w:rPr>
      </w:pPr>
      <w:r w:rsidRPr="005B3649">
        <w:rPr>
          <w:rFonts w:ascii="Times New Roman" w:hAnsi="Times New Roman" w:cs="Times New Roman"/>
          <w:sz w:val="24"/>
          <w:szCs w:val="24"/>
        </w:rPr>
        <w:t>Our</w:t>
      </w:r>
      <w:r w:rsidRPr="005B3649" w:rsidR="00574EB1">
        <w:rPr>
          <w:rFonts w:ascii="Times New Roman" w:hAnsi="Times New Roman" w:cs="Times New Roman"/>
          <w:sz w:val="24"/>
          <w:szCs w:val="24"/>
        </w:rPr>
        <w:t xml:space="preserve"> 60-day notice published in the Federal Register on </w:t>
      </w:r>
      <w:r w:rsidRPr="005B3649" w:rsidR="006D19AA">
        <w:rPr>
          <w:rFonts w:ascii="Times New Roman" w:hAnsi="Times New Roman" w:cs="Times New Roman"/>
          <w:sz w:val="24"/>
          <w:szCs w:val="24"/>
        </w:rPr>
        <w:t xml:space="preserve">March 17, 2026 </w:t>
      </w:r>
      <w:r w:rsidRPr="005B3649" w:rsidR="00574EB1">
        <w:rPr>
          <w:rFonts w:ascii="Times New Roman" w:hAnsi="Times New Roman" w:cs="Times New Roman"/>
          <w:sz w:val="24"/>
          <w:szCs w:val="24"/>
        </w:rPr>
        <w:t>(</w:t>
      </w:r>
      <w:r w:rsidRPr="005B3649" w:rsidR="006D19AA">
        <w:rPr>
          <w:rFonts w:ascii="Times New Roman" w:hAnsi="Times New Roman" w:cs="Times New Roman"/>
          <w:sz w:val="24"/>
          <w:szCs w:val="24"/>
        </w:rPr>
        <w:t xml:space="preserve">91 </w:t>
      </w:r>
      <w:r w:rsidRPr="005B3649" w:rsidR="00574EB1">
        <w:rPr>
          <w:rFonts w:ascii="Times New Roman" w:hAnsi="Times New Roman" w:cs="Times New Roman"/>
          <w:sz w:val="24"/>
          <w:szCs w:val="24"/>
        </w:rPr>
        <w:t>FR</w:t>
      </w:r>
      <w:r w:rsidRPr="005B3649" w:rsidR="006D19AA">
        <w:rPr>
          <w:rFonts w:ascii="Times New Roman" w:hAnsi="Times New Roman" w:cs="Times New Roman"/>
          <w:sz w:val="24"/>
          <w:szCs w:val="24"/>
        </w:rPr>
        <w:t xml:space="preserve"> 12810)</w:t>
      </w:r>
      <w:r w:rsidRPr="005B3649" w:rsidR="00574EB1">
        <w:rPr>
          <w:rFonts w:ascii="Times New Roman" w:hAnsi="Times New Roman" w:cs="Times New Roman"/>
          <w:sz w:val="24"/>
          <w:szCs w:val="24"/>
        </w:rPr>
        <w:t xml:space="preserve">. </w:t>
      </w:r>
      <w:r w:rsidRPr="005B3649" w:rsidR="00282D08">
        <w:rPr>
          <w:rFonts w:ascii="Times New Roman" w:hAnsi="Times New Roman" w:cs="Times New Roman"/>
          <w:sz w:val="24"/>
          <w:szCs w:val="24"/>
        </w:rPr>
        <w:t xml:space="preserve">Comments </w:t>
      </w:r>
      <w:r w:rsidRPr="005B3649">
        <w:rPr>
          <w:rFonts w:ascii="Times New Roman" w:hAnsi="Times New Roman" w:cs="Times New Roman"/>
          <w:sz w:val="24"/>
          <w:szCs w:val="24"/>
        </w:rPr>
        <w:t xml:space="preserve">were received </w:t>
      </w:r>
      <w:r w:rsidRPr="005B3649">
        <w:rPr>
          <w:rFonts w:ascii="Times New Roman" w:hAnsi="Times New Roman" w:cs="Times New Roman"/>
          <w:sz w:val="24"/>
          <w:szCs w:val="24"/>
        </w:rPr>
        <w:t>and are attached to this collection of information request along with our response</w:t>
      </w:r>
      <w:r w:rsidRPr="005B3649">
        <w:rPr>
          <w:rFonts w:ascii="Times New Roman" w:hAnsi="Times New Roman" w:cs="Times New Roman"/>
          <w:sz w:val="24"/>
          <w:szCs w:val="24"/>
        </w:rPr>
        <w:t>.</w:t>
      </w:r>
      <w:r w:rsidR="00991308">
        <w:rPr>
          <w:rFonts w:ascii="Times New Roman" w:hAnsi="Times New Roman" w:cs="Times New Roman"/>
          <w:sz w:val="24"/>
          <w:szCs w:val="24"/>
        </w:rPr>
        <w:t xml:space="preserve"> In sum, no actions were taken in response to the comments.</w:t>
      </w:r>
    </w:p>
    <w:p w:rsidR="005B3649" w:rsidRPr="005B3649" w:rsidP="00432DCE" w14:paraId="641DABFD" w14:textId="77777777">
      <w:pPr>
        <w:pStyle w:val="BodyText"/>
        <w:spacing w:after="0" w:line="240" w:lineRule="auto"/>
        <w:rPr>
          <w:rFonts w:ascii="Times New Roman" w:hAnsi="Times New Roman" w:cs="Times New Roman"/>
          <w:sz w:val="24"/>
          <w:szCs w:val="24"/>
        </w:rPr>
      </w:pPr>
    </w:p>
    <w:p w:rsidR="0033516D" w:rsidP="0033516D" w14:paraId="682FD3B5" w14:textId="2E045C64">
      <w:pPr>
        <w:pStyle w:val="BodyText"/>
        <w:spacing w:after="0" w:line="240" w:lineRule="auto"/>
        <w:rPr>
          <w:rFonts w:ascii="Times New Roman" w:hAnsi="Times New Roman" w:cs="Times New Roman"/>
          <w:sz w:val="24"/>
          <w:szCs w:val="24"/>
        </w:rPr>
      </w:pPr>
      <w:r w:rsidRPr="005B3649">
        <w:rPr>
          <w:rFonts w:ascii="Times New Roman" w:hAnsi="Times New Roman" w:cs="Times New Roman"/>
          <w:sz w:val="24"/>
          <w:szCs w:val="24"/>
        </w:rPr>
        <w:t xml:space="preserve">Our </w:t>
      </w:r>
      <w:r w:rsidRPr="005B3649">
        <w:rPr>
          <w:rFonts w:ascii="Times New Roman" w:hAnsi="Times New Roman" w:cs="Times New Roman"/>
          <w:sz w:val="24"/>
          <w:szCs w:val="24"/>
        </w:rPr>
        <w:t>3</w:t>
      </w:r>
      <w:r w:rsidRPr="005B3649">
        <w:rPr>
          <w:rFonts w:ascii="Times New Roman" w:hAnsi="Times New Roman" w:cs="Times New Roman"/>
          <w:sz w:val="24"/>
          <w:szCs w:val="24"/>
        </w:rPr>
        <w:t xml:space="preserve">0-day notice published in the Federal Register on </w:t>
      </w:r>
      <w:r w:rsidRPr="005B3649">
        <w:rPr>
          <w:rFonts w:ascii="Times New Roman" w:hAnsi="Times New Roman" w:cs="Times New Roman"/>
          <w:sz w:val="24"/>
          <w:szCs w:val="24"/>
        </w:rPr>
        <w:t>June 26</w:t>
      </w:r>
      <w:r w:rsidRPr="005B3649">
        <w:rPr>
          <w:rFonts w:ascii="Times New Roman" w:hAnsi="Times New Roman" w:cs="Times New Roman"/>
          <w:sz w:val="24"/>
          <w:szCs w:val="24"/>
        </w:rPr>
        <w:t xml:space="preserve">, 2026 (91 FR </w:t>
      </w:r>
      <w:r w:rsidRPr="005B3649">
        <w:rPr>
          <w:rFonts w:ascii="Times New Roman" w:hAnsi="Times New Roman" w:cs="Times New Roman"/>
          <w:sz w:val="24"/>
          <w:szCs w:val="24"/>
        </w:rPr>
        <w:t>38715</w:t>
      </w:r>
      <w:r w:rsidRPr="005B3649">
        <w:rPr>
          <w:rFonts w:ascii="Times New Roman" w:hAnsi="Times New Roman" w:cs="Times New Roman"/>
          <w:sz w:val="24"/>
          <w:szCs w:val="24"/>
        </w:rPr>
        <w:t>).</w:t>
      </w:r>
    </w:p>
    <w:p w:rsidR="0033516D" w:rsidRPr="00B77D4E" w:rsidP="00432DCE" w14:paraId="1C3C62F2" w14:textId="77777777">
      <w:pPr>
        <w:pStyle w:val="BodyText"/>
        <w:spacing w:after="0" w:line="240" w:lineRule="auto"/>
        <w:rPr>
          <w:rFonts w:ascii="Times New Roman" w:hAnsi="Times New Roman" w:cs="Times New Roman"/>
          <w:sz w:val="24"/>
          <w:szCs w:val="24"/>
        </w:rPr>
      </w:pPr>
    </w:p>
    <w:p w:rsidR="00FC2882" w:rsidRPr="00B77D4E" w:rsidP="00F76704" w14:paraId="75951075" w14:textId="63861256">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33" w:name="_Toc528571030"/>
      <w:bookmarkStart w:id="34" w:name="_Toc528571496"/>
      <w:bookmarkStart w:id="35" w:name="_Toc528571590"/>
      <w:r w:rsidRPr="00B77D4E">
        <w:rPr>
          <w:rFonts w:ascii="Times New Roman" w:hAnsi="Times New Roman" w:cs="Times New Roman"/>
          <w:color w:val="auto"/>
          <w:u w:val="single"/>
        </w:rPr>
        <w:t>Payment/Gift to Respondent:</w:t>
      </w:r>
      <w:bookmarkEnd w:id="33"/>
      <w:bookmarkEnd w:id="34"/>
      <w:bookmarkEnd w:id="35"/>
    </w:p>
    <w:p w:rsidR="00F72F65" w:rsidRPr="00B77D4E" w:rsidP="00432DCE" w14:paraId="1228544A" w14:textId="77777777">
      <w:pPr>
        <w:spacing w:after="0" w:line="240" w:lineRule="auto"/>
        <w:rPr>
          <w:rFonts w:ascii="Times New Roman" w:hAnsi="Times New Roman" w:cs="Times New Roman"/>
          <w:sz w:val="24"/>
          <w:szCs w:val="24"/>
        </w:rPr>
      </w:pPr>
    </w:p>
    <w:p w:rsidR="007A3603" w:rsidP="00432DCE" w14:paraId="72A5557B" w14:textId="77777777">
      <w:pPr>
        <w:tabs>
          <w:tab w:val="left" w:pos="-720"/>
        </w:tabs>
        <w:suppressAutoHyphens/>
        <w:spacing w:after="0" w:line="240" w:lineRule="auto"/>
        <w:rPr>
          <w:rFonts w:ascii="Times New Roman" w:hAnsi="Times New Roman"/>
          <w:color w:val="000000"/>
          <w:sz w:val="24"/>
          <w:szCs w:val="24"/>
        </w:rPr>
      </w:pPr>
      <w:r w:rsidRPr="006872E2">
        <w:rPr>
          <w:rFonts w:ascii="Times New Roman" w:hAnsi="Times New Roman"/>
          <w:color w:val="000000"/>
          <w:sz w:val="24"/>
          <w:szCs w:val="24"/>
        </w:rPr>
        <w:t>There is no payment/gift to respondents.</w:t>
      </w:r>
    </w:p>
    <w:p w:rsidR="00AF37F8" w:rsidRPr="00AF37F8" w:rsidP="00AF37F8" w14:paraId="36E78C25" w14:textId="77777777">
      <w:pPr>
        <w:pStyle w:val="BodyText"/>
      </w:pPr>
    </w:p>
    <w:p w:rsidR="00FC2882" w:rsidRPr="006872E2" w:rsidP="00F76704" w14:paraId="4BCD4EFD" w14:textId="3EBFC31C">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36" w:name="_Toc528571031"/>
      <w:bookmarkStart w:id="37" w:name="_Toc528571497"/>
      <w:bookmarkStart w:id="38" w:name="_Toc528571591"/>
      <w:r w:rsidRPr="006872E2">
        <w:rPr>
          <w:rFonts w:ascii="Times New Roman" w:hAnsi="Times New Roman" w:cs="Times New Roman"/>
          <w:color w:val="auto"/>
          <w:u w:val="single"/>
        </w:rPr>
        <w:t>Confidentiality:</w:t>
      </w:r>
      <w:bookmarkEnd w:id="36"/>
      <w:bookmarkEnd w:id="37"/>
      <w:bookmarkEnd w:id="38"/>
    </w:p>
    <w:p w:rsidR="00F72F65" w:rsidRPr="006872E2" w:rsidP="00432DCE" w14:paraId="5DACEEB3" w14:textId="77777777">
      <w:pPr>
        <w:spacing w:after="0" w:line="240" w:lineRule="auto"/>
      </w:pPr>
    </w:p>
    <w:p w:rsidR="00D11175" w:rsidP="00432DCE" w14:paraId="1E5C0AC4" w14:textId="77777777">
      <w:pPr>
        <w:tabs>
          <w:tab w:val="left" w:pos="-720"/>
          <w:tab w:val="left" w:pos="0"/>
        </w:tabs>
        <w:suppressAutoHyphens/>
        <w:spacing w:after="0" w:line="240" w:lineRule="auto"/>
        <w:rPr>
          <w:rFonts w:ascii="Times New Roman" w:hAnsi="Times New Roman"/>
          <w:color w:val="000000"/>
          <w:sz w:val="24"/>
          <w:szCs w:val="24"/>
        </w:rPr>
      </w:pPr>
      <w:r w:rsidRPr="006872E2">
        <w:rPr>
          <w:rFonts w:ascii="Times New Roman" w:hAnsi="Times New Roman"/>
          <w:color w:val="000000"/>
          <w:sz w:val="24"/>
          <w:szCs w:val="24"/>
        </w:rPr>
        <w:t>The information received by</w:t>
      </w:r>
      <w:r w:rsidRPr="006872E2">
        <w:rPr>
          <w:rFonts w:ascii="Times New Roman" w:hAnsi="Times New Roman"/>
          <w:color w:val="FF0000"/>
          <w:sz w:val="24"/>
          <w:szCs w:val="24"/>
        </w:rPr>
        <w:t xml:space="preserve"> </w:t>
      </w:r>
      <w:r w:rsidRPr="006872E2">
        <w:rPr>
          <w:rFonts w:ascii="Times New Roman" w:hAnsi="Times New Roman"/>
          <w:sz w:val="24"/>
          <w:szCs w:val="24"/>
        </w:rPr>
        <w:t>CMS</w:t>
      </w:r>
      <w:r w:rsidRPr="006872E2">
        <w:rPr>
          <w:rFonts w:ascii="Times New Roman" w:hAnsi="Times New Roman"/>
          <w:color w:val="000000"/>
          <w:sz w:val="24"/>
          <w:szCs w:val="24"/>
        </w:rPr>
        <w:t xml:space="preserve"> is not confidential and its release would fall under the Freedom of Information Act. </w:t>
      </w:r>
    </w:p>
    <w:p w:rsidR="00AF37F8" w:rsidRPr="00AF37F8" w:rsidP="00AF37F8" w14:paraId="2E82B21B" w14:textId="77777777">
      <w:pPr>
        <w:pStyle w:val="BodyText"/>
      </w:pPr>
    </w:p>
    <w:p w:rsidR="00FC2882" w:rsidRPr="006872E2" w:rsidP="00F76704" w14:paraId="4C15C649" w14:textId="68390708">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39" w:name="_Toc528571032"/>
      <w:bookmarkStart w:id="40" w:name="_Toc528571498"/>
      <w:bookmarkStart w:id="41" w:name="_Toc528571592"/>
      <w:r w:rsidRPr="006872E2">
        <w:rPr>
          <w:rFonts w:ascii="Times New Roman" w:hAnsi="Times New Roman" w:cs="Times New Roman"/>
          <w:color w:val="auto"/>
          <w:u w:val="single"/>
        </w:rPr>
        <w:t>Sensitive Questions:</w:t>
      </w:r>
      <w:bookmarkEnd w:id="39"/>
      <w:bookmarkEnd w:id="40"/>
      <w:bookmarkEnd w:id="41"/>
    </w:p>
    <w:p w:rsidR="00F72F65" w:rsidRPr="006872E2" w:rsidP="00432DCE" w14:paraId="6ECFA561" w14:textId="77777777">
      <w:pPr>
        <w:spacing w:after="0" w:line="240" w:lineRule="auto"/>
      </w:pPr>
    </w:p>
    <w:p w:rsidR="00D11175" w:rsidP="00432DCE" w14:paraId="7A64CA7D" w14:textId="77777777">
      <w:pPr>
        <w:autoSpaceDE w:val="0"/>
        <w:autoSpaceDN w:val="0"/>
        <w:adjustRightInd w:val="0"/>
        <w:spacing w:after="0" w:line="240" w:lineRule="auto"/>
        <w:rPr>
          <w:rFonts w:ascii="Times New Roman" w:hAnsi="Times New Roman"/>
          <w:sz w:val="24"/>
          <w:szCs w:val="24"/>
        </w:rPr>
      </w:pPr>
      <w:r w:rsidRPr="006872E2">
        <w:rPr>
          <w:rFonts w:ascii="Times New Roman" w:hAnsi="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AF37F8" w:rsidRPr="00AF37F8" w:rsidP="00AF37F8" w14:paraId="3EE4CC4B" w14:textId="77777777">
      <w:pPr>
        <w:pStyle w:val="BodyText"/>
      </w:pPr>
    </w:p>
    <w:p w:rsidR="00FC2882" w:rsidRPr="006872E2" w:rsidP="00E05160" w14:paraId="07B913CD" w14:textId="11600D8D">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42" w:name="_Toc528571033"/>
      <w:bookmarkStart w:id="43" w:name="_Toc528571499"/>
      <w:bookmarkStart w:id="44" w:name="_Toc528571593"/>
      <w:r w:rsidRPr="006872E2">
        <w:rPr>
          <w:rFonts w:ascii="Times New Roman" w:hAnsi="Times New Roman" w:cs="Times New Roman"/>
          <w:color w:val="auto"/>
          <w:u w:val="single"/>
        </w:rPr>
        <w:t>Collection of Information Requirements and Associated Burden Estimates:</w:t>
      </w:r>
      <w:bookmarkEnd w:id="42"/>
      <w:bookmarkEnd w:id="43"/>
      <w:bookmarkEnd w:id="44"/>
    </w:p>
    <w:p w:rsidR="003310A7" w:rsidP="00432DCE" w14:paraId="623952A6" w14:textId="5A38C22F">
      <w:pPr>
        <w:pStyle w:val="Heading3"/>
        <w:spacing w:before="0" w:line="240" w:lineRule="auto"/>
        <w:ind w:firstLine="360"/>
        <w:rPr>
          <w:rFonts w:ascii="Times New Roman" w:hAnsi="Times New Roman" w:cs="Times New Roman"/>
          <w:color w:val="auto"/>
        </w:rPr>
      </w:pPr>
    </w:p>
    <w:p w:rsidR="00993547" w:rsidRPr="006872E2" w:rsidP="00432DCE" w14:paraId="39C0ACAE" w14:textId="1BCE952A">
      <w:pPr>
        <w:pStyle w:val="BodyText"/>
        <w:spacing w:after="0" w:line="240" w:lineRule="auto"/>
        <w:rPr>
          <w:rFonts w:ascii="Times New Roman" w:hAnsi="Times New Roman" w:cs="Times New Roman"/>
          <w:sz w:val="24"/>
          <w:szCs w:val="24"/>
        </w:rPr>
      </w:pPr>
      <w:r w:rsidRPr="006872E2">
        <w:rPr>
          <w:rFonts w:ascii="Times New Roman" w:hAnsi="Times New Roman" w:cs="Times New Roman"/>
          <w:sz w:val="24"/>
          <w:szCs w:val="24"/>
        </w:rPr>
        <w:t xml:space="preserve">The regulatory sections that support </w:t>
      </w:r>
      <w:r w:rsidR="0019381D">
        <w:rPr>
          <w:rFonts w:ascii="Times New Roman" w:hAnsi="Times New Roman" w:cs="Times New Roman"/>
          <w:sz w:val="24"/>
          <w:szCs w:val="24"/>
        </w:rPr>
        <w:t>our</w:t>
      </w:r>
      <w:r w:rsidRPr="006872E2">
        <w:rPr>
          <w:rFonts w:ascii="Times New Roman" w:hAnsi="Times New Roman" w:cs="Times New Roman"/>
          <w:sz w:val="24"/>
          <w:szCs w:val="24"/>
        </w:rPr>
        <w:t xml:space="preserve"> collection of information’s requirements are set out in 42 CFR part 438 (Managed Care)</w:t>
      </w:r>
      <w:r>
        <w:rPr>
          <w:rFonts w:ascii="Times New Roman" w:hAnsi="Times New Roman" w:cs="Times New Roman"/>
          <w:sz w:val="24"/>
          <w:szCs w:val="24"/>
        </w:rPr>
        <w:t>. The requirements and burden follow:</w:t>
      </w:r>
    </w:p>
    <w:p w:rsidR="00993547" w:rsidRPr="00993547" w:rsidP="00432DCE" w14:paraId="763DBE76" w14:textId="77777777">
      <w:pPr>
        <w:pStyle w:val="BodyText"/>
        <w:spacing w:after="0" w:line="240" w:lineRule="auto"/>
      </w:pPr>
    </w:p>
    <w:p w:rsidR="003310A7" w:rsidRPr="006872E2" w:rsidP="00E05160" w14:paraId="4C248677" w14:textId="4A6AC7C1">
      <w:pPr>
        <w:pStyle w:val="Heading4"/>
        <w:keepNext w:val="0"/>
        <w:keepLines w:val="0"/>
        <w:widowControl w:val="0"/>
        <w:numPr>
          <w:ilvl w:val="1"/>
          <w:numId w:val="2"/>
        </w:numPr>
        <w:spacing w:before="0" w:line="240" w:lineRule="auto"/>
        <w:ind w:left="0" w:firstLine="0"/>
        <w:rPr>
          <w:rFonts w:ascii="Times New Roman" w:hAnsi="Times New Roman" w:cs="Times New Roman"/>
          <w:color w:val="auto"/>
          <w:sz w:val="24"/>
          <w:szCs w:val="24"/>
        </w:rPr>
      </w:pPr>
      <w:bookmarkStart w:id="45" w:name="_Toc528571500"/>
      <w:bookmarkStart w:id="46" w:name="_Toc528571594"/>
      <w:r w:rsidRPr="006872E2">
        <w:rPr>
          <w:rFonts w:ascii="Times New Roman" w:hAnsi="Times New Roman" w:cs="Times New Roman"/>
          <w:color w:val="auto"/>
          <w:sz w:val="24"/>
          <w:szCs w:val="24"/>
        </w:rPr>
        <w:t>Wage</w:t>
      </w:r>
      <w:bookmarkEnd w:id="45"/>
      <w:bookmarkEnd w:id="46"/>
      <w:r w:rsidRPr="006872E2" w:rsidR="00860501">
        <w:rPr>
          <w:rFonts w:ascii="Times New Roman" w:hAnsi="Times New Roman" w:cs="Times New Roman"/>
          <w:color w:val="auto"/>
          <w:sz w:val="24"/>
          <w:szCs w:val="24"/>
        </w:rPr>
        <w:t xml:space="preserve"> </w:t>
      </w:r>
      <w:r w:rsidR="00AF37F8">
        <w:rPr>
          <w:rFonts w:ascii="Times New Roman" w:hAnsi="Times New Roman" w:cs="Times New Roman"/>
          <w:color w:val="auto"/>
          <w:sz w:val="24"/>
          <w:szCs w:val="24"/>
        </w:rPr>
        <w:t>Data</w:t>
      </w:r>
    </w:p>
    <w:p w:rsidR="00860501" w:rsidRPr="006872E2" w:rsidP="00432DCE" w14:paraId="146A2533" w14:textId="77777777">
      <w:pPr>
        <w:spacing w:after="0" w:line="240" w:lineRule="auto"/>
        <w:rPr>
          <w:i/>
        </w:rPr>
      </w:pPr>
    </w:p>
    <w:p w:rsidR="00D11175" w:rsidRPr="006872E2" w:rsidP="00432DCE" w14:paraId="30476D1B" w14:textId="0C142C86">
      <w:pPr>
        <w:spacing w:after="0" w:line="240" w:lineRule="auto"/>
        <w:rPr>
          <w:rFonts w:ascii="Times New Roman" w:hAnsi="Times New Roman"/>
          <w:sz w:val="24"/>
          <w:szCs w:val="24"/>
        </w:rPr>
      </w:pPr>
      <w:r w:rsidRPr="006872E2">
        <w:rPr>
          <w:rFonts w:ascii="Times New Roman" w:hAnsi="Times New Roman"/>
          <w:sz w:val="24"/>
          <w:szCs w:val="24"/>
        </w:rPr>
        <w:t xml:space="preserve">To derive average costs, we used data from the U.S. Bureau of Labor Statistics’ May </w:t>
      </w:r>
      <w:r w:rsidRPr="006872E2" w:rsidR="00766A00">
        <w:rPr>
          <w:rFonts w:ascii="Times New Roman" w:hAnsi="Times New Roman"/>
          <w:sz w:val="24"/>
          <w:szCs w:val="24"/>
        </w:rPr>
        <w:t>20</w:t>
      </w:r>
      <w:r w:rsidR="0058467E">
        <w:rPr>
          <w:rFonts w:ascii="Times New Roman" w:hAnsi="Times New Roman"/>
          <w:sz w:val="24"/>
          <w:szCs w:val="24"/>
        </w:rPr>
        <w:t>25</w:t>
      </w:r>
      <w:r w:rsidRPr="006872E2" w:rsidR="00766A00">
        <w:rPr>
          <w:rFonts w:ascii="Times New Roman" w:hAnsi="Times New Roman"/>
          <w:sz w:val="24"/>
          <w:szCs w:val="24"/>
        </w:rPr>
        <w:t xml:space="preserve"> </w:t>
      </w:r>
      <w:r w:rsidRPr="006872E2">
        <w:rPr>
          <w:rFonts w:ascii="Times New Roman" w:hAnsi="Times New Roman"/>
          <w:sz w:val="24"/>
          <w:szCs w:val="24"/>
        </w:rPr>
        <w:t xml:space="preserve">National Occupational Employment and Wage Estimates </w:t>
      </w:r>
      <w:hyperlink r:id="rId9" w:history="1">
        <w:r w:rsidRPr="006872E2" w:rsidR="00FA458A">
          <w:rPr>
            <w:rStyle w:val="Hyperlink"/>
            <w:rFonts w:ascii="Times New Roman" w:hAnsi="Times New Roman"/>
            <w:sz w:val="24"/>
            <w:szCs w:val="24"/>
          </w:rPr>
          <w:t>http://www.bls.gov/oes/current/oes_nat.htm</w:t>
        </w:r>
      </w:hyperlink>
      <w:r w:rsidRPr="006872E2">
        <w:rPr>
          <w:rFonts w:ascii="Times New Roman" w:hAnsi="Times New Roman"/>
          <w:szCs w:val="24"/>
        </w:rPr>
        <w:t xml:space="preserve">).  </w:t>
      </w:r>
      <w:r w:rsidRPr="006872E2">
        <w:rPr>
          <w:rFonts w:ascii="Times New Roman" w:hAnsi="Times New Roman"/>
          <w:sz w:val="24"/>
          <w:szCs w:val="24"/>
        </w:rPr>
        <w:t xml:space="preserve">In this regard, the following table presents </w:t>
      </w:r>
      <w:r w:rsidRPr="006872E2" w:rsidR="002437AA">
        <w:rPr>
          <w:rFonts w:ascii="Times New Roman" w:hAnsi="Times New Roman"/>
          <w:sz w:val="24"/>
          <w:szCs w:val="24"/>
        </w:rPr>
        <w:t>BLS’</w:t>
      </w:r>
      <w:r w:rsidRPr="006872E2">
        <w:rPr>
          <w:rFonts w:ascii="Times New Roman" w:hAnsi="Times New Roman"/>
          <w:sz w:val="24"/>
          <w:szCs w:val="24"/>
        </w:rPr>
        <w:t xml:space="preserve"> mean hourly wage, </w:t>
      </w:r>
      <w:r w:rsidRPr="006872E2" w:rsidR="002437AA">
        <w:rPr>
          <w:rFonts w:ascii="Times New Roman" w:hAnsi="Times New Roman"/>
          <w:sz w:val="24"/>
          <w:szCs w:val="24"/>
        </w:rPr>
        <w:t xml:space="preserve">our estimated </w:t>
      </w:r>
      <w:r w:rsidRPr="006872E2">
        <w:rPr>
          <w:rFonts w:ascii="Times New Roman" w:hAnsi="Times New Roman"/>
          <w:sz w:val="24"/>
          <w:szCs w:val="24"/>
        </w:rPr>
        <w:t>cost of fringe benefits</w:t>
      </w:r>
      <w:r w:rsidRPr="006872E2" w:rsidR="0081508E">
        <w:rPr>
          <w:rFonts w:ascii="Times New Roman" w:hAnsi="Times New Roman"/>
          <w:sz w:val="24"/>
          <w:szCs w:val="24"/>
        </w:rPr>
        <w:t xml:space="preserve"> and o</w:t>
      </w:r>
      <w:r w:rsidR="00D23509">
        <w:rPr>
          <w:rFonts w:ascii="Times New Roman" w:hAnsi="Times New Roman"/>
          <w:sz w:val="24"/>
          <w:szCs w:val="24"/>
        </w:rPr>
        <w:t>ther indirect costs</w:t>
      </w:r>
      <w:r w:rsidRPr="006872E2">
        <w:rPr>
          <w:rFonts w:ascii="Times New Roman" w:hAnsi="Times New Roman"/>
          <w:sz w:val="24"/>
          <w:szCs w:val="24"/>
        </w:rPr>
        <w:t xml:space="preserve">, and </w:t>
      </w:r>
      <w:r w:rsidRPr="006872E2" w:rsidR="002437AA">
        <w:rPr>
          <w:rFonts w:ascii="Times New Roman" w:hAnsi="Times New Roman"/>
          <w:sz w:val="24"/>
          <w:szCs w:val="24"/>
        </w:rPr>
        <w:t xml:space="preserve">our </w:t>
      </w:r>
      <w:r w:rsidRPr="006872E2">
        <w:rPr>
          <w:rFonts w:ascii="Times New Roman" w:hAnsi="Times New Roman"/>
          <w:sz w:val="24"/>
          <w:szCs w:val="24"/>
        </w:rPr>
        <w:t xml:space="preserve"> adjusted hourly wage.</w:t>
      </w:r>
    </w:p>
    <w:p w:rsidR="00624B15" w:rsidRPr="00B84A04" w:rsidP="00432DCE" w14:paraId="3F317189" w14:textId="0179881B">
      <w:pPr>
        <w:pStyle w:val="TableCaption"/>
        <w:spacing w:after="0"/>
        <w:rPr>
          <w:b w:val="0"/>
          <w:bCs/>
          <w:sz w:val="22"/>
          <w:szCs w:val="22"/>
          <w:u w:val="single"/>
        </w:rPr>
      </w:pPr>
      <w:r w:rsidRPr="00B84A04">
        <w:rPr>
          <w:b w:val="0"/>
          <w:bCs/>
          <w:sz w:val="22"/>
          <w:szCs w:val="22"/>
        </w:rPr>
        <w:t>Occupation Titles and Wage Rates</w:t>
      </w:r>
    </w:p>
    <w:tbl>
      <w:tblPr>
        <w:tblW w:w="9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922"/>
        <w:gridCol w:w="1922"/>
        <w:gridCol w:w="1922"/>
        <w:gridCol w:w="1922"/>
        <w:gridCol w:w="1923"/>
      </w:tblGrid>
      <w:tr w14:paraId="7F9DEB6C" w14:textId="77777777" w:rsidTr="0064444F">
        <w:tblPrEx>
          <w:tblW w:w="9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375"/>
          <w:tblHeader/>
          <w:jc w:val="center"/>
        </w:trPr>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24B15" w:rsidRPr="0064444F" w:rsidP="00432DCE" w14:paraId="66DD6E9B" w14:textId="77777777">
            <w:pPr>
              <w:spacing w:after="0" w:line="240" w:lineRule="auto"/>
              <w:jc w:val="center"/>
              <w:rPr>
                <w:rFonts w:ascii="Times New Roman" w:hAnsi="Times New Roman" w:cs="Times New Roman"/>
                <w:bCs/>
                <w:sz w:val="20"/>
                <w:szCs w:val="20"/>
              </w:rPr>
            </w:pPr>
            <w:bookmarkStart w:id="47" w:name="_Hlk511915620"/>
            <w:r w:rsidRPr="0064444F">
              <w:rPr>
                <w:rFonts w:ascii="Times New Roman" w:hAnsi="Times New Roman" w:cs="Times New Roman"/>
                <w:bCs/>
                <w:sz w:val="20"/>
                <w:szCs w:val="20"/>
              </w:rPr>
              <w:t>Occupation Title</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24B15" w:rsidRPr="0064444F" w:rsidP="00432DCE" w14:paraId="57E92858" w14:textId="77777777">
            <w:pPr>
              <w:spacing w:after="0" w:line="240" w:lineRule="auto"/>
              <w:jc w:val="center"/>
              <w:rPr>
                <w:rFonts w:ascii="Times New Roman" w:hAnsi="Times New Roman" w:cs="Times New Roman"/>
                <w:bCs/>
                <w:sz w:val="20"/>
                <w:szCs w:val="20"/>
              </w:rPr>
            </w:pPr>
            <w:r w:rsidRPr="0064444F">
              <w:rPr>
                <w:rFonts w:ascii="Times New Roman" w:hAnsi="Times New Roman" w:cs="Times New Roman"/>
                <w:bCs/>
                <w:sz w:val="20"/>
                <w:szCs w:val="20"/>
              </w:rPr>
              <w:t>Occupation Code</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24B15" w:rsidRPr="0064444F" w:rsidP="00432DCE" w14:paraId="26BD915C" w14:textId="761CA164">
            <w:pPr>
              <w:spacing w:after="0" w:line="240" w:lineRule="auto"/>
              <w:jc w:val="center"/>
              <w:rPr>
                <w:rFonts w:ascii="Times New Roman" w:hAnsi="Times New Roman" w:cs="Times New Roman"/>
                <w:bCs/>
                <w:sz w:val="20"/>
                <w:szCs w:val="20"/>
              </w:rPr>
            </w:pPr>
            <w:r w:rsidRPr="0064444F">
              <w:rPr>
                <w:rFonts w:ascii="Times New Roman" w:hAnsi="Times New Roman" w:cs="Times New Roman"/>
                <w:bCs/>
                <w:sz w:val="20"/>
                <w:szCs w:val="20"/>
              </w:rPr>
              <w:t>Mean Hourly Wage($/hr)</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24B15" w:rsidRPr="0064444F" w:rsidP="00432DCE" w14:paraId="517E44A5" w14:textId="7585F435">
            <w:pPr>
              <w:spacing w:after="0" w:line="240" w:lineRule="auto"/>
              <w:jc w:val="center"/>
              <w:rPr>
                <w:rFonts w:ascii="Times New Roman" w:hAnsi="Times New Roman" w:cs="Times New Roman"/>
                <w:bCs/>
                <w:sz w:val="20"/>
                <w:szCs w:val="20"/>
              </w:rPr>
            </w:pPr>
            <w:r w:rsidRPr="0064444F">
              <w:rPr>
                <w:rFonts w:ascii="Times New Roman" w:hAnsi="Times New Roman" w:cs="Times New Roman"/>
                <w:bCs/>
                <w:sz w:val="20"/>
                <w:szCs w:val="20"/>
              </w:rPr>
              <w:t>Fringe Benefit</w:t>
            </w:r>
            <w:r w:rsidRPr="0064444F" w:rsidR="0081508E">
              <w:rPr>
                <w:rFonts w:ascii="Times New Roman" w:hAnsi="Times New Roman" w:cs="Times New Roman"/>
                <w:bCs/>
                <w:sz w:val="20"/>
                <w:szCs w:val="20"/>
              </w:rPr>
              <w:t>s and O</w:t>
            </w:r>
            <w:r w:rsidRPr="0064444F" w:rsidR="00D23509">
              <w:rPr>
                <w:rFonts w:ascii="Times New Roman" w:hAnsi="Times New Roman" w:cs="Times New Roman"/>
                <w:bCs/>
                <w:sz w:val="20"/>
                <w:szCs w:val="20"/>
              </w:rPr>
              <w:t>ther Indirect Costs</w:t>
            </w:r>
            <w:r w:rsidRPr="0064444F">
              <w:rPr>
                <w:rFonts w:ascii="Times New Roman" w:hAnsi="Times New Roman" w:cs="Times New Roman"/>
                <w:bCs/>
                <w:sz w:val="20"/>
                <w:szCs w:val="20"/>
              </w:rPr>
              <w:t xml:space="preserve"> ($/hr)</w:t>
            </w:r>
          </w:p>
        </w:tc>
        <w:tc>
          <w:tcPr>
            <w:tcW w:w="192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24B15" w:rsidRPr="0064444F" w:rsidP="00432DCE" w14:paraId="741C600E" w14:textId="77777777">
            <w:pPr>
              <w:spacing w:after="0" w:line="240" w:lineRule="auto"/>
              <w:jc w:val="center"/>
              <w:rPr>
                <w:rFonts w:ascii="Times New Roman" w:hAnsi="Times New Roman" w:cs="Times New Roman"/>
                <w:bCs/>
                <w:sz w:val="20"/>
                <w:szCs w:val="20"/>
              </w:rPr>
            </w:pPr>
            <w:r w:rsidRPr="0064444F">
              <w:rPr>
                <w:rFonts w:ascii="Times New Roman" w:hAnsi="Times New Roman" w:cs="Times New Roman"/>
                <w:bCs/>
                <w:sz w:val="20"/>
                <w:szCs w:val="20"/>
              </w:rPr>
              <w:t>Adjusted Hourly Wage($/hr)</w:t>
            </w:r>
          </w:p>
        </w:tc>
      </w:tr>
      <w:tr w14:paraId="1DAD0115" w14:textId="77777777" w:rsidTr="0064444F">
        <w:tblPrEx>
          <w:tblW w:w="9611" w:type="dxa"/>
          <w:jc w:val="center"/>
          <w:tblLayout w:type="fixed"/>
          <w:tblLook w:val="04A0"/>
        </w:tblPrEx>
        <w:trPr>
          <w:trHeight w:val="263"/>
          <w:jc w:val="center"/>
        </w:trPr>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685D95A1"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Accountant</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69422404"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13-2011</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296CA830" w14:textId="7CFCC7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45.56</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487D0125" w14:textId="086B3F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45.56</w:t>
            </w:r>
          </w:p>
        </w:tc>
        <w:tc>
          <w:tcPr>
            <w:tcW w:w="192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7EA1BBC2" w14:textId="1567D0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91.1</w:t>
            </w:r>
            <w:r w:rsidR="00752ED6">
              <w:rPr>
                <w:rFonts w:ascii="Times New Roman" w:hAnsi="Times New Roman" w:cs="Times New Roman"/>
                <w:sz w:val="20"/>
                <w:szCs w:val="20"/>
              </w:rPr>
              <w:t>2</w:t>
            </w:r>
          </w:p>
        </w:tc>
      </w:tr>
      <w:tr w14:paraId="1A3BD3E9" w14:textId="77777777" w:rsidTr="0064444F">
        <w:tblPrEx>
          <w:tblW w:w="9611" w:type="dxa"/>
          <w:jc w:val="center"/>
          <w:tblLayout w:type="fixed"/>
          <w:tblLook w:val="04A0"/>
        </w:tblPrEx>
        <w:trPr>
          <w:trHeight w:val="263"/>
          <w:jc w:val="center"/>
        </w:trPr>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110F42FF"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Actuary</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1189E53D"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15-2011</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722C1C44" w14:textId="4AA838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68.02</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21454501" w14:textId="327C83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68.02</w:t>
            </w:r>
          </w:p>
        </w:tc>
        <w:tc>
          <w:tcPr>
            <w:tcW w:w="192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D6F94" w:rsidRPr="0063628F" w:rsidP="00432DCE" w14:paraId="79750B34" w14:textId="6DC8DC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136.04</w:t>
            </w:r>
          </w:p>
        </w:tc>
      </w:tr>
      <w:tr w14:paraId="7AC01EA2" w14:textId="77777777" w:rsidTr="0064444F">
        <w:tblPrEx>
          <w:tblW w:w="9611" w:type="dxa"/>
          <w:jc w:val="center"/>
          <w:tblLayout w:type="fixed"/>
          <w:tblLook w:val="04A0"/>
        </w:tblPrEx>
        <w:trPr>
          <w:trHeight w:val="367"/>
          <w:jc w:val="center"/>
        </w:trPr>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043D5B9A"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Business Operations Specialist</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40EFE123"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13-1000</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4D9CCC6A" w14:textId="4DBF360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44.63</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D6F94" w:rsidRPr="00B84A04" w:rsidP="00432DCE" w14:paraId="135ACA0A" w14:textId="7638DD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44.63</w:t>
            </w:r>
          </w:p>
        </w:tc>
        <w:tc>
          <w:tcPr>
            <w:tcW w:w="192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1D0598B5" w14:textId="732D3D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89.26</w:t>
            </w:r>
          </w:p>
        </w:tc>
      </w:tr>
      <w:tr w14:paraId="17FA5062" w14:textId="77777777" w:rsidTr="0064444F">
        <w:tblPrEx>
          <w:tblW w:w="9611" w:type="dxa"/>
          <w:jc w:val="center"/>
          <w:tblLayout w:type="fixed"/>
          <w:tblLook w:val="04A0"/>
        </w:tblPrEx>
        <w:trPr>
          <w:trHeight w:val="283"/>
          <w:jc w:val="center"/>
        </w:trPr>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3764269C"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Computer Programmer</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182A0EF5" w14:textId="74B2459D">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15-1250</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208C9024" w14:textId="29A6EE8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67.24</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4B828553" w14:textId="041899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67.24</w:t>
            </w:r>
          </w:p>
        </w:tc>
        <w:tc>
          <w:tcPr>
            <w:tcW w:w="192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5911C9" w:rsidRPr="0063628F" w:rsidP="00432DCE" w14:paraId="6941AF98" w14:textId="3EB8B2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134.48</w:t>
            </w:r>
          </w:p>
        </w:tc>
      </w:tr>
      <w:tr w14:paraId="0D49584D" w14:textId="77777777" w:rsidTr="0064444F">
        <w:tblPrEx>
          <w:tblW w:w="9611" w:type="dxa"/>
          <w:jc w:val="center"/>
          <w:tblLayout w:type="fixed"/>
          <w:tblLook w:val="04A0"/>
        </w:tblPrEx>
        <w:trPr>
          <w:trHeight w:val="367"/>
          <w:jc w:val="center"/>
        </w:trPr>
        <w:tc>
          <w:tcPr>
            <w:tcW w:w="192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78EA843C"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Customer Service Rep</w:t>
            </w:r>
          </w:p>
        </w:tc>
        <w:tc>
          <w:tcPr>
            <w:tcW w:w="192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57DFDA52"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43-4051</w:t>
            </w:r>
          </w:p>
        </w:tc>
        <w:tc>
          <w:tcPr>
            <w:tcW w:w="192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41C7649D" w14:textId="4EB70F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22.40</w:t>
            </w:r>
          </w:p>
        </w:tc>
        <w:tc>
          <w:tcPr>
            <w:tcW w:w="192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196BB94C" w14:textId="5FC8D3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22.40</w:t>
            </w:r>
          </w:p>
        </w:tc>
        <w:tc>
          <w:tcPr>
            <w:tcW w:w="1923"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54B05F6A" w14:textId="3675A2D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44.80</w:t>
            </w:r>
          </w:p>
        </w:tc>
      </w:tr>
      <w:tr w14:paraId="6AAD7B5F" w14:textId="77777777" w:rsidTr="00490DAC">
        <w:tblPrEx>
          <w:tblW w:w="9611" w:type="dxa"/>
          <w:jc w:val="center"/>
          <w:tblLayout w:type="fixed"/>
          <w:tblLook w:val="04A0"/>
        </w:tblPrEx>
        <w:trPr>
          <w:trHeight w:val="28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0DAC" w:rsidRPr="0063628F" w:rsidP="00432DCE" w14:paraId="51CD3FF0" w14:textId="608A239F">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 xml:space="preserve">General and Operations </w:t>
            </w:r>
            <w:r w:rsidRPr="0063628F" w:rsidR="00DC567E">
              <w:rPr>
                <w:rFonts w:ascii="Times New Roman" w:hAnsi="Times New Roman" w:cs="Times New Roman"/>
                <w:sz w:val="20"/>
                <w:szCs w:val="20"/>
              </w:rPr>
              <w:t>Mgr.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90DAC" w:rsidRPr="0063628F" w:rsidP="00432DCE" w14:paraId="4A1ABC58"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11-1021</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0DAC" w:rsidRPr="0063628F" w:rsidP="00432DCE" w14:paraId="7EB853DB" w14:textId="59F460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64.87</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0DAC" w:rsidRPr="0063628F" w:rsidP="00432DCE" w14:paraId="0075FB3D" w14:textId="0F15C6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64.87</w:t>
            </w:r>
          </w:p>
        </w:tc>
        <w:tc>
          <w:tcPr>
            <w:tcW w:w="1923"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rsidR="00490DAC" w:rsidRPr="0063628F" w:rsidP="00432DCE" w14:paraId="4933FE3E" w14:textId="515B36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129.74</w:t>
            </w:r>
          </w:p>
        </w:tc>
      </w:tr>
      <w:tr w14:paraId="23C0226D" w14:textId="77777777" w:rsidTr="005911C9">
        <w:tblPrEx>
          <w:tblW w:w="9611" w:type="dxa"/>
          <w:jc w:val="center"/>
          <w:tblLayout w:type="fixed"/>
          <w:tblLook w:val="04A0"/>
        </w:tblPrEx>
        <w:trPr>
          <w:trHeight w:val="26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5C2B7C26" w14:textId="576A44CF">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Healthcare Social worker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0B46A0CA" w14:textId="569EDA1D">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21-1022</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11C9" w:rsidRPr="00B84A04" w:rsidP="00432DCE" w14:paraId="2F9316D6" w14:textId="3333FC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34.51</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11C9" w:rsidRPr="0063628F" w:rsidP="00432DCE" w14:paraId="38DFE516" w14:textId="6C749F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34.51</w:t>
            </w:r>
          </w:p>
        </w:tc>
        <w:tc>
          <w:tcPr>
            <w:tcW w:w="1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00645291" w14:textId="511229B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69.02</w:t>
            </w:r>
          </w:p>
        </w:tc>
      </w:tr>
      <w:tr w14:paraId="77B8EE12" w14:textId="77777777" w:rsidTr="005911C9">
        <w:tblPrEx>
          <w:tblW w:w="9611" w:type="dxa"/>
          <w:jc w:val="center"/>
          <w:tblLayout w:type="fixed"/>
          <w:tblLook w:val="04A0"/>
        </w:tblPrEx>
        <w:trPr>
          <w:trHeight w:val="26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4FC9C736"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Mail Clerk</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0AEC3E42"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43-9051</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11C9" w:rsidRPr="0063628F" w:rsidP="00432DCE" w14:paraId="241D2313" w14:textId="40D752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20.03</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11C9" w:rsidRPr="0063628F" w:rsidP="00432DCE" w14:paraId="0CD7531E" w14:textId="1F87F6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20.03</w:t>
            </w:r>
          </w:p>
        </w:tc>
        <w:tc>
          <w:tcPr>
            <w:tcW w:w="1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3B9C56C1" w14:textId="3E0FD8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40.06</w:t>
            </w:r>
          </w:p>
        </w:tc>
      </w:tr>
      <w:tr w14:paraId="57752CB6" w14:textId="77777777" w:rsidTr="005911C9">
        <w:tblPrEx>
          <w:tblW w:w="9611" w:type="dxa"/>
          <w:jc w:val="center"/>
          <w:tblLayout w:type="fixed"/>
          <w:tblLook w:val="04A0"/>
        </w:tblPrEx>
        <w:trPr>
          <w:trHeight w:val="41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0C921F14"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Office and Administrative Support Worker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5CBF0387"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43-9000</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11C9" w:rsidRPr="0063628F" w:rsidP="00432DCE" w14:paraId="26F733E7" w14:textId="01034E7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22.53</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911C9" w:rsidRPr="0063628F" w:rsidP="00432DCE" w14:paraId="748EE0EF" w14:textId="76E57F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22.53</w:t>
            </w:r>
          </w:p>
        </w:tc>
        <w:tc>
          <w:tcPr>
            <w:tcW w:w="1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911C9" w:rsidRPr="0063628F" w:rsidP="00432DCE" w14:paraId="28581D9F" w14:textId="5D6C3AE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45.06</w:t>
            </w:r>
          </w:p>
        </w:tc>
      </w:tr>
      <w:tr w14:paraId="11F168E6" w14:textId="77777777" w:rsidTr="005911C9">
        <w:tblPrEx>
          <w:tblW w:w="9611" w:type="dxa"/>
          <w:jc w:val="center"/>
          <w:tblLayout w:type="fixed"/>
          <w:tblLook w:val="04A0"/>
        </w:tblPrEx>
        <w:trPr>
          <w:trHeight w:val="367"/>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E1FB2" w:rsidRPr="0063628F" w:rsidP="00432DCE" w14:paraId="454114B0" w14:textId="77777777">
            <w:pPr>
              <w:spacing w:after="0" w:line="240" w:lineRule="auto"/>
              <w:rPr>
                <w:rFonts w:ascii="Times New Roman" w:hAnsi="Times New Roman" w:cs="Times New Roman"/>
                <w:sz w:val="20"/>
                <w:szCs w:val="20"/>
              </w:rPr>
            </w:pPr>
            <w:r w:rsidRPr="0063628F">
              <w:rPr>
                <w:rFonts w:ascii="Times New Roman" w:hAnsi="Times New Roman" w:cs="Times New Roman"/>
                <w:sz w:val="20"/>
                <w:szCs w:val="20"/>
              </w:rPr>
              <w:t>Registered Nurse</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E1FB2" w:rsidRPr="0063628F" w:rsidP="00432DCE" w14:paraId="6CC38438" w14:textId="77777777">
            <w:pPr>
              <w:spacing w:after="0" w:line="240" w:lineRule="auto"/>
              <w:jc w:val="center"/>
              <w:rPr>
                <w:rFonts w:ascii="Times New Roman" w:hAnsi="Times New Roman" w:cs="Times New Roman"/>
                <w:sz w:val="20"/>
                <w:szCs w:val="20"/>
              </w:rPr>
            </w:pPr>
            <w:r w:rsidRPr="0063628F">
              <w:rPr>
                <w:rFonts w:ascii="Times New Roman" w:hAnsi="Times New Roman" w:cs="Times New Roman"/>
                <w:sz w:val="20"/>
                <w:szCs w:val="20"/>
              </w:rPr>
              <w:t>29-1141</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E1FB2" w:rsidRPr="0063628F" w:rsidP="00432DCE" w14:paraId="23B441D8" w14:textId="1C1C3FB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48.76</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E1FB2" w:rsidRPr="0063628F" w:rsidP="00432DCE" w14:paraId="554ECBB7" w14:textId="02C5A8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48.76</w:t>
            </w:r>
          </w:p>
        </w:tc>
        <w:tc>
          <w:tcPr>
            <w:tcW w:w="1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E1FB2" w:rsidRPr="0063628F" w:rsidP="00432DCE" w14:paraId="4AEA19ED" w14:textId="73EE44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97.72</w:t>
            </w:r>
          </w:p>
        </w:tc>
      </w:tr>
      <w:bookmarkEnd w:id="47"/>
    </w:tbl>
    <w:p w:rsidR="00624B15" w:rsidRPr="006872E2" w:rsidP="00432DCE" w14:paraId="75520430" w14:textId="77777777">
      <w:pPr>
        <w:spacing w:after="0" w:line="240" w:lineRule="auto"/>
        <w:rPr>
          <w:rFonts w:ascii="Times New Roman" w:hAnsi="Times New Roman" w:cs="Times New Roman"/>
          <w:sz w:val="24"/>
          <w:szCs w:val="24"/>
        </w:rPr>
      </w:pPr>
    </w:p>
    <w:p w:rsidR="00624B15" w:rsidP="00432DCE" w14:paraId="66778DF6" w14:textId="2EF698C1">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As indicated, we are adjusting our employee hourly wage estimates by a factor of 100 percent. This is necessarily a rough adjustment, both because fringe benefits and o</w:t>
      </w:r>
      <w:r w:rsidR="003543BC">
        <w:rPr>
          <w:rFonts w:ascii="Times New Roman" w:hAnsi="Times New Roman" w:cs="Times New Roman"/>
          <w:sz w:val="24"/>
          <w:szCs w:val="24"/>
        </w:rPr>
        <w:t xml:space="preserve">ther indirect </w:t>
      </w:r>
      <w:r w:rsidRPr="006872E2">
        <w:rPr>
          <w:rFonts w:ascii="Times New Roman" w:hAnsi="Times New Roman" w:cs="Times New Roman"/>
          <w:sz w:val="24"/>
          <w:szCs w:val="24"/>
        </w:rPr>
        <w:t>costs vary significantly from employer to employer, and because methods of estimating these costs vary widely from study to study.  Nonetheless, we believe that doubling the hourly wage to estimate total cost is a reasonably accurate estimation method.</w:t>
      </w:r>
    </w:p>
    <w:p w:rsidR="00AF37F8" w:rsidRPr="00AF37F8" w:rsidP="00AF37F8" w14:paraId="68A22F35" w14:textId="77777777">
      <w:pPr>
        <w:pStyle w:val="BodyText"/>
      </w:pPr>
    </w:p>
    <w:p w:rsidR="00FC2882" w:rsidRPr="001D72D8" w:rsidP="00E05160" w14:paraId="138DFF32" w14:textId="60E1EBCE">
      <w:pPr>
        <w:pStyle w:val="Heading4"/>
        <w:keepNext w:val="0"/>
        <w:keepLines w:val="0"/>
        <w:widowControl w:val="0"/>
        <w:numPr>
          <w:ilvl w:val="1"/>
          <w:numId w:val="2"/>
        </w:numPr>
        <w:spacing w:before="0" w:line="240" w:lineRule="auto"/>
        <w:ind w:left="0" w:firstLine="0"/>
        <w:rPr>
          <w:rFonts w:ascii="Times New Roman" w:hAnsi="Times New Roman" w:cs="Times New Roman"/>
          <w:i w:val="0"/>
          <w:color w:val="auto"/>
          <w:sz w:val="24"/>
          <w:szCs w:val="24"/>
        </w:rPr>
      </w:pPr>
      <w:bookmarkStart w:id="48" w:name="_Toc528571501"/>
      <w:bookmarkStart w:id="49" w:name="_Toc528571595"/>
      <w:r w:rsidRPr="001D72D8">
        <w:rPr>
          <w:rStyle w:val="Heading4Char"/>
          <w:rFonts w:ascii="Times New Roman" w:hAnsi="Times New Roman" w:cs="Times New Roman"/>
          <w:i/>
          <w:color w:val="auto"/>
          <w:sz w:val="24"/>
          <w:szCs w:val="24"/>
        </w:rPr>
        <w:t>Collection of Information Requirements and Associated Burden Estimates</w:t>
      </w:r>
      <w:r w:rsidRPr="001D72D8">
        <w:rPr>
          <w:rFonts w:ascii="Times New Roman" w:hAnsi="Times New Roman" w:cs="Times New Roman"/>
          <w:i w:val="0"/>
          <w:color w:val="auto"/>
          <w:sz w:val="24"/>
          <w:szCs w:val="24"/>
        </w:rPr>
        <w:t>:</w:t>
      </w:r>
      <w:bookmarkEnd w:id="48"/>
      <w:bookmarkEnd w:id="49"/>
    </w:p>
    <w:p w:rsidR="00860501" w:rsidRPr="001D72D8" w:rsidP="00432DCE" w14:paraId="34AD4705" w14:textId="27D1586B">
      <w:pPr>
        <w:spacing w:after="0" w:line="240" w:lineRule="auto"/>
      </w:pPr>
    </w:p>
    <w:p w:rsidR="00377A6D" w:rsidP="00432DCE" w14:paraId="5D86C0BA"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A-General Provisions</w:t>
      </w:r>
    </w:p>
    <w:p w:rsidR="00AF37F8" w:rsidRPr="001D72D8" w:rsidP="00432DCE" w14:paraId="7F2B74F8" w14:textId="77777777">
      <w:pPr>
        <w:pStyle w:val="BodyText"/>
        <w:spacing w:after="0" w:line="240" w:lineRule="auto"/>
        <w:jc w:val="center"/>
        <w:rPr>
          <w:rFonts w:ascii="Times New Roman" w:hAnsi="Times New Roman" w:cs="Times New Roman"/>
          <w:b/>
          <w:sz w:val="24"/>
          <w:szCs w:val="24"/>
        </w:rPr>
      </w:pPr>
    </w:p>
    <w:p w:rsidR="002D2AC6" w:rsidRPr="001D72D8" w:rsidP="00432DCE" w14:paraId="7CF2E7A1" w14:textId="63FDF6BB">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Subpart A specifies requirements for states and managed care plans including contract requirements and payment.</w:t>
      </w:r>
    </w:p>
    <w:p w:rsidR="00CE47E5" w:rsidRPr="001D72D8" w:rsidP="00432DCE" w14:paraId="1091C602" w14:textId="77777777">
      <w:pPr>
        <w:spacing w:after="0" w:line="240" w:lineRule="auto"/>
        <w:rPr>
          <w:rFonts w:ascii="Times New Roman" w:hAnsi="Times New Roman" w:cs="Times New Roman"/>
          <w:sz w:val="24"/>
          <w:szCs w:val="24"/>
          <w:u w:val="single"/>
        </w:rPr>
      </w:pPr>
    </w:p>
    <w:p w:rsidR="000E7B4E" w:rsidRPr="001D72D8" w:rsidP="00432DCE" w14:paraId="72D9CEAC" w14:textId="5773CD24">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u w:val="single"/>
        </w:rPr>
        <w:t>Section 438.3 Standard contract requirements</w:t>
      </w:r>
      <w:r w:rsidRPr="001D72D8">
        <w:rPr>
          <w:rFonts w:ascii="Times New Roman" w:hAnsi="Times New Roman" w:cs="Times New Roman"/>
          <w:sz w:val="24"/>
          <w:szCs w:val="24"/>
        </w:rPr>
        <w:t xml:space="preserve"> </w:t>
      </w:r>
    </w:p>
    <w:p w:rsidR="000E7B4E" w:rsidP="00432DCE" w14:paraId="65B41DF1" w14:textId="4AA64C52">
      <w:pPr>
        <w:spacing w:after="0" w:line="240" w:lineRule="auto"/>
        <w:rPr>
          <w:rFonts w:ascii="Times New Roman" w:hAnsi="Times New Roman" w:cs="Times New Roman"/>
          <w:b/>
          <w:iCs/>
          <w:sz w:val="24"/>
          <w:szCs w:val="24"/>
        </w:rPr>
      </w:pPr>
      <w:r w:rsidRPr="001D72D8">
        <w:rPr>
          <w:rFonts w:ascii="Times New Roman" w:hAnsi="Times New Roman" w:cs="Times New Roman"/>
          <w:iCs/>
          <w:sz w:val="24"/>
          <w:szCs w:val="24"/>
        </w:rPr>
        <w:t>Section 438.3(a) requires states to submit all MCO, PIHP, and PAHP contracts to CMS for review and approval. Using the electronic submission portal</w:t>
      </w:r>
      <w:r w:rsidRPr="001D72D8" w:rsidR="001245C0">
        <w:rPr>
          <w:rFonts w:ascii="Times New Roman" w:hAnsi="Times New Roman" w:cs="Times New Roman"/>
          <w:iCs/>
          <w:sz w:val="24"/>
          <w:szCs w:val="24"/>
        </w:rPr>
        <w:t xml:space="preserve"> and associated technical guidance</w:t>
      </w:r>
      <w:r w:rsidRPr="001D72D8">
        <w:rPr>
          <w:rFonts w:ascii="Times New Roman" w:hAnsi="Times New Roman" w:cs="Times New Roman"/>
          <w:iCs/>
          <w:sz w:val="24"/>
          <w:szCs w:val="24"/>
        </w:rPr>
        <w:t xml:space="preserve">, we estimate it will take a business operations specialist 30 minutes at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to submit each contract. In aggregate, we estimate an annual state burden </w:t>
      </w:r>
      <w:bookmarkStart w:id="50" w:name="_Hlk121905697"/>
      <w:r w:rsidRPr="001D72D8">
        <w:rPr>
          <w:rFonts w:ascii="Times New Roman" w:hAnsi="Times New Roman" w:cs="Times New Roman"/>
          <w:iCs/>
          <w:sz w:val="24"/>
          <w:szCs w:val="24"/>
        </w:rPr>
        <w:t xml:space="preserve">of </w:t>
      </w:r>
      <w:r w:rsidRPr="001D72D8" w:rsidR="00327AA9">
        <w:rPr>
          <w:rFonts w:ascii="Times New Roman" w:hAnsi="Times New Roman" w:cs="Times New Roman"/>
          <w:b/>
          <w:iCs/>
          <w:sz w:val="24"/>
          <w:szCs w:val="24"/>
        </w:rPr>
        <w:t>2</w:t>
      </w:r>
      <w:r w:rsidRPr="001D72D8" w:rsidR="002E3C7E">
        <w:rPr>
          <w:rFonts w:ascii="Times New Roman" w:hAnsi="Times New Roman" w:cs="Times New Roman"/>
          <w:b/>
          <w:iCs/>
          <w:sz w:val="24"/>
          <w:szCs w:val="24"/>
        </w:rPr>
        <w:t>00</w:t>
      </w:r>
      <w:r w:rsidRPr="001D72D8" w:rsidR="00327AA9">
        <w:rPr>
          <w:rFonts w:ascii="Times New Roman" w:hAnsi="Times New Roman" w:cs="Times New Roman"/>
          <w:iCs/>
          <w:sz w:val="24"/>
          <w:szCs w:val="24"/>
        </w:rPr>
        <w:t xml:space="preserve"> hours (</w:t>
      </w:r>
      <w:r w:rsidRPr="001D72D8" w:rsidR="009C165F">
        <w:rPr>
          <w:rFonts w:ascii="Times New Roman" w:hAnsi="Times New Roman" w:cs="Times New Roman"/>
          <w:iCs/>
          <w:sz w:val="24"/>
          <w:szCs w:val="24"/>
        </w:rPr>
        <w:t xml:space="preserve">400 </w:t>
      </w:r>
      <w:r w:rsidRPr="001D72D8" w:rsidR="00327AA9">
        <w:rPr>
          <w:rFonts w:ascii="Times New Roman" w:hAnsi="Times New Roman" w:cs="Times New Roman"/>
          <w:iCs/>
          <w:sz w:val="24"/>
          <w:szCs w:val="24"/>
        </w:rPr>
        <w:t xml:space="preserve">contracts </w:t>
      </w:r>
      <w:r w:rsidR="00A557DB">
        <w:rPr>
          <w:rFonts w:ascii="Times New Roman" w:hAnsi="Times New Roman" w:cs="Times New Roman"/>
          <w:iCs/>
          <w:sz w:val="24"/>
          <w:szCs w:val="24"/>
        </w:rPr>
        <w:t>x</w:t>
      </w:r>
      <w:r w:rsidRPr="001D72D8" w:rsidR="00327AA9">
        <w:rPr>
          <w:rFonts w:ascii="Times New Roman" w:hAnsi="Times New Roman" w:cs="Times New Roman"/>
          <w:iCs/>
          <w:sz w:val="24"/>
          <w:szCs w:val="24"/>
        </w:rPr>
        <w:t xml:space="preserve"> </w:t>
      </w:r>
      <w:r w:rsidR="00B1046E">
        <w:rPr>
          <w:rFonts w:ascii="Times New Roman" w:hAnsi="Times New Roman" w:cs="Times New Roman"/>
          <w:iCs/>
          <w:sz w:val="24"/>
          <w:szCs w:val="24"/>
        </w:rPr>
        <w:t>0</w:t>
      </w:r>
      <w:r w:rsidRPr="001D72D8" w:rsidR="00327AA9">
        <w:rPr>
          <w:rFonts w:ascii="Times New Roman" w:hAnsi="Times New Roman" w:cs="Times New Roman"/>
          <w:iCs/>
          <w:sz w:val="24"/>
          <w:szCs w:val="24"/>
        </w:rPr>
        <w:t>.5 hr) and $</w:t>
      </w:r>
      <w:r w:rsidRPr="001D72D8" w:rsidR="00203B40">
        <w:rPr>
          <w:rFonts w:ascii="Times New Roman" w:hAnsi="Times New Roman" w:cs="Times New Roman"/>
          <w:b/>
          <w:iCs/>
          <w:sz w:val="24"/>
          <w:szCs w:val="24"/>
        </w:rPr>
        <w:t>17,852</w:t>
      </w:r>
      <w:r w:rsidRPr="001D72D8" w:rsidR="00327AA9">
        <w:rPr>
          <w:rFonts w:ascii="Times New Roman" w:hAnsi="Times New Roman" w:cs="Times New Roman"/>
          <w:iCs/>
          <w:sz w:val="24"/>
          <w:szCs w:val="24"/>
        </w:rPr>
        <w:t xml:space="preserve"> (2</w:t>
      </w:r>
      <w:r w:rsidR="00207727">
        <w:rPr>
          <w:rFonts w:ascii="Times New Roman" w:hAnsi="Times New Roman" w:cs="Times New Roman"/>
          <w:iCs/>
          <w:sz w:val="24"/>
          <w:szCs w:val="24"/>
        </w:rPr>
        <w:t>00</w:t>
      </w:r>
      <w:r w:rsidRPr="001D72D8" w:rsidR="00327AA9">
        <w:rPr>
          <w:rFonts w:ascii="Times New Roman" w:hAnsi="Times New Roman" w:cs="Times New Roman"/>
          <w:iCs/>
          <w:sz w:val="24"/>
          <w:szCs w:val="24"/>
        </w:rPr>
        <w:t xml:space="preserve"> </w:t>
      </w:r>
      <w:r w:rsidRPr="001D72D8" w:rsidR="00CE47E5">
        <w:rPr>
          <w:rFonts w:ascii="Times New Roman" w:hAnsi="Times New Roman" w:cs="Times New Roman"/>
          <w:iCs/>
          <w:sz w:val="24"/>
          <w:szCs w:val="24"/>
        </w:rPr>
        <w:t>hr</w:t>
      </w:r>
      <w:r w:rsidRPr="001D72D8" w:rsidR="00327AA9">
        <w:rPr>
          <w:rFonts w:ascii="Times New Roman" w:hAnsi="Times New Roman" w:cs="Times New Roman"/>
          <w:iCs/>
          <w:sz w:val="24"/>
          <w:szCs w:val="24"/>
        </w:rPr>
        <w:t xml:space="preserve"> x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sidR="00327AA9">
        <w:rPr>
          <w:rFonts w:ascii="Times New Roman" w:hAnsi="Times New Roman" w:cs="Times New Roman"/>
          <w:iCs/>
          <w:sz w:val="24"/>
          <w:szCs w:val="24"/>
        </w:rPr>
        <w:t>/hr).</w:t>
      </w:r>
      <w:bookmarkEnd w:id="50"/>
      <w:r w:rsidRPr="001D72D8" w:rsidR="00B128ED">
        <w:rPr>
          <w:rFonts w:ascii="Times New Roman" w:hAnsi="Times New Roman" w:cs="Times New Roman"/>
          <w:iCs/>
          <w:sz w:val="24"/>
          <w:szCs w:val="24"/>
        </w:rPr>
        <w:t xml:space="preserve"> </w:t>
      </w:r>
      <w:r w:rsidRPr="001D72D8" w:rsidR="00B128ED">
        <w:rPr>
          <w:rFonts w:ascii="Times New Roman" w:hAnsi="Times New Roman" w:cs="Times New Roman"/>
          <w:b/>
          <w:iCs/>
          <w:sz w:val="24"/>
          <w:szCs w:val="24"/>
        </w:rPr>
        <w:t>(ESTIMATE 12.1j)</w:t>
      </w:r>
    </w:p>
    <w:p w:rsidR="00AF37F8" w:rsidRPr="00AF37F8" w:rsidP="00AF37F8" w14:paraId="0107C216" w14:textId="77777777">
      <w:pPr>
        <w:pStyle w:val="BodyText"/>
      </w:pPr>
    </w:p>
    <w:p w:rsidR="00624B15" w:rsidRPr="001D72D8" w:rsidP="00432DCE" w14:paraId="09475C66" w14:textId="5D6A6806">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 xml:space="preserve">Section 438.3(j) advance directives </w:t>
      </w:r>
      <w:r w:rsidRPr="001D72D8" w:rsidR="00BB6221">
        <w:rPr>
          <w:rFonts w:ascii="Times New Roman" w:hAnsi="Times New Roman" w:cs="Times New Roman"/>
          <w:iCs/>
          <w:sz w:val="24"/>
          <w:szCs w:val="24"/>
        </w:rPr>
        <w:t>were</w:t>
      </w:r>
      <w:r w:rsidRPr="001D72D8">
        <w:rPr>
          <w:rFonts w:ascii="Times New Roman" w:hAnsi="Times New Roman" w:cs="Times New Roman"/>
          <w:iCs/>
          <w:sz w:val="24"/>
          <w:szCs w:val="24"/>
        </w:rPr>
        <w:t xml:space="preserve"> previously designated as 438.6(i)(3).  This paragraph requires that MCOs, PIHPs, and certain PAHPs provide adult enrollees with written information on advance directives policies and include a description of applicable State law.  Any burden associated with this requirement is the time it takes to furnish the information to enrollees; however, it is included in the overall burden arising from the Information Requirements in §438.10.</w:t>
      </w:r>
    </w:p>
    <w:p w:rsidR="0050258C" w:rsidRPr="001D72D8" w:rsidP="00432DCE" w14:paraId="73005AF4" w14:textId="0E5527E9">
      <w:pPr>
        <w:pStyle w:val="BodyText"/>
        <w:spacing w:after="0" w:line="240" w:lineRule="auto"/>
        <w:rPr>
          <w:rFonts w:ascii="Times New Roman" w:hAnsi="Times New Roman" w:cs="Times New Roman"/>
          <w:sz w:val="24"/>
          <w:szCs w:val="24"/>
        </w:rPr>
      </w:pPr>
    </w:p>
    <w:p w:rsidR="00332B7B" w:rsidRPr="001D72D8" w:rsidP="00432DCE" w14:paraId="34E0ABFB" w14:textId="77777777">
      <w:pPr>
        <w:spacing w:after="0" w:line="240" w:lineRule="auto"/>
        <w:rPr>
          <w:rFonts w:ascii="Times New Roman" w:hAnsi="Times New Roman" w:cs="Times New Roman"/>
          <w:iCs/>
          <w:sz w:val="24"/>
          <w:szCs w:val="24"/>
          <w:u w:val="single"/>
        </w:rPr>
      </w:pPr>
      <w:bookmarkStart w:id="51" w:name="_Hlk216769132"/>
      <w:r w:rsidRPr="001D72D8">
        <w:rPr>
          <w:rFonts w:ascii="Times New Roman" w:hAnsi="Times New Roman" w:cs="Times New Roman"/>
          <w:sz w:val="24"/>
          <w:szCs w:val="24"/>
          <w:u w:val="single"/>
        </w:rPr>
        <w:t>Section 438.5 Rate</w:t>
      </w:r>
      <w:r w:rsidRPr="001D72D8">
        <w:rPr>
          <w:rFonts w:ascii="Times New Roman" w:hAnsi="Times New Roman" w:cs="Times New Roman"/>
          <w:iCs/>
          <w:sz w:val="24"/>
          <w:szCs w:val="24"/>
          <w:u w:val="single"/>
        </w:rPr>
        <w:t xml:space="preserve"> development standards</w:t>
      </w:r>
    </w:p>
    <w:p w:rsidR="00624B15" w:rsidP="00432DCE" w14:paraId="3FAC6E16" w14:textId="2E7BFF03">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 xml:space="preserve">Section 438.5 describes the development and documentation of capitation rates paid to risk-based MCOs, PIHPs and PAHPs.  Generally, we require: the use of appropriate base data; the application of trends that have a basis in actual experience; a comprehensive description of the development of the non-benefit component of the rate; descriptions of the adjustments applied to the base data, rate, or trends; actuarial certification of the final contract rates paid to the plans; and a description of budget neutral risk adjustment methodologies. </w:t>
      </w:r>
    </w:p>
    <w:p w:rsidR="00AF37F8" w:rsidRPr="00AF37F8" w:rsidP="00AF37F8" w14:paraId="15761527" w14:textId="77777777">
      <w:pPr>
        <w:pStyle w:val="BodyText"/>
      </w:pPr>
    </w:p>
    <w:p w:rsidR="00624B15" w:rsidP="00432DCE" w14:paraId="55082B7E" w14:textId="77777777">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 xml:space="preserve">We believe that the requirements related to the use appropriate base data and the adequate description of rate setting standards, such as trend, the non-benefit component, adjustments, and risk adjustment, are already required as part of actuarial standards of practice and accounted for in §438.7.  We clarified that risk adjustment should be done in a budget neutral manner, but the </w:t>
      </w:r>
      <w:r w:rsidRPr="001D72D8">
        <w:rPr>
          <w:rFonts w:ascii="Times New Roman" w:hAnsi="Times New Roman" w:cs="Times New Roman"/>
          <w:iCs/>
          <w:sz w:val="24"/>
          <w:szCs w:val="24"/>
        </w:rPr>
        <w:t>manner in which</w:t>
      </w:r>
      <w:r w:rsidRPr="001D72D8">
        <w:rPr>
          <w:rFonts w:ascii="Times New Roman" w:hAnsi="Times New Roman" w:cs="Times New Roman"/>
          <w:iCs/>
          <w:sz w:val="24"/>
          <w:szCs w:val="24"/>
        </w:rPr>
        <w:t xml:space="preserve"> risk adjustment is applied should not create additional burden on the state.</w:t>
      </w:r>
    </w:p>
    <w:p w:rsidR="00AF37F8" w:rsidRPr="00AF37F8" w:rsidP="00AF37F8" w14:paraId="6391D97D" w14:textId="77777777">
      <w:pPr>
        <w:pStyle w:val="BodyText"/>
      </w:pPr>
    </w:p>
    <w:p w:rsidR="00624B15" w:rsidP="00432DCE" w14:paraId="35795106" w14:textId="468F23E1">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 xml:space="preserve">In §438.5(g), the certification of final contract rates places additional burden on the states.  Therefore, out of the total </w:t>
      </w:r>
      <w:r w:rsidRPr="001D72D8" w:rsidR="00F145A8">
        <w:rPr>
          <w:rFonts w:ascii="Times New Roman" w:hAnsi="Times New Roman" w:cs="Times New Roman"/>
          <w:iCs/>
          <w:sz w:val="24"/>
          <w:szCs w:val="24"/>
        </w:rPr>
        <w:t xml:space="preserve">140 </w:t>
      </w:r>
      <w:r w:rsidRPr="001D72D8">
        <w:rPr>
          <w:rFonts w:ascii="Times New Roman" w:hAnsi="Times New Roman" w:cs="Times New Roman"/>
          <w:iCs/>
          <w:sz w:val="24"/>
          <w:szCs w:val="24"/>
        </w:rPr>
        <w:t xml:space="preserve">certifications submitted to CMS from 39 states, the process underlying </w:t>
      </w:r>
      <w:r w:rsidRPr="001D72D8" w:rsidR="00F145A8">
        <w:rPr>
          <w:rFonts w:ascii="Times New Roman" w:hAnsi="Times New Roman" w:cs="Times New Roman"/>
          <w:iCs/>
          <w:sz w:val="24"/>
          <w:szCs w:val="24"/>
        </w:rPr>
        <w:t xml:space="preserve">85 </w:t>
      </w:r>
      <w:r w:rsidRPr="001D72D8">
        <w:rPr>
          <w:rFonts w:ascii="Times New Roman" w:hAnsi="Times New Roman" w:cs="Times New Roman"/>
          <w:iCs/>
          <w:sz w:val="24"/>
          <w:szCs w:val="24"/>
        </w:rPr>
        <w:t xml:space="preserve">certifications will need to the modified.  </w:t>
      </w:r>
    </w:p>
    <w:p w:rsidR="00AF37F8" w:rsidRPr="00AF37F8" w:rsidP="00AF37F8" w14:paraId="67AAE7D1" w14:textId="77777777">
      <w:pPr>
        <w:pStyle w:val="BodyText"/>
      </w:pPr>
    </w:p>
    <w:p w:rsidR="00624B15" w:rsidP="00432DCE" w14:paraId="0A261B44" w14:textId="68E368C7">
      <w:pPr>
        <w:spacing w:after="0" w:line="240" w:lineRule="auto"/>
        <w:rPr>
          <w:rFonts w:ascii="Times New Roman" w:hAnsi="Times New Roman" w:cs="Times New Roman"/>
          <w:b/>
          <w:iCs/>
          <w:sz w:val="24"/>
          <w:szCs w:val="24"/>
        </w:rPr>
      </w:pPr>
      <w:r w:rsidRPr="001D72D8">
        <w:rPr>
          <w:rFonts w:ascii="Times New Roman" w:hAnsi="Times New Roman" w:cs="Times New Roman"/>
          <w:iCs/>
          <w:sz w:val="24"/>
          <w:szCs w:val="24"/>
        </w:rPr>
        <w:t>We estimate it will take approximately 1</w:t>
      </w:r>
      <w:r w:rsidRPr="001D72D8" w:rsidR="004D502D">
        <w:rPr>
          <w:rFonts w:ascii="Times New Roman" w:hAnsi="Times New Roman" w:cs="Times New Roman"/>
          <w:iCs/>
          <w:sz w:val="24"/>
          <w:szCs w:val="24"/>
        </w:rPr>
        <w:t>1</w:t>
      </w:r>
      <w:r w:rsidRPr="001D72D8">
        <w:rPr>
          <w:rFonts w:ascii="Times New Roman" w:hAnsi="Times New Roman" w:cs="Times New Roman"/>
          <w:iCs/>
          <w:sz w:val="24"/>
          <w:szCs w:val="24"/>
        </w:rPr>
        <w:t xml:space="preserve"> hr at </w:t>
      </w:r>
      <w:r w:rsidRPr="001D72D8" w:rsidR="002B072F">
        <w:rPr>
          <w:rFonts w:ascii="Times New Roman" w:hAnsi="Times New Roman" w:cs="Times New Roman"/>
          <w:iCs/>
          <w:sz w:val="24"/>
          <w:szCs w:val="24"/>
        </w:rPr>
        <w:t>$</w:t>
      </w:r>
      <w:r w:rsidRPr="001D72D8" w:rsidR="00143431">
        <w:rPr>
          <w:rFonts w:ascii="Times New Roman" w:hAnsi="Times New Roman" w:cs="Times New Roman"/>
          <w:iCs/>
          <w:sz w:val="24"/>
          <w:szCs w:val="24"/>
        </w:rPr>
        <w:t>136.04</w:t>
      </w:r>
      <w:r w:rsidRPr="001D72D8">
        <w:rPr>
          <w:rFonts w:ascii="Times New Roman" w:hAnsi="Times New Roman" w:cs="Times New Roman"/>
          <w:iCs/>
          <w:sz w:val="24"/>
          <w:szCs w:val="24"/>
        </w:rPr>
        <w:t xml:space="preserve">/hr for an actuary and 1 hr at </w:t>
      </w:r>
      <w:r w:rsidRPr="001D72D8" w:rsidR="002B072F">
        <w:rPr>
          <w:rFonts w:ascii="Times New Roman" w:hAnsi="Times New Roman" w:cs="Times New Roman"/>
          <w:iCs/>
          <w:sz w:val="24"/>
          <w:szCs w:val="24"/>
        </w:rPr>
        <w:t>$128</w:t>
      </w:r>
      <w:r w:rsidRPr="001D72D8">
        <w:rPr>
          <w:rFonts w:ascii="Times New Roman" w:hAnsi="Times New Roman" w:cs="Times New Roman"/>
          <w:iCs/>
          <w:sz w:val="24"/>
          <w:szCs w:val="24"/>
        </w:rPr>
        <w:t xml:space="preserve">/hr for a general and operations manager to comply with this requirement.  In aggregate, we estimate an annual state burden of </w:t>
      </w:r>
      <w:r w:rsidRPr="001D72D8" w:rsidR="00F31143">
        <w:rPr>
          <w:rFonts w:ascii="Times New Roman" w:hAnsi="Times New Roman" w:cs="Times New Roman"/>
          <w:b/>
          <w:iCs/>
          <w:sz w:val="24"/>
          <w:szCs w:val="24"/>
        </w:rPr>
        <w:t>1</w:t>
      </w:r>
      <w:r w:rsidRPr="00AE4D49" w:rsidR="00F3324D">
        <w:rPr>
          <w:rFonts w:ascii="Times New Roman" w:hAnsi="Times New Roman" w:cs="Times New Roman"/>
          <w:b/>
          <w:iCs/>
          <w:sz w:val="24"/>
          <w:szCs w:val="24"/>
        </w:rPr>
        <w:t>,</w:t>
      </w:r>
      <w:r w:rsidRPr="001D72D8" w:rsidR="00F31143">
        <w:rPr>
          <w:rFonts w:ascii="Times New Roman" w:hAnsi="Times New Roman" w:cs="Times New Roman"/>
          <w:b/>
          <w:iCs/>
          <w:sz w:val="24"/>
          <w:szCs w:val="24"/>
        </w:rPr>
        <w:t xml:space="preserve">020 </w:t>
      </w:r>
      <w:r w:rsidRPr="001D72D8">
        <w:rPr>
          <w:rFonts w:ascii="Times New Roman" w:hAnsi="Times New Roman" w:cs="Times New Roman"/>
          <w:b/>
          <w:iCs/>
          <w:sz w:val="24"/>
          <w:szCs w:val="24"/>
        </w:rPr>
        <w:t>h</w:t>
      </w:r>
      <w:r w:rsidR="00A557DB">
        <w:rPr>
          <w:rFonts w:ascii="Times New Roman" w:hAnsi="Times New Roman" w:cs="Times New Roman"/>
          <w:b/>
          <w:iCs/>
          <w:sz w:val="24"/>
          <w:szCs w:val="24"/>
        </w:rPr>
        <w:t>ours</w:t>
      </w:r>
      <w:r w:rsidRPr="001D72D8">
        <w:rPr>
          <w:rFonts w:ascii="Times New Roman" w:hAnsi="Times New Roman" w:cs="Times New Roman"/>
          <w:iCs/>
          <w:sz w:val="24"/>
          <w:szCs w:val="24"/>
        </w:rPr>
        <w:t xml:space="preserve"> (</w:t>
      </w:r>
      <w:r w:rsidRPr="001D72D8" w:rsidR="00F145A8">
        <w:rPr>
          <w:rFonts w:ascii="Times New Roman" w:hAnsi="Times New Roman" w:cs="Times New Roman"/>
          <w:iCs/>
          <w:sz w:val="24"/>
          <w:szCs w:val="24"/>
        </w:rPr>
        <w:t xml:space="preserve">85 </w:t>
      </w:r>
      <w:r w:rsidRPr="001D72D8">
        <w:rPr>
          <w:rFonts w:ascii="Times New Roman" w:hAnsi="Times New Roman" w:cs="Times New Roman"/>
          <w:iCs/>
          <w:sz w:val="24"/>
          <w:szCs w:val="24"/>
        </w:rPr>
        <w:t>certifications x 1</w:t>
      </w:r>
      <w:r w:rsidRPr="001D72D8" w:rsidR="00D34316">
        <w:rPr>
          <w:rFonts w:ascii="Times New Roman" w:hAnsi="Times New Roman" w:cs="Times New Roman"/>
          <w:iCs/>
          <w:sz w:val="24"/>
          <w:szCs w:val="24"/>
        </w:rPr>
        <w:t>2</w:t>
      </w:r>
      <w:r w:rsidRPr="001D72D8">
        <w:rPr>
          <w:rFonts w:ascii="Times New Roman" w:hAnsi="Times New Roman" w:cs="Times New Roman"/>
          <w:iCs/>
          <w:sz w:val="24"/>
          <w:szCs w:val="24"/>
        </w:rPr>
        <w:t xml:space="preserve"> hr) and </w:t>
      </w:r>
      <w:r w:rsidRPr="001D72D8">
        <w:rPr>
          <w:rFonts w:ascii="Times New Roman" w:hAnsi="Times New Roman" w:cs="Times New Roman"/>
          <w:b/>
          <w:iCs/>
          <w:sz w:val="24"/>
          <w:szCs w:val="24"/>
        </w:rPr>
        <w:t>$</w:t>
      </w:r>
      <w:r w:rsidRPr="00AE4D49" w:rsidR="00F3324D">
        <w:rPr>
          <w:rFonts w:ascii="Times New Roman" w:hAnsi="Times New Roman" w:cs="Times New Roman"/>
          <w:b/>
          <w:iCs/>
          <w:sz w:val="24"/>
          <w:szCs w:val="24"/>
        </w:rPr>
        <w:t>138,077</w:t>
      </w:r>
      <w:r w:rsidRPr="001D72D8" w:rsidR="00202718">
        <w:rPr>
          <w:rFonts w:ascii="Times New Roman" w:hAnsi="Times New Roman" w:cs="Times New Roman"/>
          <w:b/>
          <w:iCs/>
          <w:sz w:val="24"/>
          <w:szCs w:val="24"/>
        </w:rPr>
        <w:t xml:space="preserve"> </w:t>
      </w:r>
      <w:r w:rsidRPr="001D72D8" w:rsidR="0009011D">
        <w:rPr>
          <w:rFonts w:ascii="Times New Roman" w:hAnsi="Times New Roman" w:cs="Times New Roman"/>
          <w:iCs/>
          <w:sz w:val="24"/>
          <w:szCs w:val="24"/>
        </w:rPr>
        <w:t>(</w:t>
      </w:r>
      <w:r w:rsidRPr="001D72D8" w:rsidR="00F145A8">
        <w:rPr>
          <w:rFonts w:ascii="Times New Roman" w:hAnsi="Times New Roman" w:cs="Times New Roman"/>
          <w:iCs/>
          <w:sz w:val="24"/>
          <w:szCs w:val="24"/>
        </w:rPr>
        <w:t xml:space="preserve">85 </w:t>
      </w:r>
      <w:r w:rsidRPr="001D72D8">
        <w:rPr>
          <w:rFonts w:ascii="Times New Roman" w:hAnsi="Times New Roman" w:cs="Times New Roman"/>
          <w:iCs/>
          <w:sz w:val="24"/>
          <w:szCs w:val="24"/>
        </w:rPr>
        <w:t xml:space="preserve">certifications x </w:t>
      </w:r>
      <w:r w:rsidRPr="001D72D8" w:rsidR="0009011D">
        <w:rPr>
          <w:rFonts w:ascii="Times New Roman" w:hAnsi="Times New Roman" w:cs="Times New Roman"/>
          <w:iCs/>
          <w:sz w:val="24"/>
          <w:szCs w:val="24"/>
        </w:rPr>
        <w:t>[</w:t>
      </w:r>
      <w:r w:rsidRPr="001D72D8">
        <w:rPr>
          <w:rFonts w:ascii="Times New Roman" w:hAnsi="Times New Roman" w:cs="Times New Roman"/>
          <w:iCs/>
          <w:sz w:val="24"/>
          <w:szCs w:val="24"/>
        </w:rPr>
        <w:t>(</w:t>
      </w:r>
      <w:r w:rsidRPr="001D72D8" w:rsidR="00D34316">
        <w:rPr>
          <w:rFonts w:ascii="Times New Roman" w:hAnsi="Times New Roman" w:cs="Times New Roman"/>
          <w:iCs/>
          <w:sz w:val="24"/>
          <w:szCs w:val="24"/>
        </w:rPr>
        <w:t xml:space="preserve">11 </w:t>
      </w:r>
      <w:r w:rsidRPr="001D72D8">
        <w:rPr>
          <w:rFonts w:ascii="Times New Roman" w:hAnsi="Times New Roman" w:cs="Times New Roman"/>
          <w:iCs/>
          <w:sz w:val="24"/>
          <w:szCs w:val="24"/>
        </w:rPr>
        <w:t xml:space="preserve">hr x </w:t>
      </w:r>
      <w:r w:rsidRPr="001D72D8" w:rsidR="002B072F">
        <w:rPr>
          <w:rFonts w:ascii="Times New Roman" w:hAnsi="Times New Roman" w:cs="Times New Roman"/>
          <w:iCs/>
          <w:sz w:val="24"/>
          <w:szCs w:val="24"/>
        </w:rPr>
        <w:t>$</w:t>
      </w:r>
      <w:r w:rsidRPr="001D72D8" w:rsidR="00143431">
        <w:rPr>
          <w:rFonts w:ascii="Times New Roman" w:hAnsi="Times New Roman" w:cs="Times New Roman"/>
          <w:iCs/>
          <w:sz w:val="24"/>
          <w:szCs w:val="24"/>
        </w:rPr>
        <w:t>136.04</w:t>
      </w:r>
      <w:r w:rsidRPr="001D72D8">
        <w:rPr>
          <w:rFonts w:ascii="Times New Roman" w:hAnsi="Times New Roman" w:cs="Times New Roman"/>
          <w:iCs/>
          <w:sz w:val="24"/>
          <w:szCs w:val="24"/>
        </w:rPr>
        <w:t xml:space="preserve">/hr) + (1 hr x </w:t>
      </w:r>
      <w:r w:rsidRPr="001D72D8" w:rsidR="002B072F">
        <w:rPr>
          <w:rFonts w:ascii="Times New Roman" w:hAnsi="Times New Roman" w:cs="Times New Roman"/>
          <w:iCs/>
          <w:sz w:val="24"/>
          <w:szCs w:val="24"/>
        </w:rPr>
        <w:t>$128</w:t>
      </w:r>
      <w:r w:rsidRPr="001D72D8">
        <w:rPr>
          <w:rFonts w:ascii="Times New Roman" w:hAnsi="Times New Roman" w:cs="Times New Roman"/>
          <w:iCs/>
          <w:sz w:val="24"/>
          <w:szCs w:val="24"/>
        </w:rPr>
        <w:t>/hr)]</w:t>
      </w:r>
      <w:r w:rsidRPr="001D72D8" w:rsidR="0009011D">
        <w:rPr>
          <w:rFonts w:ascii="Times New Roman" w:hAnsi="Times New Roman" w:cs="Times New Roman"/>
          <w:iCs/>
          <w:sz w:val="24"/>
          <w:szCs w:val="24"/>
        </w:rPr>
        <w:t>)</w:t>
      </w:r>
      <w:r w:rsidRPr="001D72D8">
        <w:rPr>
          <w:rFonts w:ascii="Times New Roman" w:hAnsi="Times New Roman" w:cs="Times New Roman"/>
          <w:iCs/>
          <w:sz w:val="24"/>
          <w:szCs w:val="24"/>
        </w:rPr>
        <w:t xml:space="preserve">.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12.2)</w:t>
      </w:r>
    </w:p>
    <w:p w:rsidR="00AF37F8" w:rsidRPr="00AF37F8" w:rsidP="00AF37F8" w14:paraId="75B39374" w14:textId="77777777">
      <w:pPr>
        <w:pStyle w:val="BodyText"/>
      </w:pPr>
    </w:p>
    <w:bookmarkEnd w:id="51"/>
    <w:p w:rsidR="00332B7B" w:rsidRPr="001D72D8" w:rsidP="00432DCE" w14:paraId="09F87C5D" w14:textId="77777777">
      <w:pPr>
        <w:spacing w:after="0" w:line="240" w:lineRule="auto"/>
        <w:rPr>
          <w:rFonts w:ascii="Times New Roman" w:hAnsi="Times New Roman" w:cs="Times New Roman"/>
          <w:sz w:val="24"/>
          <w:szCs w:val="24"/>
          <w:u w:val="single"/>
        </w:rPr>
      </w:pPr>
      <w:r w:rsidRPr="001D72D8">
        <w:rPr>
          <w:rFonts w:ascii="Times New Roman" w:hAnsi="Times New Roman" w:cs="Times New Roman"/>
          <w:sz w:val="24"/>
          <w:szCs w:val="24"/>
          <w:u w:val="single"/>
        </w:rPr>
        <w:t>Section 438.7 Rate certification submission</w:t>
      </w:r>
    </w:p>
    <w:p w:rsidR="00624B15" w:rsidP="00432DCE" w14:paraId="15958EB7" w14:textId="58942A9C">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Section 438.7 describes the submission and documentation requirements for all managed care actuarial rate certifications.  The certification will be reviewed and approved by CMS concurrently with the corresponding contract(s).  Section 438.7(b) details CMS’ expectations for documentation in the rate certifications.  We believe these requirements are consistent with actuarial standards of practice and previous Medicaid managed care rules. </w:t>
      </w:r>
    </w:p>
    <w:p w:rsidR="00AF37F8" w:rsidRPr="00AF37F8" w:rsidP="00AF37F8" w14:paraId="2371387E" w14:textId="77777777">
      <w:pPr>
        <w:pStyle w:val="BodyText"/>
      </w:pPr>
    </w:p>
    <w:p w:rsidR="00624B15" w:rsidP="00432DCE" w14:paraId="2590C4A5" w14:textId="3F169EE9">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We estimate it takes 230 hr to develop each certification, consisting of 100 hr (at </w:t>
      </w:r>
      <w:r w:rsidRPr="001D72D8" w:rsidR="002B072F">
        <w:rPr>
          <w:rFonts w:ascii="Times New Roman" w:hAnsi="Times New Roman" w:cs="Times New Roman"/>
          <w:sz w:val="24"/>
          <w:szCs w:val="24"/>
        </w:rPr>
        <w:t>$</w:t>
      </w:r>
      <w:r w:rsidRPr="001D72D8" w:rsidR="00143431">
        <w:rPr>
          <w:rFonts w:ascii="Times New Roman" w:hAnsi="Times New Roman" w:cs="Times New Roman"/>
          <w:sz w:val="24"/>
          <w:szCs w:val="24"/>
        </w:rPr>
        <w:t>136.04</w:t>
      </w:r>
      <w:r w:rsidRPr="001D72D8">
        <w:rPr>
          <w:rFonts w:ascii="Times New Roman" w:hAnsi="Times New Roman" w:cs="Times New Roman"/>
          <w:sz w:val="24"/>
          <w:szCs w:val="24"/>
        </w:rPr>
        <w:t xml:space="preserve">/hr) for an actuary, 10 hr (at </w:t>
      </w:r>
      <w:r w:rsidRPr="001D72D8" w:rsidR="002B072F">
        <w:rPr>
          <w:rFonts w:ascii="Times New Roman" w:hAnsi="Times New Roman" w:cs="Times New Roman"/>
          <w:sz w:val="24"/>
          <w:szCs w:val="24"/>
        </w:rPr>
        <w:t>$128</w:t>
      </w:r>
      <w:r w:rsidRPr="001D72D8">
        <w:rPr>
          <w:rFonts w:ascii="Times New Roman" w:hAnsi="Times New Roman" w:cs="Times New Roman"/>
          <w:sz w:val="24"/>
          <w:szCs w:val="24"/>
        </w:rPr>
        <w:t xml:space="preserve">/hr) for a general and operations manager, 50 hr (at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134.48</w:t>
      </w:r>
      <w:r w:rsidRPr="001D72D8">
        <w:rPr>
          <w:rFonts w:ascii="Times New Roman" w:hAnsi="Times New Roman" w:cs="Times New Roman"/>
          <w:sz w:val="24"/>
          <w:szCs w:val="24"/>
        </w:rPr>
        <w:t xml:space="preserve">/hr) for a computer programmer, 50 hr (at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for a business operations specialist, and 20 hr (at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45.06</w:t>
      </w:r>
      <w:r w:rsidRPr="001D72D8">
        <w:rPr>
          <w:rFonts w:ascii="Times New Roman" w:hAnsi="Times New Roman" w:cs="Times New Roman"/>
          <w:sz w:val="24"/>
          <w:szCs w:val="24"/>
        </w:rPr>
        <w:t>/hr) for an office and administrative support worker.</w:t>
      </w:r>
    </w:p>
    <w:p w:rsidR="00AF37F8" w:rsidRPr="00AF37F8" w:rsidP="00AF37F8" w14:paraId="59F2CA83" w14:textId="77777777">
      <w:pPr>
        <w:pStyle w:val="BodyText"/>
      </w:pPr>
    </w:p>
    <w:p w:rsidR="00624B15" w:rsidP="00432DCE" w14:paraId="3DD4B054" w14:textId="7DD8C053">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In aggregate we estimate an annual state burden of </w:t>
      </w:r>
      <w:r w:rsidRPr="001D72D8" w:rsidR="005D2A2A">
        <w:rPr>
          <w:rFonts w:ascii="Times New Roman" w:hAnsi="Times New Roman" w:cs="Times New Roman"/>
          <w:b/>
          <w:sz w:val="24"/>
          <w:szCs w:val="24"/>
        </w:rPr>
        <w:t>32,200</w:t>
      </w:r>
      <w:r w:rsidRPr="001D72D8">
        <w:rPr>
          <w:rFonts w:ascii="Times New Roman" w:hAnsi="Times New Roman" w:cs="Times New Roman"/>
          <w:b/>
          <w:sz w:val="24"/>
          <w:szCs w:val="24"/>
        </w:rPr>
        <w:t xml:space="preserve"> h</w:t>
      </w:r>
      <w:r w:rsidR="00A557DB">
        <w:rPr>
          <w:rFonts w:ascii="Times New Roman" w:hAnsi="Times New Roman" w:cs="Times New Roman"/>
          <w:b/>
          <w:sz w:val="24"/>
          <w:szCs w:val="24"/>
        </w:rPr>
        <w:t>ours</w:t>
      </w:r>
      <w:r w:rsidRPr="001D72D8">
        <w:rPr>
          <w:rFonts w:ascii="Times New Roman" w:hAnsi="Times New Roman" w:cs="Times New Roman"/>
          <w:sz w:val="24"/>
          <w:szCs w:val="24"/>
        </w:rPr>
        <w:t xml:space="preserve"> (230 hr x </w:t>
      </w:r>
      <w:r w:rsidRPr="001D72D8" w:rsidR="00F145A8">
        <w:rPr>
          <w:rFonts w:ascii="Times New Roman" w:hAnsi="Times New Roman" w:cs="Times New Roman"/>
          <w:sz w:val="24"/>
          <w:szCs w:val="24"/>
        </w:rPr>
        <w:t xml:space="preserve">140 </w:t>
      </w:r>
      <w:r w:rsidRPr="001D72D8">
        <w:rPr>
          <w:rFonts w:ascii="Times New Roman" w:hAnsi="Times New Roman" w:cs="Times New Roman"/>
          <w:sz w:val="24"/>
          <w:szCs w:val="24"/>
        </w:rPr>
        <w:t xml:space="preserve">certifications) at a cost of </w:t>
      </w:r>
      <w:r w:rsidRPr="001D72D8">
        <w:rPr>
          <w:rFonts w:ascii="Times New Roman" w:hAnsi="Times New Roman" w:cs="Times New Roman"/>
          <w:b/>
          <w:sz w:val="24"/>
          <w:szCs w:val="24"/>
        </w:rPr>
        <w:t>$</w:t>
      </w:r>
      <w:r w:rsidR="0032667D">
        <w:rPr>
          <w:rFonts w:ascii="Times New Roman" w:hAnsi="Times New Roman" w:cs="Times New Roman"/>
          <w:b/>
          <w:sz w:val="24"/>
          <w:szCs w:val="24"/>
        </w:rPr>
        <w:t>3,776,108</w:t>
      </w:r>
      <w:r w:rsidRPr="001D72D8" w:rsidR="00D55AF0">
        <w:rPr>
          <w:rFonts w:ascii="Times New Roman" w:hAnsi="Times New Roman" w:cs="Times New Roman"/>
          <w:b/>
          <w:sz w:val="24"/>
          <w:szCs w:val="24"/>
        </w:rPr>
        <w:t xml:space="preserve"> </w:t>
      </w:r>
      <w:r w:rsidRPr="00AE4D49" w:rsidR="00F51AD7">
        <w:rPr>
          <w:rFonts w:ascii="Times New Roman" w:hAnsi="Times New Roman" w:cs="Times New Roman"/>
          <w:sz w:val="24"/>
          <w:szCs w:val="24"/>
        </w:rPr>
        <w:t>(</w:t>
      </w:r>
      <w:r w:rsidRPr="001D72D8" w:rsidR="00F145A8">
        <w:rPr>
          <w:rFonts w:ascii="Times New Roman" w:hAnsi="Times New Roman" w:cs="Times New Roman"/>
          <w:sz w:val="24"/>
          <w:szCs w:val="24"/>
        </w:rPr>
        <w:t xml:space="preserve">140 </w:t>
      </w:r>
      <w:r w:rsidRPr="001D72D8">
        <w:rPr>
          <w:rFonts w:ascii="Times New Roman" w:hAnsi="Times New Roman" w:cs="Times New Roman"/>
          <w:sz w:val="24"/>
          <w:szCs w:val="24"/>
        </w:rPr>
        <w:t xml:space="preserve">certifications x </w:t>
      </w:r>
      <w:r w:rsidRPr="00AE4D49" w:rsidR="00F51AD7">
        <w:rPr>
          <w:rFonts w:ascii="Times New Roman" w:hAnsi="Times New Roman" w:cs="Times New Roman"/>
          <w:sz w:val="24"/>
          <w:szCs w:val="24"/>
        </w:rPr>
        <w:t>[</w:t>
      </w:r>
      <w:r w:rsidRPr="001D72D8">
        <w:rPr>
          <w:rFonts w:ascii="Times New Roman" w:hAnsi="Times New Roman" w:cs="Times New Roman"/>
          <w:sz w:val="24"/>
          <w:szCs w:val="24"/>
        </w:rPr>
        <w:t>(</w:t>
      </w:r>
      <w:r w:rsidRPr="001D72D8" w:rsidR="00D55AF0">
        <w:rPr>
          <w:rFonts w:ascii="Times New Roman" w:hAnsi="Times New Roman" w:cs="Times New Roman"/>
          <w:sz w:val="24"/>
          <w:szCs w:val="24"/>
        </w:rPr>
        <w:t>100</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143431">
        <w:rPr>
          <w:rFonts w:ascii="Times New Roman" w:hAnsi="Times New Roman" w:cs="Times New Roman"/>
          <w:sz w:val="24"/>
          <w:szCs w:val="24"/>
        </w:rPr>
        <w:t>136.04</w:t>
      </w:r>
      <w:r w:rsidRPr="001D72D8">
        <w:rPr>
          <w:rFonts w:ascii="Times New Roman" w:hAnsi="Times New Roman" w:cs="Times New Roman"/>
          <w:sz w:val="24"/>
          <w:szCs w:val="24"/>
        </w:rPr>
        <w:t>/hr) + (</w:t>
      </w:r>
      <w:r w:rsidRPr="001D72D8" w:rsidR="00D55AF0">
        <w:rPr>
          <w:rFonts w:ascii="Times New Roman" w:hAnsi="Times New Roman" w:cs="Times New Roman"/>
          <w:sz w:val="24"/>
          <w:szCs w:val="24"/>
        </w:rPr>
        <w:t>10</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$128</w:t>
      </w:r>
      <w:r w:rsidRPr="001D72D8">
        <w:rPr>
          <w:rFonts w:ascii="Times New Roman" w:hAnsi="Times New Roman" w:cs="Times New Roman"/>
          <w:sz w:val="24"/>
          <w:szCs w:val="24"/>
        </w:rPr>
        <w:t>/hr) + (</w:t>
      </w:r>
      <w:r w:rsidRPr="001D72D8" w:rsidR="00D55AF0">
        <w:rPr>
          <w:rFonts w:ascii="Times New Roman" w:hAnsi="Times New Roman" w:cs="Times New Roman"/>
          <w:sz w:val="24"/>
          <w:szCs w:val="24"/>
        </w:rPr>
        <w:t>50</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134.48</w:t>
      </w:r>
      <w:r w:rsidRPr="001D72D8">
        <w:rPr>
          <w:rFonts w:ascii="Times New Roman" w:hAnsi="Times New Roman" w:cs="Times New Roman"/>
          <w:sz w:val="24"/>
          <w:szCs w:val="24"/>
        </w:rPr>
        <w:t>/hr) + (</w:t>
      </w:r>
      <w:r w:rsidRPr="001D72D8" w:rsidR="00D55AF0">
        <w:rPr>
          <w:rFonts w:ascii="Times New Roman" w:hAnsi="Times New Roman" w:cs="Times New Roman"/>
          <w:sz w:val="24"/>
          <w:szCs w:val="24"/>
        </w:rPr>
        <w:t>50</w:t>
      </w:r>
      <w:r w:rsidRPr="001D72D8">
        <w:rPr>
          <w:rFonts w:ascii="Times New Roman" w:hAnsi="Times New Roman" w:cs="Times New Roman"/>
          <w:sz w:val="24"/>
          <w:szCs w:val="24"/>
        </w:rPr>
        <w:t xml:space="preserve"> hr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/hr) + (</w:t>
      </w:r>
      <w:r w:rsidRPr="001D72D8" w:rsidR="00D55AF0">
        <w:rPr>
          <w:rFonts w:ascii="Times New Roman" w:hAnsi="Times New Roman" w:cs="Times New Roman"/>
          <w:sz w:val="24"/>
          <w:szCs w:val="24"/>
        </w:rPr>
        <w:t>2</w:t>
      </w:r>
      <w:r w:rsidRPr="00AE4D49" w:rsidR="00F51AD7">
        <w:rPr>
          <w:rFonts w:ascii="Times New Roman" w:hAnsi="Times New Roman" w:cs="Times New Roman"/>
          <w:sz w:val="24"/>
          <w:szCs w:val="24"/>
        </w:rPr>
        <w:t>0</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45.06</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w:t>
      </w:r>
      <w:r w:rsidRPr="001D72D8" w:rsidR="003D7973">
        <w:rPr>
          <w:rFonts w:ascii="Times New Roman" w:hAnsi="Times New Roman" w:cs="Times New Roman"/>
          <w:b/>
          <w:iCs/>
          <w:sz w:val="24"/>
          <w:szCs w:val="24"/>
        </w:rPr>
        <w:t>a</w:t>
      </w:r>
      <w:r w:rsidRPr="001D72D8">
        <w:rPr>
          <w:rFonts w:ascii="Times New Roman" w:hAnsi="Times New Roman" w:cs="Times New Roman"/>
          <w:b/>
          <w:iCs/>
          <w:sz w:val="24"/>
          <w:szCs w:val="24"/>
        </w:rPr>
        <w:t>)</w:t>
      </w:r>
    </w:p>
    <w:p w:rsidR="00AF37F8" w:rsidRPr="00AF37F8" w:rsidP="00AF37F8" w14:paraId="6010928D" w14:textId="77777777">
      <w:pPr>
        <w:pStyle w:val="BodyText"/>
      </w:pPr>
    </w:p>
    <w:p w:rsidR="003D7973" w:rsidP="00432DCE" w14:paraId="7CA12C6C" w14:textId="1D59A3A9">
      <w:pPr>
        <w:spacing w:after="0" w:line="240" w:lineRule="auto"/>
        <w:rPr>
          <w:rFonts w:ascii="Times New Roman" w:hAnsi="Times New Roman" w:cs="Times New Roman"/>
          <w:b/>
          <w:iCs/>
        </w:rPr>
      </w:pPr>
      <w:r w:rsidRPr="001D72D8">
        <w:rPr>
          <w:rFonts w:ascii="Times New Roman" w:hAnsi="Times New Roman" w:cs="Times New Roman"/>
        </w:rPr>
        <w:t xml:space="preserve">Section § 438.7(c)(3) permits CMS to require states to submit documentation attesting that any +/- 1.5% modifications to a capitation rate comply with specified regulatory requirements.  We estimate that CMS will require documentation from no more than 3 states annually and that it will take a state’s actuary 1 hour to prepare the documentation. For the 3 states that may be required to submit documentation. In aggregate we estimate an annual burden of </w:t>
      </w:r>
      <w:r w:rsidRPr="001D72D8">
        <w:rPr>
          <w:rFonts w:ascii="Times New Roman" w:hAnsi="Times New Roman" w:cs="Times New Roman"/>
          <w:b/>
        </w:rPr>
        <w:t>3 hr</w:t>
      </w:r>
      <w:r w:rsidRPr="001D72D8">
        <w:rPr>
          <w:rFonts w:ascii="Times New Roman" w:hAnsi="Times New Roman" w:cs="Times New Roman"/>
        </w:rPr>
        <w:t xml:space="preserve"> (3 plans x 1 hr for an actuary) at a cost of </w:t>
      </w:r>
      <w:r w:rsidRPr="001D72D8">
        <w:rPr>
          <w:rFonts w:ascii="Times New Roman" w:hAnsi="Times New Roman" w:cs="Times New Roman"/>
          <w:b/>
        </w:rPr>
        <w:t>$</w:t>
      </w:r>
      <w:r w:rsidRPr="001D72D8" w:rsidR="00203B40">
        <w:rPr>
          <w:rFonts w:ascii="Times New Roman" w:hAnsi="Times New Roman" w:cs="Times New Roman"/>
          <w:b/>
        </w:rPr>
        <w:t>408</w:t>
      </w:r>
      <w:r w:rsidRPr="001D72D8" w:rsidR="00D4630C">
        <w:rPr>
          <w:rFonts w:ascii="Times New Roman" w:hAnsi="Times New Roman" w:cs="Times New Roman"/>
        </w:rPr>
        <w:t xml:space="preserve"> </w:t>
      </w:r>
      <w:r w:rsidRPr="001D72D8">
        <w:rPr>
          <w:rFonts w:ascii="Times New Roman" w:hAnsi="Times New Roman" w:cs="Times New Roman"/>
        </w:rPr>
        <w:t xml:space="preserve">(3 hr x </w:t>
      </w:r>
      <w:r w:rsidRPr="001D72D8" w:rsidR="002B072F">
        <w:rPr>
          <w:rFonts w:ascii="Times New Roman" w:hAnsi="Times New Roman" w:cs="Times New Roman"/>
        </w:rPr>
        <w:t>$</w:t>
      </w:r>
      <w:r w:rsidRPr="001D72D8" w:rsidR="00143431">
        <w:rPr>
          <w:rFonts w:ascii="Times New Roman" w:hAnsi="Times New Roman" w:cs="Times New Roman"/>
        </w:rPr>
        <w:t>136.04</w:t>
      </w:r>
      <w:r w:rsidRPr="001D72D8">
        <w:rPr>
          <w:rFonts w:ascii="Times New Roman" w:hAnsi="Times New Roman" w:cs="Times New Roman"/>
        </w:rPr>
        <w:t>/hr specialist).</w:t>
      </w:r>
      <w:r w:rsidRPr="001D72D8">
        <w:rPr>
          <w:rFonts w:ascii="Times New Roman" w:hAnsi="Times New Roman" w:cs="Times New Roman"/>
          <w:b/>
          <w:iCs/>
          <w:sz w:val="24"/>
          <w:szCs w:val="24"/>
        </w:rPr>
        <w:t xml:space="preserve"> </w:t>
      </w:r>
      <w:r w:rsidRPr="001D72D8">
        <w:rPr>
          <w:rFonts w:ascii="Times New Roman" w:hAnsi="Times New Roman" w:cs="Times New Roman"/>
          <w:b/>
          <w:iCs/>
        </w:rPr>
        <w:t>(</w:t>
      </w:r>
      <w:r w:rsidRPr="001D72D8" w:rsidR="005F5165">
        <w:rPr>
          <w:rFonts w:ascii="Times New Roman" w:hAnsi="Times New Roman" w:cs="Times New Roman"/>
          <w:b/>
          <w:iCs/>
        </w:rPr>
        <w:t>ESTIMATE</w:t>
      </w:r>
      <w:r w:rsidRPr="001D72D8">
        <w:rPr>
          <w:rFonts w:ascii="Times New Roman" w:hAnsi="Times New Roman" w:cs="Times New Roman"/>
          <w:b/>
          <w:iCs/>
        </w:rPr>
        <w:t xml:space="preserve"> 12.3b)</w:t>
      </w:r>
    </w:p>
    <w:p w:rsidR="00AF37F8" w:rsidRPr="00AF37F8" w:rsidP="00AF37F8" w14:paraId="188FE753" w14:textId="77777777">
      <w:pPr>
        <w:pStyle w:val="BodyText"/>
      </w:pPr>
    </w:p>
    <w:p w:rsidR="00332B7B" w:rsidRPr="001D72D8" w:rsidP="00432DCE" w14:paraId="6A5E83E9"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438.8 Medical loss ratio standards</w:t>
      </w:r>
      <w:r w:rsidRPr="001D72D8">
        <w:rPr>
          <w:rFonts w:ascii="Times New Roman" w:hAnsi="Times New Roman" w:cs="Times New Roman"/>
          <w:sz w:val="24"/>
          <w:szCs w:val="24"/>
        </w:rPr>
        <w:t xml:space="preserve"> </w:t>
      </w:r>
    </w:p>
    <w:p w:rsidR="00624B15" w:rsidP="00432DCE" w14:paraId="237D5DCF" w14:textId="0B80E1AE">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Section 438.8(c) requires that MCOs, PIHPs, and PAHPs report to the state annually their total expenditures on all claims and non-claims related activities, premium revenue, the calculated MLR, and, if applicable, any remittance owed.  </w:t>
      </w:r>
    </w:p>
    <w:p w:rsidR="00AF37F8" w:rsidRPr="00AF37F8" w:rsidP="00AF37F8" w14:paraId="0E22869D" w14:textId="77777777">
      <w:pPr>
        <w:pStyle w:val="BodyText"/>
      </w:pPr>
    </w:p>
    <w:p w:rsidR="00624B15" w:rsidP="00432DCE" w14:paraId="1B849921" w14:textId="741F502C">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We estimated the total number of MLR reports that MCOs, PIHPs, and PAHPs were required to submit to states amount to </w:t>
      </w:r>
      <w:r w:rsidRPr="001D72D8" w:rsidR="00A83670">
        <w:rPr>
          <w:rFonts w:ascii="Times New Roman" w:hAnsi="Times New Roman" w:cs="Times New Roman"/>
          <w:sz w:val="24"/>
          <w:szCs w:val="24"/>
        </w:rPr>
        <w:t>488</w:t>
      </w:r>
      <w:r w:rsidRPr="001D72D8">
        <w:rPr>
          <w:rFonts w:ascii="Times New Roman" w:hAnsi="Times New Roman" w:cs="Times New Roman"/>
          <w:sz w:val="24"/>
          <w:szCs w:val="24"/>
        </w:rPr>
        <w:t xml:space="preserve"> contracts.  All MCOs, PIHPs, and PAHPs will need to report the information required under §438.8 regardless of their credibility status.</w:t>
      </w:r>
    </w:p>
    <w:p w:rsidR="00AF37F8" w:rsidRPr="00AF37F8" w:rsidP="00AF37F8" w14:paraId="66340F2D" w14:textId="77777777">
      <w:pPr>
        <w:pStyle w:val="BodyText"/>
      </w:pPr>
    </w:p>
    <w:p w:rsidR="00624B15" w:rsidP="00432DCE" w14:paraId="39C58E7C" w14:textId="78B372F0">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We estimate calculating the MLR and developing </w:t>
      </w:r>
      <w:r w:rsidRPr="001D72D8" w:rsidR="00995D69">
        <w:rPr>
          <w:rFonts w:ascii="Times New Roman" w:hAnsi="Times New Roman" w:cs="Times New Roman"/>
          <w:sz w:val="24"/>
          <w:szCs w:val="24"/>
        </w:rPr>
        <w:t xml:space="preserve">and submitting </w:t>
      </w:r>
      <w:r w:rsidRPr="001D72D8">
        <w:rPr>
          <w:rFonts w:ascii="Times New Roman" w:hAnsi="Times New Roman" w:cs="Times New Roman"/>
          <w:sz w:val="24"/>
          <w:szCs w:val="24"/>
        </w:rPr>
        <w:t xml:space="preserve">the report </w:t>
      </w:r>
      <w:r w:rsidRPr="001D72D8" w:rsidR="000A4165">
        <w:rPr>
          <w:rFonts w:ascii="Times New Roman" w:hAnsi="Times New Roman" w:cs="Times New Roman"/>
          <w:sz w:val="24"/>
          <w:szCs w:val="24"/>
        </w:rPr>
        <w:t xml:space="preserve">will </w:t>
      </w:r>
      <w:r w:rsidRPr="001D72D8">
        <w:rPr>
          <w:rFonts w:ascii="Times New Roman" w:hAnsi="Times New Roman" w:cs="Times New Roman"/>
          <w:sz w:val="24"/>
          <w:szCs w:val="24"/>
        </w:rPr>
        <w:t xml:space="preserve">take each </w:t>
      </w:r>
      <w:r w:rsidRPr="001D72D8" w:rsidR="00995D69">
        <w:rPr>
          <w:rFonts w:ascii="Times New Roman" w:hAnsi="Times New Roman" w:cs="Times New Roman"/>
          <w:sz w:val="24"/>
          <w:szCs w:val="24"/>
        </w:rPr>
        <w:t xml:space="preserve">MCO, PIHP, and PAHP </w:t>
      </w:r>
      <w:r w:rsidRPr="001D72D8">
        <w:rPr>
          <w:rFonts w:ascii="Times New Roman" w:hAnsi="Times New Roman" w:cs="Times New Roman"/>
          <w:sz w:val="24"/>
          <w:szCs w:val="24"/>
        </w:rPr>
        <w:t xml:space="preserve">approximately 53 </w:t>
      </w:r>
      <w:r w:rsidRPr="001D72D8" w:rsidR="00CE47E5">
        <w:rPr>
          <w:rFonts w:ascii="Times New Roman" w:hAnsi="Times New Roman" w:cs="Times New Roman"/>
          <w:sz w:val="24"/>
          <w:szCs w:val="24"/>
        </w:rPr>
        <w:t>hr</w:t>
      </w:r>
      <w:r w:rsidRPr="001D72D8" w:rsidR="00995D69">
        <w:rPr>
          <w:rFonts w:ascii="Times New Roman" w:hAnsi="Times New Roman" w:cs="Times New Roman"/>
          <w:sz w:val="24"/>
          <w:szCs w:val="24"/>
        </w:rPr>
        <w:t xml:space="preserve">: 32 </w:t>
      </w:r>
      <w:r w:rsidRPr="001D72D8" w:rsidR="00CE47E5">
        <w:rPr>
          <w:rFonts w:ascii="Times New Roman" w:hAnsi="Times New Roman" w:cs="Times New Roman"/>
          <w:sz w:val="24"/>
          <w:szCs w:val="24"/>
        </w:rPr>
        <w:t>hr</w:t>
      </w:r>
      <w:r w:rsidRPr="001D72D8" w:rsidR="00995D69">
        <w:rPr>
          <w:rFonts w:ascii="Times New Roman" w:hAnsi="Times New Roman" w:cs="Times New Roman"/>
          <w:sz w:val="24"/>
          <w:szCs w:val="24"/>
        </w:rPr>
        <w:t xml:space="preserve"> at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134.48</w:t>
      </w:r>
      <w:r w:rsidRPr="001D72D8" w:rsidR="00995D69">
        <w:rPr>
          <w:rFonts w:ascii="Times New Roman" w:hAnsi="Times New Roman" w:cs="Times New Roman"/>
          <w:sz w:val="24"/>
          <w:szCs w:val="24"/>
        </w:rPr>
        <w:t xml:space="preserve">/hr for a computer programmer, 16 </w:t>
      </w:r>
      <w:r w:rsidRPr="001D72D8" w:rsidR="00CE47E5">
        <w:rPr>
          <w:rFonts w:ascii="Times New Roman" w:hAnsi="Times New Roman" w:cs="Times New Roman"/>
          <w:sz w:val="24"/>
          <w:szCs w:val="24"/>
        </w:rPr>
        <w:t>hr</w:t>
      </w:r>
      <w:r w:rsidRPr="001D72D8" w:rsidR="00995D69">
        <w:rPr>
          <w:rFonts w:ascii="Times New Roman" w:hAnsi="Times New Roman" w:cs="Times New Roman"/>
          <w:sz w:val="24"/>
          <w:szCs w:val="24"/>
        </w:rPr>
        <w:t xml:space="preserve"> at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sidR="00995D69">
        <w:rPr>
          <w:rFonts w:ascii="Times New Roman" w:hAnsi="Times New Roman" w:cs="Times New Roman"/>
          <w:sz w:val="24"/>
          <w:szCs w:val="24"/>
        </w:rPr>
        <w:t xml:space="preserve">/hr for a business operations specialist, and 5 hr at </w:t>
      </w:r>
      <w:r w:rsidRPr="001D72D8" w:rsidR="002B072F">
        <w:rPr>
          <w:rFonts w:ascii="Times New Roman" w:hAnsi="Times New Roman" w:cs="Times New Roman"/>
          <w:sz w:val="24"/>
          <w:szCs w:val="24"/>
        </w:rPr>
        <w:t>$128</w:t>
      </w:r>
      <w:r w:rsidRPr="001D72D8" w:rsidR="00995D69">
        <w:rPr>
          <w:rFonts w:ascii="Times New Roman" w:hAnsi="Times New Roman" w:cs="Times New Roman"/>
          <w:sz w:val="24"/>
          <w:szCs w:val="24"/>
        </w:rPr>
        <w:t xml:space="preserve">/hr for a general operations manager, </w:t>
      </w:r>
      <w:r w:rsidRPr="001D72D8">
        <w:rPr>
          <w:rFonts w:ascii="Times New Roman" w:hAnsi="Times New Roman" w:cs="Times New Roman"/>
          <w:sz w:val="24"/>
          <w:szCs w:val="24"/>
        </w:rPr>
        <w:t xml:space="preserve">.  </w:t>
      </w:r>
      <w:r w:rsidRPr="001D72D8" w:rsidR="000A4165">
        <w:rPr>
          <w:rFonts w:ascii="Times New Roman" w:hAnsi="Times New Roman" w:cs="Times New Roman"/>
          <w:sz w:val="24"/>
          <w:szCs w:val="24"/>
        </w:rPr>
        <w:t>W</w:t>
      </w:r>
      <w:r w:rsidRPr="001D72D8">
        <w:rPr>
          <w:rFonts w:ascii="Times New Roman" w:hAnsi="Times New Roman" w:cs="Times New Roman"/>
          <w:sz w:val="24"/>
          <w:szCs w:val="24"/>
        </w:rPr>
        <w:t xml:space="preserve">e estimate an annual private sector burden of </w:t>
      </w:r>
      <w:r w:rsidRPr="001D72D8" w:rsidR="004077FF">
        <w:rPr>
          <w:rFonts w:ascii="Times New Roman" w:hAnsi="Times New Roman" w:cs="Times New Roman"/>
          <w:b/>
          <w:sz w:val="24"/>
          <w:szCs w:val="24"/>
        </w:rPr>
        <w:t>25,864</w:t>
      </w:r>
      <w:r w:rsidRPr="001D72D8">
        <w:rPr>
          <w:rFonts w:ascii="Times New Roman" w:hAnsi="Times New Roman" w:cs="Times New Roman"/>
          <w:b/>
          <w:sz w:val="24"/>
          <w:szCs w:val="24"/>
        </w:rPr>
        <w:t xml:space="preserve"> h</w:t>
      </w:r>
      <w:r w:rsidR="00A557DB">
        <w:rPr>
          <w:rFonts w:ascii="Times New Roman" w:hAnsi="Times New Roman" w:cs="Times New Roman"/>
          <w:b/>
          <w:sz w:val="24"/>
          <w:szCs w:val="24"/>
        </w:rPr>
        <w:t>ours</w:t>
      </w:r>
      <w:r w:rsidRPr="001D72D8">
        <w:rPr>
          <w:rFonts w:ascii="Times New Roman" w:hAnsi="Times New Roman" w:cs="Times New Roman"/>
          <w:sz w:val="24"/>
          <w:szCs w:val="24"/>
        </w:rPr>
        <w:t xml:space="preserve"> (488 contracts x 53 hr) and a total of </w:t>
      </w:r>
      <w:r w:rsidRPr="001D72D8">
        <w:rPr>
          <w:rFonts w:ascii="Times New Roman" w:hAnsi="Times New Roman" w:cs="Times New Roman"/>
          <w:b/>
          <w:sz w:val="24"/>
          <w:szCs w:val="24"/>
        </w:rPr>
        <w:t>$</w:t>
      </w:r>
      <w:r w:rsidRPr="00AE4D49" w:rsidR="00EE5744">
        <w:rPr>
          <w:rFonts w:ascii="Times New Roman" w:hAnsi="Times New Roman" w:cs="Times New Roman"/>
          <w:b/>
          <w:sz w:val="24"/>
          <w:szCs w:val="24"/>
        </w:rPr>
        <w:t>3,109,302</w:t>
      </w:r>
      <w:r w:rsidRPr="001D72D8">
        <w:rPr>
          <w:rFonts w:ascii="Times New Roman" w:hAnsi="Times New Roman" w:cs="Times New Roman"/>
          <w:sz w:val="24"/>
          <w:szCs w:val="24"/>
        </w:rPr>
        <w:t xml:space="preserve"> </w:t>
      </w:r>
      <w:r w:rsidR="00A557DB">
        <w:rPr>
          <w:rFonts w:ascii="Times New Roman" w:hAnsi="Times New Roman" w:cs="Times New Roman"/>
          <w:sz w:val="24"/>
          <w:szCs w:val="24"/>
        </w:rPr>
        <w:t>(</w:t>
      </w:r>
      <w:r w:rsidRPr="001D72D8">
        <w:rPr>
          <w:rFonts w:ascii="Times New Roman" w:hAnsi="Times New Roman" w:cs="Times New Roman"/>
          <w:sz w:val="24"/>
          <w:szCs w:val="24"/>
        </w:rPr>
        <w:t xml:space="preserve">488 contracts x </w:t>
      </w:r>
      <w:r w:rsidR="00A557DB">
        <w:rPr>
          <w:rFonts w:ascii="Times New Roman" w:hAnsi="Times New Roman" w:cs="Times New Roman"/>
          <w:sz w:val="24"/>
          <w:szCs w:val="24"/>
        </w:rPr>
        <w:t>[</w:t>
      </w:r>
      <w:r w:rsidRPr="001D72D8">
        <w:rPr>
          <w:rFonts w:ascii="Times New Roman" w:hAnsi="Times New Roman" w:cs="Times New Roman"/>
          <w:sz w:val="24"/>
          <w:szCs w:val="24"/>
        </w:rPr>
        <w:t xml:space="preserve">(32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134.48</w:t>
      </w:r>
      <w:r w:rsidRPr="001D72D8">
        <w:rPr>
          <w:rFonts w:ascii="Times New Roman" w:hAnsi="Times New Roman" w:cs="Times New Roman"/>
          <w:sz w:val="24"/>
          <w:szCs w:val="24"/>
        </w:rPr>
        <w:t>/hr</w:t>
      </w:r>
      <w:r w:rsidRPr="001D72D8" w:rsidR="000A4165">
        <w:rPr>
          <w:rFonts w:ascii="Times New Roman" w:hAnsi="Times New Roman" w:cs="Times New Roman"/>
          <w:sz w:val="24"/>
          <w:szCs w:val="24"/>
        </w:rPr>
        <w:t xml:space="preserve"> for a </w:t>
      </w:r>
      <w:r w:rsidRPr="001D72D8" w:rsidR="00BA0633">
        <w:rPr>
          <w:rFonts w:ascii="Times New Roman" w:hAnsi="Times New Roman" w:cs="Times New Roman"/>
          <w:sz w:val="24"/>
          <w:szCs w:val="24"/>
        </w:rPr>
        <w:t>computer programmer</w:t>
      </w:r>
      <w:r w:rsidRPr="001D72D8">
        <w:rPr>
          <w:rFonts w:ascii="Times New Roman" w:hAnsi="Times New Roman" w:cs="Times New Roman"/>
          <w:sz w:val="24"/>
          <w:szCs w:val="24"/>
        </w:rPr>
        <w:t xml:space="preserve">) + (16 hr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/hr</w:t>
      </w:r>
      <w:r w:rsidRPr="001D72D8" w:rsidR="000A4165">
        <w:rPr>
          <w:rFonts w:ascii="Times New Roman" w:hAnsi="Times New Roman" w:cs="Times New Roman"/>
          <w:sz w:val="24"/>
          <w:szCs w:val="24"/>
        </w:rPr>
        <w:t xml:space="preserve"> for </w:t>
      </w:r>
      <w:r w:rsidRPr="001D72D8" w:rsidR="001B75AE">
        <w:rPr>
          <w:rFonts w:ascii="Times New Roman" w:hAnsi="Times New Roman" w:cs="Times New Roman"/>
          <w:sz w:val="24"/>
          <w:szCs w:val="24"/>
        </w:rPr>
        <w:t>a business operations specialist</w:t>
      </w:r>
      <w:r w:rsidRPr="001D72D8">
        <w:rPr>
          <w:rFonts w:ascii="Times New Roman" w:hAnsi="Times New Roman" w:cs="Times New Roman"/>
          <w:sz w:val="24"/>
          <w:szCs w:val="24"/>
        </w:rPr>
        <w:t xml:space="preserve">) + (5 hr x </w:t>
      </w:r>
      <w:r w:rsidRPr="001D72D8" w:rsidR="002B072F">
        <w:rPr>
          <w:rFonts w:ascii="Times New Roman" w:hAnsi="Times New Roman" w:cs="Times New Roman"/>
          <w:sz w:val="24"/>
          <w:szCs w:val="24"/>
        </w:rPr>
        <w:t>$128</w:t>
      </w:r>
      <w:r w:rsidRPr="001D72D8">
        <w:rPr>
          <w:rFonts w:ascii="Times New Roman" w:hAnsi="Times New Roman" w:cs="Times New Roman"/>
          <w:sz w:val="24"/>
          <w:szCs w:val="24"/>
        </w:rPr>
        <w:t>/hr</w:t>
      </w:r>
      <w:r w:rsidRPr="001D72D8" w:rsidR="000A4165">
        <w:rPr>
          <w:rFonts w:ascii="Times New Roman" w:hAnsi="Times New Roman" w:cs="Times New Roman"/>
          <w:sz w:val="24"/>
          <w:szCs w:val="24"/>
        </w:rPr>
        <w:t xml:space="preserve"> for a </w:t>
      </w:r>
      <w:r w:rsidRPr="001D72D8" w:rsidR="00814CB8">
        <w:rPr>
          <w:rFonts w:ascii="Times New Roman" w:hAnsi="Times New Roman" w:cs="Times New Roman"/>
          <w:sz w:val="24"/>
          <w:szCs w:val="24"/>
        </w:rPr>
        <w:t>general and operations manager</w:t>
      </w:r>
      <w:r w:rsidRPr="001D72D8" w:rsidR="005579C1">
        <w:rPr>
          <w:rFonts w:ascii="Times New Roman" w:hAnsi="Times New Roman" w:cs="Times New Roman"/>
          <w:sz w:val="24"/>
          <w:szCs w:val="24"/>
        </w:rPr>
        <w:t>)</w:t>
      </w:r>
      <w:r w:rsidRPr="001D72D8">
        <w:rPr>
          <w:rFonts w:ascii="Times New Roman" w:hAnsi="Times New Roman" w:cs="Times New Roman"/>
          <w:sz w:val="24"/>
          <w:szCs w:val="24"/>
        </w:rPr>
        <w:t>]</w:t>
      </w:r>
      <w:r w:rsidR="00A557DB">
        <w:rPr>
          <w:rFonts w:ascii="Times New Roman" w:hAnsi="Times New Roman" w:cs="Times New Roman"/>
          <w:sz w:val="24"/>
          <w:szCs w:val="24"/>
        </w:rPr>
        <w:t>)</w:t>
      </w:r>
      <w:r w:rsidRPr="001D72D8">
        <w:rPr>
          <w:rFonts w:ascii="Times New Roman" w:hAnsi="Times New Roman" w:cs="Times New Roman"/>
          <w:sz w:val="24"/>
          <w:szCs w:val="24"/>
        </w:rPr>
        <w:t xml:space="preserve">.   We expect that states will permit MCOs, PIHPs, and PAHPs to submit the report electronically.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12.5)</w:t>
      </w:r>
    </w:p>
    <w:p w:rsidR="00AF37F8" w:rsidRPr="00AF37F8" w:rsidP="00AF37F8" w14:paraId="3BC2DEEF" w14:textId="77777777">
      <w:pPr>
        <w:pStyle w:val="BodyText"/>
      </w:pPr>
    </w:p>
    <w:p w:rsidR="00624B15" w:rsidP="00432DCE" w14:paraId="6AF7FB71"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Section 438.8(m) requires the MCO or PIHP to recalculate its MLR for any year in which a retroactive capitation change is made.  As such retroactive adjustments are not a common practice, we estimate that no more than 3 plans per year may have to recalculate their MLR do this.</w:t>
      </w:r>
    </w:p>
    <w:p w:rsidR="00AF37F8" w:rsidRPr="00AF37F8" w:rsidP="00AF37F8" w14:paraId="1FA8EA6F" w14:textId="77777777">
      <w:pPr>
        <w:pStyle w:val="BodyText"/>
      </w:pPr>
    </w:p>
    <w:p w:rsidR="00332B7B" w:rsidRPr="001D72D8" w:rsidP="00432DCE" w14:paraId="1522890B"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438.10 Information Requirements</w:t>
      </w:r>
      <w:r w:rsidRPr="001D72D8">
        <w:rPr>
          <w:rFonts w:ascii="Times New Roman" w:hAnsi="Times New Roman" w:cs="Times New Roman"/>
          <w:sz w:val="24"/>
          <w:szCs w:val="24"/>
        </w:rPr>
        <w:t xml:space="preserve"> </w:t>
      </w:r>
    </w:p>
    <w:p w:rsidR="00624B15" w:rsidP="00432DCE" w14:paraId="46761A6F" w14:textId="55CF84B2">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Section 438.10(c)(3) requires states to operate a website that provides the information required in §438.10(f).  Since states already have websites for their Medicaid programs and most also include information about their managed care program, most states will only have to make minor revisions to their existing website.</w:t>
      </w:r>
    </w:p>
    <w:p w:rsidR="00AF37F8" w:rsidRPr="00AF37F8" w:rsidP="00AF37F8" w14:paraId="78684765" w14:textId="77777777">
      <w:pPr>
        <w:pStyle w:val="BodyText"/>
      </w:pPr>
    </w:p>
    <w:p w:rsidR="00624B15" w:rsidP="00432DCE" w14:paraId="3C60327C" w14:textId="5AE648A8">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We also estimate 3 hr for a computer programmer to periodically add or update documents and links on the site.  </w:t>
      </w:r>
      <w:r w:rsidRPr="001D72D8" w:rsidR="00872BFA">
        <w:rPr>
          <w:rFonts w:ascii="Times New Roman" w:hAnsi="Times New Roman" w:cs="Times New Roman"/>
          <w:sz w:val="24"/>
          <w:szCs w:val="24"/>
        </w:rPr>
        <w:t>W</w:t>
      </w:r>
      <w:r w:rsidRPr="001D72D8">
        <w:rPr>
          <w:rFonts w:ascii="Times New Roman" w:hAnsi="Times New Roman" w:cs="Times New Roman"/>
          <w:sz w:val="24"/>
          <w:szCs w:val="24"/>
        </w:rPr>
        <w:t xml:space="preserve">e estimate an annual state burden of </w:t>
      </w:r>
      <w:r w:rsidRPr="001D72D8">
        <w:rPr>
          <w:rFonts w:ascii="Times New Roman" w:hAnsi="Times New Roman" w:cs="Times New Roman"/>
          <w:b/>
          <w:sz w:val="24"/>
          <w:szCs w:val="24"/>
        </w:rPr>
        <w:t>1</w:t>
      </w:r>
      <w:r w:rsidRPr="001D72D8" w:rsidR="00F53384">
        <w:rPr>
          <w:rFonts w:ascii="Times New Roman" w:hAnsi="Times New Roman" w:cs="Times New Roman"/>
          <w:b/>
          <w:sz w:val="24"/>
          <w:szCs w:val="24"/>
        </w:rPr>
        <w:t>47</w:t>
      </w:r>
      <w:r w:rsidRPr="001D72D8">
        <w:rPr>
          <w:rFonts w:ascii="Times New Roman" w:hAnsi="Times New Roman" w:cs="Times New Roman"/>
          <w:b/>
          <w:sz w:val="24"/>
          <w:szCs w:val="24"/>
        </w:rPr>
        <w:t xml:space="preserve">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w:t>
      </w:r>
      <w:r w:rsidRPr="001D72D8" w:rsidR="00681308">
        <w:rPr>
          <w:rFonts w:ascii="Times New Roman" w:hAnsi="Times New Roman" w:cs="Times New Roman"/>
          <w:sz w:val="24"/>
          <w:szCs w:val="24"/>
        </w:rPr>
        <w:t xml:space="preserve">49 </w:t>
      </w:r>
      <w:r w:rsidRPr="001D72D8">
        <w:rPr>
          <w:rFonts w:ascii="Times New Roman" w:hAnsi="Times New Roman" w:cs="Times New Roman"/>
          <w:sz w:val="24"/>
          <w:szCs w:val="24"/>
        </w:rPr>
        <w:t xml:space="preserve">states x 3 hr) and </w:t>
      </w:r>
      <w:r w:rsidRPr="001D72D8">
        <w:rPr>
          <w:rFonts w:ascii="Times New Roman" w:hAnsi="Times New Roman" w:cs="Times New Roman"/>
          <w:b/>
          <w:sz w:val="24"/>
          <w:szCs w:val="24"/>
        </w:rPr>
        <w:t>$</w:t>
      </w:r>
      <w:r w:rsidR="00F7137F">
        <w:rPr>
          <w:rFonts w:ascii="Times New Roman" w:hAnsi="Times New Roman" w:cs="Times New Roman"/>
          <w:b/>
          <w:sz w:val="24"/>
          <w:szCs w:val="24"/>
        </w:rPr>
        <w:t>19,769</w:t>
      </w:r>
      <w:r w:rsidRPr="001D72D8" w:rsidR="00D4630C">
        <w:rPr>
          <w:rFonts w:ascii="Times New Roman" w:hAnsi="Times New Roman" w:cs="Times New Roman"/>
          <w:sz w:val="24"/>
          <w:szCs w:val="24"/>
        </w:rPr>
        <w:t xml:space="preserve"> </w:t>
      </w:r>
      <w:r w:rsidRPr="001D72D8">
        <w:rPr>
          <w:rFonts w:ascii="Times New Roman" w:hAnsi="Times New Roman" w:cs="Times New Roman"/>
          <w:sz w:val="24"/>
          <w:szCs w:val="24"/>
        </w:rPr>
        <w:t>(</w:t>
      </w:r>
      <w:r w:rsidR="009350E5">
        <w:rPr>
          <w:rFonts w:ascii="Times New Roman" w:hAnsi="Times New Roman" w:cs="Times New Roman"/>
          <w:sz w:val="24"/>
          <w:szCs w:val="24"/>
        </w:rPr>
        <w:t>147</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134.48</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12.6b)</w:t>
      </w:r>
    </w:p>
    <w:p w:rsidR="00AF37F8" w:rsidRPr="00AF37F8" w:rsidP="00AF37F8" w14:paraId="225C2951" w14:textId="77777777">
      <w:pPr>
        <w:pStyle w:val="BodyText"/>
      </w:pPr>
    </w:p>
    <w:p w:rsidR="00624B15" w:rsidP="00432DCE" w14:paraId="7BBC5EF3" w14:textId="668E684C">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Section 438.10(c)(4)(ii) </w:t>
      </w:r>
      <w:r w:rsidRPr="001D72D8" w:rsidR="00872BFA">
        <w:rPr>
          <w:rFonts w:ascii="Times New Roman" w:hAnsi="Times New Roman" w:cs="Times New Roman"/>
          <w:sz w:val="24"/>
          <w:szCs w:val="24"/>
        </w:rPr>
        <w:t xml:space="preserve">requires </w:t>
      </w:r>
      <w:r w:rsidRPr="001D72D8">
        <w:rPr>
          <w:rFonts w:ascii="Times New Roman" w:hAnsi="Times New Roman" w:cs="Times New Roman"/>
          <w:sz w:val="24"/>
          <w:szCs w:val="24"/>
        </w:rPr>
        <w:t xml:space="preserve">that states </w:t>
      </w:r>
      <w:r w:rsidRPr="001D72D8" w:rsidR="00872BFA">
        <w:rPr>
          <w:rFonts w:ascii="Times New Roman" w:hAnsi="Times New Roman" w:cs="Times New Roman"/>
          <w:sz w:val="24"/>
          <w:szCs w:val="24"/>
        </w:rPr>
        <w:t xml:space="preserve">provide </w:t>
      </w:r>
      <w:r w:rsidRPr="001D72D8">
        <w:rPr>
          <w:rFonts w:ascii="Times New Roman" w:hAnsi="Times New Roman" w:cs="Times New Roman"/>
          <w:sz w:val="24"/>
          <w:szCs w:val="24"/>
        </w:rPr>
        <w:t xml:space="preserve">model enrollee handbooks and notices.  We estimate 2 hr per year for a business operations specialist to </w:t>
      </w:r>
      <w:r w:rsidRPr="001D72D8" w:rsidR="00872BFA">
        <w:rPr>
          <w:rFonts w:ascii="Times New Roman" w:hAnsi="Times New Roman" w:cs="Times New Roman"/>
          <w:sz w:val="24"/>
          <w:szCs w:val="24"/>
        </w:rPr>
        <w:t xml:space="preserve">update </w:t>
      </w:r>
      <w:r w:rsidRPr="001D72D8">
        <w:rPr>
          <w:rFonts w:ascii="Times New Roman" w:hAnsi="Times New Roman" w:cs="Times New Roman"/>
          <w:sz w:val="24"/>
          <w:szCs w:val="24"/>
        </w:rPr>
        <w:t xml:space="preserve">these documents, if needed.  </w:t>
      </w:r>
      <w:r w:rsidRPr="001D72D8" w:rsidR="00872BFA">
        <w:rPr>
          <w:rFonts w:ascii="Times New Roman" w:hAnsi="Times New Roman" w:cs="Times New Roman"/>
          <w:sz w:val="24"/>
          <w:szCs w:val="24"/>
        </w:rPr>
        <w:t>W</w:t>
      </w:r>
      <w:r w:rsidRPr="001D72D8">
        <w:rPr>
          <w:rFonts w:ascii="Times New Roman" w:hAnsi="Times New Roman" w:cs="Times New Roman"/>
          <w:sz w:val="24"/>
          <w:szCs w:val="24"/>
        </w:rPr>
        <w:t xml:space="preserve">e </w:t>
      </w:r>
      <w:r w:rsidRPr="001D72D8" w:rsidR="00917B41">
        <w:rPr>
          <w:rFonts w:ascii="Times New Roman" w:hAnsi="Times New Roman" w:cs="Times New Roman"/>
          <w:sz w:val="24"/>
          <w:szCs w:val="24"/>
        </w:rPr>
        <w:t>e</w:t>
      </w:r>
      <w:r w:rsidRPr="001D72D8">
        <w:rPr>
          <w:rFonts w:ascii="Times New Roman" w:hAnsi="Times New Roman" w:cs="Times New Roman"/>
          <w:sz w:val="24"/>
          <w:szCs w:val="24"/>
        </w:rPr>
        <w:t xml:space="preserve">stimate an annual burden of </w:t>
      </w:r>
      <w:r w:rsidRPr="001D72D8">
        <w:rPr>
          <w:rFonts w:ascii="Times New Roman" w:hAnsi="Times New Roman" w:cs="Times New Roman"/>
          <w:b/>
          <w:sz w:val="24"/>
          <w:szCs w:val="24"/>
        </w:rPr>
        <w:t>40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(20 states x 2 hr) and </w:t>
      </w:r>
      <w:r w:rsidRPr="001D72D8">
        <w:rPr>
          <w:rFonts w:ascii="Times New Roman" w:hAnsi="Times New Roman" w:cs="Times New Roman"/>
          <w:b/>
          <w:sz w:val="24"/>
          <w:szCs w:val="24"/>
        </w:rPr>
        <w:t>$</w:t>
      </w:r>
      <w:r w:rsidRPr="001D72D8" w:rsidR="00D45F18">
        <w:rPr>
          <w:rFonts w:ascii="Times New Roman" w:hAnsi="Times New Roman" w:cs="Times New Roman"/>
          <w:b/>
          <w:sz w:val="24"/>
          <w:szCs w:val="24"/>
        </w:rPr>
        <w:t>3,570</w:t>
      </w:r>
      <w:r w:rsidRPr="001D72D8" w:rsidR="00D4630C">
        <w:rPr>
          <w:rFonts w:ascii="Times New Roman" w:hAnsi="Times New Roman" w:cs="Times New Roman"/>
          <w:b/>
          <w:sz w:val="24"/>
          <w:szCs w:val="24"/>
        </w:rPr>
        <w:t xml:space="preserve"> </w:t>
      </w:r>
      <w:r w:rsidRPr="001D72D8">
        <w:rPr>
          <w:rFonts w:ascii="Times New Roman" w:hAnsi="Times New Roman" w:cs="Times New Roman"/>
          <w:sz w:val="24"/>
          <w:szCs w:val="24"/>
        </w:rPr>
        <w:t xml:space="preserve">(40 hr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12.8b)</w:t>
      </w:r>
    </w:p>
    <w:p w:rsidR="00AF37F8" w:rsidRPr="00AF37F8" w:rsidP="00AF37F8" w14:paraId="42A25029" w14:textId="77777777">
      <w:pPr>
        <w:pStyle w:val="BodyText"/>
      </w:pPr>
    </w:p>
    <w:p w:rsidR="00624B15" w:rsidP="00432DCE" w14:paraId="660FC9F3" w14:textId="7175C348">
      <w:pPr>
        <w:spacing w:after="0" w:line="240" w:lineRule="auto"/>
        <w:rPr>
          <w:rFonts w:ascii="Times New Roman" w:hAnsi="Times New Roman" w:cs="Times New Roman"/>
          <w:b/>
          <w:iCs/>
          <w:sz w:val="24"/>
          <w:szCs w:val="24"/>
        </w:rPr>
      </w:pPr>
      <w:bookmarkStart w:id="52" w:name="_Hlk514234597"/>
      <w:r w:rsidRPr="001D72D8">
        <w:rPr>
          <w:rFonts w:ascii="Times New Roman" w:hAnsi="Times New Roman" w:cs="Times New Roman"/>
          <w:sz w:val="24"/>
          <w:szCs w:val="24"/>
        </w:rPr>
        <w:t xml:space="preserve">Section 438.10(e)(1) </w:t>
      </w:r>
      <w:r w:rsidRPr="001D72D8" w:rsidR="00E90B52">
        <w:rPr>
          <w:rFonts w:ascii="Times New Roman" w:hAnsi="Times New Roman" w:cs="Times New Roman"/>
          <w:sz w:val="24"/>
          <w:szCs w:val="24"/>
        </w:rPr>
        <w:t xml:space="preserve">requires </w:t>
      </w:r>
      <w:r w:rsidRPr="001D72D8">
        <w:rPr>
          <w:rFonts w:ascii="Times New Roman" w:hAnsi="Times New Roman" w:cs="Times New Roman"/>
          <w:sz w:val="24"/>
          <w:szCs w:val="24"/>
        </w:rPr>
        <w:t xml:space="preserve">states </w:t>
      </w:r>
      <w:r w:rsidRPr="001D72D8" w:rsidR="00E90B52">
        <w:rPr>
          <w:rFonts w:ascii="Times New Roman" w:hAnsi="Times New Roman" w:cs="Times New Roman"/>
          <w:sz w:val="24"/>
          <w:szCs w:val="24"/>
        </w:rPr>
        <w:t xml:space="preserve">to </w:t>
      </w:r>
      <w:r w:rsidRPr="001D72D8">
        <w:rPr>
          <w:rFonts w:ascii="Times New Roman" w:hAnsi="Times New Roman" w:cs="Times New Roman"/>
          <w:sz w:val="24"/>
          <w:szCs w:val="24"/>
        </w:rPr>
        <w:t>provide required information in paper or electronic format</w:t>
      </w:r>
      <w:r w:rsidRPr="001D72D8" w:rsidR="00E90B52">
        <w:rPr>
          <w:rFonts w:ascii="Times New Roman" w:hAnsi="Times New Roman" w:cs="Times New Roman"/>
          <w:sz w:val="24"/>
          <w:szCs w:val="24"/>
        </w:rPr>
        <w:t xml:space="preserve"> to prospective enrollees</w:t>
      </w:r>
      <w:r w:rsidRPr="001D72D8">
        <w:rPr>
          <w:rFonts w:ascii="Times New Roman" w:hAnsi="Times New Roman" w:cs="Times New Roman"/>
          <w:sz w:val="24"/>
          <w:szCs w:val="24"/>
        </w:rPr>
        <w:t xml:space="preserve">.  </w:t>
      </w:r>
      <w:r w:rsidRPr="001D72D8" w:rsidR="00DE5C57">
        <w:rPr>
          <w:rFonts w:ascii="Times New Roman" w:hAnsi="Times New Roman" w:cs="Times New Roman"/>
          <w:sz w:val="24"/>
          <w:szCs w:val="24"/>
        </w:rPr>
        <w:t>We</w:t>
      </w:r>
      <w:r w:rsidRPr="001D72D8">
        <w:rPr>
          <w:rFonts w:ascii="Times New Roman" w:hAnsi="Times New Roman" w:cs="Times New Roman"/>
          <w:sz w:val="24"/>
          <w:szCs w:val="24"/>
        </w:rPr>
        <w:t xml:space="preserve"> estimate 1 min </w:t>
      </w:r>
      <w:r w:rsidRPr="001D72D8" w:rsidR="00733EA7">
        <w:rPr>
          <w:rFonts w:ascii="Times New Roman" w:hAnsi="Times New Roman" w:cs="Times New Roman"/>
          <w:sz w:val="24"/>
          <w:szCs w:val="24"/>
        </w:rPr>
        <w:t xml:space="preserve">(0.0167 hr) </w:t>
      </w:r>
      <w:r w:rsidRPr="001D72D8">
        <w:rPr>
          <w:rFonts w:ascii="Times New Roman" w:hAnsi="Times New Roman" w:cs="Times New Roman"/>
          <w:sz w:val="24"/>
          <w:szCs w:val="24"/>
        </w:rPr>
        <w:t xml:space="preserve">per mailing </w:t>
      </w:r>
      <w:r w:rsidRPr="001D72D8" w:rsidR="00733EA7">
        <w:rPr>
          <w:rFonts w:ascii="Times New Roman" w:hAnsi="Times New Roman" w:cs="Times New Roman"/>
          <w:sz w:val="24"/>
          <w:szCs w:val="24"/>
        </w:rPr>
        <w:t xml:space="preserve">to acknowledge automated mailing processes. In aggregate we estimate an annual state burden of </w:t>
      </w:r>
      <w:r w:rsidRPr="001D72D8" w:rsidR="00211EB3">
        <w:rPr>
          <w:rFonts w:ascii="Times New Roman" w:hAnsi="Times New Roman" w:cs="Times New Roman"/>
          <w:b/>
          <w:sz w:val="24"/>
          <w:szCs w:val="24"/>
        </w:rPr>
        <w:t>40,218</w:t>
      </w:r>
      <w:r w:rsidRPr="001D72D8">
        <w:rPr>
          <w:rFonts w:ascii="Times New Roman" w:hAnsi="Times New Roman" w:cs="Times New Roman"/>
          <w:sz w:val="24"/>
          <w:szCs w:val="24"/>
        </w:rPr>
        <w:t xml:space="preserve"> </w:t>
      </w:r>
      <w:r w:rsidRPr="001D72D8">
        <w:rPr>
          <w:rFonts w:ascii="Times New Roman" w:hAnsi="Times New Roman" w:cs="Times New Roman"/>
          <w:b/>
          <w:sz w:val="24"/>
          <w:szCs w:val="24"/>
        </w:rPr>
        <w:t>h</w:t>
      </w:r>
      <w:r w:rsidR="00AA2C2A">
        <w:rPr>
          <w:rFonts w:ascii="Times New Roman" w:hAnsi="Times New Roman" w:cs="Times New Roman"/>
          <w:b/>
          <w:sz w:val="24"/>
          <w:szCs w:val="24"/>
        </w:rPr>
        <w:t>ou</w:t>
      </w:r>
      <w:r w:rsidRPr="001D72D8">
        <w:rPr>
          <w:rFonts w:ascii="Times New Roman" w:hAnsi="Times New Roman" w:cs="Times New Roman"/>
          <w:b/>
          <w:sz w:val="24"/>
          <w:szCs w:val="24"/>
        </w:rPr>
        <w:t>r</w:t>
      </w:r>
      <w:r w:rsidR="00AA2C2A">
        <w:rPr>
          <w:rFonts w:ascii="Times New Roman" w:hAnsi="Times New Roman" w:cs="Times New Roman"/>
          <w:b/>
          <w:sz w:val="24"/>
          <w:szCs w:val="24"/>
        </w:rPr>
        <w:t>s</w:t>
      </w:r>
      <w:r w:rsidRPr="001D72D8">
        <w:rPr>
          <w:rFonts w:ascii="Times New Roman" w:hAnsi="Times New Roman" w:cs="Times New Roman"/>
          <w:b/>
          <w:sz w:val="24"/>
          <w:szCs w:val="24"/>
        </w:rPr>
        <w:t xml:space="preserve"> </w:t>
      </w:r>
      <w:r w:rsidRPr="001D72D8" w:rsidR="00293A9B">
        <w:rPr>
          <w:rFonts w:ascii="Times New Roman" w:hAnsi="Times New Roman" w:cs="Times New Roman"/>
          <w:sz w:val="24"/>
          <w:szCs w:val="24"/>
        </w:rPr>
        <w:t xml:space="preserve">for </w:t>
      </w:r>
      <w:r w:rsidRPr="001D72D8" w:rsidR="001D529A">
        <w:rPr>
          <w:rFonts w:ascii="Times New Roman" w:hAnsi="Times New Roman" w:cs="Times New Roman"/>
          <w:sz w:val="24"/>
          <w:szCs w:val="24"/>
        </w:rPr>
        <w:t>2,</w:t>
      </w:r>
      <w:r w:rsidRPr="001D72D8" w:rsidR="00681308">
        <w:rPr>
          <w:rFonts w:ascii="Times New Roman" w:hAnsi="Times New Roman" w:cs="Times New Roman"/>
          <w:sz w:val="24"/>
          <w:szCs w:val="24"/>
        </w:rPr>
        <w:t>408,242</w:t>
      </w:r>
      <w:r w:rsidRPr="001D72D8">
        <w:rPr>
          <w:rFonts w:ascii="Times New Roman" w:hAnsi="Times New Roman" w:cs="Times New Roman"/>
          <w:sz w:val="24"/>
          <w:szCs w:val="24"/>
        </w:rPr>
        <w:t xml:space="preserve"> enrollees (</w:t>
      </w:r>
      <w:r w:rsidRPr="001D72D8" w:rsidR="00F145A8">
        <w:rPr>
          <w:rFonts w:ascii="Times New Roman" w:hAnsi="Times New Roman" w:cs="Times New Roman"/>
          <w:sz w:val="24"/>
          <w:szCs w:val="24"/>
        </w:rPr>
        <w:t>72,977,045</w:t>
      </w:r>
      <w:r w:rsidRPr="001D72D8">
        <w:rPr>
          <w:rFonts w:ascii="Times New Roman" w:hAnsi="Times New Roman" w:cs="Times New Roman"/>
          <w:sz w:val="24"/>
          <w:szCs w:val="24"/>
        </w:rPr>
        <w:t xml:space="preserve"> total </w:t>
      </w:r>
      <w:r w:rsidRPr="001D72D8" w:rsidR="00F145A8">
        <w:rPr>
          <w:rFonts w:ascii="Times New Roman" w:hAnsi="Times New Roman" w:cs="Times New Roman"/>
          <w:sz w:val="24"/>
          <w:szCs w:val="24"/>
        </w:rPr>
        <w:t xml:space="preserve">MCO, PIHP, PAHP, PCCME </w:t>
      </w:r>
      <w:r w:rsidRPr="001D72D8">
        <w:rPr>
          <w:rFonts w:ascii="Times New Roman" w:hAnsi="Times New Roman" w:cs="Times New Roman"/>
          <w:sz w:val="24"/>
          <w:szCs w:val="24"/>
        </w:rPr>
        <w:t xml:space="preserve">enrollees x </w:t>
      </w:r>
      <w:r w:rsidRPr="001D72D8" w:rsidR="00A06E70">
        <w:rPr>
          <w:rFonts w:ascii="Times New Roman" w:hAnsi="Times New Roman" w:cs="Times New Roman"/>
          <w:sz w:val="24"/>
          <w:szCs w:val="24"/>
        </w:rPr>
        <w:t>0</w:t>
      </w:r>
      <w:r w:rsidRPr="001D72D8">
        <w:rPr>
          <w:rFonts w:ascii="Times New Roman" w:hAnsi="Times New Roman" w:cs="Times New Roman"/>
          <w:sz w:val="24"/>
          <w:szCs w:val="24"/>
        </w:rPr>
        <w:t>.033 growth rate)</w:t>
      </w:r>
      <w:r w:rsidRPr="001D72D8" w:rsidR="005527BE">
        <w:rPr>
          <w:rFonts w:ascii="Times New Roman" w:hAnsi="Times New Roman" w:cs="Times New Roman"/>
          <w:sz w:val="24"/>
          <w:szCs w:val="24"/>
        </w:rPr>
        <w:t xml:space="preserve"> x .0167)</w:t>
      </w:r>
      <w:r w:rsidRPr="001D72D8">
        <w:rPr>
          <w:rFonts w:ascii="Times New Roman" w:hAnsi="Times New Roman" w:cs="Times New Roman"/>
          <w:sz w:val="24"/>
          <w:szCs w:val="24"/>
        </w:rPr>
        <w:t xml:space="preserve"> at </w:t>
      </w:r>
      <w:r w:rsidRPr="001D72D8" w:rsidR="00733EA7">
        <w:rPr>
          <w:rFonts w:ascii="Times New Roman" w:hAnsi="Times New Roman" w:cs="Times New Roman"/>
          <w:sz w:val="24"/>
          <w:szCs w:val="24"/>
        </w:rPr>
        <w:t>a cost of</w:t>
      </w:r>
      <w:r w:rsidRPr="001D72D8">
        <w:rPr>
          <w:rFonts w:ascii="Times New Roman" w:hAnsi="Times New Roman" w:cs="Times New Roman"/>
          <w:sz w:val="24"/>
          <w:szCs w:val="24"/>
        </w:rPr>
        <w:t xml:space="preserve"> $</w:t>
      </w:r>
      <w:r w:rsidR="00F7137F">
        <w:rPr>
          <w:rFonts w:ascii="Times New Roman" w:hAnsi="Times New Roman" w:cs="Times New Roman"/>
          <w:b/>
          <w:sz w:val="24"/>
          <w:szCs w:val="24"/>
        </w:rPr>
        <w:t>1,611,133</w:t>
      </w:r>
      <w:r w:rsidRPr="001D72D8">
        <w:rPr>
          <w:rFonts w:ascii="Times New Roman" w:hAnsi="Times New Roman" w:cs="Times New Roman"/>
          <w:sz w:val="24"/>
          <w:szCs w:val="24"/>
        </w:rPr>
        <w:t xml:space="preserve"> (</w:t>
      </w:r>
      <w:r w:rsidRPr="001D72D8" w:rsidR="00211EB3">
        <w:rPr>
          <w:rFonts w:ascii="Times New Roman" w:hAnsi="Times New Roman" w:cs="Times New Roman"/>
          <w:sz w:val="24"/>
          <w:szCs w:val="24"/>
        </w:rPr>
        <w:t>40,218</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40.06</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12.10b)</w:t>
      </w:r>
    </w:p>
    <w:p w:rsidR="00AF37F8" w:rsidRPr="00AF37F8" w:rsidP="00AF37F8" w14:paraId="1BB3D7E8" w14:textId="77777777">
      <w:pPr>
        <w:pStyle w:val="BodyText"/>
      </w:pPr>
    </w:p>
    <w:bookmarkEnd w:id="52"/>
    <w:p w:rsidR="00624B15" w:rsidP="00432DCE" w14:paraId="24F9C015" w14:textId="7B39D9FF">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Section 438.10(g)(1) requires that MCOs, PIHPs, PAHPs, and PCCM</w:t>
      </w:r>
      <w:r w:rsidRPr="001D72D8" w:rsidR="009B6230">
        <w:rPr>
          <w:rFonts w:ascii="Times New Roman" w:hAnsi="Times New Roman" w:cs="Times New Roman"/>
          <w:sz w:val="24"/>
          <w:szCs w:val="24"/>
        </w:rPr>
        <w:t xml:space="preserve"> entitie</w:t>
      </w:r>
      <w:r w:rsidRPr="001D72D8">
        <w:rPr>
          <w:rFonts w:ascii="Times New Roman" w:hAnsi="Times New Roman" w:cs="Times New Roman"/>
          <w:sz w:val="24"/>
          <w:szCs w:val="24"/>
        </w:rPr>
        <w:t xml:space="preserve">s </w:t>
      </w:r>
      <w:r w:rsidRPr="001D72D8" w:rsidR="00E90B52">
        <w:rPr>
          <w:rFonts w:ascii="Times New Roman" w:hAnsi="Times New Roman" w:cs="Times New Roman"/>
          <w:sz w:val="24"/>
          <w:szCs w:val="24"/>
        </w:rPr>
        <w:t xml:space="preserve">(when required) </w:t>
      </w:r>
      <w:r w:rsidRPr="001D72D8">
        <w:rPr>
          <w:rFonts w:ascii="Times New Roman" w:hAnsi="Times New Roman" w:cs="Times New Roman"/>
          <w:sz w:val="24"/>
          <w:szCs w:val="24"/>
        </w:rPr>
        <w:t xml:space="preserve">provide an enrollee handbook. </w:t>
      </w:r>
      <w:r w:rsidRPr="001D72D8">
        <w:rPr>
          <w:rFonts w:ascii="Times New Roman" w:hAnsi="Times New Roman" w:cs="Times New Roman"/>
          <w:sz w:val="24"/>
          <w:szCs w:val="24"/>
        </w:rPr>
        <w:t>With regard to</w:t>
      </w:r>
      <w:r w:rsidRPr="001D72D8">
        <w:rPr>
          <w:rFonts w:ascii="Times New Roman" w:hAnsi="Times New Roman" w:cs="Times New Roman"/>
          <w:sz w:val="24"/>
          <w:szCs w:val="24"/>
        </w:rPr>
        <w:t xml:space="preserve"> new enrollees, they must receive a handbook within a reasonable time after receiving notice of the beneficiary’s enrollment.  We assume a 3.3 percent enrollee growth rate thus </w:t>
      </w:r>
      <w:r w:rsidRPr="001D72D8" w:rsidR="00211EB3">
        <w:rPr>
          <w:rFonts w:ascii="Times New Roman" w:hAnsi="Times New Roman" w:cs="Times New Roman"/>
          <w:sz w:val="24"/>
          <w:szCs w:val="24"/>
        </w:rPr>
        <w:t>2,</w:t>
      </w:r>
      <w:r w:rsidRPr="001D72D8" w:rsidR="003341F4">
        <w:rPr>
          <w:rFonts w:ascii="Times New Roman" w:hAnsi="Times New Roman" w:cs="Times New Roman"/>
          <w:sz w:val="24"/>
          <w:szCs w:val="24"/>
        </w:rPr>
        <w:t>408,242</w:t>
      </w:r>
      <w:r w:rsidRPr="001D72D8">
        <w:rPr>
          <w:rFonts w:ascii="Times New Roman" w:hAnsi="Times New Roman" w:cs="Times New Roman"/>
          <w:sz w:val="24"/>
          <w:szCs w:val="24"/>
        </w:rPr>
        <w:t xml:space="preserve"> enrollees (</w:t>
      </w:r>
      <w:r w:rsidRPr="001D72D8" w:rsidR="00C00770">
        <w:rPr>
          <w:rFonts w:ascii="Times New Roman" w:hAnsi="Times New Roman" w:cs="Times New Roman"/>
          <w:sz w:val="24"/>
          <w:szCs w:val="24"/>
        </w:rPr>
        <w:t>0</w:t>
      </w:r>
      <w:r w:rsidRPr="001D72D8" w:rsidR="001D529A">
        <w:rPr>
          <w:rFonts w:ascii="Times New Roman" w:hAnsi="Times New Roman" w:cs="Times New Roman"/>
          <w:sz w:val="24"/>
          <w:szCs w:val="24"/>
        </w:rPr>
        <w:t>.033</w:t>
      </w:r>
      <w:r w:rsidRPr="001D72D8">
        <w:rPr>
          <w:rFonts w:ascii="Times New Roman" w:hAnsi="Times New Roman" w:cs="Times New Roman"/>
          <w:sz w:val="24"/>
          <w:szCs w:val="24"/>
        </w:rPr>
        <w:t xml:space="preserve"> </w:t>
      </w:r>
      <w:r w:rsidRPr="001D72D8" w:rsidR="00AF4F7E">
        <w:rPr>
          <w:rFonts w:ascii="Times New Roman" w:hAnsi="Times New Roman" w:cs="Times New Roman"/>
          <w:sz w:val="24"/>
          <w:szCs w:val="24"/>
        </w:rPr>
        <w:t>x</w:t>
      </w:r>
      <w:r w:rsidRPr="001D72D8">
        <w:rPr>
          <w:rFonts w:ascii="Times New Roman" w:hAnsi="Times New Roman" w:cs="Times New Roman"/>
          <w:sz w:val="24"/>
          <w:szCs w:val="24"/>
        </w:rPr>
        <w:t xml:space="preserve"> </w:t>
      </w:r>
      <w:r w:rsidRPr="001D72D8" w:rsidR="00F145A8">
        <w:rPr>
          <w:rFonts w:ascii="Times New Roman" w:hAnsi="Times New Roman" w:cs="Times New Roman"/>
          <w:sz w:val="24"/>
          <w:szCs w:val="24"/>
        </w:rPr>
        <w:t>72,977,045 total MCO, PIHP, PAHP, PCCM</w:t>
      </w:r>
      <w:r w:rsidRPr="001D72D8" w:rsidR="009B6230">
        <w:rPr>
          <w:rFonts w:ascii="Times New Roman" w:hAnsi="Times New Roman" w:cs="Times New Roman"/>
          <w:sz w:val="24"/>
          <w:szCs w:val="24"/>
        </w:rPr>
        <w:t xml:space="preserve"> entity </w:t>
      </w:r>
      <w:r w:rsidRPr="001D72D8" w:rsidR="00AF4F7E">
        <w:rPr>
          <w:rFonts w:ascii="Times New Roman" w:hAnsi="Times New Roman" w:cs="Times New Roman"/>
          <w:sz w:val="24"/>
          <w:szCs w:val="24"/>
        </w:rPr>
        <w:t>enrollees</w:t>
      </w:r>
      <w:r w:rsidRPr="001D72D8">
        <w:rPr>
          <w:rFonts w:ascii="Times New Roman" w:hAnsi="Times New Roman" w:cs="Times New Roman"/>
          <w:sz w:val="24"/>
          <w:szCs w:val="24"/>
        </w:rPr>
        <w:t xml:space="preserve">) will need to receive a handbook each year.  We estimate 1 min </w:t>
      </w:r>
      <w:r w:rsidRPr="001D72D8" w:rsidR="00BD6509">
        <w:rPr>
          <w:rFonts w:ascii="Times New Roman" w:hAnsi="Times New Roman" w:cs="Times New Roman"/>
          <w:sz w:val="24"/>
          <w:szCs w:val="24"/>
        </w:rPr>
        <w:t xml:space="preserve">(0.0167 hr) </w:t>
      </w:r>
      <w:r w:rsidRPr="001D72D8">
        <w:rPr>
          <w:rFonts w:ascii="Times New Roman" w:hAnsi="Times New Roman" w:cs="Times New Roman"/>
          <w:sz w:val="24"/>
          <w:szCs w:val="24"/>
        </w:rPr>
        <w:t xml:space="preserve">by a mail clerk at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40.06</w:t>
      </w:r>
      <w:r w:rsidRPr="001D72D8">
        <w:rPr>
          <w:rFonts w:ascii="Times New Roman" w:hAnsi="Times New Roman" w:cs="Times New Roman"/>
          <w:sz w:val="24"/>
          <w:szCs w:val="24"/>
        </w:rPr>
        <w:t>/hr to mail the handbook</w:t>
      </w:r>
      <w:r w:rsidRPr="001D72D8" w:rsidR="00A904D2">
        <w:rPr>
          <w:rFonts w:ascii="Times New Roman" w:hAnsi="Times New Roman" w:cs="Times New Roman"/>
          <w:sz w:val="24"/>
          <w:szCs w:val="24"/>
        </w:rPr>
        <w:t xml:space="preserve">. </w:t>
      </w:r>
      <w:r w:rsidRPr="001D72D8">
        <w:rPr>
          <w:rFonts w:ascii="Times New Roman" w:hAnsi="Times New Roman" w:cs="Times New Roman"/>
          <w:sz w:val="24"/>
          <w:szCs w:val="24"/>
        </w:rPr>
        <w:t xml:space="preserve">We estimate </w:t>
      </w:r>
      <w:r w:rsidRPr="001D72D8" w:rsidR="00A904D2">
        <w:rPr>
          <w:rFonts w:ascii="Times New Roman" w:hAnsi="Times New Roman" w:cs="Times New Roman"/>
          <w:sz w:val="24"/>
          <w:szCs w:val="24"/>
        </w:rPr>
        <w:t xml:space="preserve">an </w:t>
      </w:r>
      <w:r w:rsidRPr="001D72D8">
        <w:rPr>
          <w:rFonts w:ascii="Times New Roman" w:hAnsi="Times New Roman" w:cs="Times New Roman"/>
          <w:sz w:val="24"/>
          <w:szCs w:val="24"/>
        </w:rPr>
        <w:t xml:space="preserve">annual </w:t>
      </w:r>
      <w:r w:rsidRPr="001D72D8" w:rsidR="002528BD">
        <w:rPr>
          <w:rFonts w:ascii="Times New Roman" w:hAnsi="Times New Roman" w:cs="Times New Roman"/>
          <w:sz w:val="24"/>
          <w:szCs w:val="24"/>
        </w:rPr>
        <w:t>private sector</w:t>
      </w:r>
      <w:r w:rsidRPr="001D72D8">
        <w:rPr>
          <w:rFonts w:ascii="Times New Roman" w:hAnsi="Times New Roman" w:cs="Times New Roman"/>
          <w:sz w:val="24"/>
          <w:szCs w:val="24"/>
        </w:rPr>
        <w:t xml:space="preserve"> </w:t>
      </w:r>
      <w:r w:rsidRPr="001D72D8" w:rsidR="00A904D2">
        <w:rPr>
          <w:rFonts w:ascii="Times New Roman" w:hAnsi="Times New Roman" w:cs="Times New Roman"/>
          <w:sz w:val="24"/>
          <w:szCs w:val="24"/>
        </w:rPr>
        <w:t xml:space="preserve">burden of </w:t>
      </w:r>
      <w:r w:rsidRPr="001D72D8" w:rsidR="00A86F36">
        <w:rPr>
          <w:rFonts w:ascii="Times New Roman" w:hAnsi="Times New Roman" w:cs="Times New Roman"/>
          <w:b/>
          <w:sz w:val="24"/>
          <w:szCs w:val="24"/>
        </w:rPr>
        <w:t>40,218</w:t>
      </w:r>
      <w:r w:rsidRPr="001D72D8" w:rsidR="00A904D2">
        <w:rPr>
          <w:rFonts w:ascii="Times New Roman" w:hAnsi="Times New Roman" w:cs="Times New Roman"/>
          <w:b/>
          <w:sz w:val="24"/>
          <w:szCs w:val="24"/>
        </w:rPr>
        <w:t xml:space="preserve"> h</w:t>
      </w:r>
      <w:r w:rsidR="00AA2C2A">
        <w:rPr>
          <w:rFonts w:ascii="Times New Roman" w:hAnsi="Times New Roman" w:cs="Times New Roman"/>
          <w:b/>
          <w:sz w:val="24"/>
          <w:szCs w:val="24"/>
        </w:rPr>
        <w:t>ours</w:t>
      </w:r>
      <w:r w:rsidRPr="001D72D8" w:rsidR="00A904D2">
        <w:rPr>
          <w:rFonts w:ascii="Times New Roman" w:hAnsi="Times New Roman" w:cs="Times New Roman"/>
          <w:sz w:val="24"/>
          <w:szCs w:val="24"/>
        </w:rPr>
        <w:t xml:space="preserve"> (2,</w:t>
      </w:r>
      <w:r w:rsidRPr="001D72D8" w:rsidR="00F145A8">
        <w:rPr>
          <w:rFonts w:ascii="Times New Roman" w:hAnsi="Times New Roman" w:cs="Times New Roman"/>
          <w:sz w:val="24"/>
          <w:szCs w:val="24"/>
        </w:rPr>
        <w:t>408,242</w:t>
      </w:r>
      <w:r w:rsidRPr="001D72D8" w:rsidR="00A904D2">
        <w:rPr>
          <w:rFonts w:ascii="Times New Roman" w:hAnsi="Times New Roman" w:cs="Times New Roman"/>
          <w:sz w:val="24"/>
          <w:szCs w:val="24"/>
        </w:rPr>
        <w:t xml:space="preserve"> enrollees x 0.0167 hr) at a cost of </w:t>
      </w:r>
      <w:r w:rsidRPr="001D72D8" w:rsidR="006B157E">
        <w:rPr>
          <w:rFonts w:ascii="Times New Roman" w:hAnsi="Times New Roman" w:cs="Times New Roman"/>
          <w:sz w:val="24"/>
          <w:szCs w:val="24"/>
        </w:rPr>
        <w:t>$</w:t>
      </w:r>
      <w:r w:rsidR="00F7137F">
        <w:rPr>
          <w:rFonts w:ascii="Times New Roman" w:hAnsi="Times New Roman" w:cs="Times New Roman"/>
          <w:b/>
          <w:sz w:val="24"/>
          <w:szCs w:val="24"/>
        </w:rPr>
        <w:t>1,611,133</w:t>
      </w:r>
      <w:r w:rsidRPr="001D72D8" w:rsidR="0027659B">
        <w:rPr>
          <w:rFonts w:ascii="Times New Roman" w:hAnsi="Times New Roman" w:cs="Times New Roman"/>
          <w:sz w:val="24"/>
          <w:szCs w:val="24"/>
        </w:rPr>
        <w:t xml:space="preserve"> </w:t>
      </w:r>
      <w:r w:rsidRPr="001D72D8">
        <w:rPr>
          <w:rFonts w:ascii="Times New Roman" w:hAnsi="Times New Roman" w:cs="Times New Roman"/>
          <w:sz w:val="24"/>
          <w:szCs w:val="24"/>
        </w:rPr>
        <w:t>(</w:t>
      </w:r>
      <w:r w:rsidRPr="00D754AA" w:rsidR="00D754AA">
        <w:rPr>
          <w:rFonts w:ascii="Times New Roman" w:hAnsi="Times New Roman" w:cs="Times New Roman"/>
          <w:sz w:val="24"/>
          <w:szCs w:val="24"/>
        </w:rPr>
        <w:t>40,218</w:t>
      </w:r>
      <w:r w:rsidRPr="001D72D8">
        <w:rPr>
          <w:rFonts w:ascii="Times New Roman" w:hAnsi="Times New Roman" w:cs="Times New Roman"/>
          <w:sz w:val="24"/>
          <w:szCs w:val="24"/>
        </w:rPr>
        <w:t xml:space="preserve"> hr </w:t>
      </w:r>
      <w:r w:rsidR="00D754AA">
        <w:rPr>
          <w:rFonts w:ascii="Times New Roman" w:hAnsi="Times New Roman" w:cs="Times New Roman"/>
          <w:sz w:val="24"/>
          <w:szCs w:val="24"/>
        </w:rPr>
        <w:t>x</w:t>
      </w:r>
      <w:r w:rsidRPr="001D72D8">
        <w:rPr>
          <w:rFonts w:ascii="Times New Roman" w:hAnsi="Times New Roman" w:cs="Times New Roman"/>
          <w:sz w:val="24"/>
          <w:szCs w:val="24"/>
        </w:rPr>
        <w:t xml:space="preserve">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40.06</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12.12)</w:t>
      </w:r>
    </w:p>
    <w:p w:rsidR="00AF37F8" w:rsidRPr="00AF37F8" w:rsidP="00AF37F8" w14:paraId="79E66145" w14:textId="77777777">
      <w:pPr>
        <w:pStyle w:val="BodyText"/>
      </w:pPr>
    </w:p>
    <w:p w:rsidR="00624B15" w:rsidRPr="00D00582" w:rsidP="00432DCE" w14:paraId="1C4AACBD" w14:textId="4BB1AED3">
      <w:pPr>
        <w:spacing w:after="0" w:line="240" w:lineRule="auto"/>
        <w:rPr>
          <w:rFonts w:ascii="Times New Roman" w:hAnsi="Times New Roman" w:cs="Times New Roman"/>
          <w:b/>
          <w:iCs/>
          <w:sz w:val="24"/>
          <w:szCs w:val="24"/>
        </w:rPr>
      </w:pPr>
      <w:r w:rsidRPr="00D00582">
        <w:rPr>
          <w:rFonts w:ascii="Times New Roman" w:hAnsi="Times New Roman" w:cs="Times New Roman"/>
          <w:sz w:val="24"/>
          <w:szCs w:val="24"/>
        </w:rPr>
        <w:t xml:space="preserve">Since all the </w:t>
      </w:r>
      <w:r w:rsidRPr="00D00582" w:rsidR="006B157E">
        <w:rPr>
          <w:rFonts w:ascii="Times New Roman" w:hAnsi="Times New Roman" w:cs="Times New Roman"/>
          <w:sz w:val="24"/>
          <w:szCs w:val="24"/>
        </w:rPr>
        <w:t xml:space="preserve">496 managed care plans </w:t>
      </w:r>
      <w:r w:rsidRPr="00D00582">
        <w:rPr>
          <w:rFonts w:ascii="Times New Roman" w:hAnsi="Times New Roman" w:cs="Times New Roman"/>
          <w:sz w:val="24"/>
          <w:szCs w:val="24"/>
        </w:rPr>
        <w:t xml:space="preserve">will need to keep their handbook up to date, we estimate it will take 1 hr at </w:t>
      </w:r>
      <w:r w:rsidRPr="00D00582" w:rsidR="00DC6A2E">
        <w:rPr>
          <w:rFonts w:ascii="Times New Roman" w:hAnsi="Times New Roman" w:cs="Times New Roman"/>
          <w:sz w:val="24"/>
          <w:szCs w:val="24"/>
        </w:rPr>
        <w:t>$</w:t>
      </w:r>
      <w:r w:rsidRPr="00D00582" w:rsidR="00C03548">
        <w:rPr>
          <w:rFonts w:ascii="Times New Roman" w:hAnsi="Times New Roman" w:cs="Times New Roman"/>
          <w:sz w:val="24"/>
          <w:szCs w:val="24"/>
        </w:rPr>
        <w:t>89.26</w:t>
      </w:r>
      <w:r w:rsidRPr="00D00582">
        <w:rPr>
          <w:rFonts w:ascii="Times New Roman" w:hAnsi="Times New Roman" w:cs="Times New Roman"/>
          <w:sz w:val="24"/>
          <w:szCs w:val="24"/>
        </w:rPr>
        <w:t xml:space="preserve">/hr for a business operations specialist to update the document.  While the updates are necessary when program changes occur, we estimate 1 hr since each change may only take a few minutes to make.  In aggregate, we estimate an annual private sector burden of </w:t>
      </w:r>
      <w:r w:rsidRPr="00D00582" w:rsidR="00AA2C2A">
        <w:rPr>
          <w:rFonts w:ascii="Times New Roman" w:hAnsi="Times New Roman" w:cs="Times New Roman"/>
          <w:b/>
          <w:sz w:val="24"/>
          <w:szCs w:val="24"/>
        </w:rPr>
        <w:t>496</w:t>
      </w:r>
      <w:r w:rsidRPr="00D00582">
        <w:rPr>
          <w:rFonts w:ascii="Times New Roman" w:hAnsi="Times New Roman" w:cs="Times New Roman"/>
          <w:b/>
          <w:sz w:val="24"/>
          <w:szCs w:val="24"/>
        </w:rPr>
        <w:t xml:space="preserve"> h</w:t>
      </w:r>
      <w:r w:rsidRPr="00D00582" w:rsidR="00AA2C2A">
        <w:rPr>
          <w:rFonts w:ascii="Times New Roman" w:hAnsi="Times New Roman" w:cs="Times New Roman"/>
          <w:b/>
          <w:sz w:val="24"/>
          <w:szCs w:val="24"/>
        </w:rPr>
        <w:t>ours</w:t>
      </w:r>
      <w:r w:rsidRPr="00D00582">
        <w:rPr>
          <w:rFonts w:ascii="Times New Roman" w:hAnsi="Times New Roman" w:cs="Times New Roman"/>
          <w:sz w:val="24"/>
          <w:szCs w:val="24"/>
        </w:rPr>
        <w:t xml:space="preserve"> (496 entities x 1 hr) and </w:t>
      </w:r>
      <w:r w:rsidRPr="00D00582">
        <w:rPr>
          <w:rFonts w:ascii="Times New Roman" w:hAnsi="Times New Roman" w:cs="Times New Roman"/>
          <w:b/>
          <w:sz w:val="24"/>
          <w:szCs w:val="24"/>
        </w:rPr>
        <w:t>$</w:t>
      </w:r>
      <w:r w:rsidRPr="00D00582" w:rsidR="001B0665">
        <w:rPr>
          <w:rFonts w:ascii="Times New Roman" w:hAnsi="Times New Roman" w:cs="Times New Roman"/>
          <w:b/>
          <w:sz w:val="24"/>
          <w:szCs w:val="24"/>
        </w:rPr>
        <w:t>44,272</w:t>
      </w:r>
      <w:r w:rsidRPr="00D00582">
        <w:rPr>
          <w:rFonts w:ascii="Times New Roman" w:hAnsi="Times New Roman" w:cs="Times New Roman"/>
          <w:b/>
          <w:sz w:val="24"/>
          <w:szCs w:val="24"/>
        </w:rPr>
        <w:t xml:space="preserve"> </w:t>
      </w:r>
      <w:r w:rsidRPr="00D00582">
        <w:rPr>
          <w:rFonts w:ascii="Times New Roman" w:hAnsi="Times New Roman" w:cs="Times New Roman"/>
          <w:sz w:val="24"/>
          <w:szCs w:val="24"/>
        </w:rPr>
        <w:t>(</w:t>
      </w:r>
      <w:r w:rsidRPr="00D00582" w:rsidR="00AA2C2A">
        <w:rPr>
          <w:rFonts w:ascii="Times New Roman" w:hAnsi="Times New Roman" w:cs="Times New Roman"/>
          <w:sz w:val="24"/>
          <w:szCs w:val="24"/>
        </w:rPr>
        <w:t>496</w:t>
      </w:r>
      <w:r w:rsidRPr="00D00582">
        <w:rPr>
          <w:rFonts w:ascii="Times New Roman" w:hAnsi="Times New Roman" w:cs="Times New Roman"/>
          <w:sz w:val="24"/>
          <w:szCs w:val="24"/>
        </w:rPr>
        <w:t xml:space="preserve"> hr x </w:t>
      </w:r>
      <w:r w:rsidRPr="00D00582" w:rsidR="00DC6A2E">
        <w:rPr>
          <w:rFonts w:ascii="Times New Roman" w:hAnsi="Times New Roman" w:cs="Times New Roman"/>
          <w:sz w:val="24"/>
          <w:szCs w:val="24"/>
        </w:rPr>
        <w:t>$</w:t>
      </w:r>
      <w:r w:rsidRPr="00D00582" w:rsidR="00C03548">
        <w:rPr>
          <w:rFonts w:ascii="Times New Roman" w:hAnsi="Times New Roman" w:cs="Times New Roman"/>
          <w:sz w:val="24"/>
          <w:szCs w:val="24"/>
        </w:rPr>
        <w:t>89.26</w:t>
      </w:r>
      <w:r w:rsidRPr="00D00582">
        <w:rPr>
          <w:rFonts w:ascii="Times New Roman" w:hAnsi="Times New Roman" w:cs="Times New Roman"/>
          <w:sz w:val="24"/>
          <w:szCs w:val="24"/>
        </w:rPr>
        <w:t>/hr).</w:t>
      </w:r>
      <w:r w:rsidRPr="00D00582">
        <w:rPr>
          <w:rFonts w:ascii="Times New Roman" w:hAnsi="Times New Roman" w:cs="Times New Roman"/>
          <w:b/>
          <w:sz w:val="24"/>
          <w:szCs w:val="24"/>
        </w:rPr>
        <w:t xml:space="preserve"> </w:t>
      </w:r>
      <w:r w:rsidRPr="00D00582">
        <w:rPr>
          <w:rFonts w:ascii="Times New Roman" w:hAnsi="Times New Roman" w:cs="Times New Roman"/>
          <w:b/>
          <w:iCs/>
          <w:sz w:val="24"/>
          <w:szCs w:val="24"/>
        </w:rPr>
        <w:t>(</w:t>
      </w:r>
      <w:r w:rsidRPr="00D00582" w:rsidR="005F5165">
        <w:rPr>
          <w:rFonts w:ascii="Times New Roman" w:hAnsi="Times New Roman" w:cs="Times New Roman"/>
          <w:b/>
          <w:iCs/>
          <w:sz w:val="24"/>
          <w:szCs w:val="24"/>
        </w:rPr>
        <w:t>ESTIMATE</w:t>
      </w:r>
      <w:r w:rsidRPr="00D00582">
        <w:rPr>
          <w:rFonts w:ascii="Times New Roman" w:hAnsi="Times New Roman" w:cs="Times New Roman"/>
          <w:b/>
          <w:iCs/>
          <w:sz w:val="24"/>
          <w:szCs w:val="24"/>
        </w:rPr>
        <w:t xml:space="preserve"> 12.13)</w:t>
      </w:r>
    </w:p>
    <w:p w:rsidR="00AF37F8" w:rsidRPr="00AF37F8" w:rsidP="00AF37F8" w14:paraId="197E8614" w14:textId="77777777">
      <w:pPr>
        <w:pStyle w:val="BodyText"/>
      </w:pPr>
    </w:p>
    <w:p w:rsidR="00332B7B" w:rsidRPr="001D72D8" w:rsidP="00432DCE" w14:paraId="1E2E9053" w14:textId="77777777">
      <w:pPr>
        <w:spacing w:after="0" w:line="240" w:lineRule="auto"/>
        <w:rPr>
          <w:rFonts w:ascii="Times New Roman" w:hAnsi="Times New Roman" w:cs="Times New Roman"/>
          <w:sz w:val="24"/>
          <w:szCs w:val="24"/>
          <w:u w:val="single"/>
        </w:rPr>
      </w:pPr>
      <w:r w:rsidRPr="001D72D8">
        <w:rPr>
          <w:rFonts w:ascii="Times New Roman" w:hAnsi="Times New Roman" w:cs="Times New Roman"/>
          <w:sz w:val="24"/>
          <w:szCs w:val="24"/>
          <w:u w:val="single"/>
        </w:rPr>
        <w:t>Section 438.12 Provider discrimination prohibited</w:t>
      </w:r>
    </w:p>
    <w:p w:rsidR="00624B15" w:rsidP="00432DCE" w14:paraId="009A6655" w14:textId="225EEED1">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This section requires that if an MCO, PIHP, or PAHP declines to include individual or groups of providers in its network, it must give the affected providers written notice of the reason for its decision.  </w:t>
      </w:r>
      <w:r w:rsidRPr="001D72D8">
        <w:rPr>
          <w:rFonts w:ascii="Times New Roman" w:hAnsi="Times New Roman" w:cs="Times New Roman"/>
          <w:iCs/>
          <w:sz w:val="24"/>
          <w:szCs w:val="24"/>
        </w:rPr>
        <w:t xml:space="preserve">The burden associated with this requirement is the time it takes the MCO, PIHP, or PAHP to furnish the providers with the requisite notice.  We estimate that it takes 1 min </w:t>
      </w:r>
      <w:r w:rsidRPr="001D72D8" w:rsidR="00A7772F">
        <w:rPr>
          <w:rFonts w:ascii="Times New Roman" w:hAnsi="Times New Roman" w:cs="Times New Roman"/>
          <w:sz w:val="24"/>
          <w:szCs w:val="24"/>
        </w:rPr>
        <w:t xml:space="preserve">(0.0167 hr) </w:t>
      </w:r>
      <w:r w:rsidRPr="001D72D8">
        <w:rPr>
          <w:rFonts w:ascii="Times New Roman" w:hAnsi="Times New Roman" w:cs="Times New Roman"/>
          <w:iCs/>
          <w:sz w:val="24"/>
          <w:szCs w:val="24"/>
        </w:rPr>
        <w:t>to draft and furnish such notice.  We estimate that on average</w:t>
      </w:r>
      <w:r w:rsidRPr="001D72D8" w:rsidR="00881E08">
        <w:rPr>
          <w:rFonts w:ascii="Times New Roman" w:hAnsi="Times New Roman" w:cs="Times New Roman"/>
          <w:iCs/>
          <w:sz w:val="24"/>
          <w:szCs w:val="24"/>
        </w:rPr>
        <w:t>,</w:t>
      </w:r>
      <w:r w:rsidRPr="001D72D8">
        <w:rPr>
          <w:rFonts w:ascii="Times New Roman" w:hAnsi="Times New Roman" w:cs="Times New Roman"/>
          <w:iCs/>
          <w:sz w:val="24"/>
          <w:szCs w:val="24"/>
        </w:rPr>
        <w:t xml:space="preserve"> </w:t>
      </w:r>
      <w:r w:rsidR="00EE2FE1">
        <w:rPr>
          <w:rFonts w:ascii="Times New Roman" w:hAnsi="Times New Roman" w:cs="Times New Roman"/>
          <w:iCs/>
          <w:sz w:val="24"/>
          <w:szCs w:val="24"/>
        </w:rPr>
        <w:t>670</w:t>
      </w:r>
      <w:r w:rsidRPr="001D72D8">
        <w:rPr>
          <w:rFonts w:ascii="Times New Roman" w:hAnsi="Times New Roman" w:cs="Times New Roman"/>
          <w:iCs/>
          <w:sz w:val="24"/>
          <w:szCs w:val="24"/>
        </w:rPr>
        <w:t xml:space="preserve"> MCOs, PIHPs, and PAHPs will need to produce 10 notices per year.</w:t>
      </w:r>
      <w:r w:rsidRPr="001D72D8">
        <w:rPr>
          <w:rFonts w:ascii="Times New Roman" w:hAnsi="Times New Roman" w:cs="Times New Roman"/>
          <w:sz w:val="24"/>
          <w:szCs w:val="24"/>
        </w:rPr>
        <w:t xml:space="preserve"> </w:t>
      </w:r>
      <w:r w:rsidRPr="001D72D8">
        <w:rPr>
          <w:rFonts w:ascii="Times New Roman" w:hAnsi="Times New Roman" w:cs="Times New Roman"/>
          <w:iCs/>
          <w:sz w:val="24"/>
          <w:szCs w:val="24"/>
        </w:rPr>
        <w:t xml:space="preserve">In aggregate, we estimate an annual private sector burden of </w:t>
      </w:r>
      <w:r w:rsidRPr="001D72D8" w:rsidR="00C113DB">
        <w:rPr>
          <w:rFonts w:ascii="Times New Roman" w:hAnsi="Times New Roman" w:cs="Times New Roman"/>
          <w:b/>
          <w:iCs/>
          <w:sz w:val="24"/>
          <w:szCs w:val="24"/>
        </w:rPr>
        <w:t>112</w:t>
      </w:r>
      <w:r w:rsidRPr="001D72D8">
        <w:rPr>
          <w:rFonts w:ascii="Times New Roman" w:hAnsi="Times New Roman" w:cs="Times New Roman"/>
          <w:b/>
          <w:iCs/>
          <w:sz w:val="24"/>
          <w:szCs w:val="24"/>
        </w:rPr>
        <w:t xml:space="preserve"> hr</w:t>
      </w:r>
      <w:r w:rsidRPr="001D72D8">
        <w:rPr>
          <w:rFonts w:ascii="Times New Roman" w:hAnsi="Times New Roman" w:cs="Times New Roman"/>
          <w:iCs/>
          <w:sz w:val="24"/>
          <w:szCs w:val="24"/>
        </w:rPr>
        <w:t xml:space="preserve"> (</w:t>
      </w:r>
      <w:r w:rsidRPr="001D72D8" w:rsidR="00B8676D">
        <w:rPr>
          <w:rFonts w:ascii="Times New Roman" w:hAnsi="Times New Roman" w:cs="Times New Roman"/>
          <w:iCs/>
          <w:sz w:val="24"/>
          <w:szCs w:val="24"/>
        </w:rPr>
        <w:t xml:space="preserve">670 </w:t>
      </w:r>
      <w:r w:rsidRPr="001D72D8">
        <w:rPr>
          <w:rFonts w:ascii="Times New Roman" w:hAnsi="Times New Roman" w:cs="Times New Roman"/>
          <w:iCs/>
          <w:sz w:val="24"/>
          <w:szCs w:val="24"/>
        </w:rPr>
        <w:t xml:space="preserve">entities x 10 notices x </w:t>
      </w:r>
      <w:r w:rsidRPr="001D72D8" w:rsidR="00A7772F">
        <w:rPr>
          <w:rFonts w:ascii="Times New Roman" w:hAnsi="Times New Roman" w:cs="Times New Roman"/>
          <w:sz w:val="24"/>
          <w:szCs w:val="24"/>
        </w:rPr>
        <w:t>0.0167 hr</w:t>
      </w:r>
      <w:r w:rsidRPr="001D72D8">
        <w:rPr>
          <w:rFonts w:ascii="Times New Roman" w:hAnsi="Times New Roman" w:cs="Times New Roman"/>
          <w:iCs/>
          <w:sz w:val="24"/>
          <w:szCs w:val="24"/>
        </w:rPr>
        <w:t xml:space="preserve">) at a cost of </w:t>
      </w:r>
      <w:r w:rsidRPr="001D72D8">
        <w:rPr>
          <w:rFonts w:ascii="Times New Roman" w:hAnsi="Times New Roman" w:cs="Times New Roman"/>
          <w:b/>
          <w:iCs/>
          <w:sz w:val="24"/>
          <w:szCs w:val="24"/>
        </w:rPr>
        <w:t>$</w:t>
      </w:r>
      <w:r w:rsidRPr="00AE4D49" w:rsidR="000327B6">
        <w:rPr>
          <w:rFonts w:ascii="Times New Roman" w:hAnsi="Times New Roman" w:cs="Times New Roman"/>
          <w:b/>
          <w:iCs/>
          <w:sz w:val="24"/>
          <w:szCs w:val="24"/>
        </w:rPr>
        <w:t>4,487</w:t>
      </w:r>
      <w:r w:rsidRPr="001D72D8" w:rsidR="00A7215A">
        <w:rPr>
          <w:rFonts w:ascii="Times New Roman" w:hAnsi="Times New Roman" w:cs="Times New Roman"/>
          <w:b/>
          <w:iCs/>
          <w:sz w:val="24"/>
          <w:szCs w:val="24"/>
        </w:rPr>
        <w:t xml:space="preserve"> </w:t>
      </w:r>
      <w:r w:rsidRPr="001D72D8">
        <w:rPr>
          <w:rFonts w:ascii="Times New Roman" w:hAnsi="Times New Roman" w:cs="Times New Roman"/>
          <w:iCs/>
          <w:sz w:val="24"/>
          <w:szCs w:val="24"/>
        </w:rPr>
        <w:t>(</w:t>
      </w:r>
      <w:r w:rsidR="0069443C">
        <w:rPr>
          <w:rFonts w:ascii="Times New Roman" w:hAnsi="Times New Roman" w:cs="Times New Roman"/>
          <w:iCs/>
          <w:sz w:val="24"/>
          <w:szCs w:val="24"/>
        </w:rPr>
        <w:t>112</w:t>
      </w:r>
      <w:r w:rsidRPr="001D72D8">
        <w:rPr>
          <w:rFonts w:ascii="Times New Roman" w:hAnsi="Times New Roman" w:cs="Times New Roman"/>
          <w:iCs/>
          <w:sz w:val="24"/>
          <w:szCs w:val="24"/>
        </w:rPr>
        <w:t xml:space="preserve"> hr x </w:t>
      </w:r>
      <w:r w:rsidRPr="001D72D8" w:rsidR="002B072F">
        <w:rPr>
          <w:rFonts w:ascii="Times New Roman" w:hAnsi="Times New Roman" w:cs="Times New Roman"/>
          <w:iCs/>
          <w:sz w:val="24"/>
          <w:szCs w:val="24"/>
        </w:rPr>
        <w:t>$</w:t>
      </w:r>
      <w:r w:rsidRPr="001D72D8" w:rsidR="00C03548">
        <w:rPr>
          <w:rFonts w:ascii="Times New Roman" w:hAnsi="Times New Roman" w:cs="Times New Roman"/>
          <w:iCs/>
          <w:sz w:val="24"/>
          <w:szCs w:val="24"/>
        </w:rPr>
        <w:t>40.06</w:t>
      </w:r>
      <w:r w:rsidRPr="001D72D8">
        <w:rPr>
          <w:rFonts w:ascii="Times New Roman" w:hAnsi="Times New Roman" w:cs="Times New Roman"/>
          <w:i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12.15)</w:t>
      </w:r>
    </w:p>
    <w:p w:rsidR="00B41FE8" w:rsidRPr="00B41FE8" w:rsidP="00B41FE8" w14:paraId="6A62D73E" w14:textId="77777777">
      <w:pPr>
        <w:pStyle w:val="BodyText"/>
      </w:pPr>
    </w:p>
    <w:p w:rsidR="00725D07" w:rsidRPr="001D72D8" w:rsidP="00432DCE" w14:paraId="040A6D9D"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 xml:space="preserve">Section 438.14 </w:t>
      </w:r>
      <w:r w:rsidRPr="001D72D8" w:rsidR="00624B15">
        <w:rPr>
          <w:rFonts w:ascii="Times New Roman" w:hAnsi="Times New Roman" w:cs="Times New Roman"/>
          <w:sz w:val="24"/>
          <w:szCs w:val="24"/>
          <w:u w:val="single"/>
        </w:rPr>
        <w:t>Requirements that apply to MCO, PIHP, PAHP, PCCM, and PCCM entity contracts involving Indians, Indian health care providers (IHCPs), and Indian managed care entities (IMCEs)</w:t>
      </w:r>
      <w:r w:rsidRPr="001D72D8" w:rsidR="00624B15">
        <w:rPr>
          <w:rFonts w:ascii="Times New Roman" w:hAnsi="Times New Roman" w:cs="Times New Roman"/>
          <w:sz w:val="24"/>
          <w:szCs w:val="24"/>
        </w:rPr>
        <w:t xml:space="preserve"> </w:t>
      </w:r>
    </w:p>
    <w:p w:rsidR="00624B15" w:rsidP="00432DCE" w14:paraId="1511F005" w14:textId="791A5B3A">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Section 438.14(c) requires states to make supplemental payments to Indian providers if the MCO, PIHP, PAHP, and PCCM entity does not pay at least the amount paid to Indian providers under the FFS program.  There are approximately </w:t>
      </w:r>
      <w:r w:rsidRPr="001D72D8" w:rsidR="009B6230">
        <w:rPr>
          <w:rFonts w:ascii="Times New Roman" w:hAnsi="Times New Roman" w:cs="Times New Roman"/>
          <w:sz w:val="24"/>
          <w:szCs w:val="24"/>
        </w:rPr>
        <w:t xml:space="preserve">25 </w:t>
      </w:r>
      <w:r w:rsidRPr="001D72D8">
        <w:rPr>
          <w:rFonts w:ascii="Times New Roman" w:hAnsi="Times New Roman" w:cs="Times New Roman"/>
          <w:sz w:val="24"/>
          <w:szCs w:val="24"/>
        </w:rPr>
        <w:t xml:space="preserve">states </w:t>
      </w:r>
      <w:r w:rsidRPr="001D72D8" w:rsidR="009B6230">
        <w:rPr>
          <w:rFonts w:ascii="Times New Roman" w:hAnsi="Times New Roman" w:cs="Times New Roman"/>
          <w:sz w:val="24"/>
          <w:szCs w:val="24"/>
        </w:rPr>
        <w:t xml:space="preserve">that pay supplemental payments to </w:t>
      </w:r>
      <w:r w:rsidRPr="001D72D8">
        <w:rPr>
          <w:rFonts w:ascii="Times New Roman" w:hAnsi="Times New Roman" w:cs="Times New Roman"/>
          <w:sz w:val="24"/>
          <w:szCs w:val="24"/>
        </w:rPr>
        <w:t xml:space="preserve"> Indian providers.  This type of payment arrangement typically involves the managed care entity sending a report to the state that then calculates and pays the amount owed to the Indian health care provider. </w:t>
      </w:r>
      <w:r w:rsidRPr="001D72D8" w:rsidR="0024674F">
        <w:rPr>
          <w:rFonts w:ascii="Times New Roman" w:hAnsi="Times New Roman" w:cs="Times New Roman"/>
          <w:sz w:val="24"/>
          <w:szCs w:val="24"/>
        </w:rPr>
        <w:t xml:space="preserve">We </w:t>
      </w:r>
      <w:r w:rsidRPr="001D72D8">
        <w:rPr>
          <w:rFonts w:ascii="Times New Roman" w:hAnsi="Times New Roman" w:cs="Times New Roman"/>
          <w:sz w:val="24"/>
          <w:szCs w:val="24"/>
        </w:rPr>
        <w:t xml:space="preserve">estimate an annual state burden of </w:t>
      </w:r>
      <w:r w:rsidRPr="001D72D8">
        <w:rPr>
          <w:rFonts w:ascii="Times New Roman" w:hAnsi="Times New Roman" w:cs="Times New Roman"/>
          <w:b/>
          <w:sz w:val="24"/>
          <w:szCs w:val="24"/>
        </w:rPr>
        <w:t>300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(25 states x 12 hr) and </w:t>
      </w:r>
      <w:r w:rsidRPr="001D72D8">
        <w:rPr>
          <w:rFonts w:ascii="Times New Roman" w:hAnsi="Times New Roman" w:cs="Times New Roman"/>
          <w:b/>
          <w:sz w:val="24"/>
          <w:szCs w:val="24"/>
        </w:rPr>
        <w:t>$</w:t>
      </w:r>
      <w:r w:rsidRPr="001D72D8" w:rsidR="00D45F18">
        <w:rPr>
          <w:rFonts w:ascii="Times New Roman" w:hAnsi="Times New Roman" w:cs="Times New Roman"/>
          <w:b/>
          <w:sz w:val="24"/>
          <w:szCs w:val="24"/>
        </w:rPr>
        <w:t>26,778</w:t>
      </w:r>
      <w:r w:rsidRPr="001D72D8" w:rsidR="00B450C8">
        <w:rPr>
          <w:rFonts w:ascii="Times New Roman" w:hAnsi="Times New Roman" w:cs="Times New Roman"/>
          <w:sz w:val="24"/>
          <w:szCs w:val="24"/>
        </w:rPr>
        <w:t xml:space="preserve"> </w:t>
      </w:r>
      <w:r w:rsidRPr="001D72D8">
        <w:rPr>
          <w:rFonts w:ascii="Times New Roman" w:hAnsi="Times New Roman" w:cs="Times New Roman"/>
          <w:sz w:val="24"/>
          <w:szCs w:val="24"/>
        </w:rPr>
        <w:t xml:space="preserve">(300 hr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12.16b)</w:t>
      </w:r>
    </w:p>
    <w:p w:rsidR="00B41FE8" w:rsidRPr="00B41FE8" w:rsidP="00B41FE8" w14:paraId="28FE147B" w14:textId="77777777">
      <w:pPr>
        <w:pStyle w:val="BodyText"/>
      </w:pPr>
    </w:p>
    <w:p w:rsidR="00377A6D" w:rsidP="00432DCE" w14:paraId="71385FEB"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B-State Responsibilities</w:t>
      </w:r>
    </w:p>
    <w:p w:rsidR="00B41FE8" w:rsidRPr="001D72D8" w:rsidP="00432DCE" w14:paraId="45793B83" w14:textId="77777777">
      <w:pPr>
        <w:pStyle w:val="BodyText"/>
        <w:spacing w:after="0" w:line="240" w:lineRule="auto"/>
        <w:jc w:val="center"/>
        <w:rPr>
          <w:rFonts w:ascii="Times New Roman" w:hAnsi="Times New Roman" w:cs="Times New Roman"/>
          <w:b/>
          <w:sz w:val="24"/>
          <w:szCs w:val="24"/>
        </w:rPr>
      </w:pPr>
    </w:p>
    <w:p w:rsidR="002D2AC6" w:rsidRPr="001D72D8" w:rsidP="00432DCE" w14:paraId="66438D86" w14:textId="0C43EEB0">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Subpart B specifies requirements for states in the design and operation of their managed care programs. </w:t>
      </w:r>
    </w:p>
    <w:p w:rsidR="00377A6D" w:rsidRPr="001D72D8" w:rsidP="00432DCE" w14:paraId="31670636" w14:textId="77777777">
      <w:pPr>
        <w:spacing w:after="0" w:line="240" w:lineRule="auto"/>
        <w:rPr>
          <w:rFonts w:ascii="Times New Roman" w:hAnsi="Times New Roman" w:cs="Times New Roman"/>
          <w:sz w:val="24"/>
          <w:szCs w:val="24"/>
          <w:u w:val="single"/>
        </w:rPr>
      </w:pPr>
    </w:p>
    <w:p w:rsidR="00332B7B" w:rsidRPr="001D72D8" w:rsidP="00432DCE" w14:paraId="2F5F451E" w14:textId="0396206F">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 xml:space="preserve">Section 438.50 State </w:t>
      </w:r>
      <w:r w:rsidRPr="001D72D8" w:rsidR="00725D07">
        <w:rPr>
          <w:rFonts w:ascii="Times New Roman" w:hAnsi="Times New Roman" w:cs="Times New Roman"/>
          <w:sz w:val="24"/>
          <w:szCs w:val="24"/>
          <w:u w:val="single"/>
        </w:rPr>
        <w:t>P</w:t>
      </w:r>
      <w:r w:rsidRPr="001D72D8">
        <w:rPr>
          <w:rFonts w:ascii="Times New Roman" w:hAnsi="Times New Roman" w:cs="Times New Roman"/>
          <w:sz w:val="24"/>
          <w:szCs w:val="24"/>
          <w:u w:val="single"/>
        </w:rPr>
        <w:t>lan requirements</w:t>
      </w:r>
      <w:r w:rsidRPr="001D72D8">
        <w:rPr>
          <w:rFonts w:ascii="Times New Roman" w:hAnsi="Times New Roman" w:cs="Times New Roman"/>
          <w:sz w:val="24"/>
          <w:szCs w:val="24"/>
        </w:rPr>
        <w:t xml:space="preserve"> </w:t>
      </w:r>
    </w:p>
    <w:p w:rsidR="00624B15" w:rsidP="00432DCE" w14:paraId="4915919D" w14:textId="3C23401C">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 xml:space="preserve">Each State must have a process for the design and initial implementation of the State plan that involves the public and must have methods in place to ensure ongoing public involvement once the State plan has been implemented.  </w:t>
      </w:r>
      <w:r w:rsidRPr="001D72D8">
        <w:rPr>
          <w:rFonts w:ascii="Times New Roman" w:hAnsi="Times New Roman" w:cs="Times New Roman"/>
          <w:iCs/>
          <w:sz w:val="24"/>
          <w:szCs w:val="24"/>
        </w:rPr>
        <w:t xml:space="preserve">The burden associated with this section includes the time associated with developing the process for public involvement.  </w:t>
      </w:r>
    </w:p>
    <w:p w:rsidR="00B41FE8" w:rsidRPr="00B41FE8" w:rsidP="00B41FE8" w14:paraId="5C9C3098" w14:textId="77777777">
      <w:pPr>
        <w:pStyle w:val="BodyText"/>
      </w:pPr>
    </w:p>
    <w:p w:rsidR="00332B7B" w:rsidRPr="001D72D8" w:rsidP="00432DCE" w14:paraId="4F62A18E" w14:textId="77777777">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u w:val="single"/>
        </w:rPr>
        <w:t>Section 438.54 Managed care enrollment</w:t>
      </w:r>
      <w:r w:rsidRPr="001D72D8">
        <w:rPr>
          <w:rFonts w:ascii="Times New Roman" w:hAnsi="Times New Roman" w:cs="Times New Roman"/>
          <w:bCs/>
          <w:sz w:val="24"/>
          <w:szCs w:val="24"/>
        </w:rPr>
        <w:t xml:space="preserve"> </w:t>
      </w:r>
    </w:p>
    <w:p w:rsidR="00624B15" w:rsidP="00432DCE" w14:paraId="5B5913C5" w14:textId="3029D1CE">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rPr>
        <w:t>Section 438.54(c)(3) and (d)(3) requires states to notify the potential enrollee of the implications of not making an active choice during the allotted choice period.  This information should be included in the notice of eligibility determination (or annual redetermination) required under §445.912, thus no additional burden is estimated here.</w:t>
      </w:r>
    </w:p>
    <w:p w:rsidR="00B41FE8" w:rsidRPr="00B41FE8" w:rsidP="00B41FE8" w14:paraId="1828F06A" w14:textId="77777777">
      <w:pPr>
        <w:pStyle w:val="BodyText"/>
      </w:pPr>
    </w:p>
    <w:p w:rsidR="00624B15" w:rsidP="00432DCE" w14:paraId="03584AC1" w14:textId="0B43ABED">
      <w:pPr>
        <w:spacing w:after="0" w:line="240" w:lineRule="auto"/>
        <w:rPr>
          <w:rFonts w:ascii="Times New Roman" w:hAnsi="Times New Roman" w:cs="Times New Roman"/>
          <w:b/>
          <w:iCs/>
          <w:sz w:val="24"/>
          <w:szCs w:val="24"/>
        </w:rPr>
      </w:pPr>
      <w:r w:rsidRPr="001D72D8">
        <w:rPr>
          <w:rFonts w:ascii="Times New Roman" w:hAnsi="Times New Roman" w:cs="Times New Roman"/>
          <w:bCs/>
          <w:sz w:val="24"/>
          <w:szCs w:val="24"/>
        </w:rPr>
        <w:t xml:space="preserve">Section 438.54(c)(8) requires states to send a notice to enrollees in voluntary programs that utilize a passive enrollment process confirming their managed care enrollment when the enrollee’s initial opportunity to select a delivery system has ended.  We assume </w:t>
      </w:r>
      <w:r w:rsidRPr="001D72D8" w:rsidR="00816EB5">
        <w:rPr>
          <w:rFonts w:ascii="Times New Roman" w:hAnsi="Times New Roman" w:cs="Times New Roman"/>
          <w:bCs/>
          <w:sz w:val="24"/>
          <w:szCs w:val="24"/>
        </w:rPr>
        <w:t xml:space="preserve">25 </w:t>
      </w:r>
      <w:r w:rsidRPr="001D72D8">
        <w:rPr>
          <w:rFonts w:ascii="Times New Roman" w:hAnsi="Times New Roman" w:cs="Times New Roman"/>
          <w:bCs/>
          <w:sz w:val="24"/>
          <w:szCs w:val="24"/>
        </w:rPr>
        <w:t>states us</w:t>
      </w:r>
      <w:r w:rsidRPr="001D72D8" w:rsidR="00816EB5">
        <w:rPr>
          <w:rFonts w:ascii="Times New Roman" w:hAnsi="Times New Roman" w:cs="Times New Roman"/>
          <w:bCs/>
          <w:sz w:val="24"/>
          <w:szCs w:val="24"/>
        </w:rPr>
        <w:t>e</w:t>
      </w:r>
      <w:r w:rsidRPr="001D72D8">
        <w:rPr>
          <w:rFonts w:ascii="Times New Roman" w:hAnsi="Times New Roman" w:cs="Times New Roman"/>
          <w:bCs/>
          <w:sz w:val="24"/>
          <w:szCs w:val="24"/>
        </w:rPr>
        <w:t xml:space="preserve"> a passive enrollment process, with a total of </w:t>
      </w:r>
      <w:r w:rsidRPr="001D72D8" w:rsidR="00816EB5">
        <w:rPr>
          <w:rFonts w:ascii="Times New Roman" w:hAnsi="Times New Roman" w:cs="Times New Roman"/>
          <w:bCs/>
          <w:sz w:val="24"/>
          <w:szCs w:val="24"/>
        </w:rPr>
        <w:t>38,000,000</w:t>
      </w:r>
      <w:r w:rsidRPr="001D72D8">
        <w:rPr>
          <w:rFonts w:ascii="Times New Roman" w:hAnsi="Times New Roman" w:cs="Times New Roman"/>
          <w:bCs/>
          <w:sz w:val="24"/>
          <w:szCs w:val="24"/>
        </w:rPr>
        <w:t xml:space="preserve"> enrollees.  Assuming that 5 percent of these will be new each year, and of those, approximately 75 percent will not </w:t>
      </w:r>
      <w:r w:rsidRPr="001D72D8">
        <w:rPr>
          <w:rFonts w:ascii="Times New Roman" w:hAnsi="Times New Roman" w:cs="Times New Roman"/>
          <w:bCs/>
          <w:sz w:val="24"/>
          <w:szCs w:val="24"/>
        </w:rPr>
        <w:t>take action</w:t>
      </w:r>
      <w:r w:rsidRPr="001D72D8">
        <w:rPr>
          <w:rFonts w:ascii="Times New Roman" w:hAnsi="Times New Roman" w:cs="Times New Roman"/>
          <w:bCs/>
          <w:sz w:val="24"/>
          <w:szCs w:val="24"/>
        </w:rPr>
        <w:t xml:space="preserve"> within the allotted time and will remain enrolled in the managed care plan passively assigned by the state (</w:t>
      </w:r>
      <w:r w:rsidRPr="001D72D8" w:rsidR="00816EB5">
        <w:rPr>
          <w:rFonts w:ascii="Times New Roman" w:hAnsi="Times New Roman" w:cs="Times New Roman"/>
          <w:bCs/>
          <w:sz w:val="24"/>
          <w:szCs w:val="24"/>
        </w:rPr>
        <w:t>1,425,000</w:t>
      </w:r>
      <w:r w:rsidRPr="001D72D8">
        <w:rPr>
          <w:rFonts w:ascii="Times New Roman" w:hAnsi="Times New Roman" w:cs="Times New Roman"/>
          <w:bCs/>
          <w:sz w:val="24"/>
          <w:szCs w:val="24"/>
        </w:rPr>
        <w:t xml:space="preserve">) we estimate 1 min </w:t>
      </w:r>
      <w:r w:rsidRPr="001D72D8" w:rsidR="00A7772F">
        <w:rPr>
          <w:rFonts w:ascii="Times New Roman" w:hAnsi="Times New Roman" w:cs="Times New Roman"/>
          <w:sz w:val="24"/>
          <w:szCs w:val="24"/>
        </w:rPr>
        <w:t xml:space="preserve">(0.0167 hr) </w:t>
      </w:r>
      <w:r w:rsidRPr="001D72D8">
        <w:rPr>
          <w:rFonts w:ascii="Times New Roman" w:hAnsi="Times New Roman" w:cs="Times New Roman"/>
          <w:bCs/>
          <w:sz w:val="24"/>
          <w:szCs w:val="24"/>
        </w:rPr>
        <w:t xml:space="preserve">per notification by a mail clerk at </w:t>
      </w:r>
      <w:r w:rsidRPr="001D72D8" w:rsidR="002B072F">
        <w:rPr>
          <w:rFonts w:ascii="Times New Roman" w:hAnsi="Times New Roman" w:cs="Times New Roman"/>
          <w:bCs/>
          <w:sz w:val="24"/>
          <w:szCs w:val="24"/>
        </w:rPr>
        <w:t>$</w:t>
      </w:r>
      <w:r w:rsidRPr="001D72D8" w:rsidR="00C03548">
        <w:rPr>
          <w:rFonts w:ascii="Times New Roman" w:hAnsi="Times New Roman" w:cs="Times New Roman"/>
          <w:bCs/>
          <w:sz w:val="24"/>
          <w:szCs w:val="24"/>
        </w:rPr>
        <w:t>40.06</w:t>
      </w:r>
      <w:r w:rsidRPr="001D72D8">
        <w:rPr>
          <w:rFonts w:ascii="Times New Roman" w:hAnsi="Times New Roman" w:cs="Times New Roman"/>
          <w:bCs/>
          <w:sz w:val="24"/>
          <w:szCs w:val="24"/>
        </w:rPr>
        <w:t xml:space="preserve">/hr.  In aggregate, we estimate an annual state burden of </w:t>
      </w:r>
      <w:r w:rsidRPr="001D72D8" w:rsidR="000101ED">
        <w:rPr>
          <w:rFonts w:ascii="Times New Roman" w:hAnsi="Times New Roman" w:cs="Times New Roman"/>
          <w:b/>
          <w:bCs/>
          <w:sz w:val="24"/>
          <w:szCs w:val="24"/>
        </w:rPr>
        <w:t>23,798</w:t>
      </w:r>
      <w:r w:rsidRPr="001D72D8" w:rsidR="00B450C8">
        <w:rPr>
          <w:rFonts w:ascii="Times New Roman" w:hAnsi="Times New Roman" w:cs="Times New Roman"/>
          <w:b/>
          <w:bCs/>
          <w:sz w:val="24"/>
          <w:szCs w:val="24"/>
        </w:rPr>
        <w:t xml:space="preserve"> </w:t>
      </w:r>
      <w:r w:rsidRPr="001D72D8">
        <w:rPr>
          <w:rFonts w:ascii="Times New Roman" w:hAnsi="Times New Roman" w:cs="Times New Roman"/>
          <w:b/>
          <w:bCs/>
          <w:sz w:val="24"/>
          <w:szCs w:val="24"/>
        </w:rPr>
        <w:t>hours</w:t>
      </w:r>
      <w:r w:rsidRPr="001D72D8">
        <w:rPr>
          <w:rFonts w:ascii="Times New Roman" w:hAnsi="Times New Roman" w:cs="Times New Roman"/>
          <w:bCs/>
          <w:sz w:val="24"/>
          <w:szCs w:val="24"/>
        </w:rPr>
        <w:t xml:space="preserve"> (</w:t>
      </w:r>
      <w:r w:rsidRPr="001D72D8" w:rsidR="00816EB5">
        <w:rPr>
          <w:rFonts w:ascii="Times New Roman" w:hAnsi="Times New Roman" w:cs="Times New Roman"/>
          <w:bCs/>
          <w:sz w:val="24"/>
          <w:szCs w:val="24"/>
        </w:rPr>
        <w:t>1,425,000</w:t>
      </w:r>
      <w:r w:rsidRPr="001D72D8">
        <w:rPr>
          <w:rFonts w:ascii="Times New Roman" w:hAnsi="Times New Roman" w:cs="Times New Roman"/>
          <w:bCs/>
          <w:sz w:val="24"/>
          <w:szCs w:val="24"/>
        </w:rPr>
        <w:t xml:space="preserve"> enrollees x </w:t>
      </w:r>
      <w:r w:rsidRPr="001D72D8" w:rsidR="00A7772F">
        <w:rPr>
          <w:rFonts w:ascii="Times New Roman" w:hAnsi="Times New Roman" w:cs="Times New Roman"/>
          <w:sz w:val="24"/>
          <w:szCs w:val="24"/>
        </w:rPr>
        <w:t>0.0167 hr</w:t>
      </w:r>
      <w:r w:rsidRPr="001D72D8">
        <w:rPr>
          <w:rFonts w:ascii="Times New Roman" w:hAnsi="Times New Roman" w:cs="Times New Roman"/>
          <w:bCs/>
          <w:sz w:val="24"/>
          <w:szCs w:val="24"/>
        </w:rPr>
        <w:t xml:space="preserve">) and </w:t>
      </w:r>
      <w:r w:rsidRPr="001D72D8">
        <w:rPr>
          <w:rFonts w:ascii="Times New Roman" w:hAnsi="Times New Roman" w:cs="Times New Roman"/>
          <w:b/>
          <w:bCs/>
          <w:sz w:val="24"/>
          <w:szCs w:val="24"/>
        </w:rPr>
        <w:t>$</w:t>
      </w:r>
      <w:r w:rsidR="00E47DE9">
        <w:rPr>
          <w:rFonts w:ascii="Times New Roman" w:hAnsi="Times New Roman" w:cs="Times New Roman"/>
          <w:b/>
          <w:bCs/>
          <w:sz w:val="24"/>
          <w:szCs w:val="24"/>
        </w:rPr>
        <w:t>953,348</w:t>
      </w:r>
      <w:r w:rsidRPr="001D72D8">
        <w:rPr>
          <w:rFonts w:ascii="Times New Roman" w:hAnsi="Times New Roman" w:cs="Times New Roman"/>
          <w:bCs/>
          <w:sz w:val="24"/>
          <w:szCs w:val="24"/>
        </w:rPr>
        <w:t xml:space="preserve"> (</w:t>
      </w:r>
      <w:r w:rsidRPr="004F4438" w:rsidR="004F4438">
        <w:rPr>
          <w:rFonts w:ascii="Times New Roman" w:hAnsi="Times New Roman" w:cs="Times New Roman"/>
          <w:bCs/>
          <w:sz w:val="24"/>
          <w:szCs w:val="24"/>
        </w:rPr>
        <w:t>23,798</w:t>
      </w:r>
      <w:r w:rsidRPr="001D72D8">
        <w:rPr>
          <w:rFonts w:ascii="Times New Roman" w:hAnsi="Times New Roman" w:cs="Times New Roman"/>
          <w:bCs/>
          <w:sz w:val="24"/>
          <w:szCs w:val="24"/>
        </w:rPr>
        <w:t xml:space="preserve"> hr x </w:t>
      </w:r>
      <w:r w:rsidRPr="001D72D8" w:rsidR="002B072F">
        <w:rPr>
          <w:rFonts w:ascii="Times New Roman" w:hAnsi="Times New Roman" w:cs="Times New Roman"/>
          <w:bCs/>
          <w:sz w:val="24"/>
          <w:szCs w:val="24"/>
        </w:rPr>
        <w:t>$</w:t>
      </w:r>
      <w:r w:rsidRPr="001D72D8" w:rsidR="00C03548">
        <w:rPr>
          <w:rFonts w:ascii="Times New Roman" w:hAnsi="Times New Roman" w:cs="Times New Roman"/>
          <w:bCs/>
          <w:sz w:val="24"/>
          <w:szCs w:val="24"/>
        </w:rPr>
        <w:t>40.06</w:t>
      </w:r>
      <w:r w:rsidRPr="001D72D8">
        <w:rPr>
          <w:rFonts w:ascii="Times New Roman" w:hAnsi="Times New Roman" w:cs="Times New Roman"/>
          <w:b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12.18)</w:t>
      </w:r>
    </w:p>
    <w:p w:rsidR="00B41FE8" w:rsidRPr="00B41FE8" w:rsidP="00B41FE8" w14:paraId="777C7E62" w14:textId="77777777">
      <w:pPr>
        <w:pStyle w:val="BodyText"/>
      </w:pPr>
    </w:p>
    <w:p w:rsidR="00332B7B" w:rsidRPr="001D72D8" w:rsidP="00432DCE" w14:paraId="3DA116C3" w14:textId="77777777">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u w:val="single"/>
        </w:rPr>
        <w:t>Section 438.56 Disenrollment: requirements and limitations</w:t>
      </w:r>
      <w:r w:rsidRPr="001D72D8">
        <w:rPr>
          <w:rFonts w:ascii="Times New Roman" w:hAnsi="Times New Roman" w:cs="Times New Roman"/>
          <w:bCs/>
          <w:sz w:val="24"/>
          <w:szCs w:val="24"/>
        </w:rPr>
        <w:t xml:space="preserve"> </w:t>
      </w:r>
    </w:p>
    <w:p w:rsidR="0085343E" w:rsidP="00432DCE" w14:paraId="5DF1BBDE" w14:textId="348C8538">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rPr>
        <w:t>Under</w:t>
      </w:r>
      <w:r w:rsidRPr="001D72D8">
        <w:rPr>
          <w:rFonts w:ascii="Times New Roman" w:hAnsi="Times New Roman" w:cs="Times New Roman"/>
          <w:sz w:val="24"/>
          <w:szCs w:val="24"/>
        </w:rPr>
        <w:t xml:space="preserve"> paragraph (f), a State that restricts disenrollment under this section must provide that enrollees and their representatives are given written notice of disenrollment rights at least 60 days before the start of each enrollment period.  </w:t>
      </w:r>
      <w:r w:rsidRPr="001D72D8">
        <w:rPr>
          <w:rFonts w:ascii="Times New Roman" w:hAnsi="Times New Roman" w:cs="Times New Roman"/>
          <w:bCs/>
          <w:sz w:val="24"/>
          <w:szCs w:val="24"/>
        </w:rPr>
        <w:t>This information should be included in the notice of annual redetermination required under § 445.912, thus no additional burden is estimated here.</w:t>
      </w:r>
    </w:p>
    <w:p w:rsidR="00B41FE8" w:rsidRPr="00B41FE8" w:rsidP="00B41FE8" w14:paraId="4B6F37CA" w14:textId="77777777">
      <w:pPr>
        <w:pStyle w:val="BodyText"/>
      </w:pPr>
    </w:p>
    <w:p w:rsidR="00A7772F" w:rsidRPr="001D72D8" w:rsidP="00432DCE" w14:paraId="5C31ACC9" w14:textId="77777777">
      <w:pPr>
        <w:spacing w:after="0" w:line="240" w:lineRule="auto"/>
        <w:rPr>
          <w:rFonts w:ascii="Times New Roman" w:hAnsi="Times New Roman" w:cs="Times New Roman"/>
          <w:u w:val="single"/>
        </w:rPr>
      </w:pPr>
      <w:r w:rsidRPr="001D72D8">
        <w:rPr>
          <w:rFonts w:ascii="Times New Roman" w:hAnsi="Times New Roman" w:cs="Times New Roman"/>
          <w:u w:val="single"/>
        </w:rPr>
        <w:t>Section 438.62 Continued Services to Enrollees</w:t>
      </w:r>
    </w:p>
    <w:p w:rsidR="00624B15" w:rsidP="00432DCE" w14:paraId="212D4CE1" w14:textId="2E38E08D">
      <w:pPr>
        <w:spacing w:after="0" w:line="240" w:lineRule="auto"/>
        <w:rPr>
          <w:rFonts w:ascii="Times New Roman" w:hAnsi="Times New Roman" w:cs="Times New Roman"/>
          <w:b/>
          <w:iCs/>
          <w:sz w:val="24"/>
          <w:szCs w:val="24"/>
        </w:rPr>
      </w:pPr>
      <w:r w:rsidRPr="001D72D8">
        <w:rPr>
          <w:rFonts w:ascii="Times New Roman" w:hAnsi="Times New Roman" w:cs="Times New Roman"/>
          <w:iCs/>
          <w:sz w:val="24"/>
          <w:szCs w:val="24"/>
        </w:rPr>
        <w:t xml:space="preserve">For </w:t>
      </w:r>
      <w:r w:rsidRPr="001D72D8" w:rsidR="00C81174">
        <w:rPr>
          <w:rFonts w:ascii="Times New Roman" w:hAnsi="Times New Roman" w:cs="Times New Roman"/>
          <w:iCs/>
          <w:sz w:val="24"/>
          <w:szCs w:val="24"/>
        </w:rPr>
        <w:t xml:space="preserve">MCOs, PIHPs, and PAHPs to implement </w:t>
      </w:r>
      <w:r w:rsidRPr="001D72D8">
        <w:rPr>
          <w:rFonts w:ascii="Times New Roman" w:hAnsi="Times New Roman" w:cs="Times New Roman"/>
          <w:iCs/>
          <w:sz w:val="24"/>
          <w:szCs w:val="24"/>
        </w:rPr>
        <w:t>transitions</w:t>
      </w:r>
      <w:r w:rsidRPr="001D72D8" w:rsidR="0085343E">
        <w:rPr>
          <w:rFonts w:ascii="Times New Roman" w:hAnsi="Times New Roman" w:cs="Times New Roman"/>
          <w:iCs/>
          <w:sz w:val="24"/>
          <w:szCs w:val="24"/>
        </w:rPr>
        <w:t xml:space="preserve"> of care</w:t>
      </w:r>
      <w:r w:rsidRPr="001D72D8">
        <w:rPr>
          <w:rFonts w:ascii="Times New Roman" w:hAnsi="Times New Roman" w:cs="Times New Roman"/>
          <w:iCs/>
          <w:sz w:val="24"/>
          <w:szCs w:val="24"/>
        </w:rPr>
        <w:t xml:space="preserve">, we estimate 10 min per request </w:t>
      </w:r>
      <w:r w:rsidRPr="001D72D8" w:rsidR="00A7772F">
        <w:rPr>
          <w:rFonts w:ascii="Times New Roman" w:hAnsi="Times New Roman" w:cs="Times New Roman"/>
          <w:sz w:val="24"/>
          <w:szCs w:val="24"/>
        </w:rPr>
        <w:t xml:space="preserve">(0.1667 hr) </w:t>
      </w:r>
      <w:r w:rsidRPr="001D72D8">
        <w:rPr>
          <w:rFonts w:ascii="Times New Roman" w:hAnsi="Times New Roman" w:cs="Times New Roman"/>
          <w:iCs/>
          <w:sz w:val="24"/>
          <w:szCs w:val="24"/>
        </w:rPr>
        <w:t xml:space="preserve">at </w:t>
      </w:r>
      <w:r w:rsidRPr="001D72D8" w:rsidR="002B072F">
        <w:rPr>
          <w:rFonts w:ascii="Times New Roman" w:hAnsi="Times New Roman" w:cs="Times New Roman"/>
          <w:iCs/>
          <w:sz w:val="24"/>
          <w:szCs w:val="24"/>
        </w:rPr>
        <w:t>$</w:t>
      </w:r>
      <w:r w:rsidRPr="001D72D8" w:rsidR="00C03548">
        <w:rPr>
          <w:rFonts w:ascii="Times New Roman" w:hAnsi="Times New Roman" w:cs="Times New Roman"/>
          <w:iCs/>
          <w:sz w:val="24"/>
          <w:szCs w:val="24"/>
        </w:rPr>
        <w:t>97.72</w:t>
      </w:r>
      <w:r w:rsidRPr="001D72D8">
        <w:rPr>
          <w:rFonts w:ascii="Times New Roman" w:hAnsi="Times New Roman" w:cs="Times New Roman"/>
          <w:iCs/>
          <w:sz w:val="24"/>
          <w:szCs w:val="24"/>
        </w:rPr>
        <w:t xml:space="preserve">/hr for a registered nurse to access the stored </w:t>
      </w:r>
      <w:r w:rsidRPr="001D72D8" w:rsidR="0085343E">
        <w:rPr>
          <w:rFonts w:ascii="Times New Roman" w:hAnsi="Times New Roman" w:cs="Times New Roman"/>
          <w:iCs/>
          <w:sz w:val="24"/>
          <w:szCs w:val="24"/>
        </w:rPr>
        <w:t xml:space="preserve">utilization and/or claims </w:t>
      </w:r>
      <w:r w:rsidRPr="001D72D8">
        <w:rPr>
          <w:rFonts w:ascii="Times New Roman" w:hAnsi="Times New Roman" w:cs="Times New Roman"/>
          <w:iCs/>
          <w:sz w:val="24"/>
          <w:szCs w:val="24"/>
        </w:rPr>
        <w:t>data and take appropriate action.  We also estimate that approximately 0.5 percent of enrollees (</w:t>
      </w:r>
      <w:r w:rsidRPr="001D72D8" w:rsidR="00881983">
        <w:rPr>
          <w:rFonts w:ascii="Times New Roman" w:hAnsi="Times New Roman" w:cs="Times New Roman"/>
          <w:iCs/>
          <w:sz w:val="24"/>
          <w:szCs w:val="24"/>
        </w:rPr>
        <w:t>3</w:t>
      </w:r>
      <w:r w:rsidRPr="001D72D8" w:rsidR="00C274F0">
        <w:rPr>
          <w:rFonts w:ascii="Times New Roman" w:hAnsi="Times New Roman" w:cs="Times New Roman"/>
          <w:iCs/>
          <w:sz w:val="24"/>
          <w:szCs w:val="24"/>
        </w:rPr>
        <w:t>64,885</w:t>
      </w:r>
      <w:r w:rsidRPr="001D72D8" w:rsidR="00187BD6">
        <w:rPr>
          <w:rFonts w:ascii="Times New Roman" w:hAnsi="Times New Roman" w:cs="Times New Roman"/>
          <w:iCs/>
          <w:sz w:val="24"/>
          <w:szCs w:val="24"/>
        </w:rPr>
        <w:t xml:space="preserve"> = </w:t>
      </w:r>
      <w:r w:rsidRPr="001D72D8" w:rsidR="00C274F0">
        <w:rPr>
          <w:rFonts w:ascii="Times New Roman" w:hAnsi="Times New Roman" w:cs="Times New Roman"/>
          <w:iCs/>
          <w:sz w:val="24"/>
          <w:szCs w:val="24"/>
        </w:rPr>
        <w:t>72,977,045</w:t>
      </w:r>
      <w:r w:rsidRPr="001D72D8" w:rsidR="00187BD6">
        <w:rPr>
          <w:rFonts w:ascii="Times New Roman" w:hAnsi="Times New Roman" w:cs="Times New Roman"/>
          <w:iCs/>
          <w:sz w:val="24"/>
          <w:szCs w:val="24"/>
        </w:rPr>
        <w:t xml:space="preserve"> enrollees x 0.005</w:t>
      </w:r>
      <w:r w:rsidRPr="001D72D8">
        <w:rPr>
          <w:rFonts w:ascii="Times New Roman" w:hAnsi="Times New Roman" w:cs="Times New Roman"/>
          <w:iCs/>
          <w:sz w:val="24"/>
          <w:szCs w:val="24"/>
        </w:rPr>
        <w:t xml:space="preserve">) may meet the state defined criteria for serious detriment to health and/or risk of hospitalization or institutionalization.  In aggregate, we estimate an annual private sector burden of </w:t>
      </w:r>
      <w:r w:rsidRPr="001D72D8" w:rsidR="00A05508">
        <w:rPr>
          <w:rFonts w:ascii="Times New Roman" w:hAnsi="Times New Roman" w:cs="Times New Roman"/>
          <w:b/>
          <w:iCs/>
          <w:sz w:val="24"/>
          <w:szCs w:val="24"/>
        </w:rPr>
        <w:t>60,826</w:t>
      </w:r>
      <w:r w:rsidRPr="001D72D8">
        <w:rPr>
          <w:rFonts w:ascii="Times New Roman" w:hAnsi="Times New Roman" w:cs="Times New Roman"/>
          <w:b/>
          <w:iCs/>
          <w:sz w:val="24"/>
          <w:szCs w:val="24"/>
        </w:rPr>
        <w:t xml:space="preserve"> h</w:t>
      </w:r>
      <w:r w:rsidR="00AA2C2A">
        <w:rPr>
          <w:rFonts w:ascii="Times New Roman" w:hAnsi="Times New Roman" w:cs="Times New Roman"/>
          <w:b/>
          <w:iCs/>
          <w:sz w:val="24"/>
          <w:szCs w:val="24"/>
        </w:rPr>
        <w:t>ours</w:t>
      </w:r>
      <w:r w:rsidRPr="001D72D8">
        <w:rPr>
          <w:rFonts w:ascii="Times New Roman" w:hAnsi="Times New Roman" w:cs="Times New Roman"/>
          <w:iCs/>
          <w:sz w:val="24"/>
          <w:szCs w:val="24"/>
        </w:rPr>
        <w:t xml:space="preserve"> (</w:t>
      </w:r>
      <w:r w:rsidRPr="001D72D8" w:rsidR="00322AC7">
        <w:rPr>
          <w:rFonts w:ascii="Times New Roman" w:hAnsi="Times New Roman" w:cs="Times New Roman"/>
          <w:iCs/>
          <w:sz w:val="24"/>
          <w:szCs w:val="24"/>
        </w:rPr>
        <w:t>3</w:t>
      </w:r>
      <w:r w:rsidRPr="001D72D8" w:rsidR="00C274F0">
        <w:rPr>
          <w:rFonts w:ascii="Times New Roman" w:hAnsi="Times New Roman" w:cs="Times New Roman"/>
          <w:iCs/>
          <w:sz w:val="24"/>
          <w:szCs w:val="24"/>
        </w:rPr>
        <w:t>64,885</w:t>
      </w:r>
      <w:r w:rsidRPr="001D72D8">
        <w:rPr>
          <w:rFonts w:ascii="Times New Roman" w:hAnsi="Times New Roman" w:cs="Times New Roman"/>
          <w:iCs/>
          <w:sz w:val="24"/>
          <w:szCs w:val="24"/>
        </w:rPr>
        <w:t xml:space="preserve"> enrollees x </w:t>
      </w:r>
      <w:r w:rsidRPr="001D72D8" w:rsidR="00A7772F">
        <w:rPr>
          <w:rFonts w:ascii="Times New Roman" w:hAnsi="Times New Roman" w:cs="Times New Roman"/>
          <w:sz w:val="24"/>
          <w:szCs w:val="24"/>
        </w:rPr>
        <w:t>0.1667 hr</w:t>
      </w:r>
      <w:r w:rsidRPr="001D72D8">
        <w:rPr>
          <w:rFonts w:ascii="Times New Roman" w:hAnsi="Times New Roman" w:cs="Times New Roman"/>
          <w:iCs/>
          <w:sz w:val="24"/>
          <w:szCs w:val="24"/>
        </w:rPr>
        <w:t xml:space="preserve">) and </w:t>
      </w:r>
      <w:r w:rsidRPr="001D72D8">
        <w:rPr>
          <w:rFonts w:ascii="Times New Roman" w:hAnsi="Times New Roman" w:cs="Times New Roman"/>
          <w:b/>
          <w:iCs/>
          <w:sz w:val="24"/>
          <w:szCs w:val="24"/>
        </w:rPr>
        <w:t>$</w:t>
      </w:r>
      <w:r w:rsidR="00CE0CAF">
        <w:rPr>
          <w:rFonts w:ascii="Times New Roman" w:hAnsi="Times New Roman" w:cs="Times New Roman"/>
          <w:b/>
          <w:iCs/>
          <w:sz w:val="24"/>
          <w:szCs w:val="24"/>
        </w:rPr>
        <w:t>5,943,917</w:t>
      </w:r>
      <w:r w:rsidRPr="001D72D8">
        <w:rPr>
          <w:rFonts w:ascii="Times New Roman" w:hAnsi="Times New Roman" w:cs="Times New Roman"/>
          <w:iCs/>
          <w:sz w:val="24"/>
          <w:szCs w:val="24"/>
        </w:rPr>
        <w:t xml:space="preserve"> (</w:t>
      </w:r>
      <w:r w:rsidRPr="004F4438" w:rsidR="004F4438">
        <w:rPr>
          <w:rFonts w:ascii="Times New Roman" w:hAnsi="Times New Roman" w:cs="Times New Roman"/>
          <w:iCs/>
          <w:sz w:val="24"/>
          <w:szCs w:val="24"/>
        </w:rPr>
        <w:t>60,826</w:t>
      </w:r>
      <w:r w:rsidRPr="001D72D8">
        <w:rPr>
          <w:rFonts w:ascii="Times New Roman" w:hAnsi="Times New Roman" w:cs="Times New Roman"/>
          <w:iCs/>
          <w:sz w:val="24"/>
          <w:szCs w:val="24"/>
        </w:rPr>
        <w:t xml:space="preserve"> hr x </w:t>
      </w:r>
      <w:r w:rsidRPr="001D72D8" w:rsidR="002B072F">
        <w:rPr>
          <w:rFonts w:ascii="Times New Roman" w:hAnsi="Times New Roman" w:cs="Times New Roman"/>
          <w:iCs/>
          <w:sz w:val="24"/>
          <w:szCs w:val="24"/>
        </w:rPr>
        <w:t>$</w:t>
      </w:r>
      <w:r w:rsidRPr="001D72D8" w:rsidR="00C03548">
        <w:rPr>
          <w:rFonts w:ascii="Times New Roman" w:hAnsi="Times New Roman" w:cs="Times New Roman"/>
          <w:iCs/>
          <w:sz w:val="24"/>
          <w:szCs w:val="24"/>
        </w:rPr>
        <w:t>97.72</w:t>
      </w:r>
      <w:r w:rsidRPr="001D72D8">
        <w:rPr>
          <w:rFonts w:ascii="Times New Roman" w:hAnsi="Times New Roman" w:cs="Times New Roman"/>
          <w:i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12.21)</w:t>
      </w:r>
    </w:p>
    <w:p w:rsidR="00B41FE8" w:rsidRPr="00B41FE8" w:rsidP="00B41FE8" w14:paraId="4129B8A7" w14:textId="77777777">
      <w:pPr>
        <w:pStyle w:val="BodyText"/>
      </w:pPr>
    </w:p>
    <w:p w:rsidR="00332B7B" w:rsidRPr="001D72D8" w:rsidP="00432DCE" w14:paraId="6160D731" w14:textId="367800A3">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u w:val="single"/>
        </w:rPr>
        <w:t>Section 438.66 State monitoring requirements</w:t>
      </w:r>
    </w:p>
    <w:p w:rsidR="00624B15" w:rsidP="00432DCE" w14:paraId="421610D9" w14:textId="5138E719">
      <w:pPr>
        <w:spacing w:after="0" w:line="240" w:lineRule="auto"/>
        <w:rPr>
          <w:rFonts w:ascii="Times New Roman" w:hAnsi="Times New Roman" w:cs="Times New Roman"/>
          <w:b/>
          <w:iCs/>
          <w:sz w:val="24"/>
          <w:szCs w:val="24"/>
        </w:rPr>
      </w:pPr>
      <w:r w:rsidRPr="001D72D8">
        <w:rPr>
          <w:rFonts w:ascii="Times New Roman" w:hAnsi="Times New Roman" w:cs="Times New Roman"/>
          <w:iCs/>
          <w:sz w:val="24"/>
          <w:szCs w:val="24"/>
        </w:rPr>
        <w:t xml:space="preserve">Section 438.66(d)(1) through (3) requires that states include a desk review of documents and an on-site review for all readiness reviews when certain events occur.  For preparation and execution of the readiness review, we estimate 5 hr (at </w:t>
      </w:r>
      <w:r w:rsidRPr="001D72D8" w:rsidR="002B072F">
        <w:rPr>
          <w:rFonts w:ascii="Times New Roman" w:hAnsi="Times New Roman" w:cs="Times New Roman"/>
          <w:iCs/>
          <w:sz w:val="24"/>
          <w:szCs w:val="24"/>
        </w:rPr>
        <w:t>$128</w:t>
      </w:r>
      <w:r w:rsidRPr="001D72D8">
        <w:rPr>
          <w:rFonts w:ascii="Times New Roman" w:hAnsi="Times New Roman" w:cs="Times New Roman"/>
          <w:iCs/>
          <w:sz w:val="24"/>
          <w:szCs w:val="24"/>
        </w:rPr>
        <w:t xml:space="preserve">/hr) for a general and operations manager, 30 hr (at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for a business operations specialist, and 5 hr (at </w:t>
      </w:r>
      <w:r w:rsidRPr="001D72D8" w:rsidR="002B072F">
        <w:rPr>
          <w:rFonts w:ascii="Times New Roman" w:hAnsi="Times New Roman" w:cs="Times New Roman"/>
          <w:iCs/>
          <w:sz w:val="24"/>
          <w:szCs w:val="24"/>
        </w:rPr>
        <w:t>$</w:t>
      </w:r>
      <w:r w:rsidRPr="001D72D8" w:rsidR="00C03548">
        <w:rPr>
          <w:rFonts w:ascii="Times New Roman" w:hAnsi="Times New Roman" w:cs="Times New Roman"/>
          <w:iCs/>
          <w:sz w:val="24"/>
          <w:szCs w:val="24"/>
        </w:rPr>
        <w:t>134.48</w:t>
      </w:r>
      <w:r w:rsidRPr="001D72D8">
        <w:rPr>
          <w:rFonts w:ascii="Times New Roman" w:hAnsi="Times New Roman" w:cs="Times New Roman"/>
          <w:iCs/>
          <w:sz w:val="24"/>
          <w:szCs w:val="24"/>
        </w:rPr>
        <w:t xml:space="preserve">/hr) for a computer programmer.  The time and staff types are estimated for a new program or new entity review and may vary downward when the review is triggered by one of the other events listed in paragraph (d)(1).  Given the varying likelihood of the 3 events listed in paragraph (d)(1), we will use an average estimate of 20 states per year having one of the triggering events.  In aggregate, we estimate an annual state burden of </w:t>
      </w:r>
      <w:r w:rsidRPr="001D72D8">
        <w:rPr>
          <w:rFonts w:ascii="Times New Roman" w:hAnsi="Times New Roman" w:cs="Times New Roman"/>
          <w:b/>
          <w:iCs/>
          <w:sz w:val="24"/>
          <w:szCs w:val="24"/>
        </w:rPr>
        <w:t>800 h</w:t>
      </w:r>
      <w:r w:rsidR="00AA2C2A">
        <w:rPr>
          <w:rFonts w:ascii="Times New Roman" w:hAnsi="Times New Roman" w:cs="Times New Roman"/>
          <w:b/>
          <w:iCs/>
          <w:sz w:val="24"/>
          <w:szCs w:val="24"/>
        </w:rPr>
        <w:t>ours</w:t>
      </w:r>
      <w:r w:rsidRPr="001D72D8">
        <w:rPr>
          <w:rFonts w:ascii="Times New Roman" w:hAnsi="Times New Roman" w:cs="Times New Roman"/>
          <w:iCs/>
          <w:sz w:val="24"/>
          <w:szCs w:val="24"/>
        </w:rPr>
        <w:t xml:space="preserve"> (20 states x 40 hr) and </w:t>
      </w:r>
      <w:r w:rsidRPr="001D72D8">
        <w:rPr>
          <w:rFonts w:ascii="Times New Roman" w:hAnsi="Times New Roman" w:cs="Times New Roman"/>
          <w:b/>
          <w:iCs/>
          <w:sz w:val="24"/>
          <w:szCs w:val="24"/>
        </w:rPr>
        <w:t>$</w:t>
      </w:r>
      <w:r w:rsidRPr="001D72D8" w:rsidR="00EE5744">
        <w:rPr>
          <w:rFonts w:ascii="Times New Roman" w:hAnsi="Times New Roman" w:cs="Times New Roman"/>
          <w:b/>
          <w:iCs/>
          <w:sz w:val="24"/>
          <w:szCs w:val="24"/>
        </w:rPr>
        <w:t>79,804</w:t>
      </w:r>
      <w:r w:rsidRPr="001D72D8" w:rsidR="005C5A0F">
        <w:rPr>
          <w:rFonts w:ascii="Times New Roman" w:hAnsi="Times New Roman" w:cs="Times New Roman"/>
          <w:b/>
          <w:sz w:val="24"/>
          <w:szCs w:val="24"/>
        </w:rPr>
        <w:t xml:space="preserve"> </w:t>
      </w:r>
      <w:r w:rsidR="00F57CC7">
        <w:rPr>
          <w:rFonts w:ascii="Times New Roman" w:hAnsi="Times New Roman" w:cs="Times New Roman"/>
          <w:iCs/>
          <w:sz w:val="24"/>
          <w:szCs w:val="24"/>
        </w:rPr>
        <w:t>(</w:t>
      </w:r>
      <w:r w:rsidRPr="001D72D8">
        <w:rPr>
          <w:rFonts w:ascii="Times New Roman" w:hAnsi="Times New Roman" w:cs="Times New Roman"/>
          <w:iCs/>
          <w:sz w:val="24"/>
          <w:szCs w:val="24"/>
        </w:rPr>
        <w:t xml:space="preserve">20 states x </w:t>
      </w:r>
      <w:r w:rsidR="00F57CC7">
        <w:rPr>
          <w:rFonts w:ascii="Times New Roman" w:hAnsi="Times New Roman" w:cs="Times New Roman"/>
          <w:iCs/>
          <w:sz w:val="24"/>
          <w:szCs w:val="24"/>
        </w:rPr>
        <w:t>[</w:t>
      </w:r>
      <w:r w:rsidRPr="001D72D8">
        <w:rPr>
          <w:rFonts w:ascii="Times New Roman" w:hAnsi="Times New Roman" w:cs="Times New Roman"/>
          <w:iCs/>
          <w:sz w:val="24"/>
          <w:szCs w:val="24"/>
        </w:rPr>
        <w:t xml:space="preserve">(5 x </w:t>
      </w:r>
      <w:r w:rsidRPr="001D72D8" w:rsidR="002B072F">
        <w:rPr>
          <w:rFonts w:ascii="Times New Roman" w:hAnsi="Times New Roman" w:cs="Times New Roman"/>
          <w:iCs/>
          <w:sz w:val="24"/>
          <w:szCs w:val="24"/>
        </w:rPr>
        <w:t>$128</w:t>
      </w:r>
      <w:r w:rsidRPr="001D72D8">
        <w:rPr>
          <w:rFonts w:ascii="Times New Roman" w:hAnsi="Times New Roman" w:cs="Times New Roman"/>
          <w:iCs/>
          <w:sz w:val="24"/>
          <w:szCs w:val="24"/>
        </w:rPr>
        <w:t xml:space="preserve">/hr) +(30 x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 (5 x </w:t>
      </w:r>
      <w:r w:rsidRPr="001D72D8" w:rsidR="002B072F">
        <w:rPr>
          <w:rFonts w:ascii="Times New Roman" w:hAnsi="Times New Roman" w:cs="Times New Roman"/>
          <w:iCs/>
          <w:sz w:val="24"/>
          <w:szCs w:val="24"/>
        </w:rPr>
        <w:t>$</w:t>
      </w:r>
      <w:r w:rsidRPr="001D72D8" w:rsidR="00C03548">
        <w:rPr>
          <w:rFonts w:ascii="Times New Roman" w:hAnsi="Times New Roman" w:cs="Times New Roman"/>
          <w:iCs/>
          <w:sz w:val="24"/>
          <w:szCs w:val="24"/>
        </w:rPr>
        <w:t>134.48</w:t>
      </w:r>
      <w:r w:rsidRPr="001D72D8">
        <w:rPr>
          <w:rFonts w:ascii="Times New Roman" w:hAnsi="Times New Roman" w:cs="Times New Roman"/>
          <w:iCs/>
          <w:sz w:val="24"/>
          <w:szCs w:val="24"/>
        </w:rPr>
        <w:t>/hr)]</w:t>
      </w:r>
      <w:r w:rsidR="00F57CC7">
        <w:rPr>
          <w:rFonts w:ascii="Times New Roman" w:hAnsi="Times New Roman" w:cs="Times New Roman"/>
          <w:iCs/>
          <w:sz w:val="24"/>
          <w:szCs w:val="24"/>
        </w:rPr>
        <w:t>)</w:t>
      </w:r>
      <w:r w:rsidRPr="001D72D8">
        <w:rPr>
          <w:rFonts w:ascii="Times New Roman" w:hAnsi="Times New Roman" w:cs="Times New Roman"/>
          <w:iCs/>
          <w:sz w:val="24"/>
          <w:szCs w:val="24"/>
        </w:rPr>
        <w:t>.</w:t>
      </w:r>
      <w:r w:rsidRPr="001D72D8">
        <w:rPr>
          <w:rFonts w:ascii="Times New Roman" w:hAnsi="Times New Roman" w:cs="Times New Roman"/>
          <w:b/>
          <w:iCs/>
          <w:sz w:val="24"/>
          <w:szCs w:val="24"/>
        </w:rPr>
        <w:t xml:space="preserve"> (</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12.24)</w:t>
      </w:r>
    </w:p>
    <w:p w:rsidR="00B41FE8" w:rsidRPr="00B41FE8" w:rsidP="00B41FE8" w14:paraId="5565E8C7" w14:textId="77777777">
      <w:pPr>
        <w:pStyle w:val="BodyText"/>
      </w:pPr>
    </w:p>
    <w:p w:rsidR="00624B15" w:rsidP="00432DCE" w14:paraId="63911F02" w14:textId="13FB8533">
      <w:pPr>
        <w:spacing w:after="0" w:line="240" w:lineRule="auto"/>
        <w:rPr>
          <w:rFonts w:ascii="Times New Roman" w:hAnsi="Times New Roman" w:cs="Times New Roman"/>
          <w:b/>
          <w:iCs/>
          <w:sz w:val="24"/>
          <w:szCs w:val="24"/>
        </w:rPr>
      </w:pPr>
      <w:r w:rsidRPr="001D72D8">
        <w:rPr>
          <w:rFonts w:ascii="Times New Roman" w:hAnsi="Times New Roman" w:cs="Times New Roman"/>
          <w:iCs/>
          <w:sz w:val="24"/>
          <w:szCs w:val="24"/>
        </w:rPr>
        <w:t xml:space="preserve">For MCO, PIHP, PAHP, or PCCM preparation </w:t>
      </w:r>
      <w:r w:rsidRPr="001D72D8" w:rsidR="00792E5E">
        <w:rPr>
          <w:rFonts w:ascii="Times New Roman" w:hAnsi="Times New Roman" w:cs="Times New Roman"/>
          <w:iCs/>
          <w:sz w:val="24"/>
          <w:szCs w:val="24"/>
        </w:rPr>
        <w:t xml:space="preserve">for </w:t>
      </w:r>
      <w:r w:rsidRPr="001D72D8">
        <w:rPr>
          <w:rFonts w:ascii="Times New Roman" w:hAnsi="Times New Roman" w:cs="Times New Roman"/>
          <w:iCs/>
          <w:sz w:val="24"/>
          <w:szCs w:val="24"/>
        </w:rPr>
        <w:t>and execution</w:t>
      </w:r>
      <w:r w:rsidRPr="001D72D8" w:rsidR="00792E5E">
        <w:rPr>
          <w:rFonts w:ascii="Times New Roman" w:hAnsi="Times New Roman" w:cs="Times New Roman"/>
          <w:iCs/>
          <w:sz w:val="24"/>
          <w:szCs w:val="24"/>
        </w:rPr>
        <w:t xml:space="preserve"> of a review by the state</w:t>
      </w:r>
      <w:r w:rsidRPr="001D72D8">
        <w:rPr>
          <w:rFonts w:ascii="Times New Roman" w:hAnsi="Times New Roman" w:cs="Times New Roman"/>
          <w:iCs/>
          <w:sz w:val="24"/>
          <w:szCs w:val="24"/>
        </w:rPr>
        <w:t xml:space="preserve">, we estimate 5 hr (at </w:t>
      </w:r>
      <w:r w:rsidRPr="001D72D8" w:rsidR="002B072F">
        <w:rPr>
          <w:rFonts w:ascii="Times New Roman" w:hAnsi="Times New Roman" w:cs="Times New Roman"/>
          <w:iCs/>
          <w:sz w:val="24"/>
          <w:szCs w:val="24"/>
        </w:rPr>
        <w:t>$128</w:t>
      </w:r>
      <w:r w:rsidRPr="001D72D8">
        <w:rPr>
          <w:rFonts w:ascii="Times New Roman" w:hAnsi="Times New Roman" w:cs="Times New Roman"/>
          <w:iCs/>
          <w:sz w:val="24"/>
          <w:szCs w:val="24"/>
        </w:rPr>
        <w:t xml:space="preserve">/hr) for a general and operations manager, 30 hr (at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for a business operations specialist, and 5 hr (at </w:t>
      </w:r>
      <w:r w:rsidRPr="001D72D8" w:rsidR="002B072F">
        <w:rPr>
          <w:rFonts w:ascii="Times New Roman" w:hAnsi="Times New Roman" w:cs="Times New Roman"/>
          <w:iCs/>
          <w:sz w:val="24"/>
          <w:szCs w:val="24"/>
        </w:rPr>
        <w:t>$</w:t>
      </w:r>
      <w:r w:rsidRPr="001D72D8" w:rsidR="00C03548">
        <w:rPr>
          <w:rFonts w:ascii="Times New Roman" w:hAnsi="Times New Roman" w:cs="Times New Roman"/>
          <w:iCs/>
          <w:sz w:val="24"/>
          <w:szCs w:val="24"/>
        </w:rPr>
        <w:t>134.48</w:t>
      </w:r>
      <w:r w:rsidRPr="001D72D8">
        <w:rPr>
          <w:rFonts w:ascii="Times New Roman" w:hAnsi="Times New Roman" w:cs="Times New Roman"/>
          <w:iCs/>
          <w:sz w:val="24"/>
          <w:szCs w:val="24"/>
        </w:rPr>
        <w:t xml:space="preserve">/hr) for a computer programmer.  In aggregate, we estimate an annual private sector burden of </w:t>
      </w:r>
      <w:r w:rsidRPr="001D72D8">
        <w:rPr>
          <w:rFonts w:ascii="Times New Roman" w:hAnsi="Times New Roman" w:cs="Times New Roman"/>
          <w:b/>
          <w:iCs/>
          <w:sz w:val="24"/>
          <w:szCs w:val="24"/>
        </w:rPr>
        <w:t>800 h</w:t>
      </w:r>
      <w:r w:rsidR="00AA2C2A">
        <w:rPr>
          <w:rFonts w:ascii="Times New Roman" w:hAnsi="Times New Roman" w:cs="Times New Roman"/>
          <w:b/>
          <w:iCs/>
          <w:sz w:val="24"/>
          <w:szCs w:val="24"/>
        </w:rPr>
        <w:t>ours</w:t>
      </w:r>
      <w:r w:rsidRPr="001D72D8">
        <w:rPr>
          <w:rFonts w:ascii="Times New Roman" w:hAnsi="Times New Roman" w:cs="Times New Roman"/>
          <w:iCs/>
          <w:sz w:val="24"/>
          <w:szCs w:val="24"/>
        </w:rPr>
        <w:t xml:space="preserve"> (20 entities x 40 hr) and </w:t>
      </w:r>
      <w:r w:rsidRPr="001D72D8">
        <w:rPr>
          <w:rFonts w:ascii="Times New Roman" w:hAnsi="Times New Roman" w:cs="Times New Roman"/>
          <w:b/>
          <w:iCs/>
          <w:sz w:val="24"/>
          <w:szCs w:val="24"/>
        </w:rPr>
        <w:t>$</w:t>
      </w:r>
      <w:r w:rsidRPr="001D72D8" w:rsidR="00EE5744">
        <w:rPr>
          <w:rFonts w:ascii="Times New Roman" w:hAnsi="Times New Roman" w:cs="Times New Roman"/>
          <w:b/>
          <w:iCs/>
          <w:sz w:val="24"/>
          <w:szCs w:val="24"/>
        </w:rPr>
        <w:t>79,804</w:t>
      </w:r>
      <w:r w:rsidRPr="001D72D8">
        <w:rPr>
          <w:rFonts w:ascii="Times New Roman" w:hAnsi="Times New Roman" w:cs="Times New Roman"/>
          <w:iCs/>
          <w:sz w:val="24"/>
          <w:szCs w:val="24"/>
        </w:rPr>
        <w:t xml:space="preserve"> </w:t>
      </w:r>
      <w:r w:rsidR="00CF59F9">
        <w:rPr>
          <w:rFonts w:ascii="Times New Roman" w:hAnsi="Times New Roman" w:cs="Times New Roman"/>
          <w:iCs/>
          <w:sz w:val="24"/>
          <w:szCs w:val="24"/>
        </w:rPr>
        <w:t>(</w:t>
      </w:r>
      <w:r w:rsidRPr="001D72D8">
        <w:rPr>
          <w:rFonts w:ascii="Times New Roman" w:hAnsi="Times New Roman" w:cs="Times New Roman"/>
          <w:iCs/>
          <w:sz w:val="24"/>
          <w:szCs w:val="24"/>
        </w:rPr>
        <w:t xml:space="preserve">20 entities x </w:t>
      </w:r>
      <w:r w:rsidR="00CF59F9">
        <w:rPr>
          <w:rFonts w:ascii="Times New Roman" w:hAnsi="Times New Roman" w:cs="Times New Roman"/>
          <w:iCs/>
          <w:sz w:val="24"/>
          <w:szCs w:val="24"/>
        </w:rPr>
        <w:t>[</w:t>
      </w:r>
      <w:r w:rsidRPr="001D72D8">
        <w:rPr>
          <w:rFonts w:ascii="Times New Roman" w:hAnsi="Times New Roman" w:cs="Times New Roman"/>
          <w:iCs/>
          <w:sz w:val="24"/>
          <w:szCs w:val="24"/>
        </w:rPr>
        <w:t xml:space="preserve">(5 x </w:t>
      </w:r>
      <w:r w:rsidRPr="001D72D8" w:rsidR="002B072F">
        <w:rPr>
          <w:rFonts w:ascii="Times New Roman" w:hAnsi="Times New Roman" w:cs="Times New Roman"/>
          <w:iCs/>
          <w:sz w:val="24"/>
          <w:szCs w:val="24"/>
        </w:rPr>
        <w:t>$128</w:t>
      </w:r>
      <w:r w:rsidRPr="001D72D8">
        <w:rPr>
          <w:rFonts w:ascii="Times New Roman" w:hAnsi="Times New Roman" w:cs="Times New Roman"/>
          <w:iCs/>
          <w:sz w:val="24"/>
          <w:szCs w:val="24"/>
        </w:rPr>
        <w:t xml:space="preserve">/hr) + (30 x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 (5 x </w:t>
      </w:r>
      <w:r w:rsidRPr="001D72D8" w:rsidR="002B072F">
        <w:rPr>
          <w:rFonts w:ascii="Times New Roman" w:hAnsi="Times New Roman" w:cs="Times New Roman"/>
          <w:iCs/>
          <w:sz w:val="24"/>
          <w:szCs w:val="24"/>
        </w:rPr>
        <w:t>$</w:t>
      </w:r>
      <w:r w:rsidRPr="001D72D8" w:rsidR="00C03548">
        <w:rPr>
          <w:rFonts w:ascii="Times New Roman" w:hAnsi="Times New Roman" w:cs="Times New Roman"/>
          <w:iCs/>
          <w:sz w:val="24"/>
          <w:szCs w:val="24"/>
        </w:rPr>
        <w:t>134.48</w:t>
      </w:r>
      <w:r w:rsidRPr="001D72D8">
        <w:rPr>
          <w:rFonts w:ascii="Times New Roman" w:hAnsi="Times New Roman" w:cs="Times New Roman"/>
          <w:iCs/>
          <w:sz w:val="24"/>
          <w:szCs w:val="24"/>
        </w:rPr>
        <w:t>/hr)]</w:t>
      </w:r>
      <w:r w:rsidR="00CF59F9">
        <w:rPr>
          <w:rFonts w:ascii="Times New Roman" w:hAnsi="Times New Roman" w:cs="Times New Roman"/>
          <w:iCs/>
          <w:sz w:val="24"/>
          <w:szCs w:val="24"/>
        </w:rPr>
        <w:t>)</w:t>
      </w:r>
      <w:r w:rsidRPr="001D72D8">
        <w:rPr>
          <w:rFonts w:ascii="Times New Roman" w:hAnsi="Times New Roman" w:cs="Times New Roman"/>
          <w:iCs/>
          <w:sz w:val="24"/>
          <w:szCs w:val="24"/>
        </w:rPr>
        <w:t xml:space="preserve">.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12.25)</w:t>
      </w:r>
    </w:p>
    <w:p w:rsidR="00B41FE8" w:rsidRPr="00B41FE8" w:rsidP="00B41FE8" w14:paraId="319C000F" w14:textId="77777777">
      <w:pPr>
        <w:pStyle w:val="BodyText"/>
      </w:pPr>
    </w:p>
    <w:p w:rsidR="00624B15" w:rsidP="00432DCE" w14:paraId="515F892F" w14:textId="349C0B2D">
      <w:pPr>
        <w:spacing w:after="0" w:line="240" w:lineRule="auto"/>
        <w:rPr>
          <w:rFonts w:ascii="Times New Roman" w:hAnsi="Times New Roman" w:cs="Times New Roman"/>
          <w:b/>
          <w:iCs/>
          <w:sz w:val="24"/>
          <w:szCs w:val="24"/>
        </w:rPr>
      </w:pPr>
      <w:r w:rsidRPr="001D72D8">
        <w:rPr>
          <w:rFonts w:ascii="Times New Roman" w:hAnsi="Times New Roman" w:cs="Times New Roman"/>
          <w:iCs/>
          <w:sz w:val="24"/>
          <w:szCs w:val="24"/>
        </w:rPr>
        <w:t xml:space="preserve">Section 438.66(e)(1) and (2) requires that states submit an annual program assessment report to CMS covering the topics listed in §438.66(e)(2).  The data collected for §438.66(b) and the utilization of the data in §438.66(c) will be used to compile this report.  We estimate an annual state burden of 6 hr at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for a business operations specialist to compile and submit this report to CMS.  In aggregate, we estimate an annual state burden of </w:t>
      </w:r>
      <w:r w:rsidRPr="001D72D8">
        <w:rPr>
          <w:rFonts w:ascii="Times New Roman" w:hAnsi="Times New Roman" w:cs="Times New Roman"/>
          <w:b/>
          <w:iCs/>
          <w:sz w:val="24"/>
          <w:szCs w:val="24"/>
        </w:rPr>
        <w:t>2</w:t>
      </w:r>
      <w:r w:rsidRPr="001D72D8" w:rsidR="00CA0041">
        <w:rPr>
          <w:rFonts w:ascii="Times New Roman" w:hAnsi="Times New Roman" w:cs="Times New Roman"/>
          <w:b/>
          <w:iCs/>
          <w:sz w:val="24"/>
          <w:szCs w:val="24"/>
        </w:rPr>
        <w:t>94</w:t>
      </w:r>
      <w:r w:rsidRPr="001D72D8">
        <w:rPr>
          <w:rFonts w:ascii="Times New Roman" w:hAnsi="Times New Roman" w:cs="Times New Roman"/>
          <w:b/>
          <w:iCs/>
          <w:sz w:val="24"/>
          <w:szCs w:val="24"/>
        </w:rPr>
        <w:t xml:space="preserve"> h</w:t>
      </w:r>
      <w:r w:rsidR="00AA2C2A">
        <w:rPr>
          <w:rFonts w:ascii="Times New Roman" w:hAnsi="Times New Roman" w:cs="Times New Roman"/>
          <w:b/>
          <w:iCs/>
          <w:sz w:val="24"/>
          <w:szCs w:val="24"/>
        </w:rPr>
        <w:t>ours</w:t>
      </w:r>
      <w:r w:rsidRPr="001D72D8">
        <w:rPr>
          <w:rFonts w:ascii="Times New Roman" w:hAnsi="Times New Roman" w:cs="Times New Roman"/>
          <w:iCs/>
          <w:sz w:val="24"/>
          <w:szCs w:val="24"/>
        </w:rPr>
        <w:t xml:space="preserve"> (4</w:t>
      </w:r>
      <w:r w:rsidRPr="001D72D8" w:rsidR="00B24A5A">
        <w:rPr>
          <w:rFonts w:ascii="Times New Roman" w:hAnsi="Times New Roman" w:cs="Times New Roman"/>
          <w:iCs/>
          <w:sz w:val="24"/>
          <w:szCs w:val="24"/>
        </w:rPr>
        <w:t>9</w:t>
      </w:r>
      <w:r w:rsidRPr="001D72D8">
        <w:rPr>
          <w:rFonts w:ascii="Times New Roman" w:hAnsi="Times New Roman" w:cs="Times New Roman"/>
          <w:iCs/>
          <w:sz w:val="24"/>
          <w:szCs w:val="24"/>
        </w:rPr>
        <w:t xml:space="preserve"> states x 6 hr) and </w:t>
      </w:r>
      <w:r w:rsidRPr="001D72D8">
        <w:rPr>
          <w:rFonts w:ascii="Times New Roman" w:hAnsi="Times New Roman" w:cs="Times New Roman"/>
          <w:b/>
          <w:iCs/>
          <w:sz w:val="24"/>
          <w:szCs w:val="24"/>
        </w:rPr>
        <w:t>$</w:t>
      </w:r>
      <w:r w:rsidR="00077760">
        <w:rPr>
          <w:rFonts w:ascii="Times New Roman" w:hAnsi="Times New Roman" w:cs="Times New Roman"/>
          <w:b/>
          <w:iCs/>
          <w:sz w:val="24"/>
          <w:szCs w:val="24"/>
        </w:rPr>
        <w:t>26,242</w:t>
      </w:r>
      <w:r w:rsidRPr="001D72D8">
        <w:rPr>
          <w:rFonts w:ascii="Times New Roman" w:hAnsi="Times New Roman" w:cs="Times New Roman"/>
          <w:iCs/>
          <w:sz w:val="24"/>
          <w:szCs w:val="24"/>
        </w:rPr>
        <w:t xml:space="preserve"> (2</w:t>
      </w:r>
      <w:r w:rsidR="00CF59F9">
        <w:rPr>
          <w:rFonts w:ascii="Times New Roman" w:hAnsi="Times New Roman" w:cs="Times New Roman"/>
          <w:iCs/>
          <w:sz w:val="24"/>
          <w:szCs w:val="24"/>
        </w:rPr>
        <w:t>94</w:t>
      </w:r>
      <w:r w:rsidRPr="001D72D8">
        <w:rPr>
          <w:rFonts w:ascii="Times New Roman" w:hAnsi="Times New Roman" w:cs="Times New Roman"/>
          <w:iCs/>
          <w:sz w:val="24"/>
          <w:szCs w:val="24"/>
        </w:rPr>
        <w:t xml:space="preserve"> hr x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12.26)</w:t>
      </w:r>
    </w:p>
    <w:p w:rsidR="00B41FE8" w:rsidRPr="00B41FE8" w:rsidP="00B41FE8" w14:paraId="493F662A" w14:textId="77777777">
      <w:pPr>
        <w:pStyle w:val="BodyText"/>
      </w:pPr>
    </w:p>
    <w:p w:rsidR="00332B7B" w:rsidRPr="001D72D8" w:rsidP="00432DCE" w14:paraId="75C6B380"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438.68 Network adequacy standards</w:t>
      </w:r>
      <w:r w:rsidRPr="001D72D8">
        <w:rPr>
          <w:rFonts w:ascii="Times New Roman" w:hAnsi="Times New Roman" w:cs="Times New Roman"/>
          <w:sz w:val="24"/>
          <w:szCs w:val="24"/>
        </w:rPr>
        <w:t xml:space="preserve"> </w:t>
      </w:r>
    </w:p>
    <w:p w:rsidR="00624B15" w:rsidP="00432DCE" w14:paraId="591EBAC5" w14:textId="6FCEA75E">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Section</w:t>
      </w:r>
      <w:r w:rsidRPr="001D72D8">
        <w:rPr>
          <w:rFonts w:ascii="Times New Roman" w:hAnsi="Times New Roman" w:cs="Times New Roman"/>
          <w:iCs/>
          <w:sz w:val="24"/>
          <w:szCs w:val="24"/>
        </w:rPr>
        <w:t xml:space="preserve"> 438.68(a) requires that states set network adequacy standards that each MCO, PIHP and PAHP must follow.  Section 438.68(b) and (c) would require that states set </w:t>
      </w:r>
      <w:r w:rsidRPr="001D72D8" w:rsidR="00881983">
        <w:rPr>
          <w:rFonts w:ascii="Times New Roman" w:hAnsi="Times New Roman" w:cs="Times New Roman"/>
          <w:iCs/>
          <w:sz w:val="24"/>
          <w:szCs w:val="24"/>
        </w:rPr>
        <w:t xml:space="preserve">quantitative </w:t>
      </w:r>
      <w:r w:rsidRPr="001D72D8">
        <w:rPr>
          <w:rFonts w:ascii="Times New Roman" w:hAnsi="Times New Roman" w:cs="Times New Roman"/>
          <w:iCs/>
          <w:sz w:val="24"/>
          <w:szCs w:val="24"/>
        </w:rPr>
        <w:t xml:space="preserve">standards for specific provider types and must develop network standards for LTSS if the MCO, PIHP or PAHP has those benefits covered through their contract.  </w:t>
      </w:r>
    </w:p>
    <w:p w:rsidR="00B41FE8" w:rsidRPr="00B41FE8" w:rsidP="00B41FE8" w14:paraId="31FA2A61" w14:textId="77777777">
      <w:pPr>
        <w:pStyle w:val="BodyText"/>
      </w:pPr>
    </w:p>
    <w:p w:rsidR="00CC1F25" w:rsidP="00432DCE" w14:paraId="126D65E6" w14:textId="77777777">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States’ review and reporting on exceptions granted through the process developed in §438.68(d) is estimated under §438.6</w:t>
      </w:r>
      <w:r w:rsidRPr="001D72D8" w:rsidR="00881983">
        <w:rPr>
          <w:rFonts w:ascii="Times New Roman" w:hAnsi="Times New Roman" w:cs="Times New Roman"/>
          <w:iCs/>
          <w:sz w:val="24"/>
          <w:szCs w:val="24"/>
        </w:rPr>
        <w:t>8</w:t>
      </w:r>
      <w:r w:rsidRPr="001D72D8">
        <w:rPr>
          <w:rFonts w:ascii="Times New Roman" w:hAnsi="Times New Roman" w:cs="Times New Roman"/>
          <w:iCs/>
          <w:sz w:val="24"/>
          <w:szCs w:val="24"/>
        </w:rPr>
        <w:t xml:space="preserve"> so we do not estimate any additional burden for this requirement.</w:t>
      </w:r>
    </w:p>
    <w:p w:rsidR="00B41FE8" w:rsidRPr="00B41FE8" w:rsidP="00B41FE8" w14:paraId="4602A5E4" w14:textId="77777777">
      <w:pPr>
        <w:pStyle w:val="BodyText"/>
      </w:pPr>
    </w:p>
    <w:p w:rsidR="00332B7B" w:rsidRPr="001D72D8" w:rsidP="00432DCE" w14:paraId="5B256F35" w14:textId="18CD2E14">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438.70 Stakeholder engagement when LTSS is delivered through a managed care program</w:t>
      </w:r>
      <w:r w:rsidRPr="001D72D8">
        <w:rPr>
          <w:rFonts w:ascii="Times New Roman" w:hAnsi="Times New Roman" w:cs="Times New Roman"/>
          <w:sz w:val="24"/>
          <w:szCs w:val="24"/>
        </w:rPr>
        <w:t xml:space="preserve"> </w:t>
      </w:r>
    </w:p>
    <w:p w:rsidR="00624B15" w:rsidP="00432DCE" w14:paraId="2BB6C8D8" w14:textId="6585DABD">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Section 438.70(c) requires that states continue to solicit and address public input for oversight purposes.  Existing MLTSS programs already meet this requirement and we estimate no more than 14 new programs will be established by states.</w:t>
      </w:r>
    </w:p>
    <w:p w:rsidR="00B41FE8" w:rsidRPr="00B41FE8" w:rsidP="00B41FE8" w14:paraId="7BDCFC9E" w14:textId="77777777">
      <w:pPr>
        <w:pStyle w:val="BodyText"/>
      </w:pPr>
    </w:p>
    <w:p w:rsidR="00624B15" w:rsidP="00432DCE" w14:paraId="1E43C6AF" w14:textId="627E29B0">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We estimate an annual state burden of 4 hr at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for a business operations specialist to perform this task.  In aggregate, we estimate </w:t>
      </w:r>
      <w:r w:rsidRPr="001D72D8" w:rsidR="005C5A0F">
        <w:rPr>
          <w:rFonts w:ascii="Times New Roman" w:hAnsi="Times New Roman" w:cs="Times New Roman"/>
          <w:sz w:val="24"/>
          <w:szCs w:val="24"/>
        </w:rPr>
        <w:t xml:space="preserve">an annual state burden of </w:t>
      </w:r>
      <w:r w:rsidRPr="001D72D8">
        <w:rPr>
          <w:rFonts w:ascii="Times New Roman" w:hAnsi="Times New Roman" w:cs="Times New Roman"/>
          <w:b/>
          <w:sz w:val="24"/>
          <w:szCs w:val="24"/>
        </w:rPr>
        <w:t>56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(14 states x 4 hr) and </w:t>
      </w:r>
      <w:r w:rsidRPr="001D72D8">
        <w:rPr>
          <w:rFonts w:ascii="Times New Roman" w:hAnsi="Times New Roman" w:cs="Times New Roman"/>
          <w:b/>
          <w:sz w:val="24"/>
          <w:szCs w:val="24"/>
        </w:rPr>
        <w:t>$</w:t>
      </w:r>
      <w:r w:rsidR="00EF748C">
        <w:rPr>
          <w:rFonts w:ascii="Times New Roman" w:hAnsi="Times New Roman" w:cs="Times New Roman"/>
          <w:b/>
          <w:sz w:val="24"/>
          <w:szCs w:val="24"/>
        </w:rPr>
        <w:t>4,999</w:t>
      </w:r>
      <w:r w:rsidRPr="001D72D8">
        <w:rPr>
          <w:rFonts w:ascii="Times New Roman" w:hAnsi="Times New Roman" w:cs="Times New Roman"/>
          <w:sz w:val="24"/>
          <w:szCs w:val="24"/>
        </w:rPr>
        <w:t xml:space="preserve"> (</w:t>
      </w:r>
      <w:r w:rsidRPr="001D72D8" w:rsidR="00C472DA">
        <w:rPr>
          <w:rFonts w:ascii="Times New Roman" w:hAnsi="Times New Roman" w:cs="Times New Roman"/>
          <w:sz w:val="24"/>
          <w:szCs w:val="24"/>
        </w:rPr>
        <w:t>56</w:t>
      </w:r>
      <w:r w:rsidRPr="001D72D8">
        <w:rPr>
          <w:rFonts w:ascii="Times New Roman" w:hAnsi="Times New Roman" w:cs="Times New Roman"/>
          <w:sz w:val="24"/>
          <w:szCs w:val="24"/>
        </w:rPr>
        <w:t xml:space="preserve"> hr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12.30)</w:t>
      </w:r>
    </w:p>
    <w:p w:rsidR="00B41FE8" w:rsidRPr="00B41FE8" w:rsidP="00B41FE8" w14:paraId="54989058" w14:textId="77777777">
      <w:pPr>
        <w:pStyle w:val="BodyText"/>
      </w:pPr>
    </w:p>
    <w:p w:rsidR="00332B7B" w:rsidRPr="001D72D8" w:rsidP="00432DCE" w14:paraId="21756822" w14:textId="3637E320">
      <w:pPr>
        <w:spacing w:after="0" w:line="240" w:lineRule="auto"/>
        <w:rPr>
          <w:rFonts w:ascii="Times New Roman" w:hAnsi="Times New Roman" w:cs="Times New Roman"/>
          <w:iCs/>
          <w:sz w:val="24"/>
          <w:szCs w:val="24"/>
          <w:u w:val="single"/>
        </w:rPr>
      </w:pPr>
      <w:r w:rsidRPr="001D72D8">
        <w:rPr>
          <w:rFonts w:ascii="Times New Roman" w:hAnsi="Times New Roman" w:cs="Times New Roman"/>
          <w:iCs/>
          <w:sz w:val="24"/>
          <w:szCs w:val="24"/>
          <w:u w:val="single"/>
        </w:rPr>
        <w:t xml:space="preserve">Section 438.71 </w:t>
      </w:r>
      <w:r w:rsidRPr="001D72D8" w:rsidR="00725D07">
        <w:rPr>
          <w:rFonts w:ascii="Times New Roman" w:hAnsi="Times New Roman" w:cs="Times New Roman"/>
          <w:iCs/>
          <w:sz w:val="24"/>
          <w:szCs w:val="24"/>
          <w:u w:val="single"/>
        </w:rPr>
        <w:t>Beneficiary support system</w:t>
      </w:r>
    </w:p>
    <w:p w:rsidR="00FD4FE0" w:rsidP="00432DCE" w14:paraId="156E8E71" w14:textId="77777777">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 xml:space="preserve">Section 438.71(b) requires that the system include choice counseling for enrollees, outreach for enrollees, and education and problem resolution for services, coverage, and access to LTSS.  This system must be accessible in multiple ways including at a minimum, by telephone and email.  Some in-person assistance may need to be provided in certain circumstances.  Most states will likely use the call center created in §438.71(a) to handle </w:t>
      </w:r>
      <w:r w:rsidRPr="001D72D8">
        <w:rPr>
          <w:rFonts w:ascii="Times New Roman" w:hAnsi="Times New Roman" w:cs="Times New Roman"/>
          <w:iCs/>
          <w:sz w:val="24"/>
          <w:szCs w:val="24"/>
        </w:rPr>
        <w:t>the majority of</w:t>
      </w:r>
      <w:r w:rsidRPr="001D72D8">
        <w:rPr>
          <w:rFonts w:ascii="Times New Roman" w:hAnsi="Times New Roman" w:cs="Times New Roman"/>
          <w:iCs/>
          <w:sz w:val="24"/>
          <w:szCs w:val="24"/>
        </w:rPr>
        <w:t xml:space="preserve"> these responsibilities and use existing community-based outreach/education and ombudsman staff, whether state employees or contractors, for the occasional in person request.  The use of existing staff will add no additional burden as it is part of standard operating costs for operating a Medicaid program.</w:t>
      </w:r>
    </w:p>
    <w:p w:rsidR="00B41FE8" w:rsidRPr="00B41FE8" w:rsidP="00B41FE8" w14:paraId="526025B8" w14:textId="77777777">
      <w:pPr>
        <w:pStyle w:val="BodyText"/>
      </w:pPr>
    </w:p>
    <w:p w:rsidR="00A25E7D" w:rsidRPr="001D72D8" w:rsidP="00432DCE" w14:paraId="4B9A1676" w14:textId="4642B00A">
      <w:pPr>
        <w:spacing w:after="0" w:line="240" w:lineRule="auto"/>
        <w:rPr>
          <w:rFonts w:ascii="Times New Roman" w:hAnsi="Times New Roman" w:cs="Times New Roman"/>
          <w:iCs/>
          <w:sz w:val="24"/>
          <w:szCs w:val="24"/>
          <w:u w:val="single"/>
        </w:rPr>
      </w:pPr>
      <w:r w:rsidRPr="001D72D8">
        <w:rPr>
          <w:rFonts w:ascii="Times New Roman" w:hAnsi="Times New Roman" w:cs="Times New Roman"/>
          <w:iCs/>
          <w:sz w:val="24"/>
          <w:szCs w:val="24"/>
          <w:u w:val="single"/>
        </w:rPr>
        <w:t xml:space="preserve">Section 438.74 Oversight of minimum </w:t>
      </w:r>
      <w:bookmarkStart w:id="53" w:name="_Hlk124835053"/>
      <w:r w:rsidRPr="001D72D8">
        <w:rPr>
          <w:rFonts w:ascii="Times New Roman" w:hAnsi="Times New Roman" w:cs="Times New Roman"/>
          <w:iCs/>
          <w:sz w:val="24"/>
          <w:szCs w:val="24"/>
          <w:u w:val="single"/>
        </w:rPr>
        <w:t>medical loss ratio (MLR)</w:t>
      </w:r>
      <w:bookmarkEnd w:id="53"/>
      <w:r w:rsidRPr="001D72D8">
        <w:rPr>
          <w:rFonts w:ascii="Times New Roman" w:hAnsi="Times New Roman" w:cs="Times New Roman"/>
          <w:iCs/>
          <w:sz w:val="24"/>
          <w:szCs w:val="24"/>
          <w:u w:val="single"/>
        </w:rPr>
        <w:t xml:space="preserve"> </w:t>
      </w:r>
    </w:p>
    <w:p w:rsidR="00F50511" w:rsidRPr="001D72D8" w:rsidP="00432DCE" w14:paraId="66AA3C0D" w14:textId="4B4F1799">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Section 438.74(a) requires states to submit an annual report to CMS that summarizes the MLR reports received from their managed care plans (see estimate 12.5</w:t>
      </w:r>
      <w:r w:rsidRPr="001D72D8" w:rsidR="00944C72">
        <w:rPr>
          <w:rFonts w:ascii="Times New Roman" w:hAnsi="Times New Roman" w:cs="Times New Roman"/>
          <w:iCs/>
          <w:sz w:val="24"/>
          <w:szCs w:val="24"/>
        </w:rPr>
        <w:t xml:space="preserve"> for managed care plan burden estimate</w:t>
      </w:r>
      <w:r w:rsidRPr="001D72D8">
        <w:rPr>
          <w:rFonts w:ascii="Times New Roman" w:hAnsi="Times New Roman" w:cs="Times New Roman"/>
          <w:iCs/>
          <w:sz w:val="24"/>
          <w:szCs w:val="24"/>
        </w:rPr>
        <w:t xml:space="preserve">).  Section 438.74(b) requires states that </w:t>
      </w:r>
      <w:r w:rsidRPr="001D72D8" w:rsidR="001D0A9E">
        <w:rPr>
          <w:rFonts w:ascii="Times New Roman" w:hAnsi="Times New Roman" w:cs="Times New Roman"/>
          <w:iCs/>
          <w:sz w:val="24"/>
          <w:szCs w:val="24"/>
        </w:rPr>
        <w:t>collect</w:t>
      </w:r>
      <w:r w:rsidRPr="001D72D8">
        <w:rPr>
          <w:rFonts w:ascii="Times New Roman" w:hAnsi="Times New Roman" w:cs="Times New Roman"/>
          <w:iCs/>
          <w:sz w:val="24"/>
          <w:szCs w:val="24"/>
        </w:rPr>
        <w:t xml:space="preserve"> a remittance from their plans to </w:t>
      </w:r>
      <w:r w:rsidRPr="001D72D8" w:rsidR="001D0A9E">
        <w:rPr>
          <w:rFonts w:ascii="Times New Roman" w:hAnsi="Times New Roman" w:cs="Times New Roman"/>
          <w:iCs/>
          <w:sz w:val="24"/>
          <w:szCs w:val="24"/>
        </w:rPr>
        <w:t>submit a separate report</w:t>
      </w:r>
      <w:r w:rsidRPr="001D72D8" w:rsidR="00377FAC">
        <w:rPr>
          <w:rFonts w:ascii="Times New Roman" w:hAnsi="Times New Roman" w:cs="Times New Roman"/>
          <w:iCs/>
          <w:sz w:val="24"/>
          <w:szCs w:val="24"/>
        </w:rPr>
        <w:t xml:space="preserve"> (with the report required in 438.74(a))</w:t>
      </w:r>
      <w:r w:rsidRPr="001D72D8" w:rsidR="001D0A9E">
        <w:rPr>
          <w:rFonts w:ascii="Times New Roman" w:hAnsi="Times New Roman" w:cs="Times New Roman"/>
          <w:iCs/>
          <w:sz w:val="24"/>
          <w:szCs w:val="24"/>
        </w:rPr>
        <w:t xml:space="preserve"> to CMS describing the methodology used to determine the state and federal share of the remittance.</w:t>
      </w:r>
      <w:r w:rsidRPr="001D72D8">
        <w:rPr>
          <w:rFonts w:ascii="Times New Roman" w:hAnsi="Times New Roman" w:cs="Times New Roman"/>
          <w:iCs/>
          <w:sz w:val="24"/>
          <w:szCs w:val="24"/>
        </w:rPr>
        <w:t xml:space="preserve">  </w:t>
      </w:r>
      <w:r w:rsidRPr="001D72D8" w:rsidR="002877D0">
        <w:rPr>
          <w:rFonts w:ascii="Times New Roman" w:hAnsi="Times New Roman" w:cs="Times New Roman"/>
          <w:iCs/>
          <w:sz w:val="24"/>
          <w:szCs w:val="24"/>
        </w:rPr>
        <w:t xml:space="preserve">This burden estimate was omitted from the prior package as CMS did not originally intend to specify a reporting format.  After receiving additional state feedback, </w:t>
      </w:r>
      <w:r w:rsidRPr="001D72D8" w:rsidR="001A21E2">
        <w:rPr>
          <w:rFonts w:ascii="Times New Roman" w:hAnsi="Times New Roman" w:cs="Times New Roman"/>
          <w:iCs/>
          <w:sz w:val="24"/>
          <w:szCs w:val="24"/>
        </w:rPr>
        <w:t>CMS is providing a template for t</w:t>
      </w:r>
      <w:r w:rsidRPr="001D72D8" w:rsidR="004F0CAE">
        <w:rPr>
          <w:rFonts w:ascii="Times New Roman" w:hAnsi="Times New Roman" w:cs="Times New Roman"/>
          <w:iCs/>
          <w:sz w:val="24"/>
          <w:szCs w:val="24"/>
        </w:rPr>
        <w:t>his</w:t>
      </w:r>
      <w:r w:rsidRPr="001D72D8" w:rsidR="00944C72">
        <w:rPr>
          <w:rFonts w:ascii="Times New Roman" w:hAnsi="Times New Roman" w:cs="Times New Roman"/>
          <w:iCs/>
          <w:sz w:val="24"/>
          <w:szCs w:val="24"/>
        </w:rPr>
        <w:t xml:space="preserve"> </w:t>
      </w:r>
      <w:r w:rsidRPr="001D72D8" w:rsidR="004F0CAE">
        <w:rPr>
          <w:rFonts w:ascii="Times New Roman" w:hAnsi="Times New Roman" w:cs="Times New Roman"/>
          <w:iCs/>
          <w:sz w:val="24"/>
          <w:szCs w:val="24"/>
        </w:rPr>
        <w:t>report</w:t>
      </w:r>
      <w:r w:rsidRPr="001D72D8" w:rsidR="00944C72">
        <w:rPr>
          <w:rFonts w:ascii="Times New Roman" w:hAnsi="Times New Roman" w:cs="Times New Roman"/>
          <w:iCs/>
          <w:sz w:val="24"/>
          <w:szCs w:val="24"/>
        </w:rPr>
        <w:t xml:space="preserve"> to enable states to more easily submit the needed level of detailed data to CMS for tracking, comparison, and analysis to ensure regulatory compliance</w:t>
      </w:r>
      <w:r w:rsidRPr="001D72D8" w:rsidR="004F0CAE">
        <w:rPr>
          <w:rFonts w:ascii="Times New Roman" w:hAnsi="Times New Roman" w:cs="Times New Roman"/>
          <w:iCs/>
          <w:sz w:val="24"/>
          <w:szCs w:val="24"/>
        </w:rPr>
        <w:t>.  For states to complete the reporting template annually</w:t>
      </w:r>
      <w:r w:rsidRPr="001D72D8" w:rsidR="001D0A9E">
        <w:rPr>
          <w:rFonts w:ascii="Times New Roman" w:hAnsi="Times New Roman" w:cs="Times New Roman"/>
          <w:iCs/>
          <w:sz w:val="24"/>
          <w:szCs w:val="24"/>
        </w:rPr>
        <w:t xml:space="preserve">, we estimate an annual state burden of 5 hr at </w:t>
      </w:r>
      <w:bookmarkStart w:id="54" w:name="_Hlk118300791"/>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sidR="001D0A9E">
        <w:rPr>
          <w:rFonts w:ascii="Times New Roman" w:hAnsi="Times New Roman" w:cs="Times New Roman"/>
          <w:iCs/>
          <w:sz w:val="24"/>
          <w:szCs w:val="24"/>
        </w:rPr>
        <w:t>/hr for a business operations specialist</w:t>
      </w:r>
      <w:bookmarkEnd w:id="54"/>
      <w:r w:rsidRPr="001D72D8" w:rsidR="001D0A9E">
        <w:rPr>
          <w:rFonts w:ascii="Times New Roman" w:hAnsi="Times New Roman" w:cs="Times New Roman"/>
          <w:iCs/>
          <w:sz w:val="24"/>
          <w:szCs w:val="24"/>
        </w:rPr>
        <w:t xml:space="preserve">.  In aggregate, we estimate </w:t>
      </w:r>
      <w:r w:rsidRPr="001D72D8" w:rsidR="004045D7">
        <w:rPr>
          <w:rFonts w:ascii="Times New Roman" w:hAnsi="Times New Roman" w:cs="Times New Roman"/>
          <w:b/>
          <w:iCs/>
          <w:sz w:val="24"/>
          <w:szCs w:val="24"/>
        </w:rPr>
        <w:t>195</w:t>
      </w:r>
      <w:r w:rsidRPr="001D72D8" w:rsidR="001D0A9E">
        <w:rPr>
          <w:rFonts w:ascii="Times New Roman" w:hAnsi="Times New Roman" w:cs="Times New Roman"/>
          <w:b/>
          <w:iCs/>
          <w:sz w:val="24"/>
          <w:szCs w:val="24"/>
        </w:rPr>
        <w:t xml:space="preserve"> h</w:t>
      </w:r>
      <w:r w:rsidR="00AA2C2A">
        <w:rPr>
          <w:rFonts w:ascii="Times New Roman" w:hAnsi="Times New Roman" w:cs="Times New Roman"/>
          <w:b/>
          <w:iCs/>
          <w:sz w:val="24"/>
          <w:szCs w:val="24"/>
        </w:rPr>
        <w:t>ours</w:t>
      </w:r>
      <w:r w:rsidRPr="001D72D8" w:rsidR="001D0A9E">
        <w:rPr>
          <w:rFonts w:ascii="Times New Roman" w:hAnsi="Times New Roman" w:cs="Times New Roman"/>
          <w:iCs/>
          <w:sz w:val="24"/>
          <w:szCs w:val="24"/>
        </w:rPr>
        <w:t xml:space="preserve"> (</w:t>
      </w:r>
      <w:r w:rsidRPr="001D72D8" w:rsidR="00B24A5A">
        <w:rPr>
          <w:rFonts w:ascii="Times New Roman" w:hAnsi="Times New Roman" w:cs="Times New Roman"/>
          <w:iCs/>
          <w:sz w:val="24"/>
          <w:szCs w:val="24"/>
        </w:rPr>
        <w:t xml:space="preserve">39 </w:t>
      </w:r>
      <w:r w:rsidRPr="001D72D8" w:rsidR="001D0A9E">
        <w:rPr>
          <w:rFonts w:ascii="Times New Roman" w:hAnsi="Times New Roman" w:cs="Times New Roman"/>
          <w:iCs/>
          <w:sz w:val="24"/>
          <w:szCs w:val="24"/>
        </w:rPr>
        <w:t xml:space="preserve">states x 5 hr) and </w:t>
      </w:r>
      <w:r w:rsidRPr="001D72D8" w:rsidR="001D0A9E">
        <w:rPr>
          <w:rFonts w:ascii="Times New Roman" w:hAnsi="Times New Roman" w:cs="Times New Roman"/>
          <w:b/>
          <w:iCs/>
          <w:sz w:val="24"/>
          <w:szCs w:val="24"/>
        </w:rPr>
        <w:t>$</w:t>
      </w:r>
      <w:r w:rsidRPr="001D72D8" w:rsidR="000423F9">
        <w:rPr>
          <w:rFonts w:ascii="Times New Roman" w:hAnsi="Times New Roman" w:cs="Times New Roman"/>
          <w:b/>
          <w:iCs/>
          <w:sz w:val="24"/>
          <w:szCs w:val="24"/>
        </w:rPr>
        <w:t>17,406</w:t>
      </w:r>
      <w:r w:rsidRPr="001D72D8" w:rsidR="001D0A9E">
        <w:rPr>
          <w:rFonts w:ascii="Times New Roman" w:hAnsi="Times New Roman" w:cs="Times New Roman"/>
          <w:iCs/>
          <w:sz w:val="24"/>
          <w:szCs w:val="24"/>
        </w:rPr>
        <w:t xml:space="preserve"> (</w:t>
      </w:r>
      <w:r w:rsidR="00364556">
        <w:rPr>
          <w:rFonts w:ascii="Times New Roman" w:hAnsi="Times New Roman" w:cs="Times New Roman"/>
          <w:iCs/>
          <w:sz w:val="24"/>
          <w:szCs w:val="24"/>
        </w:rPr>
        <w:t>195</w:t>
      </w:r>
      <w:r w:rsidRPr="001D72D8" w:rsidR="001D0A9E">
        <w:rPr>
          <w:rFonts w:ascii="Times New Roman" w:hAnsi="Times New Roman" w:cs="Times New Roman"/>
          <w:iCs/>
          <w:sz w:val="24"/>
          <w:szCs w:val="24"/>
        </w:rPr>
        <w:t xml:space="preserve"> hr x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sidR="001D0A9E">
        <w:rPr>
          <w:rFonts w:ascii="Times New Roman" w:hAnsi="Times New Roman" w:cs="Times New Roman"/>
          <w:iCs/>
          <w:sz w:val="24"/>
          <w:szCs w:val="24"/>
        </w:rPr>
        <w:t>/hr). (</w:t>
      </w:r>
      <w:r w:rsidRPr="001D72D8" w:rsidR="001D0A9E">
        <w:rPr>
          <w:rFonts w:ascii="Times New Roman" w:hAnsi="Times New Roman" w:cs="Times New Roman"/>
          <w:b/>
          <w:iCs/>
          <w:sz w:val="24"/>
          <w:szCs w:val="24"/>
        </w:rPr>
        <w:t>ESTIMATE 12.65</w:t>
      </w:r>
      <w:r w:rsidRPr="001D72D8" w:rsidR="001D0A9E">
        <w:rPr>
          <w:rFonts w:ascii="Times New Roman" w:hAnsi="Times New Roman" w:cs="Times New Roman"/>
          <w:iCs/>
          <w:sz w:val="24"/>
          <w:szCs w:val="24"/>
        </w:rPr>
        <w:t>)</w:t>
      </w:r>
    </w:p>
    <w:p w:rsidR="000000D8" w:rsidRPr="001D72D8" w:rsidP="00432DCE" w14:paraId="2AED0964" w14:textId="628E1386">
      <w:pPr>
        <w:pStyle w:val="BodyText"/>
        <w:spacing w:after="0" w:line="240" w:lineRule="auto"/>
      </w:pPr>
    </w:p>
    <w:p w:rsidR="000000D8" w:rsidP="00432DCE" w14:paraId="077C9DBD"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C-Enrollee Rights and Protections</w:t>
      </w:r>
    </w:p>
    <w:p w:rsidR="00B41FE8" w:rsidRPr="001D72D8" w:rsidP="00432DCE" w14:paraId="3E670055" w14:textId="77777777">
      <w:pPr>
        <w:pStyle w:val="BodyText"/>
        <w:spacing w:after="0" w:line="240" w:lineRule="auto"/>
        <w:jc w:val="center"/>
        <w:rPr>
          <w:rFonts w:ascii="Times New Roman" w:hAnsi="Times New Roman" w:cs="Times New Roman"/>
          <w:b/>
          <w:sz w:val="24"/>
          <w:szCs w:val="24"/>
        </w:rPr>
      </w:pPr>
    </w:p>
    <w:p w:rsidR="002D2AC6" w:rsidRPr="001D72D8" w:rsidP="00432DCE" w14:paraId="7BC8390D" w14:textId="2EBE6164">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Subpart C specifies requirements for states and managed care plans to ensure and protect enrollee rights.</w:t>
      </w:r>
    </w:p>
    <w:p w:rsidR="000000D8" w:rsidRPr="001D72D8" w:rsidP="00432DCE" w14:paraId="165E5A29" w14:textId="77777777">
      <w:pPr>
        <w:pStyle w:val="BodyText"/>
        <w:spacing w:after="0" w:line="240" w:lineRule="auto"/>
      </w:pPr>
    </w:p>
    <w:p w:rsidR="00332B7B" w:rsidRPr="001D72D8" w:rsidP="00432DCE" w14:paraId="7887179E"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438.102 Provider-enrollee communications</w:t>
      </w:r>
      <w:r w:rsidRPr="001D72D8">
        <w:rPr>
          <w:rFonts w:ascii="Times New Roman" w:hAnsi="Times New Roman" w:cs="Times New Roman"/>
          <w:sz w:val="24"/>
          <w:szCs w:val="24"/>
        </w:rPr>
        <w:t xml:space="preserve">  </w:t>
      </w:r>
    </w:p>
    <w:p w:rsidR="00624B15" w:rsidP="00432DCE" w14:paraId="637E7FFF" w14:textId="672B05B6">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Section 438.102(a)(2) states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w:t>
      </w:r>
      <w:r w:rsidRPr="001D72D8">
        <w:rPr>
          <w:rFonts w:ascii="Times New Roman" w:hAnsi="Times New Roman" w:cs="Times New Roman"/>
          <w:sz w:val="24"/>
          <w:szCs w:val="24"/>
        </w:rPr>
        <w:t>enrollees, within 90 days after adopting the policy with respect to an any particular service.  The burden associated with the provisions of this information is included in the burden for 438.10(e) and 438.10(g).</w:t>
      </w:r>
    </w:p>
    <w:p w:rsidR="00B41FE8" w:rsidRPr="00B41FE8" w:rsidP="00B41FE8" w14:paraId="4666873E" w14:textId="77777777">
      <w:pPr>
        <w:pStyle w:val="BodyText"/>
      </w:pPr>
    </w:p>
    <w:p w:rsidR="00624B15" w:rsidP="00432DCE" w14:paraId="07014024" w14:textId="37137114">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Section 438.102(a)(2) specifies that MCOs, PIHPs, and PAHPs are not required to cover, furnish, or pay for a particular counseling or referral service if the MCO, PIHP, or PAHP objects to the provision of that service on moral or religious grounds; and that written information on these policies is made available to: prospective enrollees, before and during enrollment; and current enrollees, within 90 days after adopting the policy with respect to an any particular service.  We believe the burden associated with this requirement affects no more than 3 MCOs or PIHPs annually since it applies only to the services they discontinue providing on moral or religious grounds </w:t>
      </w:r>
      <w:r w:rsidRPr="001D72D8" w:rsidR="00281A8C">
        <w:rPr>
          <w:rFonts w:ascii="Times New Roman" w:hAnsi="Times New Roman" w:cs="Times New Roman"/>
          <w:sz w:val="24"/>
          <w:szCs w:val="24"/>
        </w:rPr>
        <w:t xml:space="preserve">provided to a very small subset of their enrollees </w:t>
      </w:r>
      <w:r w:rsidRPr="001D72D8">
        <w:rPr>
          <w:rFonts w:ascii="Times New Roman" w:hAnsi="Times New Roman" w:cs="Times New Roman"/>
          <w:sz w:val="24"/>
          <w:szCs w:val="24"/>
        </w:rPr>
        <w:t xml:space="preserve">during the contract period.  PAHPs are excluded from this estimate because they generally do not provide services that would be affected by this provision.  In aggregate, we estimate an annual private sector burden of </w:t>
      </w:r>
      <w:r w:rsidRPr="001D72D8" w:rsidR="00281A8C">
        <w:rPr>
          <w:rFonts w:ascii="Times New Roman" w:hAnsi="Times New Roman" w:cs="Times New Roman"/>
          <w:b/>
          <w:sz w:val="24"/>
          <w:szCs w:val="24"/>
        </w:rPr>
        <w:t>1</w:t>
      </w:r>
      <w:r w:rsidRPr="001D72D8" w:rsidR="005F5CB6">
        <w:rPr>
          <w:rFonts w:ascii="Times New Roman" w:hAnsi="Times New Roman" w:cs="Times New Roman"/>
          <w:b/>
          <w:sz w:val="24"/>
          <w:szCs w:val="24"/>
        </w:rPr>
        <w:t>,253</w:t>
      </w:r>
      <w:r w:rsidRPr="001D72D8">
        <w:rPr>
          <w:rFonts w:ascii="Times New Roman" w:hAnsi="Times New Roman" w:cs="Times New Roman"/>
          <w:b/>
          <w:sz w:val="24"/>
          <w:szCs w:val="24"/>
        </w:rPr>
        <w:t xml:space="preserve">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w:t>
      </w:r>
      <w:r w:rsidRPr="001D72D8" w:rsidR="005005B6">
        <w:rPr>
          <w:rFonts w:ascii="Times New Roman" w:hAnsi="Times New Roman" w:cs="Times New Roman"/>
          <w:sz w:val="24"/>
          <w:szCs w:val="24"/>
        </w:rPr>
        <w:t>(</w:t>
      </w:r>
      <w:r w:rsidRPr="001D72D8">
        <w:rPr>
          <w:rFonts w:ascii="Times New Roman" w:hAnsi="Times New Roman" w:cs="Times New Roman"/>
          <w:sz w:val="24"/>
          <w:szCs w:val="24"/>
        </w:rPr>
        <w:t xml:space="preserve">3 entities x </w:t>
      </w:r>
      <w:r w:rsidRPr="001D72D8" w:rsidR="00281A8C">
        <w:rPr>
          <w:rFonts w:ascii="Times New Roman" w:hAnsi="Times New Roman" w:cs="Times New Roman"/>
          <w:sz w:val="24"/>
          <w:szCs w:val="24"/>
        </w:rPr>
        <w:t>25,000</w:t>
      </w:r>
      <w:r w:rsidRPr="001D72D8" w:rsidR="005005B6">
        <w:rPr>
          <w:rFonts w:ascii="Times New Roman" w:hAnsi="Times New Roman" w:cs="Times New Roman"/>
          <w:sz w:val="24"/>
          <w:szCs w:val="24"/>
        </w:rPr>
        <w:t>)</w:t>
      </w:r>
      <w:r w:rsidRPr="001D72D8">
        <w:rPr>
          <w:rFonts w:ascii="Times New Roman" w:hAnsi="Times New Roman" w:cs="Times New Roman"/>
          <w:sz w:val="24"/>
          <w:szCs w:val="24"/>
        </w:rPr>
        <w:t xml:space="preserve"> x </w:t>
      </w:r>
      <w:r w:rsidRPr="001D72D8" w:rsidR="00460CE6">
        <w:rPr>
          <w:rFonts w:ascii="Times New Roman" w:hAnsi="Times New Roman" w:cs="Times New Roman"/>
          <w:sz w:val="24"/>
          <w:szCs w:val="24"/>
        </w:rPr>
        <w:t>0.0</w:t>
      </w:r>
      <w:r w:rsidRPr="001D72D8">
        <w:rPr>
          <w:rFonts w:ascii="Times New Roman" w:hAnsi="Times New Roman" w:cs="Times New Roman"/>
          <w:sz w:val="24"/>
          <w:szCs w:val="24"/>
        </w:rPr>
        <w:t>1</w:t>
      </w:r>
      <w:r w:rsidRPr="001D72D8" w:rsidR="00460CE6">
        <w:rPr>
          <w:rFonts w:ascii="Times New Roman" w:hAnsi="Times New Roman" w:cs="Times New Roman"/>
          <w:sz w:val="24"/>
          <w:szCs w:val="24"/>
        </w:rPr>
        <w:t>67</w:t>
      </w:r>
      <w:r w:rsidRPr="001D72D8">
        <w:rPr>
          <w:rFonts w:ascii="Times New Roman" w:hAnsi="Times New Roman" w:cs="Times New Roman"/>
          <w:sz w:val="24"/>
          <w:szCs w:val="24"/>
        </w:rPr>
        <w:t xml:space="preserve"> </w:t>
      </w:r>
      <w:r w:rsidRPr="001D72D8" w:rsidR="00460CE6">
        <w:rPr>
          <w:rFonts w:ascii="Times New Roman" w:hAnsi="Times New Roman" w:cs="Times New Roman"/>
          <w:sz w:val="24"/>
          <w:szCs w:val="24"/>
        </w:rPr>
        <w:t>hr</w:t>
      </w:r>
      <w:r w:rsidRPr="001D72D8">
        <w:rPr>
          <w:rFonts w:ascii="Times New Roman" w:hAnsi="Times New Roman" w:cs="Times New Roman"/>
          <w:sz w:val="24"/>
          <w:szCs w:val="24"/>
        </w:rPr>
        <w:t xml:space="preserve">) and </w:t>
      </w:r>
      <w:r w:rsidRPr="001D72D8">
        <w:rPr>
          <w:rFonts w:ascii="Times New Roman" w:hAnsi="Times New Roman" w:cs="Times New Roman"/>
          <w:b/>
          <w:sz w:val="24"/>
          <w:szCs w:val="24"/>
        </w:rPr>
        <w:t>$</w:t>
      </w:r>
      <w:r w:rsidRPr="001D72D8" w:rsidR="000327B6">
        <w:rPr>
          <w:rFonts w:ascii="Times New Roman" w:hAnsi="Times New Roman" w:cs="Times New Roman"/>
          <w:b/>
          <w:sz w:val="24"/>
          <w:szCs w:val="24"/>
        </w:rPr>
        <w:t>50,1</w:t>
      </w:r>
      <w:r w:rsidR="001926E6">
        <w:rPr>
          <w:rFonts w:ascii="Times New Roman" w:hAnsi="Times New Roman" w:cs="Times New Roman"/>
          <w:b/>
          <w:sz w:val="24"/>
          <w:szCs w:val="24"/>
        </w:rPr>
        <w:t>95</w:t>
      </w:r>
      <w:r w:rsidRPr="001D72D8" w:rsidR="0059764E">
        <w:rPr>
          <w:rFonts w:ascii="Times New Roman" w:hAnsi="Times New Roman" w:cs="Times New Roman"/>
          <w:b/>
          <w:sz w:val="24"/>
          <w:szCs w:val="24"/>
        </w:rPr>
        <w:t xml:space="preserve"> </w:t>
      </w:r>
      <w:r w:rsidRPr="001D72D8">
        <w:rPr>
          <w:rFonts w:ascii="Times New Roman" w:hAnsi="Times New Roman" w:cs="Times New Roman"/>
          <w:sz w:val="24"/>
          <w:szCs w:val="24"/>
        </w:rPr>
        <w:t>(</w:t>
      </w:r>
      <w:r w:rsidRPr="001D72D8" w:rsidR="00281A8C">
        <w:rPr>
          <w:rFonts w:ascii="Times New Roman" w:hAnsi="Times New Roman" w:cs="Times New Roman"/>
          <w:sz w:val="24"/>
          <w:szCs w:val="24"/>
        </w:rPr>
        <w:t>1</w:t>
      </w:r>
      <w:r w:rsidRPr="001D72D8" w:rsidR="0059764E">
        <w:rPr>
          <w:rFonts w:ascii="Times New Roman" w:hAnsi="Times New Roman" w:cs="Times New Roman"/>
          <w:sz w:val="24"/>
          <w:szCs w:val="24"/>
        </w:rPr>
        <w:t>,</w:t>
      </w:r>
      <w:r w:rsidRPr="001D72D8" w:rsidR="005F5CB6">
        <w:rPr>
          <w:rFonts w:ascii="Times New Roman" w:hAnsi="Times New Roman" w:cs="Times New Roman"/>
          <w:sz w:val="24"/>
          <w:szCs w:val="24"/>
        </w:rPr>
        <w:t>253</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40.06</w:t>
      </w:r>
      <w:r w:rsidRPr="001D72D8">
        <w:rPr>
          <w:rFonts w:ascii="Times New Roman" w:hAnsi="Times New Roman" w:cs="Times New Roman"/>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12.32)</w:t>
      </w:r>
    </w:p>
    <w:p w:rsidR="00B41FE8" w:rsidRPr="00B41FE8" w:rsidP="00B41FE8" w14:paraId="6F82F39B" w14:textId="77777777">
      <w:pPr>
        <w:pStyle w:val="BodyText"/>
      </w:pPr>
    </w:p>
    <w:p w:rsidR="00332B7B" w:rsidRPr="001D72D8" w:rsidP="00432DCE" w14:paraId="3215E282"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438.110 Member advisory committee</w:t>
      </w:r>
      <w:r w:rsidRPr="001D72D8">
        <w:rPr>
          <w:rFonts w:ascii="Times New Roman" w:hAnsi="Times New Roman" w:cs="Times New Roman"/>
          <w:sz w:val="24"/>
          <w:szCs w:val="24"/>
        </w:rPr>
        <w:t xml:space="preserve"> </w:t>
      </w:r>
    </w:p>
    <w:p w:rsidR="00624B15" w:rsidRPr="001D72D8" w:rsidP="00432DCE" w14:paraId="56066B23" w14:textId="46A2D802">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Section</w:t>
      </w:r>
      <w:r w:rsidRPr="001D72D8">
        <w:rPr>
          <w:rFonts w:ascii="Times New Roman" w:hAnsi="Times New Roman" w:cs="Times New Roman"/>
          <w:iCs/>
          <w:sz w:val="24"/>
          <w:szCs w:val="24"/>
        </w:rPr>
        <w:t xml:space="preserve"> 438.110(a) requires that each MCO, PIHP, and PAHP establish and maintain a member advisory board if the LTSS population is covered under the contract.  </w:t>
      </w:r>
      <w:bookmarkStart w:id="55" w:name="_Hlk83720563"/>
      <w:r w:rsidRPr="001D72D8">
        <w:rPr>
          <w:rFonts w:ascii="Times New Roman" w:hAnsi="Times New Roman" w:cs="Times New Roman"/>
          <w:iCs/>
          <w:sz w:val="24"/>
          <w:szCs w:val="24"/>
        </w:rPr>
        <w:t xml:space="preserve">We estimate an annual private sector burden of 6 hr at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for a business operations specialist to maintain the operation of the committee (hold meetings, distribute materials to members, and maintain minutes) for up to 14 new programs.  Existing programs already meet this requirement.  In aggregate, we estimate </w:t>
      </w:r>
      <w:r w:rsidRPr="001D72D8">
        <w:rPr>
          <w:rFonts w:ascii="Times New Roman" w:hAnsi="Times New Roman" w:cs="Times New Roman"/>
          <w:b/>
          <w:iCs/>
          <w:sz w:val="24"/>
          <w:szCs w:val="24"/>
        </w:rPr>
        <w:t>84 h</w:t>
      </w:r>
      <w:r w:rsidR="00AA2C2A">
        <w:rPr>
          <w:rFonts w:ascii="Times New Roman" w:hAnsi="Times New Roman" w:cs="Times New Roman"/>
          <w:b/>
          <w:iCs/>
          <w:sz w:val="24"/>
          <w:szCs w:val="24"/>
        </w:rPr>
        <w:t>ours</w:t>
      </w:r>
      <w:r w:rsidRPr="001D72D8">
        <w:rPr>
          <w:rFonts w:ascii="Times New Roman" w:hAnsi="Times New Roman" w:cs="Times New Roman"/>
          <w:iCs/>
          <w:sz w:val="24"/>
          <w:szCs w:val="24"/>
        </w:rPr>
        <w:t xml:space="preserve"> (14 </w:t>
      </w:r>
      <w:r w:rsidRPr="001D72D8" w:rsidR="005005B6">
        <w:rPr>
          <w:rFonts w:ascii="Times New Roman" w:hAnsi="Times New Roman" w:cs="Times New Roman"/>
          <w:iCs/>
          <w:sz w:val="24"/>
          <w:szCs w:val="24"/>
        </w:rPr>
        <w:t>programs</w:t>
      </w:r>
      <w:r w:rsidRPr="001D72D8">
        <w:rPr>
          <w:rFonts w:ascii="Times New Roman" w:hAnsi="Times New Roman" w:cs="Times New Roman"/>
          <w:iCs/>
          <w:sz w:val="24"/>
          <w:szCs w:val="24"/>
        </w:rPr>
        <w:t xml:space="preserve"> x 6 hr) and </w:t>
      </w:r>
      <w:r w:rsidRPr="001D72D8">
        <w:rPr>
          <w:rFonts w:ascii="Times New Roman" w:hAnsi="Times New Roman" w:cs="Times New Roman"/>
          <w:b/>
          <w:iCs/>
          <w:sz w:val="24"/>
          <w:szCs w:val="24"/>
        </w:rPr>
        <w:t>$</w:t>
      </w:r>
      <w:r w:rsidRPr="001D72D8" w:rsidR="000327B6">
        <w:rPr>
          <w:rFonts w:ascii="Times New Roman" w:hAnsi="Times New Roman" w:cs="Times New Roman"/>
          <w:b/>
          <w:iCs/>
          <w:sz w:val="24"/>
          <w:szCs w:val="24"/>
        </w:rPr>
        <w:t>7,499</w:t>
      </w:r>
      <w:r w:rsidRPr="001D72D8">
        <w:rPr>
          <w:rFonts w:ascii="Times New Roman" w:hAnsi="Times New Roman" w:cs="Times New Roman"/>
          <w:iCs/>
          <w:sz w:val="24"/>
          <w:szCs w:val="24"/>
        </w:rPr>
        <w:t xml:space="preserve"> (84</w:t>
      </w:r>
      <w:r w:rsidR="00AA2C2A">
        <w:rPr>
          <w:rFonts w:ascii="Times New Roman" w:hAnsi="Times New Roman" w:cs="Times New Roman"/>
          <w:iCs/>
          <w:sz w:val="24"/>
          <w:szCs w:val="24"/>
        </w:rPr>
        <w:t xml:space="preserve"> </w:t>
      </w:r>
      <w:r w:rsidRPr="001D72D8">
        <w:rPr>
          <w:rFonts w:ascii="Times New Roman" w:hAnsi="Times New Roman" w:cs="Times New Roman"/>
          <w:iCs/>
          <w:sz w:val="24"/>
          <w:szCs w:val="24"/>
        </w:rPr>
        <w:t xml:space="preserve">hr x </w:t>
      </w:r>
      <w:r w:rsidRPr="001D72D8" w:rsidR="00DC6A2E">
        <w:rPr>
          <w:rFonts w:ascii="Times New Roman" w:hAnsi="Times New Roman" w:cs="Times New Roman"/>
          <w:iCs/>
          <w:sz w:val="24"/>
          <w:szCs w:val="24"/>
        </w:rPr>
        <w:t>$</w:t>
      </w:r>
      <w:r w:rsidRPr="001D72D8" w:rsidR="00C03548">
        <w:rPr>
          <w:rFonts w:ascii="Times New Roman" w:hAnsi="Times New Roman" w:cs="Times New Roman"/>
          <w:iCs/>
          <w:sz w:val="24"/>
          <w:szCs w:val="24"/>
        </w:rPr>
        <w:t>89.26</w:t>
      </w:r>
      <w:r w:rsidRPr="001D72D8">
        <w:rPr>
          <w:rFonts w:ascii="Times New Roman" w:hAnsi="Times New Roman" w:cs="Times New Roman"/>
          <w:i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12.33)</w:t>
      </w:r>
      <w:bookmarkEnd w:id="55"/>
    </w:p>
    <w:p w:rsidR="000000D8" w:rsidRPr="001D72D8" w:rsidP="00432DCE" w14:paraId="6B9D81CC" w14:textId="77777777">
      <w:pPr>
        <w:spacing w:after="0" w:line="240" w:lineRule="auto"/>
        <w:rPr>
          <w:rFonts w:ascii="Times New Roman" w:hAnsi="Times New Roman" w:cs="Times New Roman"/>
          <w:sz w:val="24"/>
          <w:szCs w:val="24"/>
          <w:u w:val="single"/>
        </w:rPr>
      </w:pPr>
    </w:p>
    <w:p w:rsidR="00D512FA" w:rsidP="00432DCE" w14:paraId="61379F38"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D-MCO, PIHP and PAHP Standards</w:t>
      </w:r>
    </w:p>
    <w:p w:rsidR="00B41FE8" w:rsidRPr="001D72D8" w:rsidP="00432DCE" w14:paraId="5E6863FE" w14:textId="77777777">
      <w:pPr>
        <w:pStyle w:val="BodyText"/>
        <w:spacing w:after="0" w:line="240" w:lineRule="auto"/>
        <w:jc w:val="center"/>
        <w:rPr>
          <w:rFonts w:ascii="Times New Roman" w:hAnsi="Times New Roman" w:cs="Times New Roman"/>
          <w:b/>
          <w:sz w:val="24"/>
          <w:szCs w:val="24"/>
        </w:rPr>
      </w:pPr>
    </w:p>
    <w:p w:rsidR="002D2AC6" w:rsidRPr="001D72D8" w:rsidP="00432DCE" w14:paraId="72A7BA49" w14:textId="6E31CB7A">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Subpart D specifies requirements for managed care plans in a managed care program including for access to services and data collection and reporting.</w:t>
      </w:r>
    </w:p>
    <w:p w:rsidR="000000D8" w:rsidRPr="001D72D8" w:rsidP="00432DCE" w14:paraId="63C49F3D" w14:textId="77777777">
      <w:pPr>
        <w:spacing w:after="0" w:line="240" w:lineRule="auto"/>
        <w:rPr>
          <w:rFonts w:ascii="Times New Roman" w:hAnsi="Times New Roman" w:cs="Times New Roman"/>
          <w:sz w:val="24"/>
          <w:szCs w:val="24"/>
          <w:u w:val="single"/>
        </w:rPr>
      </w:pPr>
    </w:p>
    <w:p w:rsidR="00332B7B" w:rsidRPr="001D72D8" w:rsidP="00432DCE" w14:paraId="3495857D" w14:textId="0CEFBA24">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438.207 Assurance of adequate capacity and services</w:t>
      </w:r>
    </w:p>
    <w:p w:rsidR="00624B15" w:rsidP="00432DCE" w14:paraId="507398A9" w14:textId="05E98892">
      <w:pPr>
        <w:spacing w:after="0" w:line="240" w:lineRule="auto"/>
        <w:rPr>
          <w:rFonts w:ascii="Times New Roman" w:hAnsi="Times New Roman" w:cs="Times New Roman"/>
          <w:b/>
          <w:iCs/>
          <w:sz w:val="24"/>
          <w:szCs w:val="24"/>
        </w:rPr>
      </w:pPr>
      <w:r w:rsidRPr="001D72D8">
        <w:rPr>
          <w:rFonts w:ascii="Times New Roman" w:hAnsi="Times New Roman" w:cs="Times New Roman"/>
          <w:sz w:val="24"/>
          <w:szCs w:val="24"/>
        </w:rPr>
        <w:t xml:space="preserve">Section </w:t>
      </w:r>
      <w:r w:rsidRPr="001D72D8" w:rsidR="00644841">
        <w:rPr>
          <w:rFonts w:ascii="Times New Roman" w:hAnsi="Times New Roman" w:cs="Times New Roman"/>
          <w:sz w:val="24"/>
          <w:szCs w:val="24"/>
        </w:rPr>
        <w:t xml:space="preserve">438.207(b) through (c) require MCOs, PIHPs, and PAHPs to submit documentation to the state of their compliance with §438.207(a).  </w:t>
      </w:r>
      <w:r w:rsidRPr="001D72D8">
        <w:rPr>
          <w:rFonts w:ascii="Times New Roman" w:hAnsi="Times New Roman" w:cs="Times New Roman"/>
          <w:sz w:val="24"/>
          <w:szCs w:val="24"/>
        </w:rPr>
        <w:t>We estimate an annual private sector burden of 2 hr to compile and submit the information necessary to meet the requirements in §438.207(b) through (</w:t>
      </w:r>
      <w:r w:rsidRPr="001D72D8" w:rsidR="009353FD">
        <w:rPr>
          <w:rFonts w:ascii="Times New Roman" w:hAnsi="Times New Roman" w:cs="Times New Roman"/>
          <w:sz w:val="24"/>
          <w:szCs w:val="24"/>
        </w:rPr>
        <w:t>c</w:t>
      </w:r>
      <w:r w:rsidRPr="001D72D8">
        <w:rPr>
          <w:rFonts w:ascii="Times New Roman" w:hAnsi="Times New Roman" w:cs="Times New Roman"/>
          <w:sz w:val="24"/>
          <w:szCs w:val="24"/>
        </w:rPr>
        <w:t xml:space="preserve">).  For compilation and submission, we estimate </w:t>
      </w:r>
      <w:r w:rsidRPr="001D72D8" w:rsidR="00475EA7">
        <w:rPr>
          <w:rFonts w:ascii="Times New Roman" w:hAnsi="Times New Roman" w:cs="Times New Roman"/>
          <w:b/>
          <w:sz w:val="24"/>
          <w:szCs w:val="24"/>
        </w:rPr>
        <w:t>1,340</w:t>
      </w:r>
      <w:r w:rsidRPr="001D72D8">
        <w:rPr>
          <w:rFonts w:ascii="Times New Roman" w:hAnsi="Times New Roman" w:cs="Times New Roman"/>
          <w:b/>
          <w:sz w:val="24"/>
          <w:szCs w:val="24"/>
        </w:rPr>
        <w:t xml:space="preserve">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w:t>
      </w:r>
      <w:r w:rsidRPr="001D72D8" w:rsidR="00B8676D">
        <w:rPr>
          <w:rFonts w:ascii="Times New Roman" w:hAnsi="Times New Roman" w:cs="Times New Roman"/>
          <w:sz w:val="24"/>
          <w:szCs w:val="24"/>
        </w:rPr>
        <w:t>670</w:t>
      </w:r>
      <w:r w:rsidRPr="001D72D8">
        <w:rPr>
          <w:rFonts w:ascii="Times New Roman" w:hAnsi="Times New Roman" w:cs="Times New Roman"/>
          <w:sz w:val="24"/>
          <w:szCs w:val="24"/>
        </w:rPr>
        <w:t xml:space="preserve"> entities x 2 hr) and </w:t>
      </w:r>
      <w:r w:rsidRPr="001D72D8">
        <w:rPr>
          <w:rFonts w:ascii="Times New Roman" w:hAnsi="Times New Roman" w:cs="Times New Roman"/>
          <w:b/>
          <w:sz w:val="24"/>
          <w:szCs w:val="24"/>
        </w:rPr>
        <w:t>$</w:t>
      </w:r>
      <w:r w:rsidR="00C62479">
        <w:rPr>
          <w:rFonts w:ascii="Times New Roman" w:hAnsi="Times New Roman" w:cs="Times New Roman"/>
          <w:b/>
          <w:sz w:val="24"/>
          <w:szCs w:val="24"/>
        </w:rPr>
        <w:t>119,</w:t>
      </w:r>
      <w:r w:rsidR="003614D0">
        <w:rPr>
          <w:rFonts w:ascii="Times New Roman" w:hAnsi="Times New Roman" w:cs="Times New Roman"/>
          <w:b/>
          <w:sz w:val="24"/>
          <w:szCs w:val="24"/>
        </w:rPr>
        <w:t>568</w:t>
      </w:r>
      <w:r w:rsidRPr="001D72D8" w:rsidR="00281A8C">
        <w:rPr>
          <w:rFonts w:ascii="Times New Roman" w:hAnsi="Times New Roman" w:cs="Times New Roman"/>
          <w:b/>
          <w:sz w:val="24"/>
          <w:szCs w:val="24"/>
        </w:rPr>
        <w:t xml:space="preserve"> </w:t>
      </w:r>
      <w:r w:rsidRPr="001D72D8">
        <w:rPr>
          <w:rFonts w:ascii="Times New Roman" w:hAnsi="Times New Roman" w:cs="Times New Roman"/>
          <w:sz w:val="24"/>
          <w:szCs w:val="24"/>
        </w:rPr>
        <w:t>(</w:t>
      </w:r>
      <w:r w:rsidR="00490069">
        <w:rPr>
          <w:rFonts w:ascii="Times New Roman" w:hAnsi="Times New Roman" w:cs="Times New Roman"/>
          <w:sz w:val="24"/>
          <w:szCs w:val="24"/>
        </w:rPr>
        <w:t>1,340</w:t>
      </w:r>
      <w:r w:rsidRPr="001D72D8">
        <w:rPr>
          <w:rFonts w:ascii="Times New Roman" w:hAnsi="Times New Roman" w:cs="Times New Roman"/>
          <w:sz w:val="24"/>
          <w:szCs w:val="24"/>
        </w:rPr>
        <w:t xml:space="preserve"> hr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w:t>
      </w:r>
      <w:bookmarkStart w:id="56" w:name="_Hlk83721573"/>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12.34b)</w:t>
      </w:r>
      <w:bookmarkEnd w:id="56"/>
    </w:p>
    <w:p w:rsidR="00B41FE8" w:rsidRPr="00B41FE8" w:rsidP="00B41FE8" w14:paraId="1C35E63B" w14:textId="77777777">
      <w:pPr>
        <w:pStyle w:val="BodyText"/>
      </w:pPr>
    </w:p>
    <w:p w:rsidR="00466B5F" w:rsidP="00432DCE" w14:paraId="1F7410DE" w14:textId="6FCB57D7">
      <w:pPr>
        <w:pStyle w:val="BodyText"/>
        <w:spacing w:after="0" w:line="240" w:lineRule="auto"/>
        <w:rPr>
          <w:rFonts w:ascii="Times New Roman" w:hAnsi="Times New Roman" w:cs="Times New Roman"/>
          <w:b/>
          <w:iCs/>
          <w:sz w:val="24"/>
          <w:szCs w:val="24"/>
        </w:rPr>
      </w:pPr>
      <w:r w:rsidRPr="001D72D8">
        <w:rPr>
          <w:rFonts w:ascii="Times New Roman" w:hAnsi="Times New Roman" w:cs="Times New Roman"/>
          <w:bCs/>
          <w:sz w:val="24"/>
          <w:szCs w:val="24"/>
        </w:rPr>
        <w:t>Section 438.207(d)</w:t>
      </w:r>
      <w:r w:rsidRPr="001D72D8">
        <w:rPr>
          <w:rFonts w:ascii="Times New Roman" w:hAnsi="Times New Roman" w:cs="Times New Roman"/>
          <w:b/>
          <w:bCs/>
          <w:sz w:val="24"/>
          <w:szCs w:val="24"/>
        </w:rPr>
        <w:t xml:space="preserve"> </w:t>
      </w:r>
      <w:r w:rsidRPr="001D72D8">
        <w:rPr>
          <w:rFonts w:ascii="Times New Roman" w:hAnsi="Times New Roman" w:cs="Times New Roman"/>
          <w:sz w:val="24"/>
          <w:szCs w:val="24"/>
        </w:rPr>
        <w:t xml:space="preserve">requires </w:t>
      </w:r>
      <w:r w:rsidRPr="001D72D8" w:rsidR="00377FAC">
        <w:rPr>
          <w:rFonts w:ascii="Times New Roman" w:hAnsi="Times New Roman" w:cs="Times New Roman"/>
          <w:sz w:val="24"/>
          <w:szCs w:val="24"/>
        </w:rPr>
        <w:t>s</w:t>
      </w:r>
      <w:r w:rsidRPr="001D72D8">
        <w:rPr>
          <w:rFonts w:ascii="Times New Roman" w:hAnsi="Times New Roman" w:cs="Times New Roman"/>
          <w:sz w:val="24"/>
          <w:szCs w:val="24"/>
        </w:rPr>
        <w:t>tate</w:t>
      </w:r>
      <w:r w:rsidRPr="001D72D8" w:rsidR="00377FAC">
        <w:rPr>
          <w:rFonts w:ascii="Times New Roman" w:hAnsi="Times New Roman" w:cs="Times New Roman"/>
          <w:sz w:val="24"/>
          <w:szCs w:val="24"/>
        </w:rPr>
        <w:t>s</w:t>
      </w:r>
      <w:r w:rsidRPr="001D72D8">
        <w:rPr>
          <w:rFonts w:ascii="Times New Roman" w:hAnsi="Times New Roman" w:cs="Times New Roman"/>
          <w:sz w:val="24"/>
          <w:szCs w:val="24"/>
        </w:rPr>
        <w:t xml:space="preserve"> t</w:t>
      </w:r>
      <w:r w:rsidRPr="001D72D8" w:rsidR="00377FAC">
        <w:rPr>
          <w:rFonts w:ascii="Times New Roman" w:hAnsi="Times New Roman" w:cs="Times New Roman"/>
          <w:sz w:val="24"/>
          <w:szCs w:val="24"/>
        </w:rPr>
        <w:t>o</w:t>
      </w:r>
      <w:r w:rsidRPr="001D72D8">
        <w:rPr>
          <w:rFonts w:ascii="Times New Roman" w:hAnsi="Times New Roman" w:cs="Times New Roman"/>
          <w:sz w:val="24"/>
          <w:szCs w:val="24"/>
        </w:rPr>
        <w:t xml:space="preserve"> submit </w:t>
      </w:r>
      <w:r w:rsidRPr="001D72D8" w:rsidR="00244628">
        <w:rPr>
          <w:rFonts w:ascii="Times New Roman" w:hAnsi="Times New Roman" w:cs="Times New Roman"/>
          <w:sz w:val="24"/>
          <w:szCs w:val="24"/>
        </w:rPr>
        <w:t xml:space="preserve">through the Medicaid Data Collection Tool </w:t>
      </w:r>
      <w:r w:rsidRPr="001D72D8">
        <w:rPr>
          <w:rFonts w:ascii="Times New Roman" w:hAnsi="Times New Roman" w:cs="Times New Roman"/>
          <w:sz w:val="24"/>
          <w:szCs w:val="24"/>
        </w:rPr>
        <w:t>an assurance of compliance to CMS that the</w:t>
      </w:r>
      <w:r w:rsidRPr="001D72D8" w:rsidR="004F0CAE">
        <w:rPr>
          <w:rFonts w:ascii="Times New Roman" w:hAnsi="Times New Roman" w:cs="Times New Roman"/>
          <w:sz w:val="24"/>
          <w:szCs w:val="24"/>
        </w:rPr>
        <w:t>ir</w:t>
      </w:r>
      <w:r w:rsidRPr="001D72D8">
        <w:rPr>
          <w:rFonts w:ascii="Times New Roman" w:hAnsi="Times New Roman" w:cs="Times New Roman"/>
          <w:sz w:val="24"/>
          <w:szCs w:val="24"/>
        </w:rPr>
        <w:t xml:space="preserve"> MCO</w:t>
      </w:r>
      <w:r w:rsidRPr="001D72D8" w:rsidR="004F0CAE">
        <w:rPr>
          <w:rFonts w:ascii="Times New Roman" w:hAnsi="Times New Roman" w:cs="Times New Roman"/>
          <w:sz w:val="24"/>
          <w:szCs w:val="24"/>
        </w:rPr>
        <w:t>s</w:t>
      </w:r>
      <w:r w:rsidRPr="001D72D8">
        <w:rPr>
          <w:rFonts w:ascii="Times New Roman" w:hAnsi="Times New Roman" w:cs="Times New Roman"/>
          <w:sz w:val="24"/>
          <w:szCs w:val="24"/>
        </w:rPr>
        <w:t>, PIHP</w:t>
      </w:r>
      <w:r w:rsidRPr="001D72D8" w:rsidR="004F0CAE">
        <w:rPr>
          <w:rFonts w:ascii="Times New Roman" w:hAnsi="Times New Roman" w:cs="Times New Roman"/>
          <w:sz w:val="24"/>
          <w:szCs w:val="24"/>
        </w:rPr>
        <w:t>s</w:t>
      </w:r>
      <w:r w:rsidRPr="001D72D8">
        <w:rPr>
          <w:rFonts w:ascii="Times New Roman" w:hAnsi="Times New Roman" w:cs="Times New Roman"/>
          <w:sz w:val="24"/>
          <w:szCs w:val="24"/>
        </w:rPr>
        <w:t xml:space="preserve">, </w:t>
      </w:r>
      <w:r w:rsidRPr="001D72D8" w:rsidR="004F0CAE">
        <w:rPr>
          <w:rFonts w:ascii="Times New Roman" w:hAnsi="Times New Roman" w:cs="Times New Roman"/>
          <w:sz w:val="24"/>
          <w:szCs w:val="24"/>
        </w:rPr>
        <w:t>and</w:t>
      </w:r>
      <w:r w:rsidRPr="001D72D8">
        <w:rPr>
          <w:rFonts w:ascii="Times New Roman" w:hAnsi="Times New Roman" w:cs="Times New Roman"/>
          <w:sz w:val="24"/>
          <w:szCs w:val="24"/>
        </w:rPr>
        <w:t xml:space="preserve"> PAHP</w:t>
      </w:r>
      <w:r w:rsidRPr="001D72D8" w:rsidR="004F0CAE">
        <w:rPr>
          <w:rFonts w:ascii="Times New Roman" w:hAnsi="Times New Roman" w:cs="Times New Roman"/>
          <w:sz w:val="24"/>
          <w:szCs w:val="24"/>
        </w:rPr>
        <w:t>s</w:t>
      </w:r>
      <w:r w:rsidRPr="001D72D8">
        <w:rPr>
          <w:rFonts w:ascii="Times New Roman" w:hAnsi="Times New Roman" w:cs="Times New Roman"/>
          <w:sz w:val="24"/>
          <w:szCs w:val="24"/>
        </w:rPr>
        <w:t xml:space="preserve"> meet the State's requirements for availability of services</w:t>
      </w:r>
      <w:r w:rsidRPr="001D72D8" w:rsidR="004F0CAE">
        <w:rPr>
          <w:rFonts w:ascii="Times New Roman" w:hAnsi="Times New Roman" w:cs="Times New Roman"/>
          <w:sz w:val="24"/>
          <w:szCs w:val="24"/>
        </w:rPr>
        <w:t xml:space="preserve">.    </w:t>
      </w:r>
      <w:r w:rsidRPr="001D72D8" w:rsidR="00F51276">
        <w:rPr>
          <w:rFonts w:ascii="Times New Roman" w:hAnsi="Times New Roman" w:cs="Times New Roman"/>
          <w:sz w:val="24"/>
          <w:szCs w:val="24"/>
        </w:rPr>
        <w:t xml:space="preserve">We estimate an annual state burden of </w:t>
      </w:r>
      <w:r w:rsidRPr="001D72D8">
        <w:rPr>
          <w:rFonts w:ascii="Times New Roman" w:hAnsi="Times New Roman" w:cs="Times New Roman"/>
          <w:sz w:val="24"/>
          <w:szCs w:val="24"/>
        </w:rPr>
        <w:t xml:space="preserve">3 hours for a </w:t>
      </w:r>
      <w:r w:rsidRPr="001D72D8" w:rsidR="004F0CAE">
        <w:rPr>
          <w:rFonts w:ascii="Times New Roman" w:hAnsi="Times New Roman" w:cs="Times New Roman"/>
          <w:sz w:val="24"/>
          <w:szCs w:val="24"/>
        </w:rPr>
        <w:t>business operations specialist</w:t>
      </w:r>
      <w:r w:rsidRPr="001D72D8" w:rsidR="00F51276">
        <w:rPr>
          <w:rFonts w:ascii="Times New Roman" w:hAnsi="Times New Roman" w:cs="Times New Roman"/>
          <w:sz w:val="24"/>
          <w:szCs w:val="24"/>
        </w:rPr>
        <w:t xml:space="preserve"> at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sidR="00F51276">
        <w:rPr>
          <w:rFonts w:ascii="Times New Roman" w:hAnsi="Times New Roman" w:cs="Times New Roman"/>
          <w:sz w:val="24"/>
          <w:szCs w:val="24"/>
        </w:rPr>
        <w:t>/hr</w:t>
      </w:r>
      <w:r w:rsidRPr="001D72D8" w:rsidR="004F0CAE">
        <w:rPr>
          <w:rFonts w:ascii="Times New Roman" w:hAnsi="Times New Roman" w:cs="Times New Roman"/>
          <w:sz w:val="24"/>
          <w:szCs w:val="24"/>
        </w:rPr>
        <w:t xml:space="preserve">. </w:t>
      </w:r>
      <w:r w:rsidRPr="001D72D8" w:rsidR="00097C7A">
        <w:rPr>
          <w:rFonts w:ascii="Times New Roman" w:hAnsi="Times New Roman" w:cs="Times New Roman"/>
          <w:sz w:val="24"/>
          <w:szCs w:val="24"/>
        </w:rPr>
        <w:t xml:space="preserve"> Although states may need to submit a revision to this report at other times during a year (specified at 438.207(c)), we believe these submissions will be infrequent and </w:t>
      </w:r>
      <w:r w:rsidRPr="001D72D8" w:rsidR="004B3F24">
        <w:rPr>
          <w:rFonts w:ascii="Times New Roman" w:hAnsi="Times New Roman" w:cs="Times New Roman"/>
          <w:sz w:val="24"/>
          <w:szCs w:val="24"/>
        </w:rPr>
        <w:t xml:space="preserve">require minimal updating to the template; therefore, the burden estimated here in </w:t>
      </w:r>
      <w:r w:rsidRPr="001D72D8" w:rsidR="004B3F24">
        <w:rPr>
          <w:rFonts w:ascii="Times New Roman" w:hAnsi="Times New Roman" w:cs="Times New Roman"/>
          <w:sz w:val="24"/>
          <w:szCs w:val="24"/>
        </w:rPr>
        <w:t xml:space="preserve">inclusive of occasional revisions. </w:t>
      </w:r>
      <w:r w:rsidRPr="001D72D8" w:rsidR="004F0CAE">
        <w:rPr>
          <w:rFonts w:ascii="Times New Roman" w:hAnsi="Times New Roman" w:cs="Times New Roman"/>
          <w:sz w:val="24"/>
          <w:szCs w:val="24"/>
        </w:rPr>
        <w:t xml:space="preserve"> </w:t>
      </w:r>
      <w:r w:rsidRPr="001D72D8" w:rsidR="004B3F24">
        <w:rPr>
          <w:rFonts w:ascii="Times New Roman" w:hAnsi="Times New Roman" w:cs="Times New Roman"/>
          <w:sz w:val="24"/>
          <w:szCs w:val="24"/>
        </w:rPr>
        <w:t>I</w:t>
      </w:r>
      <w:r w:rsidRPr="001D72D8" w:rsidR="00097C7A">
        <w:rPr>
          <w:rFonts w:ascii="Times New Roman" w:hAnsi="Times New Roman" w:cs="Times New Roman"/>
          <w:sz w:val="24"/>
          <w:szCs w:val="24"/>
        </w:rPr>
        <w:t>n aggregate, w</w:t>
      </w:r>
      <w:r w:rsidRPr="001D72D8" w:rsidR="004F0CAE">
        <w:rPr>
          <w:rFonts w:ascii="Times New Roman" w:hAnsi="Times New Roman" w:cs="Times New Roman"/>
          <w:sz w:val="24"/>
          <w:szCs w:val="24"/>
        </w:rPr>
        <w:t xml:space="preserve">e estimate an annual state burden of </w:t>
      </w:r>
      <w:r w:rsidRPr="001D72D8" w:rsidR="004F0CAE">
        <w:rPr>
          <w:rFonts w:ascii="Times New Roman" w:hAnsi="Times New Roman" w:cs="Times New Roman"/>
          <w:b/>
          <w:sz w:val="24"/>
          <w:szCs w:val="24"/>
        </w:rPr>
        <w:t>1</w:t>
      </w:r>
      <w:r w:rsidRPr="001D72D8" w:rsidR="00895A41">
        <w:rPr>
          <w:rFonts w:ascii="Times New Roman" w:hAnsi="Times New Roman" w:cs="Times New Roman"/>
          <w:b/>
          <w:sz w:val="24"/>
          <w:szCs w:val="24"/>
        </w:rPr>
        <w:t>17</w:t>
      </w:r>
      <w:r w:rsidRPr="001D72D8" w:rsidR="004F0CAE">
        <w:rPr>
          <w:rFonts w:ascii="Times New Roman" w:hAnsi="Times New Roman" w:cs="Times New Roman"/>
          <w:b/>
          <w:sz w:val="24"/>
          <w:szCs w:val="24"/>
        </w:rPr>
        <w:t xml:space="preserve"> </w:t>
      </w:r>
      <w:r w:rsidRPr="001D72D8" w:rsidR="00CE47E5">
        <w:rPr>
          <w:rFonts w:ascii="Times New Roman" w:hAnsi="Times New Roman" w:cs="Times New Roman"/>
          <w:b/>
          <w:sz w:val="24"/>
          <w:szCs w:val="24"/>
        </w:rPr>
        <w:t>h</w:t>
      </w:r>
      <w:r w:rsidR="00AA2C2A">
        <w:rPr>
          <w:rFonts w:ascii="Times New Roman" w:hAnsi="Times New Roman" w:cs="Times New Roman"/>
          <w:b/>
          <w:sz w:val="24"/>
          <w:szCs w:val="24"/>
        </w:rPr>
        <w:t>ours</w:t>
      </w:r>
      <w:r w:rsidRPr="001D72D8" w:rsidR="004F0CAE">
        <w:rPr>
          <w:rFonts w:ascii="Times New Roman" w:hAnsi="Times New Roman" w:cs="Times New Roman"/>
          <w:sz w:val="24"/>
          <w:szCs w:val="24"/>
        </w:rPr>
        <w:t xml:space="preserve"> (</w:t>
      </w:r>
      <w:r w:rsidRPr="001D72D8" w:rsidR="00895A41">
        <w:rPr>
          <w:rFonts w:ascii="Times New Roman" w:hAnsi="Times New Roman" w:cs="Times New Roman"/>
          <w:sz w:val="24"/>
          <w:szCs w:val="24"/>
        </w:rPr>
        <w:t xml:space="preserve">39 </w:t>
      </w:r>
      <w:r w:rsidRPr="001D72D8" w:rsidR="004F0CAE">
        <w:rPr>
          <w:rFonts w:ascii="Times New Roman" w:hAnsi="Times New Roman" w:cs="Times New Roman"/>
          <w:sz w:val="24"/>
          <w:szCs w:val="24"/>
        </w:rPr>
        <w:t>state</w:t>
      </w:r>
      <w:r w:rsidR="00EE2FE1">
        <w:rPr>
          <w:rFonts w:ascii="Times New Roman" w:hAnsi="Times New Roman" w:cs="Times New Roman"/>
          <w:sz w:val="24"/>
          <w:szCs w:val="24"/>
        </w:rPr>
        <w:t>s</w:t>
      </w:r>
      <w:r w:rsidRPr="001D72D8" w:rsidR="004F0CAE">
        <w:rPr>
          <w:rFonts w:ascii="Times New Roman" w:hAnsi="Times New Roman" w:cs="Times New Roman"/>
          <w:sz w:val="24"/>
          <w:szCs w:val="24"/>
        </w:rPr>
        <w:t xml:space="preserve"> x 3 </w:t>
      </w:r>
      <w:r w:rsidRPr="001D72D8" w:rsidR="00CE47E5">
        <w:rPr>
          <w:rFonts w:ascii="Times New Roman" w:hAnsi="Times New Roman" w:cs="Times New Roman"/>
          <w:sz w:val="24"/>
          <w:szCs w:val="24"/>
        </w:rPr>
        <w:t>hr</w:t>
      </w:r>
      <w:r w:rsidRPr="001D72D8" w:rsidR="004F0CAE">
        <w:rPr>
          <w:rFonts w:ascii="Times New Roman" w:hAnsi="Times New Roman" w:cs="Times New Roman"/>
          <w:sz w:val="24"/>
          <w:szCs w:val="24"/>
        </w:rPr>
        <w:t>)</w:t>
      </w:r>
      <w:r w:rsidRPr="001D72D8">
        <w:rPr>
          <w:rFonts w:ascii="Times New Roman" w:hAnsi="Times New Roman" w:cs="Times New Roman"/>
          <w:sz w:val="24"/>
          <w:szCs w:val="24"/>
        </w:rPr>
        <w:t xml:space="preserve"> </w:t>
      </w:r>
      <w:r w:rsidRPr="001D72D8" w:rsidR="004F0CAE">
        <w:rPr>
          <w:rFonts w:ascii="Times New Roman" w:hAnsi="Times New Roman" w:cs="Times New Roman"/>
          <w:sz w:val="24"/>
          <w:szCs w:val="24"/>
        </w:rPr>
        <w:t xml:space="preserve">and </w:t>
      </w:r>
      <w:r w:rsidRPr="001D72D8">
        <w:rPr>
          <w:rFonts w:ascii="Times New Roman" w:hAnsi="Times New Roman" w:cs="Times New Roman"/>
          <w:b/>
          <w:sz w:val="24"/>
          <w:szCs w:val="24"/>
        </w:rPr>
        <w:t>$</w:t>
      </w:r>
      <w:r w:rsidR="00B41DCC">
        <w:rPr>
          <w:rFonts w:ascii="Times New Roman" w:hAnsi="Times New Roman" w:cs="Times New Roman"/>
          <w:b/>
          <w:sz w:val="24"/>
          <w:szCs w:val="24"/>
        </w:rPr>
        <w:t>10,443</w:t>
      </w:r>
      <w:r w:rsidRPr="001D72D8">
        <w:rPr>
          <w:rFonts w:ascii="Times New Roman" w:hAnsi="Times New Roman" w:cs="Times New Roman"/>
          <w:sz w:val="24"/>
          <w:szCs w:val="24"/>
        </w:rPr>
        <w:t xml:space="preserve"> </w:t>
      </w:r>
      <w:r w:rsidRPr="001D72D8" w:rsidR="004F0CAE">
        <w:rPr>
          <w:rFonts w:ascii="Times New Roman" w:hAnsi="Times New Roman" w:cs="Times New Roman"/>
          <w:sz w:val="24"/>
          <w:szCs w:val="24"/>
        </w:rPr>
        <w:t>(1</w:t>
      </w:r>
      <w:r w:rsidR="00490069">
        <w:rPr>
          <w:rFonts w:ascii="Times New Roman" w:hAnsi="Times New Roman" w:cs="Times New Roman"/>
          <w:sz w:val="24"/>
          <w:szCs w:val="24"/>
        </w:rPr>
        <w:t>17</w:t>
      </w:r>
      <w:r w:rsidRPr="001D72D8" w:rsidR="004F0CAE">
        <w:rPr>
          <w:rFonts w:ascii="Times New Roman" w:hAnsi="Times New Roman" w:cs="Times New Roman"/>
          <w:sz w:val="24"/>
          <w:szCs w:val="24"/>
        </w:rPr>
        <w:t xml:space="preserve"> </w:t>
      </w:r>
      <w:r w:rsidRPr="001D72D8" w:rsidR="00CE47E5">
        <w:rPr>
          <w:rFonts w:ascii="Times New Roman" w:hAnsi="Times New Roman" w:cs="Times New Roman"/>
          <w:sz w:val="24"/>
          <w:szCs w:val="24"/>
        </w:rPr>
        <w:t>hr</w:t>
      </w:r>
      <w:r w:rsidRPr="001D72D8" w:rsidR="004F0CAE">
        <w:rPr>
          <w:rFonts w:ascii="Times New Roman" w:hAnsi="Times New Roman" w:cs="Times New Roman"/>
          <w:sz w:val="24"/>
          <w:szCs w:val="24"/>
        </w:rPr>
        <w:t xml:space="preserve">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sidR="004F0CAE">
        <w:rPr>
          <w:rFonts w:ascii="Times New Roman" w:hAnsi="Times New Roman" w:cs="Times New Roman"/>
          <w:sz w:val="24"/>
          <w:szCs w:val="24"/>
        </w:rPr>
        <w:t>/hr)</w:t>
      </w:r>
      <w:r w:rsidRPr="001D72D8">
        <w:rPr>
          <w:rFonts w:ascii="Times New Roman" w:hAnsi="Times New Roman" w:cs="Times New Roman"/>
          <w:sz w:val="24"/>
          <w:szCs w:val="24"/>
        </w:rPr>
        <w:t xml:space="preserve">  </w:t>
      </w:r>
      <w:r w:rsidRPr="001D72D8">
        <w:rPr>
          <w:rFonts w:ascii="Times New Roman" w:hAnsi="Times New Roman" w:cs="Times New Roman"/>
          <w:b/>
          <w:iCs/>
          <w:sz w:val="24"/>
          <w:szCs w:val="24"/>
        </w:rPr>
        <w:t>(ESTIMATE 12.34c)</w:t>
      </w:r>
    </w:p>
    <w:p w:rsidR="00B41FE8" w:rsidRPr="001D72D8" w:rsidP="00432DCE" w14:paraId="330B2CE0" w14:textId="77777777">
      <w:pPr>
        <w:pStyle w:val="BodyText"/>
        <w:spacing w:after="0" w:line="240" w:lineRule="auto"/>
        <w:rPr>
          <w:rFonts w:ascii="Times New Roman" w:hAnsi="Times New Roman" w:cs="Times New Roman"/>
          <w:sz w:val="24"/>
          <w:szCs w:val="24"/>
        </w:rPr>
      </w:pPr>
    </w:p>
    <w:p w:rsidR="00332B7B" w:rsidRPr="001D72D8" w:rsidP="00432DCE" w14:paraId="0F2BACF2" w14:textId="77777777">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u w:val="single"/>
        </w:rPr>
        <w:t>Section 438.208 Coordination and continuity of care</w:t>
      </w:r>
      <w:r w:rsidRPr="001D72D8" w:rsidR="001D12AA">
        <w:rPr>
          <w:rFonts w:ascii="Times New Roman" w:hAnsi="Times New Roman" w:cs="Times New Roman"/>
          <w:bCs/>
          <w:sz w:val="24"/>
          <w:szCs w:val="24"/>
          <w:u w:val="single"/>
        </w:rPr>
        <w:t>.</w:t>
      </w:r>
      <w:r w:rsidRPr="001D72D8">
        <w:rPr>
          <w:rFonts w:ascii="Times New Roman" w:hAnsi="Times New Roman" w:cs="Times New Roman"/>
          <w:bCs/>
          <w:sz w:val="24"/>
          <w:szCs w:val="24"/>
        </w:rPr>
        <w:t xml:space="preserve"> </w:t>
      </w:r>
    </w:p>
    <w:p w:rsidR="00624B15" w:rsidP="00432DCE" w14:paraId="7DB46023" w14:textId="0F03F153">
      <w:pPr>
        <w:spacing w:after="0" w:line="240" w:lineRule="auto"/>
        <w:rPr>
          <w:rFonts w:ascii="Times New Roman" w:hAnsi="Times New Roman" w:cs="Times New Roman"/>
          <w:b/>
          <w:iCs/>
          <w:sz w:val="24"/>
          <w:szCs w:val="24"/>
        </w:rPr>
      </w:pPr>
      <w:r w:rsidRPr="001D72D8">
        <w:rPr>
          <w:rFonts w:ascii="Times New Roman" w:hAnsi="Times New Roman" w:cs="Times New Roman"/>
          <w:bCs/>
          <w:sz w:val="24"/>
          <w:szCs w:val="24"/>
        </w:rPr>
        <w:t xml:space="preserve">Section 438.208(b)(2)(iii) requires that MCOs, PIHPs and PAHPs coordinate service delivery with the services the enrollee receives in the FFS program (carved out services).  This involves using data from the state to perform the needed coordination activities.  The exchange of data and the reports needed to perform the coordination activity is addressed in the requirements in §438.62(b)(2).  Since only a small percentage of enrollees receive carved out services and need assistance with coordination, we estimate </w:t>
      </w:r>
      <w:r w:rsidRPr="001D72D8" w:rsidR="009975FB">
        <w:rPr>
          <w:rFonts w:ascii="Times New Roman" w:hAnsi="Times New Roman" w:cs="Times New Roman"/>
          <w:bCs/>
          <w:sz w:val="24"/>
          <w:szCs w:val="24"/>
        </w:rPr>
        <w:t>3,030,655</w:t>
      </w:r>
      <w:r w:rsidRPr="001D72D8" w:rsidR="00BC56BD">
        <w:rPr>
          <w:rFonts w:ascii="Times New Roman" w:hAnsi="Times New Roman" w:cs="Times New Roman"/>
          <w:bCs/>
          <w:sz w:val="24"/>
          <w:szCs w:val="24"/>
        </w:rPr>
        <w:t xml:space="preserve"> </w:t>
      </w:r>
      <w:r w:rsidRPr="001D72D8">
        <w:rPr>
          <w:rFonts w:ascii="Times New Roman" w:hAnsi="Times New Roman" w:cs="Times New Roman"/>
          <w:bCs/>
          <w:sz w:val="24"/>
          <w:szCs w:val="24"/>
        </w:rPr>
        <w:t>of all MCO, PIHP, and PAHP enrollees (</w:t>
      </w:r>
      <w:r w:rsidRPr="001D72D8" w:rsidR="009975FB">
        <w:rPr>
          <w:rFonts w:ascii="Times New Roman" w:hAnsi="Times New Roman" w:cs="Times New Roman"/>
          <w:bCs/>
          <w:sz w:val="24"/>
          <w:szCs w:val="24"/>
        </w:rPr>
        <w:t xml:space="preserve">five percent </w:t>
      </w:r>
      <w:r w:rsidRPr="001D72D8">
        <w:rPr>
          <w:rFonts w:ascii="Times New Roman" w:hAnsi="Times New Roman" w:cs="Times New Roman"/>
          <w:bCs/>
          <w:sz w:val="24"/>
          <w:szCs w:val="24"/>
        </w:rPr>
        <w:t xml:space="preserve">of </w:t>
      </w:r>
      <w:r w:rsidRPr="001D72D8" w:rsidR="009353FD">
        <w:rPr>
          <w:rFonts w:ascii="Times New Roman" w:hAnsi="Times New Roman" w:cs="Times New Roman"/>
          <w:bCs/>
          <w:sz w:val="24"/>
          <w:szCs w:val="24"/>
        </w:rPr>
        <w:t>60,613,099</w:t>
      </w:r>
      <w:r w:rsidRPr="001D72D8">
        <w:rPr>
          <w:rFonts w:ascii="Times New Roman" w:hAnsi="Times New Roman" w:cs="Times New Roman"/>
          <w:bCs/>
          <w:sz w:val="24"/>
          <w:szCs w:val="24"/>
        </w:rPr>
        <w:t xml:space="preserve"> MCO, PIHP, and PAHP enrollees) will be affected.  We estimate an </w:t>
      </w:r>
      <w:r w:rsidRPr="001D72D8" w:rsidR="004428F7">
        <w:rPr>
          <w:rFonts w:ascii="Times New Roman" w:hAnsi="Times New Roman" w:cs="Times New Roman"/>
          <w:bCs/>
          <w:sz w:val="24"/>
          <w:szCs w:val="24"/>
        </w:rPr>
        <w:t>annual</w:t>
      </w:r>
      <w:r w:rsidRPr="001D72D8">
        <w:rPr>
          <w:rFonts w:ascii="Times New Roman" w:hAnsi="Times New Roman" w:cs="Times New Roman"/>
          <w:bCs/>
          <w:sz w:val="24"/>
          <w:szCs w:val="24"/>
        </w:rPr>
        <w:t xml:space="preserve"> private sector burden of 10 min per enrollee </w:t>
      </w:r>
      <w:r w:rsidRPr="001D72D8" w:rsidR="004B6CE3">
        <w:rPr>
          <w:rFonts w:ascii="Times New Roman" w:hAnsi="Times New Roman" w:cs="Times New Roman"/>
          <w:bCs/>
          <w:sz w:val="24"/>
          <w:szCs w:val="24"/>
        </w:rPr>
        <w:t>(</w:t>
      </w:r>
      <w:r w:rsidRPr="001D72D8" w:rsidR="004B6CE3">
        <w:rPr>
          <w:rFonts w:ascii="Times New Roman" w:hAnsi="Times New Roman" w:cs="Times New Roman"/>
          <w:sz w:val="24"/>
          <w:szCs w:val="24"/>
        </w:rPr>
        <w:t>0.1667 hr)</w:t>
      </w:r>
      <w:r w:rsidRPr="001D72D8" w:rsidR="004B6CE3">
        <w:rPr>
          <w:rFonts w:ascii="Times New Roman" w:hAnsi="Times New Roman" w:cs="Times New Roman"/>
          <w:bCs/>
          <w:sz w:val="24"/>
          <w:szCs w:val="24"/>
        </w:rPr>
        <w:t xml:space="preserve"> </w:t>
      </w:r>
      <w:r w:rsidRPr="001D72D8">
        <w:rPr>
          <w:rFonts w:ascii="Times New Roman" w:hAnsi="Times New Roman" w:cs="Times New Roman"/>
          <w:bCs/>
          <w:sz w:val="24"/>
          <w:szCs w:val="24"/>
        </w:rPr>
        <w:t xml:space="preserve">at </w:t>
      </w:r>
      <w:r w:rsidRPr="001D72D8" w:rsidR="002B072F">
        <w:rPr>
          <w:rFonts w:ascii="Times New Roman" w:hAnsi="Times New Roman" w:cs="Times New Roman"/>
          <w:bCs/>
          <w:sz w:val="24"/>
          <w:szCs w:val="24"/>
        </w:rPr>
        <w:t>$</w:t>
      </w:r>
      <w:r w:rsidRPr="001D72D8" w:rsidR="00C03548">
        <w:rPr>
          <w:rFonts w:ascii="Times New Roman" w:hAnsi="Times New Roman" w:cs="Times New Roman"/>
          <w:bCs/>
          <w:sz w:val="24"/>
          <w:szCs w:val="24"/>
        </w:rPr>
        <w:t>69.02</w:t>
      </w:r>
      <w:r w:rsidRPr="001D72D8">
        <w:rPr>
          <w:rFonts w:ascii="Times New Roman" w:hAnsi="Times New Roman" w:cs="Times New Roman"/>
          <w:bCs/>
          <w:sz w:val="24"/>
          <w:szCs w:val="24"/>
        </w:rPr>
        <w:t xml:space="preserve">/hr for a healthcare social worker to perform the care coordination activities.  In aggregate, we estimate </w:t>
      </w:r>
      <w:r w:rsidRPr="001D72D8" w:rsidR="00C06070">
        <w:rPr>
          <w:rFonts w:ascii="Times New Roman" w:hAnsi="Times New Roman" w:cs="Times New Roman"/>
          <w:b/>
          <w:bCs/>
          <w:sz w:val="24"/>
          <w:szCs w:val="24"/>
        </w:rPr>
        <w:t>505,210</w:t>
      </w:r>
      <w:r w:rsidRPr="001D72D8">
        <w:rPr>
          <w:rFonts w:ascii="Times New Roman" w:hAnsi="Times New Roman" w:cs="Times New Roman"/>
          <w:b/>
          <w:bCs/>
          <w:sz w:val="24"/>
          <w:szCs w:val="24"/>
        </w:rPr>
        <w:t xml:space="preserve"> h</w:t>
      </w:r>
      <w:r w:rsidR="00AA2C2A">
        <w:rPr>
          <w:rFonts w:ascii="Times New Roman" w:hAnsi="Times New Roman" w:cs="Times New Roman"/>
          <w:b/>
          <w:bCs/>
          <w:sz w:val="24"/>
          <w:szCs w:val="24"/>
        </w:rPr>
        <w:t>ours</w:t>
      </w:r>
      <w:r w:rsidRPr="001D72D8">
        <w:rPr>
          <w:rFonts w:ascii="Times New Roman" w:hAnsi="Times New Roman" w:cs="Times New Roman"/>
          <w:bCs/>
          <w:sz w:val="24"/>
          <w:szCs w:val="24"/>
        </w:rPr>
        <w:t xml:space="preserve"> (</w:t>
      </w:r>
      <w:r w:rsidRPr="001D72D8" w:rsidR="00C06070">
        <w:rPr>
          <w:rFonts w:ascii="Times New Roman" w:hAnsi="Times New Roman" w:cs="Times New Roman"/>
          <w:bCs/>
          <w:sz w:val="24"/>
          <w:szCs w:val="24"/>
        </w:rPr>
        <w:t>3,030,655</w:t>
      </w:r>
      <w:r w:rsidRPr="001D72D8">
        <w:rPr>
          <w:rFonts w:ascii="Times New Roman" w:hAnsi="Times New Roman" w:cs="Times New Roman"/>
          <w:bCs/>
          <w:sz w:val="24"/>
          <w:szCs w:val="24"/>
        </w:rPr>
        <w:t xml:space="preserve"> enrollees x </w:t>
      </w:r>
      <w:r w:rsidRPr="001D72D8" w:rsidR="004B6CE3">
        <w:rPr>
          <w:rFonts w:ascii="Times New Roman" w:hAnsi="Times New Roman" w:cs="Times New Roman"/>
          <w:sz w:val="24"/>
          <w:szCs w:val="24"/>
        </w:rPr>
        <w:t>0.1667 hr</w:t>
      </w:r>
      <w:r w:rsidRPr="001D72D8">
        <w:rPr>
          <w:rFonts w:ascii="Times New Roman" w:hAnsi="Times New Roman" w:cs="Times New Roman"/>
          <w:bCs/>
          <w:sz w:val="24"/>
          <w:szCs w:val="24"/>
        </w:rPr>
        <w:t>) and</w:t>
      </w:r>
      <w:r w:rsidRPr="001D72D8" w:rsidR="004F0F53">
        <w:rPr>
          <w:rFonts w:ascii="Times New Roman" w:hAnsi="Times New Roman" w:cs="Times New Roman"/>
          <w:b/>
          <w:bCs/>
          <w:sz w:val="24"/>
          <w:szCs w:val="24"/>
        </w:rPr>
        <w:t xml:space="preserve"> $</w:t>
      </w:r>
      <w:r w:rsidR="00B41DCC">
        <w:rPr>
          <w:rFonts w:ascii="Times New Roman" w:hAnsi="Times New Roman" w:cs="Times New Roman"/>
          <w:b/>
          <w:bCs/>
          <w:sz w:val="24"/>
          <w:szCs w:val="24"/>
        </w:rPr>
        <w:t>34,869,594</w:t>
      </w:r>
      <w:r w:rsidRPr="001D72D8">
        <w:rPr>
          <w:rFonts w:ascii="Times New Roman" w:hAnsi="Times New Roman" w:cs="Times New Roman"/>
          <w:bCs/>
          <w:sz w:val="24"/>
          <w:szCs w:val="24"/>
        </w:rPr>
        <w:t xml:space="preserve"> (</w:t>
      </w:r>
      <w:r w:rsidRPr="001D72D8" w:rsidR="00FE4825">
        <w:rPr>
          <w:rFonts w:ascii="Times New Roman" w:hAnsi="Times New Roman" w:cs="Times New Roman"/>
          <w:bCs/>
          <w:sz w:val="24"/>
          <w:szCs w:val="24"/>
        </w:rPr>
        <w:t>505,210</w:t>
      </w:r>
      <w:r w:rsidRPr="001D72D8">
        <w:rPr>
          <w:rFonts w:ascii="Times New Roman" w:hAnsi="Times New Roman" w:cs="Times New Roman"/>
          <w:bCs/>
          <w:sz w:val="24"/>
          <w:szCs w:val="24"/>
        </w:rPr>
        <w:t xml:space="preserve"> hr x </w:t>
      </w:r>
      <w:r w:rsidRPr="001D72D8" w:rsidR="002B072F">
        <w:rPr>
          <w:rFonts w:ascii="Times New Roman" w:hAnsi="Times New Roman" w:cs="Times New Roman"/>
          <w:bCs/>
          <w:sz w:val="24"/>
          <w:szCs w:val="24"/>
        </w:rPr>
        <w:t>$</w:t>
      </w:r>
      <w:r w:rsidRPr="001D72D8" w:rsidR="00C03548">
        <w:rPr>
          <w:rFonts w:ascii="Times New Roman" w:hAnsi="Times New Roman" w:cs="Times New Roman"/>
          <w:bCs/>
          <w:sz w:val="24"/>
          <w:szCs w:val="24"/>
        </w:rPr>
        <w:t>69.02</w:t>
      </w:r>
      <w:r w:rsidRPr="001D72D8">
        <w:rPr>
          <w:rFonts w:ascii="Times New Roman" w:hAnsi="Times New Roman" w:cs="Times New Roman"/>
          <w:b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12.35)</w:t>
      </w:r>
      <w:r w:rsidRPr="001D72D8" w:rsidR="00281A8C">
        <w:rPr>
          <w:rFonts w:ascii="Times New Roman" w:hAnsi="Times New Roman" w:cs="Times New Roman"/>
          <w:b/>
          <w:iCs/>
          <w:sz w:val="24"/>
          <w:szCs w:val="24"/>
        </w:rPr>
        <w:t xml:space="preserve"> </w:t>
      </w:r>
    </w:p>
    <w:p w:rsidR="00B41FE8" w:rsidRPr="00B41FE8" w:rsidP="00B41FE8" w14:paraId="01A04E00" w14:textId="77777777">
      <w:pPr>
        <w:pStyle w:val="BodyText"/>
      </w:pPr>
    </w:p>
    <w:p w:rsidR="00011EE1" w:rsidP="00432DCE" w14:paraId="46759519" w14:textId="672736A0">
      <w:pPr>
        <w:spacing w:after="0" w:line="240" w:lineRule="auto"/>
        <w:rPr>
          <w:rFonts w:ascii="Times New Roman" w:hAnsi="Times New Roman" w:cs="Times New Roman"/>
          <w:b/>
          <w:iCs/>
          <w:sz w:val="24"/>
          <w:szCs w:val="24"/>
        </w:rPr>
      </w:pPr>
      <w:r w:rsidRPr="001D72D8">
        <w:rPr>
          <w:rFonts w:ascii="Times New Roman" w:hAnsi="Times New Roman" w:cs="Times New Roman"/>
          <w:bCs/>
          <w:sz w:val="24"/>
          <w:szCs w:val="24"/>
        </w:rPr>
        <w:t xml:space="preserve">We estimate that </w:t>
      </w:r>
      <w:r w:rsidRPr="001D72D8">
        <w:rPr>
          <w:rFonts w:ascii="Times New Roman" w:hAnsi="Times New Roman" w:cs="Times New Roman"/>
          <w:bCs/>
          <w:sz w:val="24"/>
          <w:szCs w:val="24"/>
        </w:rPr>
        <w:t>in a given year</w:t>
      </w:r>
      <w:r w:rsidRPr="001D72D8">
        <w:rPr>
          <w:rFonts w:ascii="Times New Roman" w:hAnsi="Times New Roman" w:cs="Times New Roman"/>
          <w:bCs/>
          <w:sz w:val="24"/>
          <w:szCs w:val="24"/>
        </w:rPr>
        <w:t xml:space="preserve">, only </w:t>
      </w:r>
      <w:r w:rsidRPr="001D72D8" w:rsidR="00B665DA">
        <w:rPr>
          <w:rFonts w:ascii="Times New Roman" w:hAnsi="Times New Roman" w:cs="Times New Roman"/>
          <w:bCs/>
          <w:sz w:val="24"/>
          <w:szCs w:val="24"/>
        </w:rPr>
        <w:t xml:space="preserve">3.3 </w:t>
      </w:r>
      <w:r w:rsidRPr="001D72D8">
        <w:rPr>
          <w:rFonts w:ascii="Times New Roman" w:hAnsi="Times New Roman" w:cs="Times New Roman"/>
          <w:bCs/>
          <w:sz w:val="24"/>
          <w:szCs w:val="24"/>
        </w:rPr>
        <w:t>percent (</w:t>
      </w:r>
      <w:r w:rsidRPr="001D72D8" w:rsidR="00766543">
        <w:rPr>
          <w:rFonts w:ascii="Times New Roman" w:hAnsi="Times New Roman" w:cs="Times New Roman"/>
          <w:bCs/>
          <w:sz w:val="24"/>
          <w:szCs w:val="24"/>
        </w:rPr>
        <w:t>2,000,232</w:t>
      </w:r>
      <w:r w:rsidRPr="001D72D8">
        <w:rPr>
          <w:rFonts w:ascii="Times New Roman" w:hAnsi="Times New Roman" w:cs="Times New Roman"/>
          <w:bCs/>
          <w:sz w:val="24"/>
          <w:szCs w:val="24"/>
        </w:rPr>
        <w:t xml:space="preserve">) of </w:t>
      </w:r>
      <w:r w:rsidRPr="001D72D8" w:rsidR="00B665DA">
        <w:rPr>
          <w:rFonts w:ascii="Times New Roman" w:hAnsi="Times New Roman" w:cs="Times New Roman"/>
          <w:bCs/>
          <w:sz w:val="24"/>
          <w:szCs w:val="24"/>
        </w:rPr>
        <w:t>all</w:t>
      </w:r>
      <w:r w:rsidRPr="001D72D8">
        <w:rPr>
          <w:rFonts w:ascii="Times New Roman" w:hAnsi="Times New Roman" w:cs="Times New Roman"/>
          <w:bCs/>
          <w:sz w:val="24"/>
          <w:szCs w:val="24"/>
        </w:rPr>
        <w:t xml:space="preserve"> MCO</w:t>
      </w:r>
      <w:r w:rsidRPr="001D72D8" w:rsidR="00281A8C">
        <w:rPr>
          <w:rFonts w:ascii="Times New Roman" w:hAnsi="Times New Roman" w:cs="Times New Roman"/>
          <w:bCs/>
          <w:sz w:val="24"/>
          <w:szCs w:val="24"/>
        </w:rPr>
        <w:t>,</w:t>
      </w:r>
      <w:r w:rsidRPr="001D72D8">
        <w:rPr>
          <w:rFonts w:ascii="Times New Roman" w:hAnsi="Times New Roman" w:cs="Times New Roman"/>
          <w:bCs/>
          <w:sz w:val="24"/>
          <w:szCs w:val="24"/>
        </w:rPr>
        <w:t>PIHP</w:t>
      </w:r>
      <w:r w:rsidRPr="001D72D8" w:rsidR="00281A8C">
        <w:rPr>
          <w:rFonts w:ascii="Times New Roman" w:hAnsi="Times New Roman" w:cs="Times New Roman"/>
          <w:bCs/>
          <w:sz w:val="24"/>
          <w:szCs w:val="24"/>
        </w:rPr>
        <w:t>,</w:t>
      </w:r>
      <w:r w:rsidRPr="001D72D8">
        <w:rPr>
          <w:rFonts w:ascii="Times New Roman" w:hAnsi="Times New Roman" w:cs="Times New Roman"/>
          <w:bCs/>
          <w:sz w:val="24"/>
          <w:szCs w:val="24"/>
        </w:rPr>
        <w:t xml:space="preserve"> </w:t>
      </w:r>
      <w:r w:rsidRPr="001D72D8" w:rsidR="00281A8C">
        <w:rPr>
          <w:rFonts w:ascii="Times New Roman" w:hAnsi="Times New Roman" w:cs="Times New Roman"/>
          <w:bCs/>
          <w:sz w:val="24"/>
          <w:szCs w:val="24"/>
        </w:rPr>
        <w:t>and</w:t>
      </w:r>
      <w:r w:rsidRPr="001D72D8">
        <w:rPr>
          <w:rFonts w:ascii="Times New Roman" w:hAnsi="Times New Roman" w:cs="Times New Roman"/>
          <w:bCs/>
          <w:sz w:val="24"/>
          <w:szCs w:val="24"/>
        </w:rPr>
        <w:t xml:space="preserve"> PAHP</w:t>
      </w:r>
      <w:r w:rsidRPr="001D72D8" w:rsidR="009353FD">
        <w:rPr>
          <w:rFonts w:ascii="Times New Roman" w:hAnsi="Times New Roman" w:cs="Times New Roman"/>
          <w:bCs/>
          <w:sz w:val="24"/>
          <w:szCs w:val="24"/>
        </w:rPr>
        <w:t>s</w:t>
      </w:r>
      <w:r w:rsidRPr="001D72D8">
        <w:rPr>
          <w:rFonts w:ascii="Times New Roman" w:hAnsi="Times New Roman" w:cs="Times New Roman"/>
          <w:bCs/>
          <w:sz w:val="24"/>
          <w:szCs w:val="24"/>
        </w:rPr>
        <w:t xml:space="preserve"> enrollees are new to a managed care plan.  We estimate an annual private sector burden of 10 min on average </w:t>
      </w:r>
      <w:r w:rsidRPr="001D72D8" w:rsidR="00CB380F">
        <w:rPr>
          <w:rFonts w:ascii="Times New Roman" w:hAnsi="Times New Roman" w:cs="Times New Roman"/>
          <w:bCs/>
          <w:sz w:val="24"/>
          <w:szCs w:val="24"/>
        </w:rPr>
        <w:t>(</w:t>
      </w:r>
      <w:r w:rsidRPr="001D72D8" w:rsidR="00CB380F">
        <w:rPr>
          <w:rFonts w:ascii="Times New Roman" w:hAnsi="Times New Roman" w:cs="Times New Roman"/>
          <w:sz w:val="24"/>
          <w:szCs w:val="24"/>
        </w:rPr>
        <w:t>0.1667 hr)</w:t>
      </w:r>
      <w:r w:rsidRPr="001D72D8" w:rsidR="00CB380F">
        <w:rPr>
          <w:rFonts w:ascii="Times New Roman" w:hAnsi="Times New Roman" w:cs="Times New Roman"/>
          <w:bCs/>
          <w:sz w:val="24"/>
          <w:szCs w:val="24"/>
        </w:rPr>
        <w:t xml:space="preserve"> </w:t>
      </w:r>
      <w:r w:rsidRPr="001D72D8">
        <w:rPr>
          <w:rFonts w:ascii="Times New Roman" w:hAnsi="Times New Roman" w:cs="Times New Roman"/>
          <w:bCs/>
          <w:sz w:val="24"/>
          <w:szCs w:val="24"/>
        </w:rPr>
        <w:t xml:space="preserve">at </w:t>
      </w:r>
      <w:r w:rsidRPr="001D72D8" w:rsidR="00827481">
        <w:rPr>
          <w:rFonts w:ascii="Times New Roman" w:hAnsi="Times New Roman" w:cs="Times New Roman"/>
          <w:bCs/>
          <w:sz w:val="24"/>
          <w:szCs w:val="24"/>
        </w:rPr>
        <w:t>$</w:t>
      </w:r>
      <w:r w:rsidRPr="009945EE" w:rsidR="009945EE">
        <w:rPr>
          <w:rFonts w:ascii="Times New Roman" w:hAnsi="Times New Roman" w:cs="Times New Roman"/>
          <w:bCs/>
          <w:sz w:val="24"/>
          <w:szCs w:val="24"/>
        </w:rPr>
        <w:t>44.80</w:t>
      </w:r>
      <w:r w:rsidRPr="001D72D8">
        <w:rPr>
          <w:rFonts w:ascii="Times New Roman" w:hAnsi="Times New Roman" w:cs="Times New Roman"/>
          <w:bCs/>
          <w:sz w:val="24"/>
          <w:szCs w:val="24"/>
        </w:rPr>
        <w:t xml:space="preserve">/hr for a customer service representative to complete the screening.  In aggregate, we estimate </w:t>
      </w:r>
      <w:r w:rsidRPr="001D72D8" w:rsidR="00766543">
        <w:rPr>
          <w:rFonts w:ascii="Times New Roman" w:hAnsi="Times New Roman" w:cs="Times New Roman"/>
          <w:b/>
          <w:bCs/>
          <w:sz w:val="24"/>
          <w:szCs w:val="24"/>
        </w:rPr>
        <w:t>333,439</w:t>
      </w:r>
      <w:r w:rsidRPr="001D72D8">
        <w:rPr>
          <w:rFonts w:ascii="Times New Roman" w:hAnsi="Times New Roman" w:cs="Times New Roman"/>
          <w:b/>
          <w:bCs/>
          <w:sz w:val="24"/>
          <w:szCs w:val="24"/>
        </w:rPr>
        <w:t xml:space="preserve"> h</w:t>
      </w:r>
      <w:r w:rsidR="00AA2C2A">
        <w:rPr>
          <w:rFonts w:ascii="Times New Roman" w:hAnsi="Times New Roman" w:cs="Times New Roman"/>
          <w:b/>
          <w:bCs/>
          <w:sz w:val="24"/>
          <w:szCs w:val="24"/>
        </w:rPr>
        <w:t>ours</w:t>
      </w:r>
      <w:r w:rsidRPr="001D72D8">
        <w:rPr>
          <w:rFonts w:ascii="Times New Roman" w:hAnsi="Times New Roman" w:cs="Times New Roman"/>
          <w:bCs/>
          <w:sz w:val="24"/>
          <w:szCs w:val="24"/>
        </w:rPr>
        <w:t xml:space="preserve"> (</w:t>
      </w:r>
      <w:r w:rsidRPr="001D72D8" w:rsidR="009353FD">
        <w:rPr>
          <w:rFonts w:ascii="Times New Roman" w:hAnsi="Times New Roman" w:cs="Times New Roman"/>
          <w:bCs/>
          <w:sz w:val="24"/>
          <w:szCs w:val="24"/>
        </w:rPr>
        <w:t>2,000,232</w:t>
      </w:r>
      <w:r w:rsidRPr="001D72D8" w:rsidR="00AC643F">
        <w:rPr>
          <w:rFonts w:ascii="Times New Roman" w:hAnsi="Times New Roman" w:cs="Times New Roman"/>
          <w:bCs/>
          <w:sz w:val="24"/>
          <w:szCs w:val="24"/>
        </w:rPr>
        <w:t xml:space="preserve"> enrollees x </w:t>
      </w:r>
      <w:r w:rsidRPr="001D72D8" w:rsidR="00CB380F">
        <w:rPr>
          <w:rFonts w:ascii="Times New Roman" w:hAnsi="Times New Roman" w:cs="Times New Roman"/>
          <w:sz w:val="24"/>
          <w:szCs w:val="24"/>
        </w:rPr>
        <w:t>0.1667 hr</w:t>
      </w:r>
      <w:r w:rsidRPr="001D72D8" w:rsidR="00AC643F">
        <w:rPr>
          <w:rFonts w:ascii="Times New Roman" w:hAnsi="Times New Roman" w:cs="Times New Roman"/>
          <w:bCs/>
          <w:sz w:val="24"/>
          <w:szCs w:val="24"/>
        </w:rPr>
        <w:t>) and $</w:t>
      </w:r>
      <w:r w:rsidR="00B41DCC">
        <w:rPr>
          <w:rFonts w:ascii="Times New Roman" w:hAnsi="Times New Roman" w:cs="Times New Roman"/>
          <w:b/>
          <w:bCs/>
          <w:sz w:val="24"/>
          <w:szCs w:val="24"/>
        </w:rPr>
        <w:t>14,938,067</w:t>
      </w:r>
      <w:r w:rsidRPr="001D72D8">
        <w:rPr>
          <w:rFonts w:ascii="Times New Roman" w:hAnsi="Times New Roman" w:cs="Times New Roman"/>
          <w:bCs/>
          <w:sz w:val="24"/>
          <w:szCs w:val="24"/>
        </w:rPr>
        <w:t xml:space="preserve"> (</w:t>
      </w:r>
      <w:r w:rsidRPr="001D72D8" w:rsidR="00766543">
        <w:rPr>
          <w:rFonts w:ascii="Times New Roman" w:hAnsi="Times New Roman" w:cs="Times New Roman"/>
          <w:bCs/>
          <w:sz w:val="24"/>
          <w:szCs w:val="24"/>
        </w:rPr>
        <w:t>33</w:t>
      </w:r>
      <w:r w:rsidRPr="001D72D8" w:rsidR="00C318DE">
        <w:rPr>
          <w:rFonts w:ascii="Times New Roman" w:hAnsi="Times New Roman" w:cs="Times New Roman"/>
          <w:bCs/>
          <w:sz w:val="24"/>
          <w:szCs w:val="24"/>
        </w:rPr>
        <w:t>3,439</w:t>
      </w:r>
      <w:r w:rsidRPr="001D72D8" w:rsidR="00AC643F">
        <w:rPr>
          <w:rFonts w:ascii="Times New Roman" w:hAnsi="Times New Roman" w:cs="Times New Roman"/>
          <w:bCs/>
          <w:sz w:val="24"/>
          <w:szCs w:val="24"/>
        </w:rPr>
        <w:t xml:space="preserve"> </w:t>
      </w:r>
      <w:r w:rsidRPr="001D72D8">
        <w:rPr>
          <w:rFonts w:ascii="Times New Roman" w:hAnsi="Times New Roman" w:cs="Times New Roman"/>
          <w:bCs/>
          <w:sz w:val="24"/>
          <w:szCs w:val="24"/>
        </w:rPr>
        <w:t xml:space="preserve">hr x </w:t>
      </w:r>
      <w:r w:rsidRPr="001D72D8" w:rsidR="002B072F">
        <w:rPr>
          <w:rFonts w:ascii="Times New Roman" w:hAnsi="Times New Roman" w:cs="Times New Roman"/>
          <w:bCs/>
          <w:sz w:val="24"/>
          <w:szCs w:val="24"/>
        </w:rPr>
        <w:t>$</w:t>
      </w:r>
      <w:r w:rsidRPr="001D72D8" w:rsidR="00C03548">
        <w:rPr>
          <w:rFonts w:ascii="Times New Roman" w:hAnsi="Times New Roman" w:cs="Times New Roman"/>
          <w:bCs/>
          <w:sz w:val="24"/>
          <w:szCs w:val="24"/>
        </w:rPr>
        <w:t>44.80</w:t>
      </w:r>
      <w:r w:rsidRPr="001D72D8">
        <w:rPr>
          <w:rFonts w:ascii="Times New Roman" w:hAnsi="Times New Roman" w:cs="Times New Roman"/>
          <w:b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12.37)</w:t>
      </w:r>
    </w:p>
    <w:p w:rsidR="00B41FE8" w:rsidRPr="00B41FE8" w:rsidP="00B41FE8" w14:paraId="21A7D72E" w14:textId="77777777">
      <w:pPr>
        <w:pStyle w:val="BodyText"/>
      </w:pPr>
    </w:p>
    <w:p w:rsidR="00624B15" w:rsidP="00432DCE" w14:paraId="19FE87BA" w14:textId="6C5C8241">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rPr>
        <w:t xml:space="preserve">Section 438.208(b)(4) requires that MCOs, PIHPs, and PAHPs share with other MCOs, PIHPs, and PAHPs serving the enrollee the results of its identification and assessment of any enrollee with special health care needs so that those activities are not duplicated.  The burden associated with this requirement is the time it takes each MCO, PIHP or PAHP to disclose information on new enrollees to the MCO, PIHP or PAHP providing a carved-out service.  This would most likely be accomplished by developing a report to collect the data and electronically posting the completed report for the other MCO, PIHP, or PAHP to retrieve. </w:t>
      </w:r>
    </w:p>
    <w:p w:rsidR="00B41FE8" w:rsidRPr="00B41FE8" w:rsidP="00B41FE8" w14:paraId="1B72B106" w14:textId="77777777">
      <w:pPr>
        <w:pStyle w:val="BodyText"/>
      </w:pPr>
    </w:p>
    <w:p w:rsidR="00624B15" w:rsidP="00432DCE" w14:paraId="0DEC9853" w14:textId="1711442A">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rPr>
        <w:t xml:space="preserve">Section 438.208(c)(2) and (3) currently require that MCOs, PIHPs and PAHPs complete an assessment and treatment plan for all enrollees that have special health care </w:t>
      </w:r>
      <w:r w:rsidRPr="001D72D8" w:rsidR="00DB5167">
        <w:rPr>
          <w:rFonts w:ascii="Times New Roman" w:hAnsi="Times New Roman" w:cs="Times New Roman"/>
          <w:bCs/>
          <w:sz w:val="24"/>
          <w:szCs w:val="24"/>
        </w:rPr>
        <w:t>needs or</w:t>
      </w:r>
      <w:r w:rsidRPr="001D72D8">
        <w:rPr>
          <w:rFonts w:ascii="Times New Roman" w:hAnsi="Times New Roman" w:cs="Times New Roman"/>
          <w:bCs/>
          <w:sz w:val="24"/>
          <w:szCs w:val="24"/>
        </w:rPr>
        <w:t xml:space="preserve"> who require LTSS.  These assessments and treatment plans should be performed by providers or MCO, PIHP or PAHP staff that meet the qualifications required by the state.  We believe the burden associated with this requirement is the time it takes to gather the information during the assessment.  (Treatment plans are generally developed while the assessment </w:t>
      </w:r>
      <w:r w:rsidRPr="001D72D8" w:rsidR="00EC2906">
        <w:rPr>
          <w:rFonts w:ascii="Times New Roman" w:hAnsi="Times New Roman" w:cs="Times New Roman"/>
          <w:bCs/>
          <w:sz w:val="24"/>
          <w:szCs w:val="24"/>
        </w:rPr>
        <w:t>occurs,</w:t>
      </w:r>
      <w:r w:rsidRPr="001D72D8">
        <w:rPr>
          <w:rFonts w:ascii="Times New Roman" w:hAnsi="Times New Roman" w:cs="Times New Roman"/>
          <w:bCs/>
          <w:sz w:val="24"/>
          <w:szCs w:val="24"/>
        </w:rPr>
        <w:t xml:space="preserve"> so we are not estimating any additional time beyond the time of the assessment).    </w:t>
      </w:r>
    </w:p>
    <w:p w:rsidR="00B41FE8" w:rsidRPr="00B41FE8" w:rsidP="00B41FE8" w14:paraId="3D6102E0" w14:textId="77777777">
      <w:pPr>
        <w:pStyle w:val="BodyText"/>
      </w:pPr>
    </w:p>
    <w:p w:rsidR="00624B15" w:rsidP="00432DCE" w14:paraId="489C4F57" w14:textId="1D8AA99D">
      <w:pPr>
        <w:spacing w:after="0" w:line="240" w:lineRule="auto"/>
        <w:rPr>
          <w:rFonts w:ascii="Times New Roman" w:hAnsi="Times New Roman" w:cs="Times New Roman"/>
          <w:b/>
          <w:iCs/>
          <w:sz w:val="24"/>
          <w:szCs w:val="24"/>
        </w:rPr>
      </w:pPr>
      <w:r w:rsidRPr="001D72D8">
        <w:rPr>
          <w:rFonts w:ascii="Times New Roman" w:hAnsi="Times New Roman" w:cs="Times New Roman"/>
          <w:bCs/>
          <w:sz w:val="24"/>
          <w:szCs w:val="24"/>
        </w:rPr>
        <w:t xml:space="preserve">While this is an existing requirement, we estimate 1 percent of the total enrollment of </w:t>
      </w:r>
      <w:r w:rsidRPr="001D72D8" w:rsidR="00D21791">
        <w:rPr>
          <w:rFonts w:ascii="Times New Roman" w:hAnsi="Times New Roman" w:cs="Times New Roman"/>
          <w:bCs/>
          <w:sz w:val="24"/>
          <w:szCs w:val="24"/>
        </w:rPr>
        <w:t>72,977,045</w:t>
      </w:r>
      <w:r w:rsidRPr="001D72D8">
        <w:rPr>
          <w:rFonts w:ascii="Times New Roman" w:hAnsi="Times New Roman" w:cs="Times New Roman"/>
          <w:bCs/>
          <w:sz w:val="24"/>
          <w:szCs w:val="24"/>
        </w:rPr>
        <w:t xml:space="preserve"> in MCOs and PIHPs (</w:t>
      </w:r>
      <w:r w:rsidRPr="001D72D8" w:rsidR="009B6230">
        <w:rPr>
          <w:rFonts w:ascii="Times New Roman" w:hAnsi="Times New Roman" w:cs="Times New Roman"/>
          <w:bCs/>
          <w:sz w:val="24"/>
          <w:szCs w:val="24"/>
        </w:rPr>
        <w:t>72,977,045</w:t>
      </w:r>
      <w:r w:rsidRPr="001D72D8">
        <w:rPr>
          <w:rFonts w:ascii="Times New Roman" w:hAnsi="Times New Roman" w:cs="Times New Roman"/>
          <w:bCs/>
          <w:sz w:val="24"/>
          <w:szCs w:val="24"/>
        </w:rPr>
        <w:t xml:space="preserve"> x </w:t>
      </w:r>
      <w:r w:rsidRPr="001D72D8" w:rsidR="00490D2E">
        <w:rPr>
          <w:rFonts w:ascii="Times New Roman" w:hAnsi="Times New Roman" w:cs="Times New Roman"/>
          <w:bCs/>
          <w:sz w:val="24"/>
          <w:szCs w:val="24"/>
        </w:rPr>
        <w:t>0</w:t>
      </w:r>
      <w:r w:rsidRPr="001D72D8">
        <w:rPr>
          <w:rFonts w:ascii="Times New Roman" w:hAnsi="Times New Roman" w:cs="Times New Roman"/>
          <w:bCs/>
          <w:sz w:val="24"/>
          <w:szCs w:val="24"/>
        </w:rPr>
        <w:t>.01</w:t>
      </w:r>
      <w:r w:rsidRPr="001D72D8" w:rsidR="00490D2E">
        <w:rPr>
          <w:rFonts w:ascii="Times New Roman" w:hAnsi="Times New Roman" w:cs="Times New Roman"/>
          <w:bCs/>
          <w:sz w:val="24"/>
          <w:szCs w:val="24"/>
        </w:rPr>
        <w:t xml:space="preserve"> </w:t>
      </w:r>
      <w:r w:rsidRPr="001D72D8">
        <w:rPr>
          <w:rFonts w:ascii="Times New Roman" w:hAnsi="Times New Roman" w:cs="Times New Roman"/>
          <w:bCs/>
          <w:sz w:val="24"/>
          <w:szCs w:val="24"/>
        </w:rPr>
        <w:t>=</w:t>
      </w:r>
      <w:r w:rsidRPr="001D72D8" w:rsidR="00490D2E">
        <w:rPr>
          <w:rFonts w:ascii="Times New Roman" w:hAnsi="Times New Roman" w:cs="Times New Roman"/>
          <w:bCs/>
          <w:sz w:val="24"/>
          <w:szCs w:val="24"/>
        </w:rPr>
        <w:t xml:space="preserve"> </w:t>
      </w:r>
      <w:r w:rsidRPr="001D72D8" w:rsidR="009B6230">
        <w:rPr>
          <w:rFonts w:ascii="Times New Roman" w:hAnsi="Times New Roman" w:cs="Times New Roman"/>
          <w:bCs/>
          <w:sz w:val="24"/>
          <w:szCs w:val="24"/>
        </w:rPr>
        <w:t>729,770</w:t>
      </w:r>
      <w:r w:rsidRPr="001D72D8">
        <w:rPr>
          <w:rFonts w:ascii="Times New Roman" w:hAnsi="Times New Roman" w:cs="Times New Roman"/>
          <w:bCs/>
          <w:sz w:val="24"/>
          <w:szCs w:val="24"/>
        </w:rPr>
        <w:t xml:space="preserve">) </w:t>
      </w:r>
      <w:r w:rsidRPr="001D72D8" w:rsidR="006F20ED">
        <w:rPr>
          <w:rFonts w:ascii="Times New Roman" w:hAnsi="Times New Roman" w:cs="Times New Roman"/>
          <w:bCs/>
          <w:sz w:val="24"/>
          <w:szCs w:val="24"/>
        </w:rPr>
        <w:t>will require an assessment and treatment plan</w:t>
      </w:r>
      <w:r w:rsidRPr="001D72D8">
        <w:rPr>
          <w:rFonts w:ascii="Times New Roman" w:hAnsi="Times New Roman" w:cs="Times New Roman"/>
          <w:bCs/>
          <w:sz w:val="24"/>
          <w:szCs w:val="24"/>
        </w:rPr>
        <w:t xml:space="preserve">.  We estimate an annual private sector burden of 1 hr (on average) at </w:t>
      </w:r>
      <w:r w:rsidRPr="001D72D8" w:rsidR="002B072F">
        <w:rPr>
          <w:rFonts w:ascii="Times New Roman" w:hAnsi="Times New Roman" w:cs="Times New Roman"/>
          <w:bCs/>
          <w:sz w:val="24"/>
          <w:szCs w:val="24"/>
        </w:rPr>
        <w:t>$</w:t>
      </w:r>
      <w:r w:rsidRPr="001D72D8" w:rsidR="00C03548">
        <w:rPr>
          <w:rFonts w:ascii="Times New Roman" w:hAnsi="Times New Roman" w:cs="Times New Roman"/>
          <w:bCs/>
          <w:sz w:val="24"/>
          <w:szCs w:val="24"/>
        </w:rPr>
        <w:t>97.72</w:t>
      </w:r>
      <w:r w:rsidRPr="001D72D8">
        <w:rPr>
          <w:rFonts w:ascii="Times New Roman" w:hAnsi="Times New Roman" w:cs="Times New Roman"/>
          <w:bCs/>
          <w:sz w:val="24"/>
          <w:szCs w:val="24"/>
        </w:rPr>
        <w:t xml:space="preserve">/hr for a registered nurse to complete the assessment and treatment planning.  In aggregate, we estimate an additional </w:t>
      </w:r>
      <w:r w:rsidRPr="001D72D8" w:rsidR="00C71B14">
        <w:rPr>
          <w:rFonts w:ascii="Times New Roman" w:hAnsi="Times New Roman" w:cs="Times New Roman"/>
          <w:b/>
          <w:bCs/>
          <w:sz w:val="24"/>
          <w:szCs w:val="24"/>
        </w:rPr>
        <w:t>729,770</w:t>
      </w:r>
      <w:r w:rsidRPr="001D72D8" w:rsidR="0057770A">
        <w:rPr>
          <w:rFonts w:ascii="Times New Roman" w:hAnsi="Times New Roman" w:cs="Times New Roman"/>
          <w:b/>
          <w:bCs/>
          <w:sz w:val="24"/>
          <w:szCs w:val="24"/>
        </w:rPr>
        <w:t xml:space="preserve"> </w:t>
      </w:r>
      <w:r w:rsidRPr="001D72D8">
        <w:rPr>
          <w:rFonts w:ascii="Times New Roman" w:hAnsi="Times New Roman" w:cs="Times New Roman"/>
          <w:b/>
          <w:bCs/>
          <w:sz w:val="24"/>
          <w:szCs w:val="24"/>
        </w:rPr>
        <w:t>h</w:t>
      </w:r>
      <w:r w:rsidR="00AA2C2A">
        <w:rPr>
          <w:rFonts w:ascii="Times New Roman" w:hAnsi="Times New Roman" w:cs="Times New Roman"/>
          <w:b/>
          <w:bCs/>
          <w:sz w:val="24"/>
          <w:szCs w:val="24"/>
        </w:rPr>
        <w:t>ours</w:t>
      </w:r>
      <w:r w:rsidRPr="001D72D8">
        <w:rPr>
          <w:rFonts w:ascii="Times New Roman" w:hAnsi="Times New Roman" w:cs="Times New Roman"/>
          <w:bCs/>
          <w:sz w:val="24"/>
          <w:szCs w:val="24"/>
        </w:rPr>
        <w:t xml:space="preserve"> (</w:t>
      </w:r>
      <w:r w:rsidRPr="001D72D8" w:rsidR="009B6230">
        <w:rPr>
          <w:rFonts w:ascii="Times New Roman" w:hAnsi="Times New Roman" w:cs="Times New Roman"/>
          <w:bCs/>
          <w:sz w:val="24"/>
          <w:szCs w:val="24"/>
        </w:rPr>
        <w:t>729,770</w:t>
      </w:r>
      <w:r w:rsidRPr="001D72D8">
        <w:rPr>
          <w:rFonts w:ascii="Times New Roman" w:hAnsi="Times New Roman" w:cs="Times New Roman"/>
          <w:bCs/>
          <w:sz w:val="24"/>
          <w:szCs w:val="24"/>
        </w:rPr>
        <w:t xml:space="preserve"> enrollees x 1 hr) and </w:t>
      </w:r>
      <w:r w:rsidRPr="001D72D8">
        <w:rPr>
          <w:rFonts w:ascii="Times New Roman" w:hAnsi="Times New Roman" w:cs="Times New Roman"/>
          <w:b/>
          <w:bCs/>
          <w:sz w:val="24"/>
          <w:szCs w:val="24"/>
        </w:rPr>
        <w:t>$</w:t>
      </w:r>
      <w:r w:rsidR="00B41DCC">
        <w:rPr>
          <w:rFonts w:ascii="Times New Roman" w:hAnsi="Times New Roman" w:cs="Times New Roman"/>
          <w:b/>
          <w:bCs/>
          <w:sz w:val="24"/>
          <w:szCs w:val="24"/>
        </w:rPr>
        <w:t>71,313,124</w:t>
      </w:r>
      <w:r w:rsidRPr="001D72D8">
        <w:rPr>
          <w:rFonts w:ascii="Times New Roman" w:hAnsi="Times New Roman" w:cs="Times New Roman"/>
          <w:bCs/>
          <w:sz w:val="24"/>
          <w:szCs w:val="24"/>
        </w:rPr>
        <w:t xml:space="preserve"> (</w:t>
      </w:r>
      <w:r w:rsidRPr="001D72D8" w:rsidR="009B6230">
        <w:rPr>
          <w:rFonts w:ascii="Times New Roman" w:hAnsi="Times New Roman" w:cs="Times New Roman"/>
          <w:bCs/>
          <w:sz w:val="24"/>
          <w:szCs w:val="24"/>
        </w:rPr>
        <w:t>729,770</w:t>
      </w:r>
      <w:r w:rsidRPr="001D72D8">
        <w:rPr>
          <w:rFonts w:ascii="Times New Roman" w:hAnsi="Times New Roman" w:cs="Times New Roman"/>
          <w:bCs/>
          <w:sz w:val="24"/>
          <w:szCs w:val="24"/>
        </w:rPr>
        <w:t xml:space="preserve"> hr x </w:t>
      </w:r>
      <w:r w:rsidRPr="001D72D8" w:rsidR="002B072F">
        <w:rPr>
          <w:rFonts w:ascii="Times New Roman" w:hAnsi="Times New Roman" w:cs="Times New Roman"/>
          <w:bCs/>
          <w:sz w:val="24"/>
          <w:szCs w:val="24"/>
        </w:rPr>
        <w:t>$</w:t>
      </w:r>
      <w:r w:rsidRPr="001D72D8" w:rsidR="00C03548">
        <w:rPr>
          <w:rFonts w:ascii="Times New Roman" w:hAnsi="Times New Roman" w:cs="Times New Roman"/>
          <w:bCs/>
          <w:sz w:val="24"/>
          <w:szCs w:val="24"/>
        </w:rPr>
        <w:t>97.72</w:t>
      </w:r>
      <w:r w:rsidRPr="001D72D8">
        <w:rPr>
          <w:rFonts w:ascii="Times New Roman" w:hAnsi="Times New Roman" w:cs="Times New Roman"/>
          <w:bCs/>
          <w:sz w:val="24"/>
          <w:szCs w:val="24"/>
        </w:rPr>
        <w:t xml:space="preserve">/hr). </w:t>
      </w:r>
      <w:r w:rsidRPr="001D72D8">
        <w:rPr>
          <w:rFonts w:ascii="Times New Roman" w:hAnsi="Times New Roman" w:cs="Times New Roman"/>
          <w:b/>
          <w:iCs/>
          <w:sz w:val="24"/>
          <w:szCs w:val="24"/>
        </w:rPr>
        <w:t>(</w:t>
      </w:r>
      <w:r w:rsidRPr="001D72D8" w:rsidR="005F5165">
        <w:rPr>
          <w:rFonts w:ascii="Times New Roman" w:hAnsi="Times New Roman" w:cs="Times New Roman"/>
          <w:b/>
          <w:iCs/>
          <w:sz w:val="24"/>
          <w:szCs w:val="24"/>
        </w:rPr>
        <w:t>ESTIMATE</w:t>
      </w:r>
      <w:r w:rsidRPr="001D72D8">
        <w:rPr>
          <w:rFonts w:ascii="Times New Roman" w:hAnsi="Times New Roman" w:cs="Times New Roman"/>
          <w:b/>
          <w:iCs/>
          <w:sz w:val="24"/>
          <w:szCs w:val="24"/>
        </w:rPr>
        <w:t xml:space="preserve"> 12.39)</w:t>
      </w:r>
    </w:p>
    <w:p w:rsidR="00B41FE8" w:rsidRPr="00B41FE8" w:rsidP="00B41FE8" w14:paraId="2B75CC4B" w14:textId="77777777">
      <w:pPr>
        <w:pStyle w:val="BodyText"/>
      </w:pPr>
    </w:p>
    <w:p w:rsidR="00332B7B" w:rsidRPr="001D72D8" w:rsidP="00432DCE" w14:paraId="463A3ACB" w14:textId="77777777">
      <w:pPr>
        <w:spacing w:after="0" w:line="240" w:lineRule="auto"/>
        <w:rPr>
          <w:rFonts w:ascii="Times New Roman" w:hAnsi="Times New Roman" w:cs="Times New Roman"/>
          <w:bCs/>
          <w:sz w:val="24"/>
          <w:szCs w:val="24"/>
        </w:rPr>
      </w:pPr>
      <w:r w:rsidRPr="001D72D8">
        <w:rPr>
          <w:rFonts w:ascii="Times New Roman" w:hAnsi="Times New Roman" w:cs="Times New Roman"/>
          <w:bCs/>
          <w:sz w:val="24"/>
          <w:szCs w:val="24"/>
          <w:u w:val="single"/>
        </w:rPr>
        <w:t>Section 438.214 Provider selection</w:t>
      </w:r>
      <w:r w:rsidRPr="001D72D8">
        <w:rPr>
          <w:rFonts w:ascii="Times New Roman" w:hAnsi="Times New Roman" w:cs="Times New Roman"/>
          <w:bCs/>
          <w:sz w:val="24"/>
          <w:szCs w:val="24"/>
        </w:rPr>
        <w:t xml:space="preserve"> </w:t>
      </w:r>
    </w:p>
    <w:p w:rsidR="00624B15" w:rsidP="00432DCE" w14:paraId="30522867" w14:textId="6ACC99EE">
      <w:pPr>
        <w:spacing w:after="0" w:line="240" w:lineRule="auto"/>
        <w:rPr>
          <w:rFonts w:ascii="Times New Roman" w:hAnsi="Times New Roman" w:cs="Times New Roman"/>
          <w:b/>
          <w:iCs/>
          <w:sz w:val="24"/>
          <w:szCs w:val="24"/>
        </w:rPr>
      </w:pPr>
      <w:r w:rsidRPr="001D72D8">
        <w:rPr>
          <w:rFonts w:ascii="Times New Roman" w:hAnsi="Times New Roman" w:cs="Times New Roman"/>
          <w:bCs/>
          <w:sz w:val="24"/>
          <w:szCs w:val="24"/>
        </w:rPr>
        <w:t>Under</w:t>
      </w:r>
      <w:r w:rsidRPr="001D72D8">
        <w:rPr>
          <w:rFonts w:ascii="Times New Roman" w:hAnsi="Times New Roman" w:cs="Times New Roman"/>
          <w:sz w:val="24"/>
          <w:szCs w:val="24"/>
        </w:rPr>
        <w:t xml:space="preserve"> this section, each State must ensure, through its contracts, that each MCO, PIHP, or PAHP implements written policies and procedures for selection and retention of providers.  </w:t>
      </w:r>
      <w:r w:rsidRPr="001D72D8">
        <w:rPr>
          <w:rFonts w:ascii="Times New Roman" w:hAnsi="Times New Roman" w:cs="Times New Roman"/>
          <w:iCs/>
          <w:sz w:val="24"/>
          <w:szCs w:val="24"/>
        </w:rPr>
        <w:t>The burden associated with this requirement is the usual and customary recordkeeping collection associated with maintaining documentation</w:t>
      </w:r>
      <w:r w:rsidRPr="001D72D8">
        <w:rPr>
          <w:rFonts w:ascii="Times New Roman" w:hAnsi="Times New Roman" w:cs="Times New Roman"/>
          <w:b/>
          <w:iCs/>
          <w:sz w:val="24"/>
          <w:szCs w:val="24"/>
        </w:rPr>
        <w:t>.</w:t>
      </w:r>
    </w:p>
    <w:p w:rsidR="00B41FE8" w:rsidRPr="00B41FE8" w:rsidP="00B41FE8" w14:paraId="4F59BB6D" w14:textId="77777777">
      <w:pPr>
        <w:pStyle w:val="BodyText"/>
      </w:pPr>
    </w:p>
    <w:p w:rsidR="00332B7B" w:rsidRPr="001D72D8" w:rsidP="00432DCE" w14:paraId="5ACBDFB1"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438.236 Practice guidelines</w:t>
      </w:r>
      <w:r w:rsidRPr="001D72D8">
        <w:rPr>
          <w:rFonts w:ascii="Times New Roman" w:hAnsi="Times New Roman" w:cs="Times New Roman"/>
          <w:sz w:val="24"/>
          <w:szCs w:val="24"/>
        </w:rPr>
        <w:t xml:space="preserve"> </w:t>
      </w:r>
    </w:p>
    <w:p w:rsidR="00624B15" w:rsidP="00432DCE" w14:paraId="128558F8" w14:textId="5DD1F5B4">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Under paragraph (c) of this section, each MCO, PIHP, and PAHP must disseminate guidelines to its affected providers and, upon request, to enrollees and potential enrollees.</w:t>
      </w:r>
    </w:p>
    <w:p w:rsidR="00B41FE8" w:rsidRPr="00B41FE8" w:rsidP="00B41FE8" w14:paraId="5A994757" w14:textId="77777777">
      <w:pPr>
        <w:pStyle w:val="BodyText"/>
      </w:pPr>
    </w:p>
    <w:p w:rsidR="00624B15" w:rsidRPr="001D72D8" w:rsidP="00432DCE" w14:paraId="20B2D99E" w14:textId="244C9D5A">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The burden associated with this requirement is the time required to disseminate the guidelines.  As this is done electronically, we estimate no additional burden here.</w:t>
      </w:r>
    </w:p>
    <w:p w:rsidR="00D512FA" w:rsidRPr="001D72D8" w:rsidP="00432DCE" w14:paraId="2A3D58B8" w14:textId="0E814837">
      <w:pPr>
        <w:pStyle w:val="BodyText"/>
        <w:spacing w:after="0" w:line="240" w:lineRule="auto"/>
      </w:pPr>
    </w:p>
    <w:p w:rsidR="0036404F" w:rsidP="00432DCE" w14:paraId="72CD227E"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F-Grievance and Appeal System</w:t>
      </w:r>
    </w:p>
    <w:p w:rsidR="00B41FE8" w:rsidRPr="001D72D8" w:rsidP="00432DCE" w14:paraId="148468D7" w14:textId="77777777">
      <w:pPr>
        <w:pStyle w:val="BodyText"/>
        <w:spacing w:after="0" w:line="240" w:lineRule="auto"/>
        <w:jc w:val="center"/>
        <w:rPr>
          <w:rFonts w:ascii="Times New Roman" w:hAnsi="Times New Roman" w:cs="Times New Roman"/>
          <w:b/>
          <w:sz w:val="24"/>
          <w:szCs w:val="24"/>
        </w:rPr>
      </w:pPr>
    </w:p>
    <w:p w:rsidR="002D2AC6" w:rsidRPr="001D72D8" w:rsidP="00432DCE" w14:paraId="5C595D71" w14:textId="06BC40AF">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Subpart F specifies requirements for states and managed care plans to operate a grievance and appeal system for enrollees.</w:t>
      </w:r>
    </w:p>
    <w:p w:rsidR="00D512FA" w:rsidRPr="001D72D8" w:rsidP="00432DCE" w14:paraId="70A0F7CC" w14:textId="77777777">
      <w:pPr>
        <w:pStyle w:val="BodyText"/>
        <w:spacing w:after="0" w:line="240" w:lineRule="auto"/>
      </w:pPr>
    </w:p>
    <w:p w:rsidR="00332B7B" w:rsidRPr="001D72D8" w:rsidP="00432DCE" w14:paraId="5AB220E2" w14:textId="381D8F12">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 xml:space="preserve">Section 438.404 </w:t>
      </w:r>
      <w:r w:rsidRPr="001D72D8" w:rsidR="00E51BC7">
        <w:rPr>
          <w:rFonts w:ascii="Times New Roman" w:hAnsi="Times New Roman" w:cs="Times New Roman"/>
          <w:sz w:val="24"/>
          <w:szCs w:val="24"/>
          <w:u w:val="single"/>
        </w:rPr>
        <w:t>Timely and adequate notice of adverse benefit determination</w:t>
      </w:r>
    </w:p>
    <w:p w:rsidR="00624B15" w:rsidP="00432DCE" w14:paraId="30D54B44" w14:textId="2576D410">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Section 438.404(a) adds PAHPs as an entity that must give the enrollee timely written notice.  It also sets forth the requirements of that notice.  Consistent with the requirements for MCOs and PIHPs, PAHPs must give the enrollee timely written notice if it intends to: deny, limit, reduce, or terminate a service; deny payment; deny the request of an enrollee in a rural area with one plan to go out of network to obtain a service; or fails to furnish, arrange, provide, or pay for a service in a timely manner.</w:t>
      </w:r>
    </w:p>
    <w:p w:rsidR="00B41FE8" w:rsidRPr="00B41FE8" w:rsidP="00B41FE8" w14:paraId="1D7845BF" w14:textId="77777777">
      <w:pPr>
        <w:pStyle w:val="BodyText"/>
      </w:pPr>
    </w:p>
    <w:p w:rsidR="00332B7B" w:rsidRPr="001D72D8" w:rsidP="00432DCE" w14:paraId="592CEA87"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438.406 Handling of grievances and appeals</w:t>
      </w:r>
      <w:r w:rsidRPr="001D72D8">
        <w:rPr>
          <w:rFonts w:ascii="Times New Roman" w:hAnsi="Times New Roman" w:cs="Times New Roman"/>
          <w:sz w:val="24"/>
          <w:szCs w:val="24"/>
        </w:rPr>
        <w:t xml:space="preserve"> </w:t>
      </w:r>
    </w:p>
    <w:p w:rsidR="00624B15" w:rsidP="00432DCE" w14:paraId="2066471B" w14:textId="4F67B8E4">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 xml:space="preserve">In summary, §438.406 states that each MCO and PIHP must acknowledge receipt of each grievance and appeal.  </w:t>
      </w:r>
      <w:r w:rsidRPr="001D72D8">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rsidR="00B41FE8" w:rsidRPr="00B41FE8" w:rsidP="00B41FE8" w14:paraId="07E0C2C0" w14:textId="77777777">
      <w:pPr>
        <w:pStyle w:val="BodyText"/>
      </w:pPr>
    </w:p>
    <w:p w:rsidR="00624B15" w:rsidP="00432DCE" w14:paraId="0EC291A2" w14:textId="77777777">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 xml:space="preserve">Section 438.406(b)(5) modifies the language for evidence standards for appeals to mirror the private market evidence standards.  This aligns the text with commercial requirements but does not alter the meaning; therefore, this imposes no additional burden.  </w:t>
      </w:r>
    </w:p>
    <w:p w:rsidR="00B41FE8" w:rsidRPr="00B41FE8" w:rsidP="00B41FE8" w14:paraId="7D4A8FB0" w14:textId="77777777">
      <w:pPr>
        <w:pStyle w:val="BodyText"/>
      </w:pPr>
    </w:p>
    <w:p w:rsidR="00332B7B" w:rsidRPr="001D72D8" w:rsidP="00432DCE" w14:paraId="7A7BE116"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438.408 Resolution and notification: grievances and appeals</w:t>
      </w:r>
      <w:r w:rsidRPr="001D72D8">
        <w:rPr>
          <w:rFonts w:ascii="Times New Roman" w:hAnsi="Times New Roman" w:cs="Times New Roman"/>
          <w:sz w:val="24"/>
          <w:szCs w:val="24"/>
        </w:rPr>
        <w:t xml:space="preserve"> </w:t>
      </w:r>
    </w:p>
    <w:p w:rsidR="00624B15" w:rsidP="00432DCE" w14:paraId="5959AE85" w14:textId="01A6E3C0">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 xml:space="preserve">Section §438.408 states that for grievances filed in writing or related to quality of care, the MCO or PIHP must notify the enrollee in writing of its decision within specified timeframes.  </w:t>
      </w:r>
      <w:r w:rsidRPr="001D72D8">
        <w:rPr>
          <w:rFonts w:ascii="Times New Roman" w:hAnsi="Times New Roman" w:cs="Times New Roman"/>
          <w:iCs/>
          <w:sz w:val="24"/>
          <w:szCs w:val="24"/>
        </w:rPr>
        <w:t>Except as noted below, these provisions are exempt under 5 CFR 1320.4(a) because they occur as part of an administrative action.</w:t>
      </w:r>
    </w:p>
    <w:p w:rsidR="00B41FE8" w:rsidRPr="00B41FE8" w:rsidP="00B41FE8" w14:paraId="6C55E27A" w14:textId="77777777">
      <w:pPr>
        <w:pStyle w:val="BodyText"/>
      </w:pPr>
    </w:p>
    <w:p w:rsidR="00624B15" w:rsidP="00432DCE" w14:paraId="03D5A756"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Section 438.408(b)(2) would change the timeframe an entity has to reach a determination from 45 days to 30 days to align with Medicare.  Most insurers offer more than one line of business, </w:t>
      </w:r>
      <w:r w:rsidRPr="001D72D8">
        <w:rPr>
          <w:rFonts w:ascii="Times New Roman" w:hAnsi="Times New Roman" w:cs="Times New Roman"/>
          <w:sz w:val="24"/>
          <w:szCs w:val="24"/>
        </w:rPr>
        <w:t xml:space="preserve">and therefore we believe this timeframe will allow MCOs, PIHPs, and PAHPs to be consistent with their usual and customary business practices. </w:t>
      </w:r>
    </w:p>
    <w:p w:rsidR="00B41FE8" w:rsidRPr="00B41FE8" w:rsidP="00B41FE8" w14:paraId="2FAD1E0C" w14:textId="77777777">
      <w:pPr>
        <w:pStyle w:val="BodyText"/>
      </w:pPr>
    </w:p>
    <w:p w:rsidR="00624B15" w:rsidP="00432DCE" w14:paraId="368133B5"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Section 438.408(b)(3) would change the timeframe an entity has to reach a determination in an expedited appeal from 3 days to 72 hr to align with Medicare and the private market.  Most insurers offer more than one line of business, and therefore we believe this timeframe will make Medicaid consistent with usual and customary business practices.  </w:t>
      </w:r>
    </w:p>
    <w:p w:rsidR="00B41FE8" w:rsidRPr="00B41FE8" w:rsidP="00B41FE8" w14:paraId="38269FDA" w14:textId="77777777">
      <w:pPr>
        <w:pStyle w:val="BodyText"/>
      </w:pPr>
    </w:p>
    <w:p w:rsidR="00624B15" w:rsidP="00432DCE" w14:paraId="15A979B4"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Section 438.408(f)(1) and (2) would require that an enrollee exhaust the appeals process before proceeding to the state fair hearing process, and change the timeframe in which a beneficiary must request a state fair hearing to 120 days.  This aligns with the private market and since many insurers offer more than one line of business, we believe aligning these timeframes will make Medicaid consistent with their usual and customary business practices.</w:t>
      </w:r>
    </w:p>
    <w:p w:rsidR="00B41FE8" w:rsidRPr="00B41FE8" w:rsidP="00B41FE8" w14:paraId="76843904" w14:textId="77777777">
      <w:pPr>
        <w:pStyle w:val="BodyText"/>
      </w:pPr>
    </w:p>
    <w:p w:rsidR="00332B7B" w:rsidRPr="001D72D8" w:rsidP="00432DCE" w14:paraId="5E8EC5C2"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438.410 Expedited resolution of appeals</w:t>
      </w:r>
      <w:r w:rsidRPr="001D72D8">
        <w:rPr>
          <w:rFonts w:ascii="Times New Roman" w:hAnsi="Times New Roman" w:cs="Times New Roman"/>
          <w:sz w:val="24"/>
          <w:szCs w:val="24"/>
        </w:rPr>
        <w:t xml:space="preserve"> </w:t>
      </w:r>
    </w:p>
    <w:p w:rsidR="00624B15" w:rsidP="00432DCE" w14:paraId="21AEA4CA" w14:textId="70148713">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Section 438.410(c) of this section requires each MCO, PIHP, and PAHP to provide written notice to an enrollee whose request for expedited resolution is denied.</w:t>
      </w:r>
    </w:p>
    <w:p w:rsidR="00B41FE8" w:rsidRPr="00B41FE8" w:rsidP="00B41FE8" w14:paraId="26E8F266" w14:textId="77777777">
      <w:pPr>
        <w:pStyle w:val="BodyText"/>
      </w:pPr>
    </w:p>
    <w:p w:rsidR="00624B15" w:rsidP="00432DCE" w14:paraId="43F4AE47" w14:textId="77777777">
      <w:pPr>
        <w:spacing w:after="0" w:line="240" w:lineRule="auto"/>
        <w:rPr>
          <w:rFonts w:ascii="Times New Roman" w:hAnsi="Times New Roman" w:cs="Times New Roman"/>
          <w:iCs/>
          <w:sz w:val="24"/>
          <w:szCs w:val="24"/>
        </w:rPr>
      </w:pPr>
      <w:r w:rsidRPr="001D72D8">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rsidR="00B41FE8" w:rsidRPr="00B41FE8" w:rsidP="00B41FE8" w14:paraId="330CCC84" w14:textId="77777777">
      <w:pPr>
        <w:pStyle w:val="BodyText"/>
      </w:pPr>
    </w:p>
    <w:p w:rsidR="00332B7B" w:rsidRPr="001D72D8" w:rsidP="00432DCE" w14:paraId="04657990" w14:textId="15A89AE9">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 xml:space="preserve">Section 438.414 </w:t>
      </w:r>
      <w:r w:rsidRPr="001D72D8" w:rsidR="00E51BC7">
        <w:rPr>
          <w:rFonts w:ascii="Times New Roman" w:hAnsi="Times New Roman" w:cs="Times New Roman"/>
          <w:sz w:val="24"/>
          <w:szCs w:val="24"/>
          <w:u w:val="single"/>
        </w:rPr>
        <w:t>Information about the grievance and appeal system to providers and subcontractors</w:t>
      </w:r>
    </w:p>
    <w:p w:rsidR="00624B15" w:rsidP="00432DCE" w14:paraId="1CCEABEB" w14:textId="50EF38DE">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 xml:space="preserve">Section 438.414 requires the MCO or PIHP to provide the information specified at §438.10(g)(2)(xi) about the grievance system to all providers and subcontractors at the time they </w:t>
      </w:r>
      <w:r w:rsidRPr="001D72D8">
        <w:rPr>
          <w:rFonts w:ascii="Times New Roman" w:hAnsi="Times New Roman" w:cs="Times New Roman"/>
          <w:sz w:val="24"/>
          <w:szCs w:val="24"/>
        </w:rPr>
        <w:t>enter into</w:t>
      </w:r>
      <w:r w:rsidRPr="001D72D8">
        <w:rPr>
          <w:rFonts w:ascii="Times New Roman" w:hAnsi="Times New Roman" w:cs="Times New Roman"/>
          <w:sz w:val="24"/>
          <w:szCs w:val="24"/>
        </w:rPr>
        <w:t xml:space="preserve"> a contract.  </w:t>
      </w:r>
      <w:r w:rsidRPr="001D72D8">
        <w:rPr>
          <w:rFonts w:ascii="Times New Roman" w:hAnsi="Times New Roman" w:cs="Times New Roman"/>
          <w:iCs/>
          <w:sz w:val="24"/>
          <w:szCs w:val="24"/>
        </w:rPr>
        <w:t>The burden for this is included in §438.10.</w:t>
      </w:r>
    </w:p>
    <w:p w:rsidR="00B41FE8" w:rsidRPr="00B41FE8" w:rsidP="00B41FE8" w14:paraId="090CCC80" w14:textId="77777777">
      <w:pPr>
        <w:pStyle w:val="BodyText"/>
      </w:pPr>
    </w:p>
    <w:p w:rsidR="00332B7B" w:rsidRPr="001D72D8" w:rsidP="00432DCE" w14:paraId="513B324A" w14:textId="6D1CAAA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438.416 Recordkeeping requirements</w:t>
      </w:r>
      <w:r w:rsidRPr="001D72D8">
        <w:rPr>
          <w:rFonts w:ascii="Times New Roman" w:hAnsi="Times New Roman" w:cs="Times New Roman"/>
          <w:sz w:val="24"/>
          <w:szCs w:val="24"/>
        </w:rPr>
        <w:t xml:space="preserve"> </w:t>
      </w:r>
    </w:p>
    <w:p w:rsidR="00624B15" w:rsidP="00432DCE" w14:paraId="355F08E1" w14:textId="7DD55705">
      <w:pPr>
        <w:spacing w:after="0" w:line="240" w:lineRule="auto"/>
        <w:rPr>
          <w:rFonts w:ascii="Times New Roman" w:hAnsi="Times New Roman" w:cs="Times New Roman"/>
          <w:b/>
          <w:sz w:val="24"/>
          <w:szCs w:val="24"/>
        </w:rPr>
      </w:pPr>
      <w:r w:rsidRPr="001D72D8">
        <w:rPr>
          <w:rFonts w:ascii="Times New Roman" w:hAnsi="Times New Roman" w:cs="Times New Roman"/>
          <w:sz w:val="24"/>
          <w:szCs w:val="24"/>
        </w:rPr>
        <w:t xml:space="preserve">As the required elements will be stored and tracked electronically, </w:t>
      </w:r>
      <w:r w:rsidRPr="001D72D8" w:rsidR="00F3211B">
        <w:rPr>
          <w:rFonts w:ascii="Times New Roman" w:hAnsi="Times New Roman" w:cs="Times New Roman"/>
          <w:sz w:val="24"/>
          <w:szCs w:val="24"/>
        </w:rPr>
        <w:t>we estimate that approximately t</w:t>
      </w:r>
      <w:r w:rsidRPr="001D72D8" w:rsidR="00384087">
        <w:rPr>
          <w:rFonts w:ascii="Times New Roman" w:hAnsi="Times New Roman" w:cs="Times New Roman"/>
          <w:sz w:val="24"/>
          <w:szCs w:val="24"/>
        </w:rPr>
        <w:t>wo</w:t>
      </w:r>
      <w:r w:rsidRPr="001D72D8" w:rsidR="00F3211B">
        <w:rPr>
          <w:rFonts w:ascii="Times New Roman" w:hAnsi="Times New Roman" w:cs="Times New Roman"/>
          <w:sz w:val="24"/>
          <w:szCs w:val="24"/>
        </w:rPr>
        <w:t xml:space="preserve"> percent of </w:t>
      </w:r>
      <w:r w:rsidRPr="001D72D8" w:rsidR="00D21791">
        <w:rPr>
          <w:rFonts w:ascii="Times New Roman" w:hAnsi="Times New Roman" w:cs="Times New Roman"/>
          <w:sz w:val="24"/>
          <w:szCs w:val="24"/>
        </w:rPr>
        <w:t>72,977,045</w:t>
      </w:r>
      <w:r w:rsidRPr="001D72D8" w:rsidR="00384087">
        <w:rPr>
          <w:rFonts w:ascii="Times New Roman" w:hAnsi="Times New Roman" w:cs="Times New Roman"/>
          <w:sz w:val="24"/>
          <w:szCs w:val="24"/>
        </w:rPr>
        <w:t xml:space="preserve"> MCO, </w:t>
      </w:r>
      <w:r w:rsidRPr="001D72D8" w:rsidR="00F3211B">
        <w:rPr>
          <w:rFonts w:ascii="Times New Roman" w:hAnsi="Times New Roman" w:cs="Times New Roman"/>
          <w:sz w:val="24"/>
          <w:szCs w:val="24"/>
        </w:rPr>
        <w:t>PIHP</w:t>
      </w:r>
      <w:r w:rsidRPr="001D72D8" w:rsidR="00384087">
        <w:rPr>
          <w:rFonts w:ascii="Times New Roman" w:hAnsi="Times New Roman" w:cs="Times New Roman"/>
          <w:sz w:val="24"/>
          <w:szCs w:val="24"/>
        </w:rPr>
        <w:t>, and PAHP</w:t>
      </w:r>
      <w:r w:rsidRPr="001D72D8" w:rsidR="00F3211B">
        <w:rPr>
          <w:rFonts w:ascii="Times New Roman" w:hAnsi="Times New Roman" w:cs="Times New Roman"/>
          <w:sz w:val="24"/>
          <w:szCs w:val="24"/>
        </w:rPr>
        <w:t xml:space="preserve"> enrollees </w:t>
      </w:r>
      <w:r w:rsidRPr="001D72D8" w:rsidR="00622CF2">
        <w:rPr>
          <w:rFonts w:ascii="Times New Roman" w:hAnsi="Times New Roman" w:cs="Times New Roman"/>
          <w:sz w:val="24"/>
          <w:szCs w:val="24"/>
        </w:rPr>
        <w:t>(</w:t>
      </w:r>
      <w:r w:rsidRPr="001D72D8" w:rsidR="00D21791">
        <w:rPr>
          <w:rFonts w:ascii="Times New Roman" w:hAnsi="Times New Roman" w:cs="Times New Roman"/>
          <w:sz w:val="24"/>
          <w:szCs w:val="24"/>
        </w:rPr>
        <w:t>72,977,045</w:t>
      </w:r>
      <w:r w:rsidRPr="001D72D8" w:rsidR="00622CF2">
        <w:rPr>
          <w:rFonts w:ascii="Times New Roman" w:hAnsi="Times New Roman" w:cs="Times New Roman"/>
          <w:sz w:val="24"/>
          <w:szCs w:val="24"/>
        </w:rPr>
        <w:t xml:space="preserve"> x 0.02 = 1</w:t>
      </w:r>
      <w:r w:rsidRPr="001D72D8" w:rsidR="00D21791">
        <w:rPr>
          <w:rFonts w:ascii="Times New Roman" w:hAnsi="Times New Roman" w:cs="Times New Roman"/>
          <w:sz w:val="24"/>
          <w:szCs w:val="24"/>
        </w:rPr>
        <w:t>,459,941</w:t>
      </w:r>
      <w:r w:rsidRPr="001D72D8" w:rsidR="00622CF2">
        <w:rPr>
          <w:rFonts w:ascii="Times New Roman" w:hAnsi="Times New Roman" w:cs="Times New Roman"/>
          <w:sz w:val="24"/>
          <w:szCs w:val="24"/>
        </w:rPr>
        <w:t xml:space="preserve"> grievances</w:t>
      </w:r>
      <w:r w:rsidRPr="001D72D8" w:rsidR="00D21791">
        <w:rPr>
          <w:rFonts w:ascii="Times New Roman" w:hAnsi="Times New Roman" w:cs="Times New Roman"/>
          <w:sz w:val="24"/>
          <w:szCs w:val="24"/>
        </w:rPr>
        <w:t>/appeals</w:t>
      </w:r>
      <w:r w:rsidRPr="001D72D8" w:rsidR="00622CF2">
        <w:rPr>
          <w:rFonts w:ascii="Times New Roman" w:hAnsi="Times New Roman" w:cs="Times New Roman"/>
          <w:sz w:val="24"/>
          <w:szCs w:val="24"/>
        </w:rPr>
        <w:t xml:space="preserve">) </w:t>
      </w:r>
      <w:r w:rsidRPr="001D72D8" w:rsidR="00F3211B">
        <w:rPr>
          <w:rFonts w:ascii="Times New Roman" w:hAnsi="Times New Roman" w:cs="Times New Roman"/>
          <w:sz w:val="24"/>
          <w:szCs w:val="24"/>
        </w:rPr>
        <w:t>file a grievance or appeal.  W</w:t>
      </w:r>
      <w:r w:rsidRPr="001D72D8">
        <w:rPr>
          <w:rFonts w:ascii="Times New Roman" w:hAnsi="Times New Roman" w:cs="Times New Roman"/>
          <w:sz w:val="24"/>
          <w:szCs w:val="24"/>
        </w:rPr>
        <w:t xml:space="preserve">e estimate 1 min per grievance and appeal at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45.06</w:t>
      </w:r>
      <w:r w:rsidRPr="001D72D8">
        <w:rPr>
          <w:rFonts w:ascii="Times New Roman" w:hAnsi="Times New Roman" w:cs="Times New Roman"/>
          <w:sz w:val="24"/>
          <w:szCs w:val="24"/>
        </w:rPr>
        <w:t xml:space="preserve">/hr for an office and administrative support worker to maintain each grievance and appeals record.  In aggregate, we estimate an annual private sector burden of </w:t>
      </w:r>
      <w:r w:rsidRPr="001D72D8" w:rsidR="00384087">
        <w:rPr>
          <w:rFonts w:ascii="Times New Roman" w:hAnsi="Times New Roman" w:cs="Times New Roman"/>
          <w:b/>
          <w:sz w:val="24"/>
          <w:szCs w:val="24"/>
        </w:rPr>
        <w:t>2</w:t>
      </w:r>
      <w:r w:rsidRPr="001D72D8" w:rsidR="00820AC7">
        <w:rPr>
          <w:rFonts w:ascii="Times New Roman" w:hAnsi="Times New Roman" w:cs="Times New Roman"/>
          <w:b/>
          <w:sz w:val="24"/>
          <w:szCs w:val="24"/>
        </w:rPr>
        <w:t>4,38</w:t>
      </w:r>
      <w:r w:rsidRPr="001D72D8" w:rsidR="00DC5B91">
        <w:rPr>
          <w:rFonts w:ascii="Times New Roman" w:hAnsi="Times New Roman" w:cs="Times New Roman"/>
          <w:b/>
          <w:sz w:val="24"/>
          <w:szCs w:val="24"/>
        </w:rPr>
        <w:t>1</w:t>
      </w:r>
      <w:r w:rsidRPr="001D72D8">
        <w:rPr>
          <w:rFonts w:ascii="Times New Roman" w:hAnsi="Times New Roman" w:cs="Times New Roman"/>
          <w:b/>
          <w:sz w:val="24"/>
          <w:szCs w:val="24"/>
        </w:rPr>
        <w:t xml:space="preserve"> hr</w:t>
      </w:r>
      <w:r w:rsidRPr="001D72D8">
        <w:rPr>
          <w:rFonts w:ascii="Times New Roman" w:hAnsi="Times New Roman" w:cs="Times New Roman"/>
          <w:sz w:val="24"/>
          <w:szCs w:val="24"/>
        </w:rPr>
        <w:t xml:space="preserve"> (</w:t>
      </w:r>
      <w:r w:rsidRPr="001D72D8" w:rsidR="00384087">
        <w:rPr>
          <w:rFonts w:ascii="Times New Roman" w:hAnsi="Times New Roman" w:cs="Times New Roman"/>
          <w:sz w:val="24"/>
          <w:szCs w:val="24"/>
        </w:rPr>
        <w:t>1,</w:t>
      </w:r>
      <w:r w:rsidRPr="001D72D8" w:rsidR="00D21791">
        <w:rPr>
          <w:rFonts w:ascii="Times New Roman" w:hAnsi="Times New Roman" w:cs="Times New Roman"/>
          <w:sz w:val="24"/>
          <w:szCs w:val="24"/>
        </w:rPr>
        <w:t>459,941</w:t>
      </w:r>
      <w:r w:rsidRPr="001D72D8">
        <w:rPr>
          <w:rFonts w:ascii="Times New Roman" w:hAnsi="Times New Roman" w:cs="Times New Roman"/>
          <w:sz w:val="24"/>
          <w:szCs w:val="24"/>
        </w:rPr>
        <w:t xml:space="preserve"> grievances</w:t>
      </w:r>
      <w:r w:rsidRPr="001D72D8" w:rsidR="00D67AAE">
        <w:rPr>
          <w:rFonts w:ascii="Times New Roman" w:hAnsi="Times New Roman" w:cs="Times New Roman"/>
          <w:sz w:val="24"/>
          <w:szCs w:val="24"/>
        </w:rPr>
        <w:t xml:space="preserve"> </w:t>
      </w:r>
      <w:r w:rsidRPr="001D72D8">
        <w:rPr>
          <w:rFonts w:ascii="Times New Roman" w:hAnsi="Times New Roman" w:cs="Times New Roman"/>
          <w:sz w:val="24"/>
          <w:szCs w:val="24"/>
        </w:rPr>
        <w:t xml:space="preserve">x 1 min) and </w:t>
      </w:r>
      <w:r w:rsidRPr="001D72D8">
        <w:rPr>
          <w:rFonts w:ascii="Times New Roman" w:hAnsi="Times New Roman" w:cs="Times New Roman"/>
          <w:b/>
          <w:sz w:val="24"/>
          <w:szCs w:val="24"/>
        </w:rPr>
        <w:t>$</w:t>
      </w:r>
      <w:r w:rsidR="00B41DCC">
        <w:rPr>
          <w:rFonts w:ascii="Times New Roman" w:hAnsi="Times New Roman" w:cs="Times New Roman"/>
          <w:b/>
          <w:sz w:val="24"/>
          <w:szCs w:val="24"/>
        </w:rPr>
        <w:t>1,097,608</w:t>
      </w:r>
      <w:r w:rsidRPr="001D72D8">
        <w:rPr>
          <w:rFonts w:ascii="Times New Roman" w:hAnsi="Times New Roman" w:cs="Times New Roman"/>
          <w:sz w:val="24"/>
          <w:szCs w:val="24"/>
        </w:rPr>
        <w:t xml:space="preserve"> (</w:t>
      </w:r>
      <w:r w:rsidR="00490069">
        <w:rPr>
          <w:rFonts w:ascii="Times New Roman" w:hAnsi="Times New Roman" w:cs="Times New Roman"/>
          <w:sz w:val="24"/>
          <w:szCs w:val="24"/>
        </w:rPr>
        <w:t>24,381</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45.06</w:t>
      </w:r>
      <w:r w:rsidRPr="001D72D8">
        <w:rPr>
          <w:rFonts w:ascii="Times New Roman" w:hAnsi="Times New Roman" w:cs="Times New Roman"/>
          <w:sz w:val="24"/>
          <w:szCs w:val="24"/>
        </w:rPr>
        <w:t xml:space="preserve">/hr). </w:t>
      </w:r>
      <w:r w:rsidRPr="001D72D8">
        <w:rPr>
          <w:rFonts w:ascii="Times New Roman" w:hAnsi="Times New Roman" w:cs="Times New Roman"/>
          <w:b/>
          <w:sz w:val="24"/>
          <w:szCs w:val="24"/>
        </w:rPr>
        <w:t>(</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12.50)</w:t>
      </w:r>
    </w:p>
    <w:p w:rsidR="00B41FE8" w:rsidRPr="00B41FE8" w:rsidP="00B41FE8" w14:paraId="730BCF08" w14:textId="77777777">
      <w:pPr>
        <w:pStyle w:val="BodyText"/>
      </w:pPr>
    </w:p>
    <w:p w:rsidR="00EF2944" w:rsidRPr="001D72D8" w:rsidP="00432DCE" w14:paraId="3377909A" w14:textId="4C982706">
      <w:pPr>
        <w:spacing w:after="0" w:line="240" w:lineRule="auto"/>
        <w:rPr>
          <w:rFonts w:ascii="Times New Roman" w:hAnsi="Times New Roman" w:cs="Times New Roman"/>
          <w:sz w:val="24"/>
          <w:szCs w:val="24"/>
          <w:u w:val="single"/>
        </w:rPr>
      </w:pPr>
      <w:r w:rsidRPr="001D72D8">
        <w:rPr>
          <w:rFonts w:ascii="Times New Roman" w:hAnsi="Times New Roman" w:cs="Times New Roman"/>
          <w:sz w:val="24"/>
          <w:szCs w:val="24"/>
          <w:u w:val="single"/>
        </w:rPr>
        <w:t xml:space="preserve">Section 438.420 Continuation of benefits while the MCO, PIHP, or PAHP appeal and the State fair hearing are pending </w:t>
      </w:r>
    </w:p>
    <w:p w:rsidR="00624B15" w:rsidP="00432DCE" w14:paraId="19E47CF4" w14:textId="420E2393">
      <w:pPr>
        <w:spacing w:after="0" w:line="240" w:lineRule="auto"/>
        <w:rPr>
          <w:rFonts w:ascii="Times New Roman" w:hAnsi="Times New Roman" w:cs="Times New Roman"/>
          <w:bCs/>
          <w:sz w:val="24"/>
          <w:szCs w:val="24"/>
        </w:rPr>
      </w:pPr>
      <w:r w:rsidRPr="001D72D8">
        <w:rPr>
          <w:rFonts w:ascii="Times New Roman" w:hAnsi="Times New Roman" w:cs="Times New Roman"/>
          <w:sz w:val="24"/>
          <w:szCs w:val="24"/>
        </w:rPr>
        <w:t>Section</w:t>
      </w:r>
      <w:r w:rsidRPr="001D72D8">
        <w:rPr>
          <w:rFonts w:ascii="Times New Roman" w:hAnsi="Times New Roman" w:cs="Times New Roman"/>
          <w:bCs/>
          <w:sz w:val="24"/>
          <w:szCs w:val="24"/>
        </w:rPr>
        <w:t xml:space="preserve"> 438.420(c)(4) removes the </w:t>
      </w:r>
      <w:r w:rsidRPr="001D72D8">
        <w:rPr>
          <w:rFonts w:ascii="Times New Roman" w:hAnsi="Times New Roman" w:cs="Times New Roman"/>
          <w:bCs/>
          <w:sz w:val="24"/>
          <w:szCs w:val="24"/>
        </w:rPr>
        <w:t>time period</w:t>
      </w:r>
      <w:r w:rsidRPr="001D72D8">
        <w:rPr>
          <w:rFonts w:ascii="Times New Roman" w:hAnsi="Times New Roman" w:cs="Times New Roman"/>
          <w:bCs/>
          <w:sz w:val="24"/>
          <w:szCs w:val="24"/>
        </w:rPr>
        <w:t xml:space="preserve"> or service limit of a previously authorized service has been met as a criteria for defining the duration of continued benefits and adds “PAHP” as a conforming change to §438.400.  This action requires that MCOs and PIHPs revise current policies and procedures to reflect having only 3 criteria instead of 4.  PAHPs would incorporate the options in §438.420(c)(1) through (3) when developing their system under §438.402 and thus the elimination of §438.420 (c)(4) would have no impact on PAHPs.</w:t>
      </w:r>
    </w:p>
    <w:p w:rsidR="00B41FE8" w:rsidRPr="00B41FE8" w:rsidP="00B41FE8" w14:paraId="07967557" w14:textId="77777777">
      <w:pPr>
        <w:pStyle w:val="BodyText"/>
      </w:pPr>
    </w:p>
    <w:p w:rsidR="00624B15" w:rsidRPr="001D72D8" w:rsidP="00432DCE" w14:paraId="53C6E328" w14:textId="77777777">
      <w:pPr>
        <w:spacing w:after="0" w:line="240" w:lineRule="auto"/>
        <w:rPr>
          <w:rFonts w:ascii="Times New Roman" w:hAnsi="Times New Roman" w:cs="Times New Roman"/>
          <w:sz w:val="24"/>
          <w:szCs w:val="24"/>
        </w:rPr>
      </w:pPr>
      <w:r w:rsidRPr="001D72D8">
        <w:rPr>
          <w:rFonts w:ascii="Times New Roman" w:hAnsi="Times New Roman" w:cs="Times New Roman"/>
          <w:bCs/>
          <w:sz w:val="24"/>
          <w:szCs w:val="24"/>
        </w:rPr>
        <w:t>Section 438.420(d) adds PAHPs to the list of entities that can recover costs if the adverse determination is upheld.  PAHPs are required to include the policies and procedures necessary to recover costs when developing their system under §438.402 and thus will not incur additional burden.</w:t>
      </w:r>
    </w:p>
    <w:p w:rsidR="0036404F" w:rsidRPr="001D72D8" w:rsidP="00432DCE" w14:paraId="3C383850" w14:textId="77777777">
      <w:pPr>
        <w:spacing w:after="0" w:line="240" w:lineRule="auto"/>
        <w:rPr>
          <w:rFonts w:ascii="Times New Roman" w:hAnsi="Times New Roman" w:cs="Times New Roman"/>
          <w:sz w:val="24"/>
          <w:szCs w:val="24"/>
          <w:u w:val="single"/>
        </w:rPr>
      </w:pPr>
    </w:p>
    <w:p w:rsidR="0036404F" w:rsidP="00432DCE" w14:paraId="545392FF"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H-Additional Program Integrity Safeguards</w:t>
      </w:r>
    </w:p>
    <w:p w:rsidR="00B41FE8" w:rsidRPr="001D72D8" w:rsidP="00432DCE" w14:paraId="1956A4AD" w14:textId="77777777">
      <w:pPr>
        <w:pStyle w:val="BodyText"/>
        <w:spacing w:after="0" w:line="240" w:lineRule="auto"/>
        <w:jc w:val="center"/>
        <w:rPr>
          <w:rFonts w:ascii="Times New Roman" w:hAnsi="Times New Roman" w:cs="Times New Roman"/>
          <w:b/>
          <w:sz w:val="24"/>
          <w:szCs w:val="24"/>
        </w:rPr>
      </w:pPr>
    </w:p>
    <w:p w:rsidR="0036404F" w:rsidP="00432DCE" w14:paraId="058C3BE3" w14:textId="5A158D03">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Subpart H specifies requirements for states and managed care plans to implement and monitor program integrity activities.</w:t>
      </w:r>
    </w:p>
    <w:p w:rsidR="00B41FE8" w:rsidRPr="001D72D8" w:rsidP="00432DCE" w14:paraId="6C9FFE73" w14:textId="77777777">
      <w:pPr>
        <w:pStyle w:val="BodyText"/>
        <w:spacing w:after="0" w:line="240" w:lineRule="auto"/>
        <w:rPr>
          <w:rFonts w:ascii="Times New Roman" w:hAnsi="Times New Roman" w:cs="Times New Roman"/>
          <w:sz w:val="24"/>
          <w:szCs w:val="24"/>
        </w:rPr>
      </w:pPr>
    </w:p>
    <w:p w:rsidR="00332B7B" w:rsidRPr="001D72D8" w:rsidP="00432DCE" w14:paraId="6F589A12" w14:textId="4A56F89B">
      <w:pPr>
        <w:spacing w:after="0" w:line="240" w:lineRule="auto"/>
        <w:rPr>
          <w:rFonts w:ascii="Times New Roman" w:hAnsi="Times New Roman" w:cs="Times New Roman"/>
          <w:sz w:val="24"/>
          <w:szCs w:val="24"/>
          <w:u w:val="single"/>
        </w:rPr>
      </w:pPr>
      <w:r w:rsidRPr="001D72D8">
        <w:rPr>
          <w:rFonts w:ascii="Times New Roman" w:hAnsi="Times New Roman" w:cs="Times New Roman"/>
          <w:sz w:val="24"/>
          <w:szCs w:val="24"/>
          <w:u w:val="single"/>
        </w:rPr>
        <w:t xml:space="preserve">Section 438.602 </w:t>
      </w:r>
      <w:r w:rsidRPr="001D72D8" w:rsidR="00D91515">
        <w:rPr>
          <w:rFonts w:ascii="Times New Roman" w:hAnsi="Times New Roman" w:cs="Times New Roman"/>
          <w:sz w:val="24"/>
          <w:szCs w:val="24"/>
          <w:u w:val="single"/>
        </w:rPr>
        <w:t>State responsibilities.</w:t>
      </w:r>
    </w:p>
    <w:p w:rsidR="00624B15" w:rsidP="00432DCE" w14:paraId="6C47C997" w14:textId="19EBDCDB">
      <w:pPr>
        <w:spacing w:after="0" w:line="240" w:lineRule="auto"/>
        <w:rPr>
          <w:rFonts w:ascii="Times New Roman" w:hAnsi="Times New Roman" w:cs="Times New Roman"/>
          <w:b/>
          <w:sz w:val="24"/>
          <w:szCs w:val="24"/>
        </w:rPr>
      </w:pPr>
      <w:r w:rsidRPr="001D72D8">
        <w:rPr>
          <w:rFonts w:ascii="Times New Roman" w:hAnsi="Times New Roman" w:cs="Times New Roman"/>
          <w:sz w:val="24"/>
          <w:szCs w:val="24"/>
        </w:rPr>
        <w:t xml:space="preserve">Section 438.602(e) requires states to conduct or contract for audits of MCO, PIHP, and PAHP encounter and financial data once every 3 years.  As validation of encounter data is also required in §438.818(a), we assume no additional burden.  For the financial audits, states could use internal staff or an existing contractual resource, such as their actuarial firm.  For internal staff, we estimate an annual state burden of 20 hr at </w:t>
      </w:r>
      <w:r w:rsidRPr="001D72D8" w:rsidR="002B072F">
        <w:rPr>
          <w:rFonts w:ascii="Times New Roman" w:hAnsi="Times New Roman" w:cs="Times New Roman"/>
          <w:sz w:val="24"/>
          <w:szCs w:val="24"/>
        </w:rPr>
        <w:t>$</w:t>
      </w:r>
      <w:r w:rsidRPr="001D72D8" w:rsidR="00143431">
        <w:rPr>
          <w:rFonts w:ascii="Times New Roman" w:hAnsi="Times New Roman" w:cs="Times New Roman"/>
          <w:sz w:val="24"/>
          <w:szCs w:val="24"/>
        </w:rPr>
        <w:t>91.12</w:t>
      </w:r>
      <w:r w:rsidRPr="001D72D8">
        <w:rPr>
          <w:rFonts w:ascii="Times New Roman" w:hAnsi="Times New Roman" w:cs="Times New Roman"/>
          <w:sz w:val="24"/>
          <w:szCs w:val="24"/>
        </w:rPr>
        <w:t xml:space="preserve">/hr for an accountant.  In aggregate, we estimate </w:t>
      </w:r>
      <w:r w:rsidRPr="001D72D8" w:rsidR="00D67AAE">
        <w:rPr>
          <w:rFonts w:ascii="Times New Roman" w:hAnsi="Times New Roman" w:cs="Times New Roman"/>
          <w:sz w:val="24"/>
          <w:szCs w:val="24"/>
        </w:rPr>
        <w:t>an annual state burden of</w:t>
      </w:r>
      <w:r w:rsidRPr="001D72D8" w:rsidR="00D67AAE">
        <w:rPr>
          <w:rFonts w:ascii="Times New Roman" w:hAnsi="Times New Roman" w:cs="Times New Roman"/>
          <w:b/>
          <w:sz w:val="24"/>
          <w:szCs w:val="24"/>
        </w:rPr>
        <w:t xml:space="preserve"> </w:t>
      </w:r>
      <w:r w:rsidRPr="001D72D8">
        <w:rPr>
          <w:rFonts w:ascii="Times New Roman" w:hAnsi="Times New Roman" w:cs="Times New Roman"/>
          <w:b/>
          <w:sz w:val="24"/>
          <w:szCs w:val="24"/>
        </w:rPr>
        <w:t>3,4</w:t>
      </w:r>
      <w:r w:rsidRPr="001D72D8" w:rsidR="00326DA4">
        <w:rPr>
          <w:rFonts w:ascii="Times New Roman" w:hAnsi="Times New Roman" w:cs="Times New Roman"/>
          <w:b/>
          <w:sz w:val="24"/>
          <w:szCs w:val="24"/>
        </w:rPr>
        <w:t>20</w:t>
      </w:r>
      <w:r w:rsidRPr="001D72D8">
        <w:rPr>
          <w:rFonts w:ascii="Times New Roman" w:hAnsi="Times New Roman" w:cs="Times New Roman"/>
          <w:b/>
          <w:sz w:val="24"/>
          <w:szCs w:val="24"/>
        </w:rPr>
        <w:t xml:space="preserve">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w:t>
      </w:r>
      <w:r w:rsidRPr="001D72D8" w:rsidR="0037031A">
        <w:rPr>
          <w:rFonts w:ascii="Times New Roman" w:hAnsi="Times New Roman" w:cs="Times New Roman"/>
          <w:sz w:val="24"/>
          <w:szCs w:val="24"/>
        </w:rPr>
        <w:t>[(</w:t>
      </w:r>
      <w:r w:rsidRPr="001D72D8" w:rsidR="006601DA">
        <w:rPr>
          <w:rFonts w:ascii="Times New Roman" w:hAnsi="Times New Roman" w:cs="Times New Roman"/>
          <w:sz w:val="24"/>
          <w:szCs w:val="24"/>
        </w:rPr>
        <w:t>51</w:t>
      </w:r>
      <w:r w:rsidRPr="001D72D8" w:rsidR="0057770A">
        <w:rPr>
          <w:rFonts w:ascii="Times New Roman" w:hAnsi="Times New Roman" w:cs="Times New Roman"/>
          <w:sz w:val="24"/>
          <w:szCs w:val="24"/>
        </w:rPr>
        <w:t>2</w:t>
      </w:r>
      <w:r w:rsidRPr="001D72D8" w:rsidR="006601DA">
        <w:rPr>
          <w:rFonts w:ascii="Times New Roman" w:hAnsi="Times New Roman" w:cs="Times New Roman"/>
          <w:sz w:val="24"/>
          <w:szCs w:val="24"/>
        </w:rPr>
        <w:t xml:space="preserve"> MCOs, PIHPs, PAHPs</w:t>
      </w:r>
      <w:r w:rsidRPr="001D72D8">
        <w:rPr>
          <w:rFonts w:ascii="Times New Roman" w:hAnsi="Times New Roman" w:cs="Times New Roman"/>
          <w:sz w:val="24"/>
          <w:szCs w:val="24"/>
        </w:rPr>
        <w:t xml:space="preserve"> x 20 hr)/3</w:t>
      </w:r>
      <w:r w:rsidRPr="001D72D8" w:rsidR="0037031A">
        <w:rPr>
          <w:rFonts w:ascii="Times New Roman" w:hAnsi="Times New Roman" w:cs="Times New Roman"/>
          <w:sz w:val="24"/>
          <w:szCs w:val="24"/>
        </w:rPr>
        <w:t>]</w:t>
      </w:r>
      <w:r w:rsidRPr="001D72D8">
        <w:rPr>
          <w:rFonts w:ascii="Times New Roman" w:hAnsi="Times New Roman" w:cs="Times New Roman"/>
          <w:sz w:val="24"/>
          <w:szCs w:val="24"/>
        </w:rPr>
        <w:t xml:space="preserve"> and </w:t>
      </w:r>
      <w:r w:rsidRPr="001D72D8" w:rsidR="006601DA">
        <w:rPr>
          <w:rFonts w:ascii="Times New Roman" w:hAnsi="Times New Roman" w:cs="Times New Roman"/>
          <w:b/>
          <w:sz w:val="24"/>
          <w:szCs w:val="24"/>
        </w:rPr>
        <w:t>$</w:t>
      </w:r>
      <w:r w:rsidRPr="001D72D8" w:rsidR="00AB1339">
        <w:rPr>
          <w:rFonts w:ascii="Times New Roman" w:hAnsi="Times New Roman" w:cs="Times New Roman"/>
          <w:b/>
          <w:sz w:val="24"/>
          <w:szCs w:val="24"/>
        </w:rPr>
        <w:t>311,630</w:t>
      </w:r>
      <w:r w:rsidRPr="001D72D8" w:rsidR="0003686D">
        <w:rPr>
          <w:rFonts w:ascii="Times New Roman" w:hAnsi="Times New Roman" w:cs="Times New Roman"/>
          <w:b/>
          <w:sz w:val="24"/>
          <w:szCs w:val="24"/>
        </w:rPr>
        <w:t xml:space="preserve"> </w:t>
      </w:r>
      <w:r w:rsidRPr="001D72D8">
        <w:rPr>
          <w:rFonts w:ascii="Times New Roman" w:hAnsi="Times New Roman" w:cs="Times New Roman"/>
          <w:sz w:val="24"/>
          <w:szCs w:val="24"/>
        </w:rPr>
        <w:t>(3,</w:t>
      </w:r>
      <w:r w:rsidR="000C3A2C">
        <w:rPr>
          <w:rFonts w:ascii="Times New Roman" w:hAnsi="Times New Roman" w:cs="Times New Roman"/>
          <w:sz w:val="24"/>
          <w:szCs w:val="24"/>
        </w:rPr>
        <w:t>420</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143431">
        <w:rPr>
          <w:rFonts w:ascii="Times New Roman" w:hAnsi="Times New Roman" w:cs="Times New Roman"/>
          <w:sz w:val="24"/>
          <w:szCs w:val="24"/>
        </w:rPr>
        <w:t>91.12</w:t>
      </w:r>
      <w:r w:rsidRPr="001D72D8">
        <w:rPr>
          <w:rFonts w:ascii="Times New Roman" w:hAnsi="Times New Roman" w:cs="Times New Roman"/>
          <w:sz w:val="24"/>
          <w:szCs w:val="24"/>
        </w:rPr>
        <w:t xml:space="preserve">/hr). </w:t>
      </w:r>
      <w:r w:rsidRPr="001D72D8">
        <w:rPr>
          <w:rFonts w:ascii="Times New Roman" w:hAnsi="Times New Roman" w:cs="Times New Roman"/>
          <w:b/>
          <w:sz w:val="24"/>
          <w:szCs w:val="24"/>
        </w:rPr>
        <w:t>(</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12.54)</w:t>
      </w:r>
    </w:p>
    <w:p w:rsidR="00B41FE8" w:rsidRPr="00B41FE8" w:rsidP="00B41FE8" w14:paraId="5B4DF4ED" w14:textId="77777777">
      <w:pPr>
        <w:pStyle w:val="BodyText"/>
      </w:pPr>
    </w:p>
    <w:p w:rsidR="00624B15" w:rsidP="00432DCE" w14:paraId="190D8F0F" w14:textId="2D2C6476">
      <w:pPr>
        <w:spacing w:after="0" w:line="240" w:lineRule="auto"/>
        <w:rPr>
          <w:rFonts w:ascii="Times New Roman" w:hAnsi="Times New Roman" w:cs="Times New Roman"/>
          <w:b/>
          <w:sz w:val="24"/>
          <w:szCs w:val="24"/>
        </w:rPr>
      </w:pPr>
      <w:r w:rsidRPr="001D72D8">
        <w:rPr>
          <w:rFonts w:ascii="Times New Roman" w:hAnsi="Times New Roman" w:cs="Times New Roman"/>
          <w:sz w:val="24"/>
          <w:szCs w:val="24"/>
        </w:rPr>
        <w:t xml:space="preserve">Section 438.602(g) requires states to post the MCO’s, PIHP’s, and PAHP’s contracts, data from §438.604, and audits from §438.602(e) on their website.  As most of these activities will only occur no more frequently than annually, we estimate an annual state burden of 1 hr at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134.48</w:t>
      </w:r>
      <w:r w:rsidRPr="001D72D8">
        <w:rPr>
          <w:rFonts w:ascii="Times New Roman" w:hAnsi="Times New Roman" w:cs="Times New Roman"/>
          <w:sz w:val="24"/>
          <w:szCs w:val="24"/>
        </w:rPr>
        <w:t xml:space="preserve">/hr for a computer programmer to post the documents.  In aggregate, we estimate </w:t>
      </w:r>
      <w:r w:rsidRPr="001D72D8">
        <w:rPr>
          <w:rFonts w:ascii="Times New Roman" w:hAnsi="Times New Roman" w:cs="Times New Roman"/>
          <w:b/>
          <w:sz w:val="24"/>
          <w:szCs w:val="24"/>
        </w:rPr>
        <w:t>4</w:t>
      </w:r>
      <w:r w:rsidRPr="001D72D8" w:rsidR="0003686D">
        <w:rPr>
          <w:rFonts w:ascii="Times New Roman" w:hAnsi="Times New Roman" w:cs="Times New Roman"/>
          <w:b/>
          <w:sz w:val="24"/>
          <w:szCs w:val="24"/>
        </w:rPr>
        <w:t>9</w:t>
      </w:r>
      <w:r w:rsidRPr="001D72D8">
        <w:rPr>
          <w:rFonts w:ascii="Times New Roman" w:hAnsi="Times New Roman" w:cs="Times New Roman"/>
          <w:b/>
          <w:sz w:val="24"/>
          <w:szCs w:val="24"/>
        </w:rPr>
        <w:t xml:space="preserve">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(4</w:t>
      </w:r>
      <w:r w:rsidRPr="001D72D8" w:rsidR="0003686D">
        <w:rPr>
          <w:rFonts w:ascii="Times New Roman" w:hAnsi="Times New Roman" w:cs="Times New Roman"/>
          <w:sz w:val="24"/>
          <w:szCs w:val="24"/>
        </w:rPr>
        <w:t>9</w:t>
      </w:r>
      <w:r w:rsidRPr="001D72D8">
        <w:rPr>
          <w:rFonts w:ascii="Times New Roman" w:hAnsi="Times New Roman" w:cs="Times New Roman"/>
          <w:sz w:val="24"/>
          <w:szCs w:val="24"/>
        </w:rPr>
        <w:t xml:space="preserve"> states x 1 hr) and </w:t>
      </w:r>
      <w:r w:rsidRPr="001D72D8">
        <w:rPr>
          <w:rFonts w:ascii="Times New Roman" w:hAnsi="Times New Roman" w:cs="Times New Roman"/>
          <w:b/>
          <w:sz w:val="24"/>
          <w:szCs w:val="24"/>
        </w:rPr>
        <w:t>$</w:t>
      </w:r>
      <w:r w:rsidR="00B41DCC">
        <w:rPr>
          <w:rFonts w:ascii="Times New Roman" w:hAnsi="Times New Roman" w:cs="Times New Roman"/>
          <w:b/>
          <w:sz w:val="24"/>
          <w:szCs w:val="24"/>
        </w:rPr>
        <w:t>6,590</w:t>
      </w:r>
      <w:r w:rsidRPr="001D72D8">
        <w:rPr>
          <w:rFonts w:ascii="Times New Roman" w:hAnsi="Times New Roman" w:cs="Times New Roman"/>
          <w:sz w:val="24"/>
          <w:szCs w:val="24"/>
        </w:rPr>
        <w:t xml:space="preserve"> (4</w:t>
      </w:r>
      <w:r w:rsidRPr="001D72D8" w:rsidR="0003686D">
        <w:rPr>
          <w:rFonts w:ascii="Times New Roman" w:hAnsi="Times New Roman" w:cs="Times New Roman"/>
          <w:sz w:val="24"/>
          <w:szCs w:val="24"/>
        </w:rPr>
        <w:t>9</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134.48</w:t>
      </w:r>
      <w:r w:rsidRPr="001D72D8">
        <w:rPr>
          <w:rFonts w:ascii="Times New Roman" w:hAnsi="Times New Roman" w:cs="Times New Roman"/>
          <w:sz w:val="24"/>
          <w:szCs w:val="24"/>
        </w:rPr>
        <w:t>/hr).</w:t>
      </w:r>
      <w:r w:rsidRPr="001D72D8">
        <w:rPr>
          <w:rFonts w:ascii="Times New Roman" w:hAnsi="Times New Roman" w:cs="Times New Roman"/>
          <w:b/>
          <w:sz w:val="24"/>
          <w:szCs w:val="24"/>
        </w:rPr>
        <w:t xml:space="preserve"> (</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12.55)</w:t>
      </w:r>
    </w:p>
    <w:p w:rsidR="00B41FE8" w:rsidRPr="00B41FE8" w:rsidP="00B41FE8" w14:paraId="774D134A" w14:textId="77777777">
      <w:pPr>
        <w:pStyle w:val="BodyText"/>
      </w:pPr>
    </w:p>
    <w:p w:rsidR="00332B7B" w:rsidRPr="001D72D8" w:rsidP="00432DCE" w14:paraId="39420225" w14:textId="3235B899">
      <w:pPr>
        <w:spacing w:after="0" w:line="240" w:lineRule="auto"/>
        <w:rPr>
          <w:rFonts w:ascii="Times New Roman" w:hAnsi="Times New Roman" w:cs="Times New Roman"/>
          <w:sz w:val="24"/>
          <w:szCs w:val="24"/>
          <w:u w:val="single"/>
        </w:rPr>
      </w:pPr>
      <w:r w:rsidRPr="001D72D8">
        <w:rPr>
          <w:rFonts w:ascii="Times New Roman" w:hAnsi="Times New Roman" w:cs="Times New Roman"/>
          <w:sz w:val="24"/>
          <w:szCs w:val="24"/>
          <w:u w:val="single"/>
        </w:rPr>
        <w:t xml:space="preserve">Section 438.604 </w:t>
      </w:r>
      <w:r w:rsidRPr="001D72D8" w:rsidR="001171EF">
        <w:rPr>
          <w:rFonts w:ascii="Times New Roman" w:hAnsi="Times New Roman" w:cs="Times New Roman"/>
          <w:sz w:val="24"/>
          <w:szCs w:val="24"/>
          <w:u w:val="single"/>
        </w:rPr>
        <w:t>Data, information, and documentation that must be submitted</w:t>
      </w:r>
    </w:p>
    <w:p w:rsidR="00624B15" w:rsidP="00432DCE" w14:paraId="3835E6D3" w14:textId="2139E624">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This section details the type of information the state must require by contract from the MCO, PIHP, PAHP, PCCM, or PCCM entity.  The burden to amend all contracts is included in 438.3.</w:t>
      </w:r>
    </w:p>
    <w:p w:rsidR="00B41FE8" w:rsidRPr="00B41FE8" w:rsidP="00B41FE8" w14:paraId="45B14492" w14:textId="77777777">
      <w:pPr>
        <w:pStyle w:val="BodyText"/>
      </w:pPr>
    </w:p>
    <w:p w:rsidR="00624B15" w:rsidRPr="001D72D8" w:rsidP="00432DCE" w14:paraId="1B0603A5" w14:textId="0C70AFD1">
      <w:pPr>
        <w:spacing w:after="0" w:line="240" w:lineRule="auto"/>
        <w:rPr>
          <w:rStyle w:val="footnoteref"/>
          <w:rFonts w:ascii="Times New Roman" w:hAnsi="Times New Roman" w:cs="Times New Roman"/>
          <w:sz w:val="24"/>
          <w:szCs w:val="24"/>
        </w:rPr>
      </w:pPr>
      <w:r w:rsidRPr="001D72D8">
        <w:rPr>
          <w:rStyle w:val="footnoteref"/>
          <w:rFonts w:ascii="Times New Roman" w:hAnsi="Times New Roman" w:cs="Times New Roman"/>
          <w:sz w:val="24"/>
          <w:szCs w:val="24"/>
          <w:u w:val="single"/>
        </w:rPr>
        <w:t>Section 438.608 Program integrity requirements under the contract</w:t>
      </w:r>
      <w:r w:rsidRPr="001D72D8">
        <w:rPr>
          <w:rStyle w:val="footnoteref"/>
          <w:rFonts w:ascii="Times New Roman" w:hAnsi="Times New Roman" w:cs="Times New Roman"/>
          <w:sz w:val="24"/>
          <w:szCs w:val="24"/>
        </w:rPr>
        <w:t xml:space="preserve"> </w:t>
      </w:r>
    </w:p>
    <w:p w:rsidR="00624B15" w:rsidP="00432DCE" w14:paraId="6F81789D" w14:textId="1180208F">
      <w:pPr>
        <w:spacing w:after="0" w:line="240" w:lineRule="auto"/>
        <w:rPr>
          <w:rFonts w:ascii="Times New Roman" w:hAnsi="Times New Roman" w:cs="Times New Roman"/>
          <w:b/>
          <w:sz w:val="24"/>
          <w:szCs w:val="24"/>
        </w:rPr>
      </w:pPr>
      <w:r w:rsidRPr="001D72D8">
        <w:rPr>
          <w:rStyle w:val="footnoteref"/>
          <w:rFonts w:ascii="Times New Roman" w:hAnsi="Times New Roman" w:cs="Times New Roman"/>
          <w:sz w:val="24"/>
          <w:szCs w:val="24"/>
        </w:rPr>
        <w:t>Section 438.608(a)(2) and (3) requires the reporting of overpayments and enrollee fraud.  As these would be done via an email from the MCO, PIHP, or PAHP to the state and occur</w:t>
      </w:r>
      <w:r w:rsidRPr="001D72D8" w:rsidR="000A3955">
        <w:rPr>
          <w:rStyle w:val="footnoteref"/>
          <w:rFonts w:ascii="Times New Roman" w:hAnsi="Times New Roman" w:cs="Times New Roman"/>
          <w:sz w:val="24"/>
          <w:szCs w:val="24"/>
        </w:rPr>
        <w:t xml:space="preserve"> </w:t>
      </w:r>
      <w:r w:rsidRPr="001D72D8" w:rsidR="009B5710">
        <w:rPr>
          <w:rStyle w:val="footnoteref"/>
          <w:rFonts w:ascii="Times New Roman" w:hAnsi="Times New Roman" w:cs="Times New Roman"/>
          <w:sz w:val="24"/>
          <w:szCs w:val="24"/>
        </w:rPr>
        <w:t>on each state’s established timeframe</w:t>
      </w:r>
      <w:r w:rsidRPr="001D72D8">
        <w:rPr>
          <w:rStyle w:val="footnoteref"/>
          <w:rFonts w:ascii="Times New Roman" w:hAnsi="Times New Roman" w:cs="Times New Roman"/>
          <w:sz w:val="24"/>
          <w:szCs w:val="24"/>
        </w:rPr>
        <w:t xml:space="preserve">, we estimate an annual private sector burden of 2 hr at </w:t>
      </w:r>
      <w:r w:rsidRPr="001D72D8" w:rsidR="00DC6A2E">
        <w:rPr>
          <w:rStyle w:val="footnoteref"/>
          <w:rFonts w:ascii="Times New Roman" w:hAnsi="Times New Roman" w:cs="Times New Roman"/>
          <w:sz w:val="24"/>
          <w:szCs w:val="24"/>
        </w:rPr>
        <w:t>$</w:t>
      </w:r>
      <w:r w:rsidRPr="001D72D8" w:rsidR="00C03548">
        <w:rPr>
          <w:rStyle w:val="footnoteref"/>
          <w:rFonts w:ascii="Times New Roman" w:hAnsi="Times New Roman" w:cs="Times New Roman"/>
          <w:sz w:val="24"/>
          <w:szCs w:val="24"/>
        </w:rPr>
        <w:t>89.26</w:t>
      </w:r>
      <w:r w:rsidRPr="001D72D8">
        <w:rPr>
          <w:rStyle w:val="footnoteref"/>
          <w:rFonts w:ascii="Times New Roman" w:hAnsi="Times New Roman" w:cs="Times New Roman"/>
          <w:sz w:val="24"/>
          <w:szCs w:val="24"/>
        </w:rPr>
        <w:t xml:space="preserve">/hr for a business operations specialist.  In aggregate, we estimate </w:t>
      </w:r>
      <w:r w:rsidRPr="001D72D8">
        <w:rPr>
          <w:rStyle w:val="footnoteref"/>
          <w:rFonts w:ascii="Times New Roman" w:hAnsi="Times New Roman" w:cs="Times New Roman"/>
          <w:b/>
          <w:sz w:val="24"/>
          <w:szCs w:val="24"/>
        </w:rPr>
        <w:t>1,</w:t>
      </w:r>
      <w:r w:rsidRPr="001D72D8" w:rsidR="00BE0442">
        <w:rPr>
          <w:rStyle w:val="footnoteref"/>
          <w:rFonts w:ascii="Times New Roman" w:hAnsi="Times New Roman" w:cs="Times New Roman"/>
          <w:b/>
          <w:sz w:val="24"/>
          <w:szCs w:val="24"/>
        </w:rPr>
        <w:t>340</w:t>
      </w:r>
      <w:r w:rsidRPr="001D72D8">
        <w:rPr>
          <w:rStyle w:val="footnoteref"/>
          <w:rFonts w:ascii="Times New Roman" w:hAnsi="Times New Roman" w:cs="Times New Roman"/>
          <w:b/>
          <w:sz w:val="24"/>
          <w:szCs w:val="24"/>
        </w:rPr>
        <w:t xml:space="preserve"> h</w:t>
      </w:r>
      <w:r w:rsidR="00AA2C2A">
        <w:rPr>
          <w:rStyle w:val="footnoteref"/>
          <w:rFonts w:ascii="Times New Roman" w:hAnsi="Times New Roman" w:cs="Times New Roman"/>
          <w:b/>
          <w:sz w:val="24"/>
          <w:szCs w:val="24"/>
        </w:rPr>
        <w:t>ours</w:t>
      </w:r>
      <w:r w:rsidRPr="001D72D8">
        <w:rPr>
          <w:rStyle w:val="footnoteref"/>
          <w:rFonts w:ascii="Times New Roman" w:hAnsi="Times New Roman" w:cs="Times New Roman"/>
          <w:sz w:val="24"/>
          <w:szCs w:val="24"/>
        </w:rPr>
        <w:t xml:space="preserve"> (</w:t>
      </w:r>
      <w:r w:rsidRPr="001D72D8" w:rsidR="00D21791">
        <w:rPr>
          <w:rStyle w:val="footnoteref"/>
          <w:rFonts w:ascii="Times New Roman" w:hAnsi="Times New Roman" w:cs="Times New Roman"/>
          <w:sz w:val="24"/>
          <w:szCs w:val="24"/>
        </w:rPr>
        <w:t xml:space="preserve">670 </w:t>
      </w:r>
      <w:r w:rsidRPr="001D72D8">
        <w:rPr>
          <w:rStyle w:val="footnoteref"/>
          <w:rFonts w:ascii="Times New Roman" w:hAnsi="Times New Roman" w:cs="Times New Roman"/>
          <w:sz w:val="24"/>
          <w:szCs w:val="24"/>
        </w:rPr>
        <w:t xml:space="preserve">entities x 2 hr) and </w:t>
      </w:r>
      <w:r w:rsidRPr="001D72D8">
        <w:rPr>
          <w:rStyle w:val="footnoteref"/>
          <w:rFonts w:ascii="Times New Roman" w:hAnsi="Times New Roman" w:cs="Times New Roman"/>
          <w:b/>
          <w:sz w:val="24"/>
          <w:szCs w:val="24"/>
        </w:rPr>
        <w:t>$</w:t>
      </w:r>
      <w:r w:rsidR="00C62479">
        <w:rPr>
          <w:rStyle w:val="footnoteref"/>
          <w:rFonts w:ascii="Times New Roman" w:hAnsi="Times New Roman" w:cs="Times New Roman"/>
          <w:b/>
          <w:sz w:val="24"/>
          <w:szCs w:val="24"/>
        </w:rPr>
        <w:t>119,</w:t>
      </w:r>
      <w:r w:rsidR="008857B9">
        <w:rPr>
          <w:rStyle w:val="footnoteref"/>
          <w:rFonts w:ascii="Times New Roman" w:hAnsi="Times New Roman" w:cs="Times New Roman"/>
          <w:b/>
          <w:sz w:val="24"/>
          <w:szCs w:val="24"/>
        </w:rPr>
        <w:t>568</w:t>
      </w:r>
      <w:r w:rsidRPr="001D72D8" w:rsidR="00023556">
        <w:rPr>
          <w:rStyle w:val="footnoteref"/>
          <w:rFonts w:ascii="Times New Roman" w:hAnsi="Times New Roman" w:cs="Times New Roman"/>
          <w:sz w:val="24"/>
          <w:szCs w:val="24"/>
        </w:rPr>
        <w:t xml:space="preserve"> </w:t>
      </w:r>
      <w:r w:rsidRPr="001D72D8">
        <w:rPr>
          <w:rStyle w:val="footnoteref"/>
          <w:rFonts w:ascii="Times New Roman" w:hAnsi="Times New Roman" w:cs="Times New Roman"/>
          <w:sz w:val="24"/>
          <w:szCs w:val="24"/>
        </w:rPr>
        <w:t>(1,</w:t>
      </w:r>
      <w:r w:rsidR="000C3A2C">
        <w:rPr>
          <w:rStyle w:val="footnoteref"/>
          <w:rFonts w:ascii="Times New Roman" w:hAnsi="Times New Roman" w:cs="Times New Roman"/>
          <w:sz w:val="24"/>
          <w:szCs w:val="24"/>
        </w:rPr>
        <w:t>340</w:t>
      </w:r>
      <w:r w:rsidRPr="001D72D8">
        <w:rPr>
          <w:rStyle w:val="footnoteref"/>
          <w:rFonts w:ascii="Times New Roman" w:hAnsi="Times New Roman" w:cs="Times New Roman"/>
          <w:sz w:val="24"/>
          <w:szCs w:val="24"/>
        </w:rPr>
        <w:t xml:space="preserve"> hr x </w:t>
      </w:r>
      <w:r w:rsidRPr="001D72D8" w:rsidR="00DC6A2E">
        <w:rPr>
          <w:rStyle w:val="footnoteref"/>
          <w:rFonts w:ascii="Times New Roman" w:hAnsi="Times New Roman" w:cs="Times New Roman"/>
          <w:sz w:val="24"/>
          <w:szCs w:val="24"/>
        </w:rPr>
        <w:t>$</w:t>
      </w:r>
      <w:r w:rsidRPr="001D72D8" w:rsidR="00C03548">
        <w:rPr>
          <w:rStyle w:val="footnoteref"/>
          <w:rFonts w:ascii="Times New Roman" w:hAnsi="Times New Roman" w:cs="Times New Roman"/>
          <w:sz w:val="24"/>
          <w:szCs w:val="24"/>
        </w:rPr>
        <w:t>89.26</w:t>
      </w:r>
      <w:r w:rsidRPr="001D72D8">
        <w:rPr>
          <w:rStyle w:val="footnoteref"/>
          <w:rFonts w:ascii="Times New Roman" w:hAnsi="Times New Roman" w:cs="Times New Roman"/>
          <w:sz w:val="24"/>
          <w:szCs w:val="24"/>
        </w:rPr>
        <w:t xml:space="preserve">/hr). </w:t>
      </w:r>
      <w:r w:rsidRPr="001D72D8">
        <w:rPr>
          <w:rFonts w:ascii="Times New Roman" w:hAnsi="Times New Roman" w:cs="Times New Roman"/>
          <w:b/>
          <w:sz w:val="24"/>
          <w:szCs w:val="24"/>
        </w:rPr>
        <w:t>(</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12.57)</w:t>
      </w:r>
    </w:p>
    <w:p w:rsidR="00B41FE8" w:rsidRPr="00B41FE8" w:rsidP="00B41FE8" w14:paraId="704C309C" w14:textId="77777777">
      <w:pPr>
        <w:pStyle w:val="BodyText"/>
      </w:pPr>
    </w:p>
    <w:p w:rsidR="00624B15" w:rsidRPr="001D72D8" w:rsidP="00432DCE" w14:paraId="54FD004B" w14:textId="7A8CB2C2">
      <w:pPr>
        <w:spacing w:after="0" w:line="240" w:lineRule="auto"/>
        <w:rPr>
          <w:rStyle w:val="footnoteref"/>
          <w:rFonts w:ascii="Times New Roman" w:hAnsi="Times New Roman" w:cs="Times New Roman"/>
          <w:sz w:val="24"/>
          <w:szCs w:val="24"/>
        </w:rPr>
      </w:pPr>
      <w:r w:rsidRPr="001D72D8">
        <w:rPr>
          <w:rStyle w:val="footnoteref"/>
          <w:rFonts w:ascii="Times New Roman" w:hAnsi="Times New Roman" w:cs="Times New Roman"/>
          <w:sz w:val="24"/>
          <w:szCs w:val="24"/>
        </w:rPr>
        <w:t xml:space="preserve">Section 438.608(a)(4) requires that the MCO, PIHP, or PAHP use a sampling methodology to verify receipt of services.  Given that this is already required of all states in their FFS programs, many states already require their MCOs, PIHPs, and PAHPs to do this.  Additionally, many managed care plans perform this as part of usual and customary business practice.  Therefore, we estimate only approximately 200 MCOs, PIHPs, or PAHPs may need to implement this as a new procedure.  As this typically involves mailing a letter or sending an email to the enrollee, we estimate that 200 MCOs, PIHPs, or PAHPs will mail to 100 enrollees each.  We estimate an </w:t>
      </w:r>
      <w:r w:rsidRPr="001D72D8">
        <w:rPr>
          <w:rStyle w:val="footnoteref"/>
          <w:rFonts w:ascii="Times New Roman" w:hAnsi="Times New Roman" w:cs="Times New Roman"/>
          <w:sz w:val="24"/>
          <w:szCs w:val="24"/>
        </w:rPr>
        <w:t xml:space="preserve">annual private sector burden of 1 min at </w:t>
      </w:r>
      <w:r w:rsidRPr="001D72D8" w:rsidR="002B072F">
        <w:rPr>
          <w:rStyle w:val="footnoteref"/>
          <w:rFonts w:ascii="Times New Roman" w:hAnsi="Times New Roman" w:cs="Times New Roman"/>
          <w:sz w:val="24"/>
          <w:szCs w:val="24"/>
        </w:rPr>
        <w:t>$</w:t>
      </w:r>
      <w:r w:rsidRPr="001D72D8" w:rsidR="00C03548">
        <w:rPr>
          <w:rStyle w:val="footnoteref"/>
          <w:rFonts w:ascii="Times New Roman" w:hAnsi="Times New Roman" w:cs="Times New Roman"/>
          <w:sz w:val="24"/>
          <w:szCs w:val="24"/>
        </w:rPr>
        <w:t>40.06</w:t>
      </w:r>
      <w:r w:rsidRPr="001D72D8">
        <w:rPr>
          <w:rStyle w:val="footnoteref"/>
          <w:rFonts w:ascii="Times New Roman" w:hAnsi="Times New Roman" w:cs="Times New Roman"/>
          <w:sz w:val="24"/>
          <w:szCs w:val="24"/>
        </w:rPr>
        <w:t xml:space="preserve">/hr for a mail clerk to send each letter.  In aggregate, we estimate </w:t>
      </w:r>
      <w:r w:rsidRPr="001D72D8">
        <w:rPr>
          <w:rStyle w:val="footnoteref"/>
          <w:rFonts w:ascii="Times New Roman" w:hAnsi="Times New Roman" w:cs="Times New Roman"/>
          <w:b/>
          <w:sz w:val="24"/>
          <w:szCs w:val="24"/>
        </w:rPr>
        <w:t>33</w:t>
      </w:r>
      <w:r w:rsidRPr="001D72D8" w:rsidR="00AF13D1">
        <w:rPr>
          <w:rStyle w:val="footnoteref"/>
          <w:rFonts w:ascii="Times New Roman" w:hAnsi="Times New Roman" w:cs="Times New Roman"/>
          <w:b/>
          <w:sz w:val="24"/>
          <w:szCs w:val="24"/>
        </w:rPr>
        <w:t>4</w:t>
      </w:r>
      <w:r w:rsidRPr="001D72D8">
        <w:rPr>
          <w:rStyle w:val="footnoteref"/>
          <w:rFonts w:ascii="Times New Roman" w:hAnsi="Times New Roman" w:cs="Times New Roman"/>
          <w:b/>
          <w:sz w:val="24"/>
          <w:szCs w:val="24"/>
        </w:rPr>
        <w:t xml:space="preserve"> h</w:t>
      </w:r>
      <w:r w:rsidR="00AA2C2A">
        <w:rPr>
          <w:rStyle w:val="footnoteref"/>
          <w:rFonts w:ascii="Times New Roman" w:hAnsi="Times New Roman" w:cs="Times New Roman"/>
          <w:b/>
          <w:sz w:val="24"/>
          <w:szCs w:val="24"/>
        </w:rPr>
        <w:t>ours</w:t>
      </w:r>
      <w:r w:rsidRPr="001D72D8">
        <w:rPr>
          <w:rStyle w:val="footnoteref"/>
          <w:rFonts w:ascii="Times New Roman" w:hAnsi="Times New Roman" w:cs="Times New Roman"/>
          <w:sz w:val="24"/>
          <w:szCs w:val="24"/>
        </w:rPr>
        <w:t xml:space="preserve"> (20,000 letters x </w:t>
      </w:r>
      <w:r w:rsidRPr="001D72D8" w:rsidR="005306D7">
        <w:rPr>
          <w:rStyle w:val="footnoteref"/>
          <w:rFonts w:ascii="Times New Roman" w:hAnsi="Times New Roman" w:cs="Times New Roman"/>
          <w:sz w:val="24"/>
          <w:szCs w:val="24"/>
        </w:rPr>
        <w:t>0.0</w:t>
      </w:r>
      <w:r w:rsidRPr="001D72D8">
        <w:rPr>
          <w:rStyle w:val="footnoteref"/>
          <w:rFonts w:ascii="Times New Roman" w:hAnsi="Times New Roman" w:cs="Times New Roman"/>
          <w:sz w:val="24"/>
          <w:szCs w:val="24"/>
        </w:rPr>
        <w:t>1</w:t>
      </w:r>
      <w:r w:rsidRPr="001D72D8" w:rsidR="005306D7">
        <w:rPr>
          <w:rStyle w:val="footnoteref"/>
          <w:rFonts w:ascii="Times New Roman" w:hAnsi="Times New Roman" w:cs="Times New Roman"/>
          <w:sz w:val="24"/>
          <w:szCs w:val="24"/>
        </w:rPr>
        <w:t>67</w:t>
      </w:r>
      <w:r w:rsidRPr="001D72D8">
        <w:rPr>
          <w:rStyle w:val="footnoteref"/>
          <w:rFonts w:ascii="Times New Roman" w:hAnsi="Times New Roman" w:cs="Times New Roman"/>
          <w:sz w:val="24"/>
          <w:szCs w:val="24"/>
        </w:rPr>
        <w:t xml:space="preserve"> </w:t>
      </w:r>
      <w:r w:rsidRPr="001D72D8" w:rsidR="005306D7">
        <w:rPr>
          <w:rStyle w:val="footnoteref"/>
          <w:rFonts w:ascii="Times New Roman" w:hAnsi="Times New Roman" w:cs="Times New Roman"/>
          <w:sz w:val="24"/>
          <w:szCs w:val="24"/>
        </w:rPr>
        <w:t>hr</w:t>
      </w:r>
      <w:r w:rsidRPr="001D72D8">
        <w:rPr>
          <w:rStyle w:val="footnoteref"/>
          <w:rFonts w:ascii="Times New Roman" w:hAnsi="Times New Roman" w:cs="Times New Roman"/>
          <w:sz w:val="24"/>
          <w:szCs w:val="24"/>
        </w:rPr>
        <w:t xml:space="preserve">/letter) and </w:t>
      </w:r>
      <w:r w:rsidRPr="001D72D8">
        <w:rPr>
          <w:rStyle w:val="footnoteref"/>
          <w:rFonts w:ascii="Times New Roman" w:hAnsi="Times New Roman" w:cs="Times New Roman"/>
          <w:b/>
          <w:sz w:val="24"/>
          <w:szCs w:val="24"/>
        </w:rPr>
        <w:t>$</w:t>
      </w:r>
      <w:r w:rsidRPr="001D72D8" w:rsidR="007B764B">
        <w:rPr>
          <w:rStyle w:val="footnoteref"/>
          <w:rFonts w:ascii="Times New Roman" w:hAnsi="Times New Roman" w:cs="Times New Roman"/>
          <w:b/>
          <w:sz w:val="24"/>
          <w:szCs w:val="24"/>
        </w:rPr>
        <w:t>13,38</w:t>
      </w:r>
      <w:r w:rsidR="00E640A3">
        <w:rPr>
          <w:rStyle w:val="footnoteref"/>
          <w:rFonts w:ascii="Times New Roman" w:hAnsi="Times New Roman" w:cs="Times New Roman"/>
          <w:b/>
          <w:sz w:val="24"/>
          <w:szCs w:val="24"/>
        </w:rPr>
        <w:t>0</w:t>
      </w:r>
      <w:r w:rsidRPr="001D72D8">
        <w:rPr>
          <w:rStyle w:val="footnoteref"/>
          <w:rFonts w:ascii="Times New Roman" w:hAnsi="Times New Roman" w:cs="Times New Roman"/>
          <w:sz w:val="24"/>
          <w:szCs w:val="24"/>
        </w:rPr>
        <w:t xml:space="preserve"> (33</w:t>
      </w:r>
      <w:r w:rsidRPr="001D72D8" w:rsidR="00AF13D1">
        <w:rPr>
          <w:rStyle w:val="footnoteref"/>
          <w:rFonts w:ascii="Times New Roman" w:hAnsi="Times New Roman" w:cs="Times New Roman"/>
          <w:sz w:val="24"/>
          <w:szCs w:val="24"/>
        </w:rPr>
        <w:t>4</w:t>
      </w:r>
      <w:r w:rsidRPr="001D72D8">
        <w:rPr>
          <w:rStyle w:val="footnoteref"/>
          <w:rFonts w:ascii="Times New Roman" w:hAnsi="Times New Roman" w:cs="Times New Roman"/>
          <w:sz w:val="24"/>
          <w:szCs w:val="24"/>
        </w:rPr>
        <w:t xml:space="preserve"> hr x </w:t>
      </w:r>
      <w:r w:rsidRPr="001D72D8" w:rsidR="002B072F">
        <w:rPr>
          <w:rStyle w:val="footnoteref"/>
          <w:rFonts w:ascii="Times New Roman" w:hAnsi="Times New Roman" w:cs="Times New Roman"/>
          <w:sz w:val="24"/>
          <w:szCs w:val="24"/>
        </w:rPr>
        <w:t>$</w:t>
      </w:r>
      <w:r w:rsidRPr="001D72D8" w:rsidR="00C03548">
        <w:rPr>
          <w:rStyle w:val="footnoteref"/>
          <w:rFonts w:ascii="Times New Roman" w:hAnsi="Times New Roman" w:cs="Times New Roman"/>
          <w:sz w:val="24"/>
          <w:szCs w:val="24"/>
        </w:rPr>
        <w:t>40.06</w:t>
      </w:r>
      <w:r w:rsidRPr="001D72D8">
        <w:rPr>
          <w:rStyle w:val="footnoteref"/>
          <w:rFonts w:ascii="Times New Roman" w:hAnsi="Times New Roman" w:cs="Times New Roman"/>
          <w:sz w:val="24"/>
          <w:szCs w:val="24"/>
        </w:rPr>
        <w:t xml:space="preserve">/hr).  This estimate will be significantly reduced as the use of email increases. </w:t>
      </w:r>
      <w:r w:rsidRPr="001D72D8">
        <w:rPr>
          <w:rFonts w:ascii="Times New Roman" w:hAnsi="Times New Roman" w:cs="Times New Roman"/>
          <w:b/>
          <w:sz w:val="24"/>
          <w:szCs w:val="24"/>
        </w:rPr>
        <w:t>(</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12.58)</w:t>
      </w:r>
    </w:p>
    <w:p w:rsidR="0036404F" w:rsidRPr="00AE4D49" w:rsidP="00432DCE" w14:paraId="4C722898" w14:textId="77777777">
      <w:pPr>
        <w:spacing w:after="0" w:line="240" w:lineRule="auto"/>
        <w:rPr>
          <w:rFonts w:ascii="Times New Roman" w:hAnsi="Times New Roman" w:cs="Times New Roman"/>
          <w:sz w:val="24"/>
          <w:szCs w:val="24"/>
          <w:u w:val="single"/>
        </w:rPr>
      </w:pPr>
    </w:p>
    <w:p w:rsidR="000F449B" w:rsidP="00432DCE" w14:paraId="72F98699"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I-Sanctions</w:t>
      </w:r>
    </w:p>
    <w:p w:rsidR="00B41FE8" w:rsidRPr="001D72D8" w:rsidP="00432DCE" w14:paraId="14BC8308" w14:textId="77777777">
      <w:pPr>
        <w:pStyle w:val="BodyText"/>
        <w:spacing w:after="0" w:line="240" w:lineRule="auto"/>
        <w:jc w:val="center"/>
        <w:rPr>
          <w:rFonts w:ascii="Times New Roman" w:hAnsi="Times New Roman" w:cs="Times New Roman"/>
          <w:b/>
          <w:sz w:val="24"/>
          <w:szCs w:val="24"/>
        </w:rPr>
      </w:pPr>
    </w:p>
    <w:p w:rsidR="0036404F" w:rsidP="00432DCE" w14:paraId="7D2B5781" w14:textId="07CF8CC0">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Subpart I specifies requirements for states to determine the need for and impose sanctions on managed care plans for noncompliance.</w:t>
      </w:r>
    </w:p>
    <w:p w:rsidR="00B41FE8" w:rsidRPr="001D72D8" w:rsidP="00432DCE" w14:paraId="301D14C0" w14:textId="77777777">
      <w:pPr>
        <w:pStyle w:val="BodyText"/>
        <w:spacing w:after="0" w:line="240" w:lineRule="auto"/>
        <w:rPr>
          <w:rFonts w:ascii="Times New Roman" w:hAnsi="Times New Roman" w:cs="Times New Roman"/>
          <w:sz w:val="24"/>
          <w:szCs w:val="24"/>
        </w:rPr>
      </w:pPr>
    </w:p>
    <w:p w:rsidR="00332B7B" w:rsidP="00432DCE" w14:paraId="6BB669A9" w14:textId="5BCA5BA9">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438.710 Notice of sanction and pre-termination hearing</w:t>
      </w:r>
      <w:r w:rsidRPr="001D72D8">
        <w:rPr>
          <w:rFonts w:ascii="Times New Roman" w:hAnsi="Times New Roman" w:cs="Times New Roman"/>
          <w:sz w:val="24"/>
          <w:szCs w:val="24"/>
        </w:rPr>
        <w:t xml:space="preserve"> </w:t>
      </w:r>
    </w:p>
    <w:p w:rsidR="00B41FE8" w:rsidRPr="00B41FE8" w:rsidP="00B41FE8" w14:paraId="4FABDE17" w14:textId="77777777">
      <w:pPr>
        <w:pStyle w:val="BodyText"/>
      </w:pPr>
    </w:p>
    <w:p w:rsidR="00624B15" w:rsidP="00432DCE" w14:paraId="653CEFD4" w14:textId="30BA074A">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Before</w:t>
      </w:r>
      <w:r w:rsidRPr="001D72D8">
        <w:rPr>
          <w:rFonts w:ascii="Times New Roman" w:hAnsi="Times New Roman" w:cs="Times New Roman"/>
          <w:iCs/>
          <w:sz w:val="24"/>
          <w:szCs w:val="24"/>
        </w:rPr>
        <w:t xml:space="preserve"> imposing any of the sanctions specified in subpart I, §438.710(a) would require that the state give the affected MCO, PIHP, PAHP or PCCM written notice that explains the basis and nature of the sanction. Section 438.710(b)(2) states that before terminating an MCO’s, PIHP’s, PAHP’s or PCCM’s contract, the state would be required to: (i) give the MCO or PCCM written notice of its intent to terminate, the reason for termination, the time and place of the hearing, (ii) give the entity written notice (after the hearing) of the decision affirming or reversing the proposed termination of the contract and, for an affirming decision, the effective date of termination, and (iii) give enrollees of the MCO or PCCM notice (for an affirming decision) of the termination and information, consistent with §438.10, on their options for receiving Medicaid services following the effective date of termination.  The above information collection requirement is not subject to the PRA.  It is exempt under 5 CFR 1320.4(a) because it occurs as part of an administrative action. </w:t>
      </w:r>
    </w:p>
    <w:p w:rsidR="00B41FE8" w:rsidRPr="00B41FE8" w:rsidP="00B41FE8" w14:paraId="6E83D54F" w14:textId="77777777">
      <w:pPr>
        <w:pStyle w:val="BodyText"/>
      </w:pPr>
    </w:p>
    <w:p w:rsidR="00332B7B" w:rsidRPr="001D72D8" w:rsidP="00432DCE" w14:paraId="71ADB088"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438.722 Disenrollment during termination hearing process</w:t>
      </w:r>
      <w:r w:rsidRPr="001D72D8">
        <w:rPr>
          <w:rFonts w:ascii="Times New Roman" w:hAnsi="Times New Roman" w:cs="Times New Roman"/>
          <w:sz w:val="24"/>
          <w:szCs w:val="24"/>
        </w:rPr>
        <w:t xml:space="preserve"> </w:t>
      </w:r>
    </w:p>
    <w:p w:rsidR="00624B15" w:rsidP="00432DCE" w14:paraId="6DC98782" w14:textId="22C16E35">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 xml:space="preserve">After a state has notified an MCO, PIHP, PAHP or PCCM of its intention to terminate its contract, §438.722(a) provides that the state may give the entity’s enrollees written notice of the state's intent to terminate its contract.  States already have the authority to terminate contracts according to state law and some have previously already opted to provide written notice to MCO and PCCM enrollees when exercising this authority.  </w:t>
      </w:r>
    </w:p>
    <w:p w:rsidR="00B41FE8" w:rsidRPr="00B41FE8" w:rsidP="00B41FE8" w14:paraId="234CFDAD" w14:textId="77777777">
      <w:pPr>
        <w:pStyle w:val="BodyText"/>
      </w:pPr>
    </w:p>
    <w:p w:rsidR="00624B15" w:rsidP="00432DCE" w14:paraId="67606ADA" w14:textId="0CCC4699">
      <w:pPr>
        <w:spacing w:after="0" w:line="240" w:lineRule="auto"/>
        <w:rPr>
          <w:rFonts w:ascii="Times New Roman" w:hAnsi="Times New Roman" w:cs="Times New Roman"/>
          <w:b/>
          <w:sz w:val="24"/>
          <w:szCs w:val="24"/>
        </w:rPr>
      </w:pPr>
      <w:r w:rsidRPr="001D72D8">
        <w:rPr>
          <w:rFonts w:ascii="Times New Roman" w:hAnsi="Times New Roman" w:cs="Times New Roman"/>
          <w:sz w:val="24"/>
          <w:szCs w:val="24"/>
        </w:rPr>
        <w:t xml:space="preserve">We estimate that no more than 12 states may terminate 1 contract per year.  We also estimate an annual state burden of 1 hr at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for a business operations specialist to prepare the notice.  In aggregate, we estimate a state burden of </w:t>
      </w:r>
      <w:r w:rsidRPr="001D72D8">
        <w:rPr>
          <w:rFonts w:ascii="Times New Roman" w:hAnsi="Times New Roman" w:cs="Times New Roman"/>
          <w:b/>
          <w:sz w:val="24"/>
          <w:szCs w:val="24"/>
        </w:rPr>
        <w:t>12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(12 states x 1 hr) and </w:t>
      </w:r>
      <w:r w:rsidRPr="001D72D8">
        <w:rPr>
          <w:rFonts w:ascii="Times New Roman" w:hAnsi="Times New Roman" w:cs="Times New Roman"/>
          <w:b/>
          <w:sz w:val="24"/>
          <w:szCs w:val="24"/>
        </w:rPr>
        <w:t>$</w:t>
      </w:r>
      <w:r w:rsidRPr="001D72D8" w:rsidR="00D45F18">
        <w:rPr>
          <w:rFonts w:ascii="Times New Roman" w:hAnsi="Times New Roman" w:cs="Times New Roman"/>
          <w:b/>
          <w:sz w:val="24"/>
          <w:szCs w:val="24"/>
        </w:rPr>
        <w:t>1,071</w:t>
      </w:r>
      <w:r w:rsidRPr="001D72D8">
        <w:rPr>
          <w:rFonts w:ascii="Times New Roman" w:hAnsi="Times New Roman" w:cs="Times New Roman"/>
          <w:sz w:val="24"/>
          <w:szCs w:val="24"/>
        </w:rPr>
        <w:t xml:space="preserve"> (12 hr x </w:t>
      </w:r>
      <w:r w:rsidRPr="001D72D8" w:rsidR="00DC6A2E">
        <w:rPr>
          <w:rFonts w:ascii="Times New Roman" w:hAnsi="Times New Roman" w:cs="Times New Roman"/>
          <w:sz w:val="24"/>
          <w:szCs w:val="24"/>
        </w:rPr>
        <w:t>$</w:t>
      </w:r>
      <w:r w:rsidRPr="001D72D8" w:rsidR="00C03548">
        <w:rPr>
          <w:rFonts w:ascii="Times New Roman" w:hAnsi="Times New Roman" w:cs="Times New Roman"/>
          <w:sz w:val="24"/>
          <w:szCs w:val="24"/>
        </w:rPr>
        <w:t>89.26</w:t>
      </w:r>
      <w:r w:rsidRPr="001D72D8">
        <w:rPr>
          <w:rFonts w:ascii="Times New Roman" w:hAnsi="Times New Roman" w:cs="Times New Roman"/>
          <w:sz w:val="24"/>
          <w:szCs w:val="24"/>
        </w:rPr>
        <w:t xml:space="preserve">/hr).  </w:t>
      </w:r>
      <w:r w:rsidRPr="001D72D8">
        <w:rPr>
          <w:rFonts w:ascii="Times New Roman" w:hAnsi="Times New Roman" w:cs="Times New Roman"/>
          <w:b/>
          <w:sz w:val="24"/>
          <w:szCs w:val="24"/>
        </w:rPr>
        <w:t>(</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12.60)</w:t>
      </w:r>
    </w:p>
    <w:p w:rsidR="00B41FE8" w:rsidRPr="00B41FE8" w:rsidP="00B41FE8" w14:paraId="07870B06" w14:textId="77777777">
      <w:pPr>
        <w:pStyle w:val="BodyText"/>
      </w:pPr>
    </w:p>
    <w:p w:rsidR="00624B15" w:rsidP="00432DCE" w14:paraId="78F02B4C" w14:textId="62D00A5E">
      <w:pPr>
        <w:spacing w:after="0" w:line="240" w:lineRule="auto"/>
        <w:rPr>
          <w:rFonts w:ascii="Times New Roman" w:hAnsi="Times New Roman" w:cs="Times New Roman"/>
          <w:b/>
          <w:sz w:val="24"/>
          <w:szCs w:val="24"/>
        </w:rPr>
      </w:pPr>
      <w:r w:rsidRPr="001D72D8">
        <w:rPr>
          <w:rFonts w:ascii="Times New Roman" w:hAnsi="Times New Roman" w:cs="Times New Roman"/>
          <w:sz w:val="24"/>
          <w:szCs w:val="24"/>
        </w:rPr>
        <w:t>To send the notice, we estimate 1 min per beneficiary</w:t>
      </w:r>
      <w:r w:rsidRPr="001D72D8" w:rsidR="00546849">
        <w:rPr>
          <w:rFonts w:ascii="Times New Roman" w:hAnsi="Times New Roman" w:cs="Times New Roman"/>
          <w:sz w:val="24"/>
          <w:szCs w:val="24"/>
        </w:rPr>
        <w:t xml:space="preserve"> (0.0167 hr</w:t>
      </w:r>
      <w:r w:rsidRPr="001D72D8">
        <w:rPr>
          <w:rFonts w:ascii="Times New Roman" w:hAnsi="Times New Roman" w:cs="Times New Roman"/>
          <w:sz w:val="24"/>
          <w:szCs w:val="24"/>
        </w:rPr>
        <w:t xml:space="preserve">) at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40.06</w:t>
      </w:r>
      <w:r w:rsidRPr="001D72D8">
        <w:rPr>
          <w:rFonts w:ascii="Times New Roman" w:hAnsi="Times New Roman" w:cs="Times New Roman"/>
          <w:sz w:val="24"/>
          <w:szCs w:val="24"/>
        </w:rPr>
        <w:t xml:space="preserve">/hr for a mail clerk.  We estimate an aggregate annual state burden of </w:t>
      </w:r>
      <w:r w:rsidRPr="001D72D8" w:rsidR="00023556">
        <w:rPr>
          <w:rFonts w:ascii="Times New Roman" w:hAnsi="Times New Roman" w:cs="Times New Roman"/>
          <w:b/>
          <w:sz w:val="24"/>
          <w:szCs w:val="24"/>
        </w:rPr>
        <w:t>20,040</w:t>
      </w:r>
      <w:r w:rsidRPr="001D72D8">
        <w:rPr>
          <w:rFonts w:ascii="Times New Roman" w:hAnsi="Times New Roman" w:cs="Times New Roman"/>
          <w:b/>
          <w:sz w:val="24"/>
          <w:szCs w:val="24"/>
        </w:rPr>
        <w:t xml:space="preserve"> h</w:t>
      </w:r>
      <w:r w:rsidR="00AA2C2A">
        <w:rPr>
          <w:rFonts w:ascii="Times New Roman" w:hAnsi="Times New Roman" w:cs="Times New Roman"/>
          <w:b/>
          <w:sz w:val="24"/>
          <w:szCs w:val="24"/>
        </w:rPr>
        <w:t>ours</w:t>
      </w:r>
      <w:r w:rsidRPr="001D72D8">
        <w:rPr>
          <w:rFonts w:ascii="Times New Roman" w:hAnsi="Times New Roman" w:cs="Times New Roman"/>
          <w:sz w:val="24"/>
          <w:szCs w:val="24"/>
        </w:rPr>
        <w:t xml:space="preserve"> (12 states x </w:t>
      </w:r>
      <w:r w:rsidRPr="001D72D8" w:rsidR="00023556">
        <w:rPr>
          <w:rFonts w:ascii="Times New Roman" w:hAnsi="Times New Roman" w:cs="Times New Roman"/>
          <w:sz w:val="24"/>
          <w:szCs w:val="24"/>
        </w:rPr>
        <w:t>100,000</w:t>
      </w:r>
      <w:r w:rsidRPr="001D72D8">
        <w:rPr>
          <w:rFonts w:ascii="Times New Roman" w:hAnsi="Times New Roman" w:cs="Times New Roman"/>
          <w:sz w:val="24"/>
          <w:szCs w:val="24"/>
        </w:rPr>
        <w:t xml:space="preserve"> enrollees</w:t>
      </w:r>
      <w:r w:rsidRPr="001D72D8" w:rsidR="00176171">
        <w:rPr>
          <w:rFonts w:ascii="Times New Roman" w:hAnsi="Times New Roman" w:cs="Times New Roman"/>
          <w:sz w:val="24"/>
          <w:szCs w:val="24"/>
        </w:rPr>
        <w:t xml:space="preserve"> x 0.0167 hr</w:t>
      </w:r>
      <w:r w:rsidRPr="001D72D8">
        <w:rPr>
          <w:rFonts w:ascii="Times New Roman" w:hAnsi="Times New Roman" w:cs="Times New Roman"/>
          <w:sz w:val="24"/>
          <w:szCs w:val="24"/>
        </w:rPr>
        <w:t xml:space="preserve">) and </w:t>
      </w:r>
      <w:r w:rsidRPr="001D72D8">
        <w:rPr>
          <w:rFonts w:ascii="Times New Roman" w:hAnsi="Times New Roman" w:cs="Times New Roman"/>
          <w:b/>
          <w:sz w:val="24"/>
          <w:szCs w:val="24"/>
        </w:rPr>
        <w:t>$</w:t>
      </w:r>
      <w:r w:rsidR="004655C0">
        <w:rPr>
          <w:rFonts w:ascii="Times New Roman" w:hAnsi="Times New Roman" w:cs="Times New Roman"/>
          <w:b/>
          <w:sz w:val="24"/>
          <w:szCs w:val="24"/>
        </w:rPr>
        <w:t>802,802</w:t>
      </w:r>
      <w:r w:rsidRPr="001D72D8">
        <w:rPr>
          <w:rFonts w:ascii="Times New Roman" w:hAnsi="Times New Roman" w:cs="Times New Roman"/>
          <w:sz w:val="24"/>
          <w:szCs w:val="24"/>
        </w:rPr>
        <w:t xml:space="preserve"> (</w:t>
      </w:r>
      <w:r w:rsidRPr="001D72D8" w:rsidR="00023556">
        <w:rPr>
          <w:rFonts w:ascii="Times New Roman" w:hAnsi="Times New Roman" w:cs="Times New Roman"/>
          <w:sz w:val="24"/>
          <w:szCs w:val="24"/>
        </w:rPr>
        <w:t>20,040</w:t>
      </w:r>
      <w:r w:rsidRPr="001D72D8">
        <w:rPr>
          <w:rFonts w:ascii="Times New Roman" w:hAnsi="Times New Roman" w:cs="Times New Roman"/>
          <w:sz w:val="24"/>
          <w:szCs w:val="24"/>
        </w:rPr>
        <w:t xml:space="preserve"> hr x </w:t>
      </w:r>
      <w:r w:rsidRPr="001D72D8" w:rsidR="002B072F">
        <w:rPr>
          <w:rFonts w:ascii="Times New Roman" w:hAnsi="Times New Roman" w:cs="Times New Roman"/>
          <w:sz w:val="24"/>
          <w:szCs w:val="24"/>
        </w:rPr>
        <w:t>$</w:t>
      </w:r>
      <w:r w:rsidRPr="001D72D8" w:rsidR="00C03548">
        <w:rPr>
          <w:rFonts w:ascii="Times New Roman" w:hAnsi="Times New Roman" w:cs="Times New Roman"/>
          <w:sz w:val="24"/>
          <w:szCs w:val="24"/>
        </w:rPr>
        <w:t>40.06</w:t>
      </w:r>
      <w:r w:rsidRPr="001D72D8">
        <w:rPr>
          <w:rFonts w:ascii="Times New Roman" w:hAnsi="Times New Roman" w:cs="Times New Roman"/>
          <w:sz w:val="24"/>
          <w:szCs w:val="24"/>
        </w:rPr>
        <w:t xml:space="preserve">/hr). </w:t>
      </w:r>
      <w:r w:rsidRPr="001D72D8">
        <w:rPr>
          <w:rFonts w:ascii="Times New Roman" w:hAnsi="Times New Roman" w:cs="Times New Roman"/>
          <w:b/>
          <w:sz w:val="24"/>
          <w:szCs w:val="24"/>
        </w:rPr>
        <w:t>(</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12.61)</w:t>
      </w:r>
    </w:p>
    <w:p w:rsidR="00B41FE8" w:rsidRPr="00B41FE8" w:rsidP="00B41FE8" w14:paraId="44551DD1" w14:textId="77777777">
      <w:pPr>
        <w:pStyle w:val="BodyText"/>
      </w:pPr>
    </w:p>
    <w:p w:rsidR="00332B7B" w:rsidRPr="001D72D8" w:rsidP="00432DCE" w14:paraId="2020B129" w14:textId="77777777">
      <w:pPr>
        <w:spacing w:after="0" w:line="240" w:lineRule="auto"/>
        <w:rPr>
          <w:rFonts w:ascii="Times New Roman" w:hAnsi="Times New Roman" w:cs="Times New Roman"/>
          <w:sz w:val="24"/>
          <w:szCs w:val="24"/>
          <w:u w:val="single"/>
        </w:rPr>
      </w:pPr>
      <w:r w:rsidRPr="001D72D8">
        <w:rPr>
          <w:rFonts w:ascii="Times New Roman" w:hAnsi="Times New Roman" w:cs="Times New Roman"/>
          <w:sz w:val="24"/>
          <w:szCs w:val="24"/>
          <w:u w:val="single"/>
        </w:rPr>
        <w:t xml:space="preserve">Section 438.724 Notice to CMS </w:t>
      </w:r>
    </w:p>
    <w:p w:rsidR="00624B15" w:rsidP="00432DCE" w14:paraId="30B9F759" w14:textId="1CB32860">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 xml:space="preserve">Section 438.724 requires that the State give the CMS written notice whenever it imposes or lifts a sanction.  The notice must specify the affected MCO, the kind of sanction, and the reason for </w:t>
      </w:r>
      <w:r w:rsidRPr="001D72D8">
        <w:rPr>
          <w:rFonts w:ascii="Times New Roman" w:hAnsi="Times New Roman" w:cs="Times New Roman"/>
          <w:sz w:val="24"/>
          <w:szCs w:val="24"/>
        </w:rPr>
        <w:t xml:space="preserve">the State's decision to impose or lift a sanction.  </w:t>
      </w:r>
      <w:r w:rsidRPr="001D72D8">
        <w:rPr>
          <w:rFonts w:ascii="Times New Roman" w:hAnsi="Times New Roman" w:cs="Times New Roman"/>
          <w:iCs/>
          <w:sz w:val="24"/>
          <w:szCs w:val="24"/>
        </w:rPr>
        <w:t xml:space="preserve">We anticipate that no more than 15 states impose or lift a sanction in any year.  As this would be done via email, we estimate no burden for this. </w:t>
      </w:r>
    </w:p>
    <w:p w:rsidR="000534B6" w:rsidRPr="000534B6" w:rsidP="000534B6" w14:paraId="1ABF65FD" w14:textId="77777777">
      <w:pPr>
        <w:pStyle w:val="BodyText"/>
      </w:pPr>
    </w:p>
    <w:p w:rsidR="00624B15" w:rsidP="00432DCE" w14:paraId="6952EB2B" w14:textId="77777777">
      <w:pPr>
        <w:spacing w:after="0" w:line="240" w:lineRule="auto"/>
        <w:rPr>
          <w:rFonts w:ascii="Times New Roman" w:hAnsi="Times New Roman" w:cs="Times New Roman"/>
          <w:bCs/>
          <w:iCs/>
          <w:sz w:val="24"/>
          <w:szCs w:val="24"/>
        </w:rPr>
      </w:pPr>
      <w:r w:rsidRPr="001D72D8">
        <w:rPr>
          <w:rFonts w:ascii="Times New Roman" w:hAnsi="Times New Roman" w:cs="Times New Roman"/>
          <w:iCs/>
          <w:sz w:val="24"/>
          <w:szCs w:val="24"/>
        </w:rPr>
        <w:t>Section 438.724 would require that the state provide written notice to their CMS whenever it imposes or lifts a sanction on a PCCM or PCCM entity.  Given the limited scope of benefits provided by a PCCM or PCCM entity, we anticipate that no more than 3 states may impose or lift a sanction on a PCCM or PCCM entity in any year.  With fewer than 10 respondents, t</w:t>
      </w:r>
      <w:r w:rsidRPr="001D72D8">
        <w:rPr>
          <w:rFonts w:ascii="Times New Roman" w:hAnsi="Times New Roman" w:cs="Times New Roman"/>
          <w:bCs/>
          <w:iCs/>
          <w:sz w:val="24"/>
          <w:szCs w:val="24"/>
        </w:rPr>
        <w:t>he information collection requirements are exempt (5 CFR 1320.3(c)) from the requirements of the Paperwork Reduction Act of 1995 (44 U.S.C. 3501 et seq.).</w:t>
      </w:r>
    </w:p>
    <w:p w:rsidR="00B41FE8" w:rsidRPr="00B41FE8" w:rsidP="00B41FE8" w14:paraId="283C3BBB" w14:textId="77777777">
      <w:pPr>
        <w:pStyle w:val="BodyText"/>
      </w:pPr>
    </w:p>
    <w:p w:rsidR="00332B7B" w:rsidRPr="001D72D8" w:rsidP="00432DCE" w14:paraId="0E621DFC" w14:textId="77777777">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438.730 Sanction by CMS: special rules for MCOs</w:t>
      </w:r>
      <w:r w:rsidRPr="001D72D8">
        <w:rPr>
          <w:rFonts w:ascii="Times New Roman" w:hAnsi="Times New Roman" w:cs="Times New Roman"/>
          <w:sz w:val="24"/>
          <w:szCs w:val="24"/>
        </w:rPr>
        <w:t xml:space="preserve"> </w:t>
      </w:r>
    </w:p>
    <w:p w:rsidR="00624B15" w:rsidP="00432DCE" w14:paraId="2D14C8A8" w14:textId="3E6A483D">
      <w:pPr>
        <w:spacing w:after="0" w:line="240" w:lineRule="auto"/>
        <w:rPr>
          <w:rFonts w:ascii="Times New Roman" w:hAnsi="Times New Roman" w:cs="Times New Roman"/>
          <w:sz w:val="24"/>
          <w:szCs w:val="24"/>
        </w:rPr>
      </w:pPr>
      <w:r w:rsidRPr="001D72D8">
        <w:rPr>
          <w:rFonts w:ascii="Times New Roman" w:hAnsi="Times New Roman" w:cs="Times New Roman"/>
          <w:sz w:val="24"/>
          <w:szCs w:val="24"/>
        </w:rPr>
        <w:t>Section 438.730(b) would require that if CMS accepts a state agency’s recommendation for a sanction, the state agency would be required to give the MCO written notice of the proposed sanction. Section 438.730(c) would require that if the MCO submits a timely response to the notice of sanction, the state agency must give the MCO a concise written decision setting forth the factual and legal basis for the decision.  If CMS reverses the state's decision, the state must send a copy to the MCO.</w:t>
      </w:r>
    </w:p>
    <w:p w:rsidR="00B41FE8" w:rsidRPr="00B41FE8" w:rsidP="00B41FE8" w14:paraId="1C2248AF" w14:textId="77777777">
      <w:pPr>
        <w:pStyle w:val="BodyText"/>
      </w:pPr>
    </w:p>
    <w:p w:rsidR="00624B15" w:rsidRPr="001D72D8" w:rsidP="00432DCE" w14:paraId="1162AE6D" w14:textId="77777777">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The above information collection requirement is not subject to the PRA.  It is exempt under 5 CFR 1320.4(a) because it occurs as part of an administrative action.</w:t>
      </w:r>
    </w:p>
    <w:p w:rsidR="00D104D2" w:rsidRPr="001D72D8" w:rsidP="00432DCE" w14:paraId="6F0DAE98" w14:textId="77777777">
      <w:pPr>
        <w:spacing w:after="0" w:line="240" w:lineRule="auto"/>
        <w:rPr>
          <w:rFonts w:ascii="Times New Roman" w:hAnsi="Times New Roman" w:cs="Times New Roman"/>
          <w:sz w:val="24"/>
          <w:szCs w:val="24"/>
          <w:u w:val="single"/>
        </w:rPr>
      </w:pPr>
    </w:p>
    <w:p w:rsidR="00C611CD" w:rsidP="00432DCE" w14:paraId="6FA0F7DC" w14:textId="77777777">
      <w:pPr>
        <w:pStyle w:val="BodyText"/>
        <w:spacing w:after="0" w:line="240" w:lineRule="auto"/>
        <w:jc w:val="center"/>
        <w:rPr>
          <w:rFonts w:ascii="Times New Roman" w:hAnsi="Times New Roman" w:cs="Times New Roman"/>
          <w:b/>
          <w:sz w:val="24"/>
          <w:szCs w:val="24"/>
        </w:rPr>
      </w:pPr>
      <w:r w:rsidRPr="001D72D8">
        <w:rPr>
          <w:rFonts w:ascii="Times New Roman" w:hAnsi="Times New Roman" w:cs="Times New Roman"/>
          <w:b/>
          <w:sz w:val="24"/>
          <w:szCs w:val="24"/>
        </w:rPr>
        <w:t>Subpart J-Conditions for Federal Financial Participation (FFP)</w:t>
      </w:r>
    </w:p>
    <w:p w:rsidR="00B41FE8" w:rsidRPr="001D72D8" w:rsidP="00432DCE" w14:paraId="6050646A" w14:textId="77777777">
      <w:pPr>
        <w:pStyle w:val="BodyText"/>
        <w:spacing w:after="0" w:line="240" w:lineRule="auto"/>
        <w:jc w:val="center"/>
        <w:rPr>
          <w:rFonts w:ascii="Times New Roman" w:hAnsi="Times New Roman" w:cs="Times New Roman"/>
          <w:b/>
          <w:sz w:val="24"/>
          <w:szCs w:val="24"/>
        </w:rPr>
      </w:pPr>
    </w:p>
    <w:p w:rsidR="002D2AC6" w:rsidRPr="001D72D8" w:rsidP="00432DCE" w14:paraId="7530D5E8" w14:textId="6FEA4600">
      <w:pPr>
        <w:pStyle w:val="BodyText"/>
        <w:spacing w:after="0" w:line="240" w:lineRule="auto"/>
        <w:rPr>
          <w:rFonts w:ascii="Times New Roman" w:hAnsi="Times New Roman" w:cs="Times New Roman"/>
          <w:sz w:val="24"/>
          <w:szCs w:val="24"/>
        </w:rPr>
      </w:pPr>
      <w:r w:rsidRPr="001D72D8">
        <w:rPr>
          <w:rFonts w:ascii="Times New Roman" w:hAnsi="Times New Roman" w:cs="Times New Roman"/>
          <w:sz w:val="24"/>
          <w:szCs w:val="24"/>
        </w:rPr>
        <w:t>Subpart J specifies the requirements for states to obtain federal financial participation for managed care program costs.</w:t>
      </w:r>
    </w:p>
    <w:p w:rsidR="00D104D2" w:rsidRPr="001D72D8" w:rsidP="00432DCE" w14:paraId="14A9AD56" w14:textId="77777777">
      <w:pPr>
        <w:spacing w:after="0" w:line="240" w:lineRule="auto"/>
        <w:rPr>
          <w:rFonts w:ascii="Times New Roman" w:hAnsi="Times New Roman" w:cs="Times New Roman"/>
          <w:sz w:val="24"/>
          <w:szCs w:val="24"/>
          <w:u w:val="single"/>
        </w:rPr>
      </w:pPr>
    </w:p>
    <w:p w:rsidR="00332B7B" w:rsidRPr="001D72D8" w:rsidP="00432DCE" w14:paraId="55E03496" w14:textId="5DF82B80">
      <w:pPr>
        <w:spacing w:after="0" w:line="240" w:lineRule="auto"/>
        <w:rPr>
          <w:rFonts w:ascii="Times New Roman" w:hAnsi="Times New Roman" w:cs="Times New Roman"/>
          <w:sz w:val="24"/>
          <w:szCs w:val="24"/>
        </w:rPr>
      </w:pPr>
      <w:r w:rsidRPr="001D72D8">
        <w:rPr>
          <w:rFonts w:ascii="Times New Roman" w:hAnsi="Times New Roman" w:cs="Times New Roman"/>
          <w:sz w:val="24"/>
          <w:szCs w:val="24"/>
          <w:u w:val="single"/>
        </w:rPr>
        <w:t>Section 438.810 Expenditures for enrollment broker services</w:t>
      </w:r>
      <w:r w:rsidRPr="001D72D8">
        <w:rPr>
          <w:rFonts w:ascii="Times New Roman" w:hAnsi="Times New Roman" w:cs="Times New Roman"/>
          <w:sz w:val="24"/>
          <w:szCs w:val="24"/>
        </w:rPr>
        <w:t xml:space="preserve"> </w:t>
      </w:r>
    </w:p>
    <w:p w:rsidR="00624B15" w:rsidP="00432DCE" w14:paraId="11CA3376" w14:textId="60D7E7B0">
      <w:pPr>
        <w:spacing w:after="0" w:line="240" w:lineRule="auto"/>
        <w:rPr>
          <w:rFonts w:ascii="Times New Roman" w:hAnsi="Times New Roman" w:cs="Times New Roman"/>
          <w:iCs/>
          <w:sz w:val="24"/>
          <w:szCs w:val="24"/>
        </w:rPr>
      </w:pPr>
      <w:r w:rsidRPr="001D72D8">
        <w:rPr>
          <w:rFonts w:ascii="Times New Roman" w:hAnsi="Times New Roman" w:cs="Times New Roman"/>
          <w:sz w:val="24"/>
          <w:szCs w:val="24"/>
        </w:rPr>
        <w:t xml:space="preserve">Section 438.810(c) requires that a State contracting with an enrollment broker must submit the contract or memorandum of agreement (MOA) for services performed by the broker to CMS for review and approval.  </w:t>
      </w:r>
      <w:r w:rsidRPr="001D72D8">
        <w:rPr>
          <w:rFonts w:ascii="Times New Roman" w:hAnsi="Times New Roman" w:cs="Times New Roman"/>
          <w:iCs/>
          <w:sz w:val="24"/>
          <w:szCs w:val="24"/>
        </w:rPr>
        <w:t>As this is done electronically, there is no burden estimated here.</w:t>
      </w:r>
    </w:p>
    <w:p w:rsidR="00B41FE8" w:rsidRPr="00B41FE8" w:rsidP="00B41FE8" w14:paraId="50D1B08F" w14:textId="77777777">
      <w:pPr>
        <w:pStyle w:val="BodyText"/>
      </w:pPr>
    </w:p>
    <w:p w:rsidR="00332B7B" w:rsidRPr="001D72D8" w:rsidP="00432DCE" w14:paraId="695F6615" w14:textId="77777777">
      <w:pPr>
        <w:spacing w:after="0" w:line="240" w:lineRule="auto"/>
        <w:rPr>
          <w:rFonts w:ascii="Times New Roman" w:hAnsi="Times New Roman" w:cs="Times New Roman"/>
          <w:color w:val="000000"/>
          <w:sz w:val="24"/>
          <w:szCs w:val="24"/>
        </w:rPr>
      </w:pPr>
      <w:r w:rsidRPr="001D72D8">
        <w:rPr>
          <w:rFonts w:ascii="Times New Roman" w:hAnsi="Times New Roman" w:cs="Times New Roman"/>
          <w:color w:val="000000"/>
          <w:sz w:val="24"/>
          <w:szCs w:val="24"/>
          <w:u w:val="single"/>
        </w:rPr>
        <w:t>Section 438.818 Enrollee encounter data</w:t>
      </w:r>
      <w:r w:rsidRPr="001D72D8">
        <w:rPr>
          <w:rFonts w:ascii="Times New Roman" w:hAnsi="Times New Roman" w:cs="Times New Roman"/>
          <w:color w:val="000000"/>
          <w:sz w:val="24"/>
          <w:szCs w:val="24"/>
        </w:rPr>
        <w:t xml:space="preserve"> </w:t>
      </w:r>
    </w:p>
    <w:p w:rsidR="00624B15" w:rsidP="00432DCE" w14:paraId="1525019F" w14:textId="5F368DE0">
      <w:pPr>
        <w:spacing w:after="0" w:line="240" w:lineRule="auto"/>
        <w:rPr>
          <w:rFonts w:ascii="Times New Roman" w:hAnsi="Times New Roman" w:cs="Times New Roman"/>
          <w:iCs/>
          <w:color w:val="000000"/>
          <w:sz w:val="24"/>
          <w:szCs w:val="24"/>
        </w:rPr>
      </w:pPr>
      <w:r w:rsidRPr="001D72D8">
        <w:rPr>
          <w:rFonts w:ascii="Times New Roman" w:hAnsi="Times New Roman" w:cs="Times New Roman"/>
          <w:color w:val="000000"/>
          <w:sz w:val="24"/>
          <w:szCs w:val="24"/>
        </w:rPr>
        <w:t>Section</w:t>
      </w:r>
      <w:r w:rsidRPr="001D72D8">
        <w:rPr>
          <w:rFonts w:ascii="Times New Roman" w:hAnsi="Times New Roman" w:cs="Times New Roman"/>
          <w:iCs/>
          <w:color w:val="000000"/>
          <w:sz w:val="24"/>
          <w:szCs w:val="24"/>
        </w:rPr>
        <w:t xml:space="preserve"> 438.818(a)(2) requires that the encounter data be validated prior to its submission.  States can perform this validation activity themselves, contract it to a vendor, or contract it to their External Quality Review Organization (EQRO).  In this regard, a state already using EQRO to validate its data at an appropriate frequency will incur no additional burden.  Since approximately 10 states already use their EQRO to validate their data, only </w:t>
      </w:r>
      <w:r w:rsidRPr="001D72D8" w:rsidR="00990974">
        <w:rPr>
          <w:rFonts w:ascii="Times New Roman" w:hAnsi="Times New Roman" w:cs="Times New Roman"/>
          <w:iCs/>
          <w:color w:val="000000"/>
          <w:sz w:val="24"/>
          <w:szCs w:val="24"/>
        </w:rPr>
        <w:t xml:space="preserve">29 </w:t>
      </w:r>
      <w:r w:rsidRPr="001D72D8">
        <w:rPr>
          <w:rFonts w:ascii="Times New Roman" w:hAnsi="Times New Roman" w:cs="Times New Roman"/>
          <w:iCs/>
          <w:color w:val="000000"/>
          <w:sz w:val="24"/>
          <w:szCs w:val="24"/>
        </w:rPr>
        <w:t xml:space="preserve">states that use a MCO and/or PIHP may need to take action to meet this requirement.  The method selected by the state will determine the amount of burden incurred.  We assume an equal distribution of states selecting each method, thus </w:t>
      </w:r>
      <w:r w:rsidRPr="001D72D8" w:rsidR="00990974">
        <w:rPr>
          <w:rFonts w:ascii="Times New Roman" w:hAnsi="Times New Roman" w:cs="Times New Roman"/>
          <w:iCs/>
          <w:color w:val="000000"/>
          <w:sz w:val="24"/>
          <w:szCs w:val="24"/>
        </w:rPr>
        <w:t xml:space="preserve">10 </w:t>
      </w:r>
      <w:r w:rsidRPr="001D72D8">
        <w:rPr>
          <w:rFonts w:ascii="Times New Roman" w:hAnsi="Times New Roman" w:cs="Times New Roman"/>
          <w:iCs/>
          <w:color w:val="000000"/>
          <w:sz w:val="24"/>
          <w:szCs w:val="24"/>
        </w:rPr>
        <w:t>states per method.</w:t>
      </w:r>
    </w:p>
    <w:p w:rsidR="00B41FE8" w:rsidRPr="00B41FE8" w:rsidP="00B41FE8" w14:paraId="2206A32F" w14:textId="77777777">
      <w:pPr>
        <w:pStyle w:val="BodyText"/>
      </w:pPr>
    </w:p>
    <w:p w:rsidR="00624B15" w:rsidP="00432DCE" w14:paraId="36500C04" w14:textId="3A6A99A8">
      <w:pPr>
        <w:spacing w:after="0" w:line="240" w:lineRule="auto"/>
        <w:rPr>
          <w:rFonts w:ascii="Times New Roman" w:hAnsi="Times New Roman" w:cs="Times New Roman"/>
          <w:b/>
          <w:sz w:val="24"/>
          <w:szCs w:val="24"/>
        </w:rPr>
      </w:pPr>
      <w:r w:rsidRPr="001D72D8">
        <w:rPr>
          <w:rFonts w:ascii="Times New Roman" w:hAnsi="Times New Roman" w:cs="Times New Roman"/>
          <w:iCs/>
          <w:color w:val="000000"/>
          <w:sz w:val="24"/>
          <w:szCs w:val="24"/>
        </w:rPr>
        <w:t xml:space="preserve">For a state electing to procure a vendor, given the wide variance in state procurement processes, our burden is conservatively estimated at 150 hr for writing a proposal request, evaluating proposals, and implementing the selected proposal.  We estimate 125 hr at </w:t>
      </w:r>
      <w:r w:rsidRPr="001D72D8" w:rsidR="00DC6A2E">
        <w:rPr>
          <w:rFonts w:ascii="Times New Roman" w:hAnsi="Times New Roman" w:cs="Times New Roman"/>
          <w:iCs/>
          <w:color w:val="000000"/>
          <w:sz w:val="24"/>
          <w:szCs w:val="24"/>
        </w:rPr>
        <w:t>$</w:t>
      </w:r>
      <w:r w:rsidRPr="001D72D8" w:rsidR="00C03548">
        <w:rPr>
          <w:rFonts w:ascii="Times New Roman" w:hAnsi="Times New Roman" w:cs="Times New Roman"/>
          <w:iCs/>
          <w:color w:val="000000"/>
          <w:sz w:val="24"/>
          <w:szCs w:val="24"/>
        </w:rPr>
        <w:t>89.26</w:t>
      </w:r>
      <w:r w:rsidRPr="001D72D8">
        <w:rPr>
          <w:rFonts w:ascii="Times New Roman" w:hAnsi="Times New Roman" w:cs="Times New Roman"/>
          <w:iCs/>
          <w:color w:val="000000"/>
          <w:sz w:val="24"/>
          <w:szCs w:val="24"/>
        </w:rPr>
        <w:t xml:space="preserve">/hr for a </w:t>
      </w:r>
      <w:r w:rsidRPr="001D72D8">
        <w:rPr>
          <w:rFonts w:ascii="Times New Roman" w:hAnsi="Times New Roman" w:cs="Times New Roman"/>
          <w:iCs/>
          <w:color w:val="000000"/>
          <w:sz w:val="24"/>
          <w:szCs w:val="24"/>
        </w:rPr>
        <w:t xml:space="preserve">business operations specialist to participate in the writing, evaluating, and implementing, and 25 hr at </w:t>
      </w:r>
      <w:r w:rsidRPr="001D72D8" w:rsidR="002B072F">
        <w:rPr>
          <w:rFonts w:ascii="Times New Roman" w:hAnsi="Times New Roman" w:cs="Times New Roman"/>
          <w:iCs/>
          <w:color w:val="000000"/>
          <w:sz w:val="24"/>
          <w:szCs w:val="24"/>
        </w:rPr>
        <w:t>$128</w:t>
      </w:r>
      <w:r w:rsidRPr="001D72D8">
        <w:rPr>
          <w:rFonts w:ascii="Times New Roman" w:hAnsi="Times New Roman" w:cs="Times New Roman"/>
          <w:iCs/>
          <w:color w:val="000000"/>
          <w:sz w:val="24"/>
          <w:szCs w:val="24"/>
        </w:rPr>
        <w:t xml:space="preserve">/hr for a general and operations manager to participate in the writing, evaluating, and implementing.  In aggregate, we estimate an annual state burden of </w:t>
      </w:r>
      <w:r w:rsidRPr="001D72D8">
        <w:rPr>
          <w:rFonts w:ascii="Times New Roman" w:hAnsi="Times New Roman" w:cs="Times New Roman"/>
          <w:b/>
          <w:iCs/>
          <w:color w:val="000000"/>
          <w:sz w:val="24"/>
          <w:szCs w:val="24"/>
        </w:rPr>
        <w:t>1</w:t>
      </w:r>
      <w:r w:rsidRPr="001D72D8" w:rsidR="00D01556">
        <w:rPr>
          <w:rFonts w:ascii="Times New Roman" w:hAnsi="Times New Roman" w:cs="Times New Roman"/>
          <w:b/>
          <w:iCs/>
          <w:color w:val="000000"/>
          <w:sz w:val="24"/>
          <w:szCs w:val="24"/>
        </w:rPr>
        <w:t>,500</w:t>
      </w:r>
      <w:r w:rsidRPr="001D72D8">
        <w:rPr>
          <w:rFonts w:ascii="Times New Roman" w:hAnsi="Times New Roman" w:cs="Times New Roman"/>
          <w:b/>
          <w:iCs/>
          <w:color w:val="000000"/>
          <w:sz w:val="24"/>
          <w:szCs w:val="24"/>
        </w:rPr>
        <w:t xml:space="preserve"> h</w:t>
      </w:r>
      <w:r w:rsidR="00AA2C2A">
        <w:rPr>
          <w:rFonts w:ascii="Times New Roman" w:hAnsi="Times New Roman" w:cs="Times New Roman"/>
          <w:b/>
          <w:iCs/>
          <w:color w:val="000000"/>
          <w:sz w:val="24"/>
          <w:szCs w:val="24"/>
        </w:rPr>
        <w:t>ours</w:t>
      </w:r>
      <w:r w:rsidRPr="001D72D8">
        <w:rPr>
          <w:rFonts w:ascii="Times New Roman" w:hAnsi="Times New Roman" w:cs="Times New Roman"/>
          <w:iCs/>
          <w:color w:val="000000"/>
          <w:sz w:val="24"/>
          <w:szCs w:val="24"/>
        </w:rPr>
        <w:t xml:space="preserve"> </w:t>
      </w:r>
      <w:r w:rsidRPr="001D72D8" w:rsidR="00C84E08">
        <w:rPr>
          <w:rFonts w:ascii="Times New Roman" w:hAnsi="Times New Roman" w:cs="Times New Roman"/>
          <w:iCs/>
          <w:color w:val="000000"/>
          <w:sz w:val="24"/>
          <w:szCs w:val="24"/>
        </w:rPr>
        <w:t>(</w:t>
      </w:r>
      <w:r w:rsidRPr="001D72D8" w:rsidR="00990974">
        <w:rPr>
          <w:rFonts w:ascii="Times New Roman" w:hAnsi="Times New Roman" w:cs="Times New Roman"/>
          <w:iCs/>
          <w:color w:val="000000"/>
          <w:sz w:val="24"/>
          <w:szCs w:val="24"/>
        </w:rPr>
        <w:t xml:space="preserve">10 </w:t>
      </w:r>
      <w:r w:rsidRPr="001D72D8">
        <w:rPr>
          <w:rFonts w:ascii="Times New Roman" w:hAnsi="Times New Roman" w:cs="Times New Roman"/>
          <w:iCs/>
          <w:color w:val="000000"/>
          <w:sz w:val="24"/>
          <w:szCs w:val="24"/>
        </w:rPr>
        <w:t xml:space="preserve">states x 150 hr) and </w:t>
      </w:r>
      <w:r w:rsidRPr="001D72D8">
        <w:rPr>
          <w:rFonts w:ascii="Times New Roman" w:hAnsi="Times New Roman" w:cs="Times New Roman"/>
          <w:b/>
          <w:iCs/>
          <w:color w:val="000000"/>
          <w:sz w:val="24"/>
          <w:szCs w:val="24"/>
        </w:rPr>
        <w:t>$</w:t>
      </w:r>
      <w:r w:rsidRPr="001D72D8" w:rsidR="00EE5744">
        <w:rPr>
          <w:rFonts w:ascii="Times New Roman" w:hAnsi="Times New Roman" w:cs="Times New Roman"/>
          <w:b/>
          <w:iCs/>
          <w:color w:val="000000"/>
          <w:sz w:val="24"/>
          <w:szCs w:val="24"/>
        </w:rPr>
        <w:t>143,575</w:t>
      </w:r>
      <w:r w:rsidRPr="001D72D8">
        <w:rPr>
          <w:rFonts w:ascii="Times New Roman" w:hAnsi="Times New Roman" w:cs="Times New Roman"/>
          <w:iCs/>
          <w:color w:val="000000"/>
          <w:sz w:val="24"/>
          <w:szCs w:val="24"/>
        </w:rPr>
        <w:t xml:space="preserve"> </w:t>
      </w:r>
      <w:r w:rsidRPr="001D72D8" w:rsidR="00C84E08">
        <w:rPr>
          <w:rFonts w:ascii="Times New Roman" w:hAnsi="Times New Roman" w:cs="Times New Roman"/>
          <w:iCs/>
          <w:color w:val="000000"/>
          <w:sz w:val="24"/>
          <w:szCs w:val="24"/>
        </w:rPr>
        <w:t>(</w:t>
      </w:r>
      <w:r w:rsidRPr="001D72D8" w:rsidR="00990974">
        <w:rPr>
          <w:rFonts w:ascii="Times New Roman" w:hAnsi="Times New Roman" w:cs="Times New Roman"/>
          <w:iCs/>
          <w:color w:val="000000"/>
          <w:sz w:val="24"/>
          <w:szCs w:val="24"/>
        </w:rPr>
        <w:t xml:space="preserve">10 </w:t>
      </w:r>
      <w:r w:rsidRPr="001D72D8">
        <w:rPr>
          <w:rFonts w:ascii="Times New Roman" w:hAnsi="Times New Roman" w:cs="Times New Roman"/>
          <w:iCs/>
          <w:color w:val="000000"/>
          <w:sz w:val="24"/>
          <w:szCs w:val="24"/>
        </w:rPr>
        <w:t xml:space="preserve">states x </w:t>
      </w:r>
      <w:r w:rsidRPr="001D72D8" w:rsidR="00C84E08">
        <w:rPr>
          <w:rFonts w:ascii="Times New Roman" w:hAnsi="Times New Roman" w:cs="Times New Roman"/>
          <w:iCs/>
          <w:color w:val="000000"/>
          <w:sz w:val="24"/>
          <w:szCs w:val="24"/>
        </w:rPr>
        <w:t>[</w:t>
      </w:r>
      <w:r w:rsidRPr="001D72D8">
        <w:rPr>
          <w:rFonts w:ascii="Times New Roman" w:hAnsi="Times New Roman" w:cs="Times New Roman"/>
          <w:iCs/>
          <w:color w:val="000000"/>
          <w:sz w:val="24"/>
          <w:szCs w:val="24"/>
        </w:rPr>
        <w:t xml:space="preserve">(125 hr x </w:t>
      </w:r>
      <w:r w:rsidRPr="001D72D8" w:rsidR="00DC6A2E">
        <w:rPr>
          <w:rFonts w:ascii="Times New Roman" w:hAnsi="Times New Roman" w:cs="Times New Roman"/>
          <w:iCs/>
          <w:color w:val="000000"/>
          <w:sz w:val="24"/>
          <w:szCs w:val="24"/>
        </w:rPr>
        <w:t>$</w:t>
      </w:r>
      <w:r w:rsidRPr="001D72D8" w:rsidR="00C03548">
        <w:rPr>
          <w:rFonts w:ascii="Times New Roman" w:hAnsi="Times New Roman" w:cs="Times New Roman"/>
          <w:iCs/>
          <w:color w:val="000000"/>
          <w:sz w:val="24"/>
          <w:szCs w:val="24"/>
        </w:rPr>
        <w:t>89.26</w:t>
      </w:r>
      <w:r w:rsidRPr="001D72D8">
        <w:rPr>
          <w:rFonts w:ascii="Times New Roman" w:hAnsi="Times New Roman" w:cs="Times New Roman"/>
          <w:iCs/>
          <w:color w:val="000000"/>
          <w:sz w:val="24"/>
          <w:szCs w:val="24"/>
        </w:rPr>
        <w:t xml:space="preserve">/hr) + (25 hr x </w:t>
      </w:r>
      <w:r w:rsidRPr="001D72D8" w:rsidR="002B072F">
        <w:rPr>
          <w:rFonts w:ascii="Times New Roman" w:hAnsi="Times New Roman" w:cs="Times New Roman"/>
          <w:iCs/>
          <w:color w:val="000000"/>
          <w:sz w:val="24"/>
          <w:szCs w:val="24"/>
        </w:rPr>
        <w:t>$128</w:t>
      </w:r>
      <w:r w:rsidRPr="001D72D8">
        <w:rPr>
          <w:rFonts w:ascii="Times New Roman" w:hAnsi="Times New Roman" w:cs="Times New Roman"/>
          <w:iCs/>
          <w:color w:val="000000"/>
          <w:sz w:val="24"/>
          <w:szCs w:val="24"/>
        </w:rPr>
        <w:t>/hr)</w:t>
      </w:r>
      <w:r w:rsidRPr="001D72D8" w:rsidR="00C84E08">
        <w:rPr>
          <w:rFonts w:ascii="Times New Roman" w:hAnsi="Times New Roman" w:cs="Times New Roman"/>
          <w:iCs/>
          <w:color w:val="000000"/>
          <w:sz w:val="24"/>
          <w:szCs w:val="24"/>
        </w:rPr>
        <w:t>]</w:t>
      </w:r>
      <w:r w:rsidRPr="001D72D8">
        <w:rPr>
          <w:rFonts w:ascii="Times New Roman" w:hAnsi="Times New Roman" w:cs="Times New Roman"/>
          <w:iCs/>
          <w:color w:val="000000"/>
          <w:sz w:val="24"/>
          <w:szCs w:val="24"/>
        </w:rPr>
        <w:t xml:space="preserve">). </w:t>
      </w:r>
      <w:r w:rsidRPr="001D72D8">
        <w:rPr>
          <w:rFonts w:ascii="Times New Roman" w:hAnsi="Times New Roman" w:cs="Times New Roman"/>
          <w:b/>
          <w:sz w:val="24"/>
          <w:szCs w:val="24"/>
        </w:rPr>
        <w:t>(</w:t>
      </w:r>
      <w:r w:rsidRPr="001D72D8" w:rsidR="005F5165">
        <w:rPr>
          <w:rFonts w:ascii="Times New Roman" w:hAnsi="Times New Roman" w:cs="Times New Roman"/>
          <w:b/>
          <w:sz w:val="24"/>
          <w:szCs w:val="24"/>
        </w:rPr>
        <w:t>ESTIMATE</w:t>
      </w:r>
      <w:r w:rsidRPr="001D72D8">
        <w:rPr>
          <w:rFonts w:ascii="Times New Roman" w:hAnsi="Times New Roman" w:cs="Times New Roman"/>
          <w:b/>
          <w:sz w:val="24"/>
          <w:szCs w:val="24"/>
        </w:rPr>
        <w:t xml:space="preserve"> 12.64)</w:t>
      </w:r>
    </w:p>
    <w:p w:rsidR="00413B20" w:rsidRPr="00413B20" w:rsidP="00413B20" w14:paraId="76A3DDE5" w14:textId="77777777">
      <w:pPr>
        <w:pStyle w:val="BodyText"/>
      </w:pPr>
    </w:p>
    <w:p w:rsidR="00624B15" w:rsidRPr="006872E2" w:rsidP="00432DCE" w14:paraId="37E9CB19" w14:textId="77777777">
      <w:pPr>
        <w:spacing w:after="0" w:line="240" w:lineRule="auto"/>
        <w:rPr>
          <w:rFonts w:ascii="Times New Roman" w:hAnsi="Times New Roman" w:cs="Times New Roman"/>
          <w:iCs/>
          <w:color w:val="000000"/>
          <w:sz w:val="24"/>
          <w:szCs w:val="24"/>
        </w:rPr>
      </w:pPr>
      <w:r w:rsidRPr="001D72D8">
        <w:rPr>
          <w:rFonts w:ascii="Times New Roman" w:hAnsi="Times New Roman" w:cs="Times New Roman"/>
          <w:color w:val="000000"/>
          <w:sz w:val="24"/>
          <w:szCs w:val="24"/>
        </w:rPr>
        <w:t xml:space="preserve">Section 438.818(d) requires states new to managed care and not previously submitting encounter data to MSIS to submit an Implementation plan.  There are currently only 8 states that do not use </w:t>
      </w:r>
      <w:r w:rsidRPr="001D72D8">
        <w:rPr>
          <w:rFonts w:ascii="Times New Roman" w:hAnsi="Times New Roman" w:cs="Times New Roman"/>
          <w:iCs/>
          <w:color w:val="000000"/>
          <w:sz w:val="24"/>
          <w:szCs w:val="24"/>
        </w:rPr>
        <w:t xml:space="preserve">managed care </w:t>
      </w:r>
      <w:r w:rsidRPr="001D72D8">
        <w:rPr>
          <w:rFonts w:ascii="Times New Roman" w:hAnsi="Times New Roman" w:cs="Times New Roman"/>
          <w:color w:val="000000"/>
          <w:sz w:val="24"/>
          <w:szCs w:val="24"/>
        </w:rPr>
        <w:t xml:space="preserve">thus these would be the only states that may have to submit an Implementation plan should they adopt managed care in the future.  </w:t>
      </w:r>
      <w:r w:rsidRPr="001D72D8">
        <w:rPr>
          <w:rFonts w:ascii="Times New Roman" w:hAnsi="Times New Roman" w:cs="Times New Roman"/>
          <w:iCs/>
          <w:color w:val="000000"/>
          <w:sz w:val="24"/>
          <w:szCs w:val="24"/>
        </w:rPr>
        <w:t>With fewer than 10 respondents, the information collection requirements are exempt (5 CFR 1320.3(c)) from the requirements of the Paperwork Reduction Act of 1995 (44 U.S.C. 3501 et seq.).</w:t>
      </w:r>
      <w:r w:rsidRPr="006872E2">
        <w:rPr>
          <w:rFonts w:ascii="Times New Roman" w:hAnsi="Times New Roman" w:cs="Times New Roman"/>
          <w:iCs/>
          <w:color w:val="000000"/>
          <w:sz w:val="24"/>
          <w:szCs w:val="24"/>
        </w:rPr>
        <w:t xml:space="preserve"> </w:t>
      </w:r>
    </w:p>
    <w:p w:rsidR="00D73D13" w:rsidRPr="006872E2" w:rsidP="00432DCE" w14:paraId="3C1300FC" w14:textId="27DCB189">
      <w:pPr>
        <w:pStyle w:val="BodyText"/>
        <w:spacing w:after="0" w:line="240" w:lineRule="auto"/>
        <w:rPr>
          <w:rFonts w:ascii="Times New Roman" w:hAnsi="Times New Roman" w:cs="Times New Roman"/>
          <w:b/>
          <w:i/>
          <w:sz w:val="24"/>
          <w:szCs w:val="24"/>
        </w:rPr>
      </w:pPr>
    </w:p>
    <w:p w:rsidR="00D73D13" w:rsidRPr="006872E2" w:rsidP="00432DCE" w14:paraId="7205CAC6" w14:textId="11BDDEA4">
      <w:pPr>
        <w:pStyle w:val="BodyText"/>
        <w:spacing w:after="0" w:line="240" w:lineRule="auto"/>
        <w:rPr>
          <w:rFonts w:ascii="Times New Roman" w:hAnsi="Times New Roman" w:cs="Times New Roman"/>
          <w:i/>
          <w:sz w:val="24"/>
          <w:szCs w:val="24"/>
        </w:rPr>
      </w:pPr>
      <w:r w:rsidRPr="006872E2">
        <w:rPr>
          <w:rFonts w:ascii="Times New Roman" w:hAnsi="Times New Roman" w:cs="Times New Roman"/>
          <w:i/>
          <w:sz w:val="24"/>
          <w:szCs w:val="24"/>
        </w:rPr>
        <w:t>12.3 Burden Summary</w:t>
      </w:r>
    </w:p>
    <w:p w:rsidR="00F7522D" w:rsidRPr="006872E2" w:rsidP="00432DCE" w14:paraId="28ED4EB5" w14:textId="77777777">
      <w:pPr>
        <w:pStyle w:val="BodyText"/>
        <w:spacing w:after="0" w:line="240" w:lineRule="auto"/>
        <w:rPr>
          <w:rFonts w:ascii="Times New Roman" w:hAnsi="Times New Roman" w:cs="Times New Roman"/>
          <w:sz w:val="24"/>
          <w:szCs w:val="24"/>
        </w:rPr>
        <w:sectPr w:rsidSect="002B7101">
          <w:footerReference w:type="default" r:id="rId10"/>
          <w:pgSz w:w="12240" w:h="15840"/>
          <w:pgMar w:top="1440" w:right="1440" w:bottom="1440" w:left="1440" w:header="720" w:footer="720" w:gutter="0"/>
          <w:cols w:space="720"/>
          <w:docGrid w:linePitch="360"/>
        </w:sectPr>
      </w:pPr>
    </w:p>
    <w:p w:rsidR="00D73D13" w:rsidRPr="006872E2" w:rsidP="00432DCE" w14:paraId="0F0E749A" w14:textId="7D00F614">
      <w:pPr>
        <w:pStyle w:val="BodyText"/>
        <w:spacing w:after="0" w:line="240" w:lineRule="auto"/>
        <w:rPr>
          <w:rFonts w:ascii="Times New Roman" w:hAnsi="Times New Roman" w:cs="Times New Roman"/>
          <w:sz w:val="24"/>
          <w:szCs w:val="24"/>
        </w:rPr>
      </w:pPr>
    </w:p>
    <w:p w:rsidR="00B13026" w:rsidRPr="00B84A04" w:rsidP="00432DCE" w14:paraId="23822E12" w14:textId="4C64B13F">
      <w:pPr>
        <w:pStyle w:val="TableCaption"/>
        <w:spacing w:after="0"/>
        <w:rPr>
          <w:b w:val="0"/>
          <w:sz w:val="22"/>
          <w:szCs w:val="22"/>
        </w:rPr>
      </w:pPr>
      <w:bookmarkStart w:id="57" w:name="_Hlk511906242"/>
      <w:r w:rsidRPr="00F46A7C">
        <w:rPr>
          <w:b w:val="0"/>
          <w:sz w:val="22"/>
          <w:szCs w:val="22"/>
        </w:rPr>
        <w:t>Summary of Annual Burden Estimates: State Government</w:t>
      </w:r>
    </w:p>
    <w:p w:rsidR="00F14558" w:rsidRPr="00B84A04" w:rsidP="00432DCE" w14:paraId="4DF0945A" w14:textId="79557EFA">
      <w:pPr>
        <w:pStyle w:val="TableCaption"/>
        <w:spacing w:after="0"/>
        <w:rPr>
          <w:b w:val="0"/>
          <w:i/>
          <w:sz w:val="22"/>
          <w:szCs w:val="22"/>
        </w:rPr>
      </w:pPr>
      <w:r w:rsidRPr="00B84A04">
        <w:rPr>
          <w:b w:val="0"/>
          <w:i/>
          <w:sz w:val="22"/>
          <w:szCs w:val="22"/>
        </w:rPr>
        <w:t>(Response Type: R=reporting; RK=recordkeeping; TPD=third-party disclosure)</w:t>
      </w:r>
    </w:p>
    <w:tbl>
      <w:tblPr>
        <w:tblW w:w="12960" w:type="dxa"/>
        <w:tblInd w:w="-10" w:type="dxa"/>
        <w:tblLook w:val="04A0"/>
      </w:tblPr>
      <w:tblGrid>
        <w:gridCol w:w="1158"/>
        <w:gridCol w:w="17"/>
        <w:gridCol w:w="1516"/>
        <w:gridCol w:w="1239"/>
        <w:gridCol w:w="1328"/>
        <w:gridCol w:w="983"/>
        <w:gridCol w:w="1884"/>
        <w:gridCol w:w="1027"/>
        <w:gridCol w:w="1764"/>
        <w:gridCol w:w="983"/>
        <w:gridCol w:w="1061"/>
      </w:tblGrid>
      <w:tr w14:paraId="3B87D432" w14:textId="77777777" w:rsidTr="00BA5056">
        <w:tblPrEx>
          <w:tblW w:w="12960" w:type="dxa"/>
          <w:tblInd w:w="-10" w:type="dxa"/>
          <w:tblLook w:val="04A0"/>
        </w:tblPrEx>
        <w:trPr>
          <w:trHeight w:val="1050"/>
          <w:tblHeader/>
        </w:trPr>
        <w:tc>
          <w:tcPr>
            <w:tcW w:w="1208" w:type="dxa"/>
            <w:gridSpan w:val="2"/>
            <w:tcBorders>
              <w:top w:val="single" w:sz="4" w:space="0" w:color="auto"/>
              <w:left w:val="single" w:sz="4" w:space="0" w:color="auto"/>
              <w:bottom w:val="single" w:sz="4" w:space="0" w:color="auto"/>
              <w:right w:val="single" w:sz="4" w:space="0" w:color="auto"/>
            </w:tcBorders>
            <w:vAlign w:val="center"/>
            <w:hideMark/>
          </w:tcPr>
          <w:p w:rsidR="0023345B" w:rsidRPr="0063628F" w:rsidP="00432DCE" w14:paraId="60B5E330" w14:textId="3AE08427">
            <w:pPr>
              <w:spacing w:after="0" w:line="240" w:lineRule="auto"/>
              <w:jc w:val="center"/>
              <w:rPr>
                <w:rFonts w:ascii="Times New Roman" w:eastAsia="Times New Roman" w:hAnsi="Times New Roman" w:cs="Times New Roman"/>
                <w:color w:val="000000"/>
                <w:sz w:val="20"/>
                <w:szCs w:val="20"/>
              </w:rPr>
            </w:pPr>
            <w:r w:rsidRPr="00104792">
              <w:rPr>
                <w:rFonts w:ascii="Times New Roman" w:eastAsia="Times New Roman" w:hAnsi="Times New Roman" w:cs="Times New Roman"/>
                <w:color w:val="000000"/>
                <w:sz w:val="20"/>
                <w:szCs w:val="20"/>
              </w:rPr>
              <w:t>Estimate #</w:t>
            </w:r>
          </w:p>
        </w:tc>
        <w:tc>
          <w:tcPr>
            <w:tcW w:w="1516" w:type="dxa"/>
            <w:tcBorders>
              <w:top w:val="single" w:sz="4" w:space="0" w:color="auto"/>
              <w:left w:val="single" w:sz="4" w:space="0" w:color="auto"/>
              <w:bottom w:val="single" w:sz="4" w:space="0" w:color="auto"/>
              <w:right w:val="single" w:sz="4" w:space="0" w:color="auto"/>
            </w:tcBorders>
            <w:vAlign w:val="center"/>
            <w:hideMark/>
          </w:tcPr>
          <w:p w:rsidR="0023345B" w:rsidRPr="0063628F" w:rsidP="00432DCE" w14:paraId="3CD9945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CFR Section</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23345B" w:rsidRPr="0063628F" w:rsidP="00432DCE" w14:paraId="021C704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Respondents</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23345B" w:rsidRPr="0063628F" w:rsidP="00432DCE" w14:paraId="180CF14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Total Responses</w:t>
            </w:r>
          </w:p>
        </w:tc>
        <w:tc>
          <w:tcPr>
            <w:tcW w:w="983" w:type="dxa"/>
            <w:tcBorders>
              <w:top w:val="single" w:sz="4" w:space="0" w:color="auto"/>
              <w:left w:val="single" w:sz="4" w:space="0" w:color="auto"/>
              <w:bottom w:val="single" w:sz="4" w:space="0" w:color="auto"/>
              <w:right w:val="single" w:sz="4" w:space="0" w:color="auto"/>
            </w:tcBorders>
            <w:vAlign w:val="center"/>
            <w:hideMark/>
          </w:tcPr>
          <w:p w:rsidR="0023345B" w:rsidRPr="0063628F" w:rsidP="00432DCE" w14:paraId="4390BFDB"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Burden per Response (hr)</w:t>
            </w:r>
          </w:p>
        </w:tc>
        <w:tc>
          <w:tcPr>
            <w:tcW w:w="1884" w:type="dxa"/>
            <w:tcBorders>
              <w:top w:val="single" w:sz="4" w:space="0" w:color="auto"/>
              <w:left w:val="single" w:sz="4" w:space="0" w:color="auto"/>
              <w:bottom w:val="single" w:sz="4" w:space="0" w:color="auto"/>
              <w:right w:val="single" w:sz="4" w:space="0" w:color="auto"/>
            </w:tcBorders>
            <w:noWrap/>
            <w:vAlign w:val="center"/>
            <w:hideMark/>
          </w:tcPr>
          <w:p w:rsidR="0023345B" w:rsidRPr="0063628F" w:rsidP="00432DCE" w14:paraId="231D129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Total Annual Time (hr)</w:t>
            </w:r>
          </w:p>
        </w:tc>
        <w:tc>
          <w:tcPr>
            <w:tcW w:w="994" w:type="dxa"/>
            <w:tcBorders>
              <w:top w:val="single" w:sz="4" w:space="0" w:color="auto"/>
              <w:left w:val="single" w:sz="4" w:space="0" w:color="auto"/>
              <w:bottom w:val="single" w:sz="4" w:space="0" w:color="auto"/>
              <w:right w:val="single" w:sz="4" w:space="0" w:color="auto"/>
            </w:tcBorders>
            <w:vAlign w:val="center"/>
            <w:hideMark/>
          </w:tcPr>
          <w:p w:rsidR="0023345B" w:rsidRPr="0063628F" w:rsidP="00432DCE" w14:paraId="2D5F297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Labor Rate ($/hr)</w:t>
            </w:r>
          </w:p>
        </w:tc>
        <w:tc>
          <w:tcPr>
            <w:tcW w:w="1764" w:type="dxa"/>
            <w:tcBorders>
              <w:top w:val="single" w:sz="4" w:space="0" w:color="auto"/>
              <w:left w:val="single" w:sz="4" w:space="0" w:color="auto"/>
              <w:bottom w:val="single" w:sz="4" w:space="0" w:color="auto"/>
              <w:right w:val="single" w:sz="4" w:space="0" w:color="auto"/>
            </w:tcBorders>
            <w:noWrap/>
            <w:vAlign w:val="center"/>
            <w:hideMark/>
          </w:tcPr>
          <w:p w:rsidR="0023345B" w:rsidRPr="0063628F" w:rsidP="00432DCE" w14:paraId="36C752D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Total Annual Cost ($)</w:t>
            </w:r>
          </w:p>
        </w:tc>
        <w:tc>
          <w:tcPr>
            <w:tcW w:w="983" w:type="dxa"/>
            <w:tcBorders>
              <w:top w:val="single" w:sz="4" w:space="0" w:color="auto"/>
              <w:left w:val="single" w:sz="4" w:space="0" w:color="auto"/>
              <w:bottom w:val="single" w:sz="4" w:space="0" w:color="auto"/>
              <w:right w:val="single" w:sz="4" w:space="0" w:color="auto"/>
            </w:tcBorders>
            <w:vAlign w:val="center"/>
            <w:hideMark/>
          </w:tcPr>
          <w:p w:rsidR="0023345B" w:rsidRPr="0063628F" w:rsidP="00432DCE" w14:paraId="17C1BEF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Response Type</w:t>
            </w:r>
          </w:p>
        </w:tc>
        <w:tc>
          <w:tcPr>
            <w:tcW w:w="1061" w:type="dxa"/>
            <w:tcBorders>
              <w:top w:val="single" w:sz="4" w:space="0" w:color="auto"/>
              <w:left w:val="single" w:sz="4" w:space="0" w:color="auto"/>
              <w:bottom w:val="single" w:sz="4" w:space="0" w:color="auto"/>
              <w:right w:val="single" w:sz="4" w:space="0" w:color="auto"/>
            </w:tcBorders>
            <w:vAlign w:val="center"/>
            <w:hideMark/>
          </w:tcPr>
          <w:p w:rsidR="0023345B" w:rsidRPr="0063628F" w:rsidP="00432DCE" w14:paraId="7EC736A2"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Frequency</w:t>
            </w:r>
          </w:p>
        </w:tc>
      </w:tr>
      <w:tr w14:paraId="38087AD5" w14:textId="77777777" w:rsidTr="00BA5056">
        <w:tblPrEx>
          <w:tblW w:w="12960" w:type="dxa"/>
          <w:tblInd w:w="-10" w:type="dxa"/>
          <w:tblLook w:val="04A0"/>
        </w:tblPrEx>
        <w:trPr>
          <w:trHeight w:val="530"/>
        </w:trPr>
        <w:tc>
          <w:tcPr>
            <w:tcW w:w="1208" w:type="dxa"/>
            <w:gridSpan w:val="2"/>
            <w:tcBorders>
              <w:top w:val="single" w:sz="4" w:space="0" w:color="auto"/>
              <w:left w:val="single" w:sz="8" w:space="0" w:color="auto"/>
              <w:bottom w:val="single" w:sz="8" w:space="0" w:color="auto"/>
              <w:right w:val="single" w:sz="8" w:space="0" w:color="auto"/>
            </w:tcBorders>
            <w:vAlign w:val="center"/>
            <w:hideMark/>
          </w:tcPr>
          <w:p w:rsidR="0023345B" w:rsidRPr="0063628F" w:rsidP="00432DCE" w14:paraId="64E4590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12.1j</w:t>
            </w:r>
          </w:p>
        </w:tc>
        <w:tc>
          <w:tcPr>
            <w:tcW w:w="1516" w:type="dxa"/>
            <w:tcBorders>
              <w:top w:val="single" w:sz="4" w:space="0" w:color="auto"/>
              <w:left w:val="nil"/>
              <w:bottom w:val="single" w:sz="8" w:space="0" w:color="auto"/>
              <w:right w:val="single" w:sz="8" w:space="0" w:color="auto"/>
            </w:tcBorders>
            <w:vAlign w:val="center"/>
            <w:hideMark/>
          </w:tcPr>
          <w:p w:rsidR="0023345B" w:rsidRPr="0063628F" w:rsidP="00432DCE" w14:paraId="2737693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438.3(a) Std contract provisions</w:t>
            </w:r>
          </w:p>
        </w:tc>
        <w:tc>
          <w:tcPr>
            <w:tcW w:w="1239" w:type="dxa"/>
            <w:tcBorders>
              <w:top w:val="single" w:sz="4" w:space="0" w:color="auto"/>
              <w:left w:val="nil"/>
              <w:bottom w:val="single" w:sz="8" w:space="0" w:color="auto"/>
              <w:right w:val="single" w:sz="8" w:space="0" w:color="auto"/>
            </w:tcBorders>
            <w:noWrap/>
            <w:vAlign w:val="center"/>
            <w:hideMark/>
          </w:tcPr>
          <w:p w:rsidR="0023345B" w:rsidRPr="0063628F" w:rsidP="00432DCE" w14:paraId="13CBFB0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1328" w:type="dxa"/>
            <w:tcBorders>
              <w:top w:val="single" w:sz="4" w:space="0" w:color="auto"/>
              <w:left w:val="nil"/>
              <w:bottom w:val="single" w:sz="8" w:space="0" w:color="auto"/>
              <w:right w:val="single" w:sz="8" w:space="0" w:color="auto"/>
            </w:tcBorders>
            <w:noWrap/>
            <w:vAlign w:val="center"/>
            <w:hideMark/>
          </w:tcPr>
          <w:p w:rsidR="0023345B" w:rsidRPr="0063628F" w:rsidP="00432DCE" w14:paraId="136A478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400</w:t>
            </w:r>
          </w:p>
        </w:tc>
        <w:tc>
          <w:tcPr>
            <w:tcW w:w="983" w:type="dxa"/>
            <w:tcBorders>
              <w:top w:val="single" w:sz="4" w:space="0" w:color="auto"/>
              <w:left w:val="nil"/>
              <w:bottom w:val="single" w:sz="8" w:space="0" w:color="auto"/>
              <w:right w:val="single" w:sz="8" w:space="0" w:color="auto"/>
            </w:tcBorders>
            <w:vAlign w:val="center"/>
            <w:hideMark/>
          </w:tcPr>
          <w:p w:rsidR="0023345B" w:rsidRPr="0063628F" w:rsidP="00432DCE" w14:paraId="6F462BC0"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0.5</w:t>
            </w:r>
          </w:p>
        </w:tc>
        <w:tc>
          <w:tcPr>
            <w:tcW w:w="1884" w:type="dxa"/>
            <w:tcBorders>
              <w:top w:val="single" w:sz="4" w:space="0" w:color="auto"/>
              <w:left w:val="nil"/>
              <w:bottom w:val="single" w:sz="8" w:space="0" w:color="auto"/>
              <w:right w:val="single" w:sz="8" w:space="0" w:color="auto"/>
            </w:tcBorders>
            <w:noWrap/>
            <w:vAlign w:val="center"/>
            <w:hideMark/>
          </w:tcPr>
          <w:p w:rsidR="0023345B" w:rsidRPr="0063628F" w:rsidP="00432DCE" w14:paraId="720969A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200</w:t>
            </w:r>
          </w:p>
        </w:tc>
        <w:tc>
          <w:tcPr>
            <w:tcW w:w="994" w:type="dxa"/>
            <w:tcBorders>
              <w:top w:val="single" w:sz="4" w:space="0" w:color="auto"/>
              <w:left w:val="nil"/>
              <w:bottom w:val="single" w:sz="8" w:space="0" w:color="auto"/>
              <w:right w:val="single" w:sz="8" w:space="0" w:color="auto"/>
            </w:tcBorders>
            <w:vAlign w:val="center"/>
            <w:hideMark/>
          </w:tcPr>
          <w:p w:rsidR="0023345B" w:rsidRPr="0063628F" w:rsidP="00432DCE" w14:paraId="6E27CE50" w14:textId="6E5BDC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89.26</w:t>
            </w:r>
          </w:p>
        </w:tc>
        <w:tc>
          <w:tcPr>
            <w:tcW w:w="1764" w:type="dxa"/>
            <w:tcBorders>
              <w:top w:val="single" w:sz="4" w:space="0" w:color="auto"/>
              <w:left w:val="nil"/>
              <w:bottom w:val="single" w:sz="8" w:space="0" w:color="auto"/>
              <w:right w:val="single" w:sz="8" w:space="0" w:color="auto"/>
            </w:tcBorders>
            <w:noWrap/>
            <w:vAlign w:val="center"/>
            <w:hideMark/>
          </w:tcPr>
          <w:p w:rsidR="0023345B" w:rsidRPr="0063628F" w:rsidP="00432DCE" w14:paraId="0822C362" w14:textId="6166664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17,852</w:t>
            </w:r>
          </w:p>
        </w:tc>
        <w:tc>
          <w:tcPr>
            <w:tcW w:w="983" w:type="dxa"/>
            <w:tcBorders>
              <w:top w:val="single" w:sz="4" w:space="0" w:color="auto"/>
              <w:left w:val="nil"/>
              <w:bottom w:val="single" w:sz="8" w:space="0" w:color="auto"/>
              <w:right w:val="single" w:sz="8" w:space="0" w:color="auto"/>
            </w:tcBorders>
            <w:vAlign w:val="center"/>
            <w:hideMark/>
          </w:tcPr>
          <w:p w:rsidR="0023345B" w:rsidRPr="0063628F" w:rsidP="00432DCE" w14:paraId="38AE44D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w:t>
            </w:r>
          </w:p>
        </w:tc>
        <w:tc>
          <w:tcPr>
            <w:tcW w:w="1061" w:type="dxa"/>
            <w:tcBorders>
              <w:top w:val="single" w:sz="4" w:space="0" w:color="auto"/>
              <w:left w:val="nil"/>
              <w:bottom w:val="single" w:sz="8" w:space="0" w:color="auto"/>
              <w:right w:val="single" w:sz="8" w:space="0" w:color="auto"/>
            </w:tcBorders>
            <w:vAlign w:val="center"/>
            <w:hideMark/>
          </w:tcPr>
          <w:p w:rsidR="0023345B" w:rsidRPr="0063628F" w:rsidP="00432DCE" w14:paraId="1094D05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3503D006"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23345B" w:rsidRPr="0063628F" w:rsidP="00432DCE" w14:paraId="385D1B3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12.2</w:t>
            </w:r>
          </w:p>
        </w:tc>
        <w:tc>
          <w:tcPr>
            <w:tcW w:w="1516" w:type="dxa"/>
            <w:tcBorders>
              <w:top w:val="nil"/>
              <w:left w:val="nil"/>
              <w:bottom w:val="single" w:sz="8" w:space="0" w:color="auto"/>
              <w:right w:val="single" w:sz="8" w:space="0" w:color="auto"/>
            </w:tcBorders>
            <w:vAlign w:val="center"/>
            <w:hideMark/>
          </w:tcPr>
          <w:p w:rsidR="0023345B" w:rsidRPr="0063628F" w:rsidP="00432DCE" w14:paraId="66E8EA2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438.5, Rate Standards</w:t>
            </w:r>
          </w:p>
        </w:tc>
        <w:tc>
          <w:tcPr>
            <w:tcW w:w="1239" w:type="dxa"/>
            <w:tcBorders>
              <w:top w:val="nil"/>
              <w:left w:val="nil"/>
              <w:bottom w:val="single" w:sz="8" w:space="0" w:color="auto"/>
              <w:right w:val="single" w:sz="8" w:space="0" w:color="auto"/>
            </w:tcBorders>
            <w:noWrap/>
            <w:vAlign w:val="center"/>
            <w:hideMark/>
          </w:tcPr>
          <w:p w:rsidR="0023345B" w:rsidRPr="0063628F" w:rsidP="00432DCE" w14:paraId="106C0C0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39</w:t>
            </w:r>
          </w:p>
        </w:tc>
        <w:tc>
          <w:tcPr>
            <w:tcW w:w="1328" w:type="dxa"/>
            <w:tcBorders>
              <w:top w:val="nil"/>
              <w:left w:val="nil"/>
              <w:bottom w:val="single" w:sz="8" w:space="0" w:color="auto"/>
              <w:right w:val="single" w:sz="8" w:space="0" w:color="auto"/>
            </w:tcBorders>
            <w:noWrap/>
            <w:vAlign w:val="center"/>
            <w:hideMark/>
          </w:tcPr>
          <w:p w:rsidR="0023345B" w:rsidRPr="0063628F" w:rsidP="00432DCE" w14:paraId="1C170A7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85</w:t>
            </w:r>
          </w:p>
        </w:tc>
        <w:tc>
          <w:tcPr>
            <w:tcW w:w="983" w:type="dxa"/>
            <w:tcBorders>
              <w:top w:val="nil"/>
              <w:left w:val="nil"/>
              <w:bottom w:val="single" w:sz="8" w:space="0" w:color="auto"/>
              <w:right w:val="single" w:sz="8" w:space="0" w:color="auto"/>
            </w:tcBorders>
            <w:vAlign w:val="center"/>
            <w:hideMark/>
          </w:tcPr>
          <w:p w:rsidR="0023345B" w:rsidRPr="0063628F" w:rsidP="00432DCE" w14:paraId="3AF861F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w:t>
            </w:r>
          </w:p>
        </w:tc>
        <w:tc>
          <w:tcPr>
            <w:tcW w:w="1884" w:type="dxa"/>
            <w:tcBorders>
              <w:top w:val="nil"/>
              <w:left w:val="nil"/>
              <w:bottom w:val="single" w:sz="8" w:space="0" w:color="auto"/>
              <w:right w:val="single" w:sz="8" w:space="0" w:color="auto"/>
            </w:tcBorders>
            <w:noWrap/>
            <w:vAlign w:val="center"/>
            <w:hideMark/>
          </w:tcPr>
          <w:p w:rsidR="0023345B" w:rsidRPr="0063628F" w:rsidP="00432DCE" w14:paraId="65D36DE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1,020</w:t>
            </w:r>
          </w:p>
        </w:tc>
        <w:tc>
          <w:tcPr>
            <w:tcW w:w="994" w:type="dxa"/>
            <w:tcBorders>
              <w:top w:val="nil"/>
              <w:left w:val="nil"/>
              <w:bottom w:val="single" w:sz="8" w:space="0" w:color="auto"/>
              <w:right w:val="single" w:sz="8" w:space="0" w:color="auto"/>
            </w:tcBorders>
            <w:vAlign w:val="center"/>
            <w:hideMark/>
          </w:tcPr>
          <w:p w:rsidR="0023345B" w:rsidRPr="0063628F" w:rsidP="00432DCE" w14:paraId="7B2B94E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Varies (see narrative)</w:t>
            </w:r>
          </w:p>
        </w:tc>
        <w:tc>
          <w:tcPr>
            <w:tcW w:w="1764" w:type="dxa"/>
            <w:tcBorders>
              <w:top w:val="nil"/>
              <w:left w:val="nil"/>
              <w:bottom w:val="single" w:sz="8" w:space="0" w:color="auto"/>
              <w:right w:val="single" w:sz="8" w:space="0" w:color="auto"/>
            </w:tcBorders>
            <w:noWrap/>
            <w:vAlign w:val="center"/>
            <w:hideMark/>
          </w:tcPr>
          <w:p w:rsidR="0023345B" w:rsidRPr="0063628F" w:rsidP="00432DCE" w14:paraId="51FC29EC" w14:textId="306DD66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138,077</w:t>
            </w:r>
          </w:p>
        </w:tc>
        <w:tc>
          <w:tcPr>
            <w:tcW w:w="983" w:type="dxa"/>
            <w:tcBorders>
              <w:top w:val="nil"/>
              <w:left w:val="nil"/>
              <w:bottom w:val="single" w:sz="8" w:space="0" w:color="auto"/>
              <w:right w:val="single" w:sz="8" w:space="0" w:color="auto"/>
            </w:tcBorders>
            <w:vAlign w:val="center"/>
            <w:hideMark/>
          </w:tcPr>
          <w:p w:rsidR="0023345B" w:rsidRPr="0063628F" w:rsidP="00432DCE" w14:paraId="51E1320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23345B" w:rsidRPr="0063628F" w:rsidP="00432DCE" w14:paraId="4748201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0E840316"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23345B" w:rsidRPr="0063628F" w:rsidP="00432DCE" w14:paraId="6E503C7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12.3a</w:t>
            </w:r>
          </w:p>
        </w:tc>
        <w:tc>
          <w:tcPr>
            <w:tcW w:w="1516" w:type="dxa"/>
            <w:tcBorders>
              <w:top w:val="nil"/>
              <w:left w:val="nil"/>
              <w:bottom w:val="single" w:sz="8" w:space="0" w:color="auto"/>
              <w:right w:val="single" w:sz="8" w:space="0" w:color="auto"/>
            </w:tcBorders>
            <w:vAlign w:val="center"/>
            <w:hideMark/>
          </w:tcPr>
          <w:p w:rsidR="0023345B" w:rsidRPr="0063628F" w:rsidP="00432DCE" w14:paraId="172C633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438.7, Rate Certifications</w:t>
            </w:r>
          </w:p>
        </w:tc>
        <w:tc>
          <w:tcPr>
            <w:tcW w:w="1239" w:type="dxa"/>
            <w:tcBorders>
              <w:top w:val="nil"/>
              <w:left w:val="nil"/>
              <w:bottom w:val="single" w:sz="8" w:space="0" w:color="auto"/>
              <w:right w:val="single" w:sz="8" w:space="0" w:color="auto"/>
            </w:tcBorders>
            <w:vAlign w:val="center"/>
            <w:hideMark/>
          </w:tcPr>
          <w:p w:rsidR="0023345B" w:rsidRPr="0063628F" w:rsidP="00432DCE" w14:paraId="1CE81C6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39</w:t>
            </w:r>
          </w:p>
        </w:tc>
        <w:tc>
          <w:tcPr>
            <w:tcW w:w="1328" w:type="dxa"/>
            <w:tcBorders>
              <w:top w:val="nil"/>
              <w:left w:val="nil"/>
              <w:bottom w:val="single" w:sz="8" w:space="0" w:color="auto"/>
              <w:right w:val="single" w:sz="8" w:space="0" w:color="auto"/>
            </w:tcBorders>
            <w:vAlign w:val="center"/>
            <w:hideMark/>
          </w:tcPr>
          <w:p w:rsidR="0023345B" w:rsidRPr="0063628F" w:rsidP="00432DCE" w14:paraId="0F96CEA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140</w:t>
            </w:r>
          </w:p>
        </w:tc>
        <w:tc>
          <w:tcPr>
            <w:tcW w:w="983" w:type="dxa"/>
            <w:tcBorders>
              <w:top w:val="nil"/>
              <w:left w:val="nil"/>
              <w:bottom w:val="single" w:sz="8" w:space="0" w:color="auto"/>
              <w:right w:val="single" w:sz="8" w:space="0" w:color="auto"/>
            </w:tcBorders>
            <w:vAlign w:val="center"/>
            <w:hideMark/>
          </w:tcPr>
          <w:p w:rsidR="0023345B" w:rsidRPr="0063628F" w:rsidP="00432DCE" w14:paraId="27827C5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230</w:t>
            </w:r>
          </w:p>
        </w:tc>
        <w:tc>
          <w:tcPr>
            <w:tcW w:w="1884" w:type="dxa"/>
            <w:tcBorders>
              <w:top w:val="nil"/>
              <w:left w:val="nil"/>
              <w:bottom w:val="single" w:sz="8" w:space="0" w:color="auto"/>
              <w:right w:val="single" w:sz="8" w:space="0" w:color="auto"/>
            </w:tcBorders>
            <w:noWrap/>
            <w:vAlign w:val="center"/>
            <w:hideMark/>
          </w:tcPr>
          <w:p w:rsidR="0023345B" w:rsidRPr="0063628F" w:rsidP="00432DCE" w14:paraId="53E9CF4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32,200</w:t>
            </w:r>
          </w:p>
        </w:tc>
        <w:tc>
          <w:tcPr>
            <w:tcW w:w="994" w:type="dxa"/>
            <w:tcBorders>
              <w:top w:val="nil"/>
              <w:left w:val="nil"/>
              <w:bottom w:val="single" w:sz="8" w:space="0" w:color="auto"/>
              <w:right w:val="single" w:sz="8" w:space="0" w:color="auto"/>
            </w:tcBorders>
            <w:vAlign w:val="center"/>
            <w:hideMark/>
          </w:tcPr>
          <w:p w:rsidR="0023345B" w:rsidRPr="0063628F" w:rsidP="00432DCE" w14:paraId="4BC0D7C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Varies (see narrative)</w:t>
            </w:r>
          </w:p>
        </w:tc>
        <w:tc>
          <w:tcPr>
            <w:tcW w:w="1764" w:type="dxa"/>
            <w:tcBorders>
              <w:top w:val="nil"/>
              <w:left w:val="nil"/>
              <w:bottom w:val="single" w:sz="8" w:space="0" w:color="auto"/>
              <w:right w:val="single" w:sz="8" w:space="0" w:color="auto"/>
            </w:tcBorders>
            <w:noWrap/>
            <w:vAlign w:val="center"/>
            <w:hideMark/>
          </w:tcPr>
          <w:p w:rsidR="0023345B" w:rsidRPr="00107EE8" w:rsidP="00432DCE" w14:paraId="40233ECB" w14:textId="0CB27B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3,776,108</w:t>
            </w:r>
          </w:p>
        </w:tc>
        <w:tc>
          <w:tcPr>
            <w:tcW w:w="983" w:type="dxa"/>
            <w:tcBorders>
              <w:top w:val="nil"/>
              <w:left w:val="nil"/>
              <w:bottom w:val="single" w:sz="8" w:space="0" w:color="auto"/>
              <w:right w:val="single" w:sz="8" w:space="0" w:color="auto"/>
            </w:tcBorders>
            <w:vAlign w:val="center"/>
            <w:hideMark/>
          </w:tcPr>
          <w:p w:rsidR="0023345B" w:rsidRPr="00107EE8" w:rsidP="00432DCE" w14:paraId="232CC67E" w14:textId="77777777">
            <w:pPr>
              <w:spacing w:after="0" w:line="240" w:lineRule="auto"/>
              <w:jc w:val="center"/>
              <w:rPr>
                <w:rFonts w:ascii="Times New Roman" w:eastAsia="Times New Roman" w:hAnsi="Times New Roman" w:cs="Times New Roman"/>
                <w:color w:val="000000"/>
                <w:sz w:val="20"/>
                <w:szCs w:val="20"/>
              </w:rPr>
            </w:pPr>
            <w:r w:rsidRPr="00107EE8">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23345B" w:rsidRPr="00107EE8" w:rsidP="00432DCE" w14:paraId="07C793F6" w14:textId="77777777">
            <w:pPr>
              <w:spacing w:after="0" w:line="240" w:lineRule="auto"/>
              <w:jc w:val="center"/>
              <w:rPr>
                <w:rFonts w:ascii="Times New Roman" w:eastAsia="Times New Roman" w:hAnsi="Times New Roman" w:cs="Times New Roman"/>
                <w:color w:val="000000"/>
                <w:sz w:val="20"/>
                <w:szCs w:val="20"/>
              </w:rPr>
            </w:pPr>
            <w:r w:rsidRPr="00107EE8">
              <w:rPr>
                <w:rFonts w:ascii="Times New Roman" w:eastAsia="Times New Roman" w:hAnsi="Times New Roman" w:cs="Times New Roman"/>
                <w:color w:val="000000"/>
                <w:sz w:val="20"/>
                <w:szCs w:val="20"/>
              </w:rPr>
              <w:t>Annual</w:t>
            </w:r>
          </w:p>
        </w:tc>
      </w:tr>
      <w:tr w14:paraId="0AD538F6"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23345B" w:rsidRPr="0063628F" w:rsidP="00432DCE" w14:paraId="797717B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12.3b</w:t>
            </w:r>
          </w:p>
        </w:tc>
        <w:tc>
          <w:tcPr>
            <w:tcW w:w="1516" w:type="dxa"/>
            <w:tcBorders>
              <w:top w:val="nil"/>
              <w:left w:val="nil"/>
              <w:bottom w:val="single" w:sz="8" w:space="0" w:color="auto"/>
              <w:right w:val="single" w:sz="8" w:space="0" w:color="auto"/>
            </w:tcBorders>
            <w:vAlign w:val="center"/>
            <w:hideMark/>
          </w:tcPr>
          <w:p w:rsidR="0023345B" w:rsidRPr="0063628F" w:rsidP="00432DCE" w14:paraId="68D6A91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438.7, Rate Certifications</w:t>
            </w:r>
          </w:p>
        </w:tc>
        <w:tc>
          <w:tcPr>
            <w:tcW w:w="1239" w:type="dxa"/>
            <w:tcBorders>
              <w:top w:val="nil"/>
              <w:left w:val="nil"/>
              <w:bottom w:val="single" w:sz="8" w:space="0" w:color="auto"/>
              <w:right w:val="single" w:sz="8" w:space="0" w:color="auto"/>
            </w:tcBorders>
            <w:noWrap/>
            <w:vAlign w:val="center"/>
            <w:hideMark/>
          </w:tcPr>
          <w:p w:rsidR="0023345B" w:rsidRPr="0063628F" w:rsidP="00432DCE" w14:paraId="0E20D150"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w:t>
            </w:r>
          </w:p>
        </w:tc>
        <w:tc>
          <w:tcPr>
            <w:tcW w:w="1328" w:type="dxa"/>
            <w:tcBorders>
              <w:top w:val="nil"/>
              <w:left w:val="nil"/>
              <w:bottom w:val="single" w:sz="8" w:space="0" w:color="auto"/>
              <w:right w:val="single" w:sz="8" w:space="0" w:color="auto"/>
            </w:tcBorders>
            <w:noWrap/>
            <w:vAlign w:val="center"/>
            <w:hideMark/>
          </w:tcPr>
          <w:p w:rsidR="0023345B" w:rsidRPr="0063628F" w:rsidP="00432DCE" w14:paraId="1C0A9F4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w:t>
            </w:r>
          </w:p>
        </w:tc>
        <w:tc>
          <w:tcPr>
            <w:tcW w:w="983" w:type="dxa"/>
            <w:tcBorders>
              <w:top w:val="nil"/>
              <w:left w:val="nil"/>
              <w:bottom w:val="single" w:sz="8" w:space="0" w:color="auto"/>
              <w:right w:val="single" w:sz="8" w:space="0" w:color="auto"/>
            </w:tcBorders>
            <w:vAlign w:val="center"/>
            <w:hideMark/>
          </w:tcPr>
          <w:p w:rsidR="0023345B" w:rsidRPr="0063628F" w:rsidP="00432DCE" w14:paraId="5E8CA5D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w:t>
            </w:r>
          </w:p>
        </w:tc>
        <w:tc>
          <w:tcPr>
            <w:tcW w:w="1884" w:type="dxa"/>
            <w:tcBorders>
              <w:top w:val="nil"/>
              <w:left w:val="nil"/>
              <w:bottom w:val="single" w:sz="8" w:space="0" w:color="auto"/>
              <w:right w:val="single" w:sz="8" w:space="0" w:color="auto"/>
            </w:tcBorders>
            <w:noWrap/>
            <w:vAlign w:val="center"/>
            <w:hideMark/>
          </w:tcPr>
          <w:p w:rsidR="0023345B" w:rsidRPr="0063628F" w:rsidP="00432DCE" w14:paraId="54C2A3B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w:t>
            </w:r>
          </w:p>
        </w:tc>
        <w:tc>
          <w:tcPr>
            <w:tcW w:w="994" w:type="dxa"/>
            <w:tcBorders>
              <w:top w:val="nil"/>
              <w:left w:val="nil"/>
              <w:bottom w:val="single" w:sz="8" w:space="0" w:color="auto"/>
              <w:right w:val="single" w:sz="8" w:space="0" w:color="auto"/>
            </w:tcBorders>
            <w:vAlign w:val="center"/>
            <w:hideMark/>
          </w:tcPr>
          <w:p w:rsidR="0023345B" w:rsidRPr="0063628F" w:rsidP="00432DCE" w14:paraId="4A0F53F5" w14:textId="55222E6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136.04</w:t>
            </w:r>
          </w:p>
        </w:tc>
        <w:tc>
          <w:tcPr>
            <w:tcW w:w="1764" w:type="dxa"/>
            <w:tcBorders>
              <w:top w:val="nil"/>
              <w:left w:val="nil"/>
              <w:bottom w:val="single" w:sz="8" w:space="0" w:color="auto"/>
              <w:right w:val="single" w:sz="8" w:space="0" w:color="auto"/>
            </w:tcBorders>
            <w:noWrap/>
            <w:vAlign w:val="center"/>
            <w:hideMark/>
          </w:tcPr>
          <w:p w:rsidR="0023345B" w:rsidRPr="00107EE8" w:rsidP="00432DCE" w14:paraId="4914CBD9" w14:textId="4E3A338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w:t>
            </w:r>
          </w:p>
        </w:tc>
        <w:tc>
          <w:tcPr>
            <w:tcW w:w="983" w:type="dxa"/>
            <w:tcBorders>
              <w:top w:val="nil"/>
              <w:left w:val="nil"/>
              <w:bottom w:val="single" w:sz="8" w:space="0" w:color="auto"/>
              <w:right w:val="single" w:sz="8" w:space="0" w:color="auto"/>
            </w:tcBorders>
            <w:vAlign w:val="center"/>
            <w:hideMark/>
          </w:tcPr>
          <w:p w:rsidR="0023345B" w:rsidRPr="00107EE8" w:rsidP="00432DCE" w14:paraId="3DDD289C" w14:textId="77777777">
            <w:pPr>
              <w:spacing w:after="0" w:line="240" w:lineRule="auto"/>
              <w:jc w:val="center"/>
              <w:rPr>
                <w:rFonts w:ascii="Times New Roman" w:eastAsia="Times New Roman" w:hAnsi="Times New Roman" w:cs="Times New Roman"/>
                <w:color w:val="000000"/>
                <w:sz w:val="20"/>
                <w:szCs w:val="20"/>
              </w:rPr>
            </w:pPr>
            <w:r w:rsidRPr="00107EE8">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23345B" w:rsidRPr="00107EE8" w:rsidP="00432DCE" w14:paraId="686BCE46" w14:textId="77777777">
            <w:pPr>
              <w:spacing w:after="0" w:line="240" w:lineRule="auto"/>
              <w:jc w:val="center"/>
              <w:rPr>
                <w:rFonts w:ascii="Times New Roman" w:eastAsia="Times New Roman" w:hAnsi="Times New Roman" w:cs="Times New Roman"/>
                <w:color w:val="000000"/>
                <w:sz w:val="20"/>
                <w:szCs w:val="20"/>
              </w:rPr>
            </w:pPr>
            <w:r w:rsidRPr="00107EE8">
              <w:rPr>
                <w:rFonts w:ascii="Times New Roman" w:eastAsia="Times New Roman" w:hAnsi="Times New Roman" w:cs="Times New Roman"/>
                <w:color w:val="000000"/>
                <w:sz w:val="20"/>
                <w:szCs w:val="20"/>
              </w:rPr>
              <w:t>Annual</w:t>
            </w:r>
          </w:p>
        </w:tc>
      </w:tr>
      <w:tr w14:paraId="6F819BDA"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tcPr>
          <w:p w:rsidR="00BA5056" w:rsidRPr="0063628F" w:rsidP="00432DCE" w14:paraId="3EFD6C33" w14:textId="2D11AEC9">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12.26</w:t>
            </w:r>
          </w:p>
        </w:tc>
        <w:tc>
          <w:tcPr>
            <w:tcW w:w="1516" w:type="dxa"/>
            <w:tcBorders>
              <w:top w:val="nil"/>
              <w:left w:val="nil"/>
              <w:bottom w:val="single" w:sz="8" w:space="0" w:color="auto"/>
              <w:right w:val="single" w:sz="8" w:space="0" w:color="auto"/>
            </w:tcBorders>
            <w:vAlign w:val="center"/>
          </w:tcPr>
          <w:p w:rsidR="00BA5056" w:rsidRPr="0063628F" w:rsidP="00432DCE" w14:paraId="1B2CB679" w14:textId="1A6B207A">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438.66(e)(1) and (2), State Monitoring</w:t>
            </w:r>
          </w:p>
        </w:tc>
        <w:tc>
          <w:tcPr>
            <w:tcW w:w="1239" w:type="dxa"/>
            <w:tcBorders>
              <w:top w:val="nil"/>
              <w:left w:val="nil"/>
              <w:bottom w:val="single" w:sz="8" w:space="0" w:color="auto"/>
              <w:right w:val="single" w:sz="8" w:space="0" w:color="auto"/>
            </w:tcBorders>
            <w:noWrap/>
            <w:vAlign w:val="center"/>
          </w:tcPr>
          <w:p w:rsidR="00BA5056" w:rsidRPr="0063628F" w:rsidP="00432DCE" w14:paraId="1D61008C" w14:textId="1AC9986D">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49</w:t>
            </w:r>
          </w:p>
        </w:tc>
        <w:tc>
          <w:tcPr>
            <w:tcW w:w="1328" w:type="dxa"/>
            <w:tcBorders>
              <w:top w:val="nil"/>
              <w:left w:val="nil"/>
              <w:bottom w:val="single" w:sz="8" w:space="0" w:color="auto"/>
              <w:right w:val="single" w:sz="8" w:space="0" w:color="auto"/>
            </w:tcBorders>
            <w:noWrap/>
            <w:vAlign w:val="center"/>
          </w:tcPr>
          <w:p w:rsidR="00BA5056" w:rsidRPr="0063628F" w:rsidP="00432DCE" w14:paraId="2D5EC45E" w14:textId="42E9589A">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49</w:t>
            </w:r>
          </w:p>
        </w:tc>
        <w:tc>
          <w:tcPr>
            <w:tcW w:w="983" w:type="dxa"/>
            <w:tcBorders>
              <w:top w:val="nil"/>
              <w:left w:val="nil"/>
              <w:bottom w:val="single" w:sz="8" w:space="0" w:color="auto"/>
              <w:right w:val="single" w:sz="8" w:space="0" w:color="auto"/>
            </w:tcBorders>
            <w:vAlign w:val="center"/>
          </w:tcPr>
          <w:p w:rsidR="00BA5056" w:rsidRPr="0063628F" w:rsidP="00432DCE" w14:paraId="27A004E5" w14:textId="0CF8DEF8">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6</w:t>
            </w:r>
          </w:p>
        </w:tc>
        <w:tc>
          <w:tcPr>
            <w:tcW w:w="1884" w:type="dxa"/>
            <w:tcBorders>
              <w:top w:val="nil"/>
              <w:left w:val="nil"/>
              <w:bottom w:val="single" w:sz="8" w:space="0" w:color="auto"/>
              <w:right w:val="single" w:sz="8" w:space="0" w:color="auto"/>
            </w:tcBorders>
            <w:noWrap/>
            <w:vAlign w:val="center"/>
          </w:tcPr>
          <w:p w:rsidR="00BA5056" w:rsidRPr="0063628F" w:rsidP="00432DCE" w14:paraId="40E88841" w14:textId="428E8D76">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294</w:t>
            </w:r>
          </w:p>
        </w:tc>
        <w:tc>
          <w:tcPr>
            <w:tcW w:w="994" w:type="dxa"/>
            <w:tcBorders>
              <w:top w:val="nil"/>
              <w:left w:val="nil"/>
              <w:bottom w:val="single" w:sz="8" w:space="0" w:color="auto"/>
              <w:right w:val="single" w:sz="8" w:space="0" w:color="auto"/>
            </w:tcBorders>
            <w:vAlign w:val="center"/>
          </w:tcPr>
          <w:p w:rsidR="00BA5056" w:rsidP="00432DCE" w14:paraId="33BFEEE5" w14:textId="71D5B8A3">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89.26</w:t>
            </w:r>
          </w:p>
        </w:tc>
        <w:tc>
          <w:tcPr>
            <w:tcW w:w="1764" w:type="dxa"/>
            <w:tcBorders>
              <w:top w:val="nil"/>
              <w:left w:val="nil"/>
              <w:bottom w:val="single" w:sz="8" w:space="0" w:color="auto"/>
              <w:right w:val="single" w:sz="8" w:space="0" w:color="auto"/>
            </w:tcBorders>
            <w:noWrap/>
            <w:vAlign w:val="center"/>
          </w:tcPr>
          <w:p w:rsidR="00BA5056" w:rsidP="00432DCE" w14:paraId="653C9364" w14:textId="2F193E13">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26,242</w:t>
            </w:r>
          </w:p>
        </w:tc>
        <w:tc>
          <w:tcPr>
            <w:tcW w:w="983" w:type="dxa"/>
            <w:tcBorders>
              <w:top w:val="nil"/>
              <w:left w:val="nil"/>
              <w:bottom w:val="single" w:sz="8" w:space="0" w:color="auto"/>
              <w:right w:val="single" w:sz="8" w:space="0" w:color="auto"/>
            </w:tcBorders>
            <w:vAlign w:val="center"/>
          </w:tcPr>
          <w:p w:rsidR="00BA5056" w:rsidRPr="00107EE8" w:rsidP="00432DCE" w14:paraId="5FEF591D" w14:textId="766F384A">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R</w:t>
            </w:r>
          </w:p>
        </w:tc>
        <w:tc>
          <w:tcPr>
            <w:tcW w:w="1061" w:type="dxa"/>
            <w:tcBorders>
              <w:top w:val="nil"/>
              <w:left w:val="nil"/>
              <w:bottom w:val="single" w:sz="8" w:space="0" w:color="auto"/>
              <w:right w:val="single" w:sz="8" w:space="0" w:color="auto"/>
            </w:tcBorders>
            <w:vAlign w:val="center"/>
          </w:tcPr>
          <w:p w:rsidR="00BA5056" w:rsidRPr="00107EE8" w:rsidP="00432DCE" w14:paraId="7C3A9C0D" w14:textId="23CF6379">
            <w:pPr>
              <w:spacing w:after="0" w:line="240" w:lineRule="auto"/>
              <w:jc w:val="center"/>
              <w:rPr>
                <w:rFonts w:ascii="Times New Roman" w:eastAsia="Times New Roman" w:hAnsi="Times New Roman" w:cs="Times New Roman"/>
                <w:color w:val="000000"/>
                <w:sz w:val="20"/>
                <w:szCs w:val="20"/>
              </w:rPr>
            </w:pPr>
            <w:r w:rsidRPr="000467BA">
              <w:rPr>
                <w:rFonts w:ascii="Times New Roman" w:eastAsia="Times New Roman" w:hAnsi="Times New Roman" w:cs="Times New Roman"/>
                <w:sz w:val="20"/>
                <w:szCs w:val="20"/>
              </w:rPr>
              <w:t>Annual</w:t>
            </w:r>
          </w:p>
        </w:tc>
      </w:tr>
      <w:tr w14:paraId="4DB6680B" w14:textId="77777777" w:rsidTr="006C1134">
        <w:tblPrEx>
          <w:tblW w:w="12960" w:type="dxa"/>
          <w:tblInd w:w="-10" w:type="dxa"/>
          <w:tblLook w:val="04A0"/>
        </w:tblPrEx>
        <w:trPr>
          <w:trHeight w:val="530"/>
        </w:trPr>
        <w:tc>
          <w:tcPr>
            <w:tcW w:w="1208" w:type="dxa"/>
            <w:gridSpan w:val="2"/>
            <w:tcBorders>
              <w:top w:val="single" w:sz="4" w:space="0" w:color="auto"/>
              <w:left w:val="single" w:sz="4" w:space="0" w:color="auto"/>
              <w:bottom w:val="single" w:sz="4" w:space="0" w:color="auto"/>
              <w:right w:val="single" w:sz="4" w:space="0" w:color="auto"/>
            </w:tcBorders>
            <w:vAlign w:val="center"/>
            <w:hideMark/>
          </w:tcPr>
          <w:p w:rsidR="00785562" w:rsidRPr="0063628F" w:rsidP="00432DCE" w14:paraId="3D4B86E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12.30</w:t>
            </w:r>
          </w:p>
        </w:tc>
        <w:tc>
          <w:tcPr>
            <w:tcW w:w="1516" w:type="dxa"/>
            <w:tcBorders>
              <w:top w:val="single" w:sz="4" w:space="0" w:color="auto"/>
              <w:left w:val="single" w:sz="4" w:space="0" w:color="auto"/>
              <w:bottom w:val="single" w:sz="4" w:space="0" w:color="auto"/>
              <w:right w:val="single" w:sz="4" w:space="0" w:color="auto"/>
            </w:tcBorders>
            <w:vAlign w:val="center"/>
            <w:hideMark/>
          </w:tcPr>
          <w:p w:rsidR="00785562" w:rsidRPr="0063628F" w:rsidP="00432DCE" w14:paraId="15828CA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438.70 LTSS engagement</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785562" w:rsidRPr="0063628F" w:rsidP="00432DCE" w14:paraId="4C5BBD5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14</w:t>
            </w:r>
          </w:p>
        </w:tc>
        <w:tc>
          <w:tcPr>
            <w:tcW w:w="1328" w:type="dxa"/>
            <w:tcBorders>
              <w:top w:val="single" w:sz="4" w:space="0" w:color="auto"/>
              <w:left w:val="single" w:sz="4" w:space="0" w:color="auto"/>
              <w:bottom w:val="single" w:sz="4" w:space="0" w:color="auto"/>
              <w:right w:val="single" w:sz="4" w:space="0" w:color="auto"/>
            </w:tcBorders>
            <w:noWrap/>
            <w:vAlign w:val="center"/>
            <w:hideMark/>
          </w:tcPr>
          <w:p w:rsidR="00785562" w:rsidRPr="0063628F" w:rsidP="00432DCE" w14:paraId="767C5D9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14</w:t>
            </w:r>
          </w:p>
        </w:tc>
        <w:tc>
          <w:tcPr>
            <w:tcW w:w="983" w:type="dxa"/>
            <w:tcBorders>
              <w:top w:val="single" w:sz="4" w:space="0" w:color="auto"/>
              <w:left w:val="single" w:sz="4" w:space="0" w:color="auto"/>
              <w:bottom w:val="single" w:sz="4" w:space="0" w:color="auto"/>
              <w:right w:val="single" w:sz="4" w:space="0" w:color="auto"/>
            </w:tcBorders>
            <w:vAlign w:val="center"/>
            <w:hideMark/>
          </w:tcPr>
          <w:p w:rsidR="00785562" w:rsidRPr="0063628F" w:rsidP="00432DCE" w14:paraId="1C1E7A2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w:t>
            </w:r>
          </w:p>
        </w:tc>
        <w:tc>
          <w:tcPr>
            <w:tcW w:w="1884" w:type="dxa"/>
            <w:tcBorders>
              <w:top w:val="single" w:sz="4" w:space="0" w:color="auto"/>
              <w:left w:val="single" w:sz="4" w:space="0" w:color="auto"/>
              <w:bottom w:val="single" w:sz="4" w:space="0" w:color="auto"/>
              <w:right w:val="single" w:sz="4" w:space="0" w:color="auto"/>
            </w:tcBorders>
            <w:noWrap/>
            <w:vAlign w:val="center"/>
            <w:hideMark/>
          </w:tcPr>
          <w:p w:rsidR="00785562" w:rsidRPr="0063628F" w:rsidP="00432DCE" w14:paraId="5840714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56</w:t>
            </w:r>
          </w:p>
        </w:tc>
        <w:tc>
          <w:tcPr>
            <w:tcW w:w="994" w:type="dxa"/>
            <w:tcBorders>
              <w:top w:val="single" w:sz="4" w:space="0" w:color="auto"/>
              <w:left w:val="single" w:sz="4" w:space="0" w:color="auto"/>
              <w:bottom w:val="single" w:sz="4" w:space="0" w:color="auto"/>
              <w:right w:val="single" w:sz="4" w:space="0" w:color="auto"/>
            </w:tcBorders>
            <w:vAlign w:val="center"/>
            <w:hideMark/>
          </w:tcPr>
          <w:p w:rsidR="00785562" w:rsidRPr="0063628F" w:rsidP="00432DCE" w14:paraId="3B474F9E" w14:textId="777777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89.26</w:t>
            </w:r>
          </w:p>
        </w:tc>
        <w:tc>
          <w:tcPr>
            <w:tcW w:w="1764" w:type="dxa"/>
            <w:tcBorders>
              <w:top w:val="single" w:sz="4" w:space="0" w:color="auto"/>
              <w:left w:val="single" w:sz="4" w:space="0" w:color="auto"/>
              <w:bottom w:val="single" w:sz="4" w:space="0" w:color="auto"/>
              <w:right w:val="single" w:sz="4" w:space="0" w:color="auto"/>
            </w:tcBorders>
            <w:noWrap/>
            <w:vAlign w:val="center"/>
            <w:hideMark/>
          </w:tcPr>
          <w:p w:rsidR="00785562" w:rsidRPr="0063628F" w:rsidP="00432DCE" w14:paraId="39C64687" w14:textId="7777777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4,999</w:t>
            </w:r>
          </w:p>
        </w:tc>
        <w:tc>
          <w:tcPr>
            <w:tcW w:w="983" w:type="dxa"/>
            <w:tcBorders>
              <w:top w:val="single" w:sz="4" w:space="0" w:color="auto"/>
              <w:left w:val="single" w:sz="4" w:space="0" w:color="auto"/>
              <w:bottom w:val="single" w:sz="4" w:space="0" w:color="auto"/>
              <w:right w:val="single" w:sz="4" w:space="0" w:color="auto"/>
            </w:tcBorders>
            <w:vAlign w:val="center"/>
            <w:hideMark/>
          </w:tcPr>
          <w:p w:rsidR="00785562" w:rsidRPr="0063628F" w:rsidP="00432DCE" w14:paraId="068C72A0" w14:textId="7B55884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p>
        </w:tc>
        <w:tc>
          <w:tcPr>
            <w:tcW w:w="1061" w:type="dxa"/>
            <w:tcBorders>
              <w:top w:val="single" w:sz="4" w:space="0" w:color="auto"/>
              <w:left w:val="single" w:sz="4" w:space="0" w:color="auto"/>
              <w:bottom w:val="single" w:sz="4" w:space="0" w:color="auto"/>
              <w:right w:val="single" w:sz="4" w:space="0" w:color="auto"/>
            </w:tcBorders>
            <w:vAlign w:val="center"/>
            <w:hideMark/>
          </w:tcPr>
          <w:p w:rsidR="00785562" w:rsidRPr="0063628F" w:rsidP="00432DCE" w14:paraId="551625D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Annual</w:t>
            </w:r>
          </w:p>
        </w:tc>
      </w:tr>
      <w:tr w14:paraId="2ED50BED"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4BE815C2"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12.65</w:t>
            </w:r>
          </w:p>
        </w:tc>
        <w:tc>
          <w:tcPr>
            <w:tcW w:w="1516" w:type="dxa"/>
            <w:tcBorders>
              <w:top w:val="nil"/>
              <w:left w:val="nil"/>
              <w:bottom w:val="single" w:sz="8" w:space="0" w:color="auto"/>
              <w:right w:val="single" w:sz="8" w:space="0" w:color="auto"/>
            </w:tcBorders>
            <w:vAlign w:val="center"/>
            <w:hideMark/>
          </w:tcPr>
          <w:p w:rsidR="00BA5056" w:rsidRPr="0063628F" w:rsidP="00432DCE" w14:paraId="2197A3C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438.74(a) MLR reporting</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5173874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39</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581A65AB"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39</w:t>
            </w:r>
          </w:p>
        </w:tc>
        <w:tc>
          <w:tcPr>
            <w:tcW w:w="983" w:type="dxa"/>
            <w:tcBorders>
              <w:top w:val="nil"/>
              <w:left w:val="nil"/>
              <w:bottom w:val="single" w:sz="8" w:space="0" w:color="auto"/>
              <w:right w:val="single" w:sz="8" w:space="0" w:color="auto"/>
            </w:tcBorders>
            <w:vAlign w:val="center"/>
            <w:hideMark/>
          </w:tcPr>
          <w:p w:rsidR="00BA5056" w:rsidRPr="0063628F" w:rsidP="00432DCE" w14:paraId="07BB430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5</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3606A787"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195</w:t>
            </w:r>
          </w:p>
        </w:tc>
        <w:tc>
          <w:tcPr>
            <w:tcW w:w="994" w:type="dxa"/>
            <w:tcBorders>
              <w:top w:val="nil"/>
              <w:left w:val="nil"/>
              <w:bottom w:val="single" w:sz="8" w:space="0" w:color="auto"/>
              <w:right w:val="single" w:sz="8" w:space="0" w:color="auto"/>
            </w:tcBorders>
            <w:vAlign w:val="center"/>
            <w:hideMark/>
          </w:tcPr>
          <w:p w:rsidR="00BA5056" w:rsidRPr="0063628F" w:rsidP="00432DCE" w14:paraId="3855ACED" w14:textId="1B5B3C6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89.26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49D7D37E" w14:textId="29D8AB4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17,406</w:t>
            </w:r>
          </w:p>
        </w:tc>
        <w:tc>
          <w:tcPr>
            <w:tcW w:w="983" w:type="dxa"/>
            <w:tcBorders>
              <w:top w:val="nil"/>
              <w:left w:val="nil"/>
              <w:bottom w:val="single" w:sz="8" w:space="0" w:color="auto"/>
              <w:right w:val="single" w:sz="8" w:space="0" w:color="auto"/>
            </w:tcBorders>
            <w:vAlign w:val="center"/>
            <w:hideMark/>
          </w:tcPr>
          <w:p w:rsidR="00BA5056" w:rsidRPr="0063628F" w:rsidP="00432DCE" w14:paraId="77D968F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BA5056" w:rsidRPr="0063628F" w:rsidP="00432DCE" w14:paraId="6A9D47B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62CE42BA"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3E3751C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12.34c</w:t>
            </w:r>
          </w:p>
        </w:tc>
        <w:tc>
          <w:tcPr>
            <w:tcW w:w="1516" w:type="dxa"/>
            <w:tcBorders>
              <w:top w:val="nil"/>
              <w:left w:val="nil"/>
              <w:bottom w:val="single" w:sz="8" w:space="0" w:color="auto"/>
              <w:right w:val="single" w:sz="8" w:space="0" w:color="auto"/>
            </w:tcBorders>
            <w:vAlign w:val="center"/>
            <w:hideMark/>
          </w:tcPr>
          <w:p w:rsidR="00BA5056" w:rsidRPr="0063628F" w:rsidP="00432DCE" w14:paraId="6B48E820"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438.207(d) Access reporting</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66FE139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39</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3C42DE1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39</w:t>
            </w:r>
          </w:p>
        </w:tc>
        <w:tc>
          <w:tcPr>
            <w:tcW w:w="983" w:type="dxa"/>
            <w:tcBorders>
              <w:top w:val="nil"/>
              <w:left w:val="nil"/>
              <w:bottom w:val="single" w:sz="8" w:space="0" w:color="auto"/>
              <w:right w:val="single" w:sz="8" w:space="0" w:color="auto"/>
            </w:tcBorders>
            <w:vAlign w:val="center"/>
            <w:hideMark/>
          </w:tcPr>
          <w:p w:rsidR="00BA5056" w:rsidRPr="0063628F" w:rsidP="00432DCE" w14:paraId="6C4E64A7"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16784E2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117</w:t>
            </w:r>
          </w:p>
        </w:tc>
        <w:tc>
          <w:tcPr>
            <w:tcW w:w="994" w:type="dxa"/>
            <w:tcBorders>
              <w:top w:val="nil"/>
              <w:left w:val="nil"/>
              <w:bottom w:val="single" w:sz="8" w:space="0" w:color="auto"/>
              <w:right w:val="single" w:sz="8" w:space="0" w:color="auto"/>
            </w:tcBorders>
            <w:vAlign w:val="center"/>
            <w:hideMark/>
          </w:tcPr>
          <w:p w:rsidR="00BA5056" w:rsidRPr="0063628F" w:rsidP="00432DCE" w14:paraId="205A44BF" w14:textId="1628EF1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89.26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420C176C" w14:textId="6FD13D5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10,443</w:t>
            </w:r>
          </w:p>
        </w:tc>
        <w:tc>
          <w:tcPr>
            <w:tcW w:w="983" w:type="dxa"/>
            <w:tcBorders>
              <w:top w:val="nil"/>
              <w:left w:val="nil"/>
              <w:bottom w:val="single" w:sz="8" w:space="0" w:color="auto"/>
              <w:right w:val="single" w:sz="8" w:space="0" w:color="auto"/>
            </w:tcBorders>
            <w:vAlign w:val="center"/>
            <w:hideMark/>
          </w:tcPr>
          <w:p w:rsidR="00BA5056" w:rsidRPr="0063628F" w:rsidP="00432DCE" w14:paraId="64EB6160"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BA5056" w:rsidRPr="0063628F" w:rsidP="00432DCE" w14:paraId="3503833B"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7EC41610"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1DE2C0A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12.54</w:t>
            </w:r>
          </w:p>
        </w:tc>
        <w:tc>
          <w:tcPr>
            <w:tcW w:w="1516" w:type="dxa"/>
            <w:tcBorders>
              <w:top w:val="nil"/>
              <w:left w:val="nil"/>
              <w:bottom w:val="single" w:sz="8" w:space="0" w:color="auto"/>
              <w:right w:val="single" w:sz="8" w:space="0" w:color="auto"/>
            </w:tcBorders>
            <w:vAlign w:val="center"/>
            <w:hideMark/>
          </w:tcPr>
          <w:p w:rsidR="00BA5056" w:rsidRPr="0063628F" w:rsidP="00432DCE" w14:paraId="1F065DE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438.602(e), Program Integrity</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524E25F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39</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1B13388B" w14:textId="0AEDA0D5">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171</w:t>
            </w:r>
            <w:r>
              <w:rPr>
                <w:rFonts w:ascii="Times New Roman" w:eastAsia="Times New Roman" w:hAnsi="Times New Roman" w:cs="Times New Roman"/>
                <w:color w:val="000000"/>
                <w:sz w:val="20"/>
                <w:szCs w:val="20"/>
              </w:rPr>
              <w:t xml:space="preserve"> (</w:t>
            </w:r>
            <w:r w:rsidRPr="00E640A3">
              <w:rPr>
                <w:rFonts w:ascii="Times New Roman" w:eastAsia="Times New Roman" w:hAnsi="Times New Roman" w:cs="Times New Roman"/>
                <w:color w:val="000000"/>
                <w:sz w:val="20"/>
                <w:szCs w:val="20"/>
              </w:rPr>
              <w:t>512 MCOs, PIHPs, PAHPs</w:t>
            </w:r>
            <w:r>
              <w:rPr>
                <w:rFonts w:ascii="Times New Roman" w:eastAsia="Times New Roman" w:hAnsi="Times New Roman" w:cs="Times New Roman"/>
                <w:color w:val="000000"/>
                <w:sz w:val="20"/>
                <w:szCs w:val="20"/>
              </w:rPr>
              <w:t>/</w:t>
            </w:r>
            <w:r w:rsidRPr="00E640A3">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 yr)</w:t>
            </w:r>
          </w:p>
        </w:tc>
        <w:tc>
          <w:tcPr>
            <w:tcW w:w="983" w:type="dxa"/>
            <w:tcBorders>
              <w:top w:val="nil"/>
              <w:left w:val="nil"/>
              <w:bottom w:val="single" w:sz="8" w:space="0" w:color="auto"/>
              <w:right w:val="single" w:sz="8" w:space="0" w:color="auto"/>
            </w:tcBorders>
            <w:vAlign w:val="center"/>
            <w:hideMark/>
          </w:tcPr>
          <w:p w:rsidR="00BA5056" w:rsidRPr="0063628F" w:rsidP="00432DCE" w14:paraId="4B6CEEBB"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20</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2D0F6BA7"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3,420</w:t>
            </w:r>
          </w:p>
        </w:tc>
        <w:tc>
          <w:tcPr>
            <w:tcW w:w="994" w:type="dxa"/>
            <w:tcBorders>
              <w:top w:val="nil"/>
              <w:left w:val="nil"/>
              <w:bottom w:val="single" w:sz="8" w:space="0" w:color="auto"/>
              <w:right w:val="single" w:sz="8" w:space="0" w:color="auto"/>
            </w:tcBorders>
            <w:vAlign w:val="center"/>
            <w:hideMark/>
          </w:tcPr>
          <w:p w:rsidR="00BA5056" w:rsidRPr="0063628F" w:rsidP="00432DCE" w14:paraId="43A1B8D7" w14:textId="3B6A38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91.12</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2E3CDB69" w14:textId="4FC7C78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311,630</w:t>
            </w:r>
          </w:p>
        </w:tc>
        <w:tc>
          <w:tcPr>
            <w:tcW w:w="983" w:type="dxa"/>
            <w:tcBorders>
              <w:top w:val="nil"/>
              <w:left w:val="nil"/>
              <w:bottom w:val="single" w:sz="8" w:space="0" w:color="auto"/>
              <w:right w:val="single" w:sz="8" w:space="0" w:color="auto"/>
            </w:tcBorders>
            <w:vAlign w:val="center"/>
            <w:hideMark/>
          </w:tcPr>
          <w:p w:rsidR="00BA5056" w:rsidRPr="0063628F" w:rsidP="00432DCE" w14:paraId="6FBA13A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BA5056" w:rsidRPr="0063628F" w:rsidP="00432DCE" w14:paraId="5091A71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3CE3F52A"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438F558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12.55</w:t>
            </w:r>
          </w:p>
        </w:tc>
        <w:tc>
          <w:tcPr>
            <w:tcW w:w="1516" w:type="dxa"/>
            <w:tcBorders>
              <w:top w:val="nil"/>
              <w:left w:val="nil"/>
              <w:bottom w:val="single" w:sz="8" w:space="0" w:color="auto"/>
              <w:right w:val="single" w:sz="8" w:space="0" w:color="auto"/>
            </w:tcBorders>
            <w:vAlign w:val="center"/>
            <w:hideMark/>
          </w:tcPr>
          <w:p w:rsidR="00BA5056" w:rsidRPr="0063628F" w:rsidP="00432DCE" w14:paraId="6CD1F83B"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438.602(g) Program Integrity</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4E2CF2DB"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2D6DAC7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983" w:type="dxa"/>
            <w:tcBorders>
              <w:top w:val="nil"/>
              <w:left w:val="nil"/>
              <w:bottom w:val="single" w:sz="8" w:space="0" w:color="auto"/>
              <w:right w:val="single" w:sz="8" w:space="0" w:color="auto"/>
            </w:tcBorders>
            <w:vAlign w:val="center"/>
            <w:hideMark/>
          </w:tcPr>
          <w:p w:rsidR="00BA5056" w:rsidRPr="0063628F" w:rsidP="00432DCE" w14:paraId="637E93E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09FC8E4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994" w:type="dxa"/>
            <w:tcBorders>
              <w:top w:val="nil"/>
              <w:left w:val="nil"/>
              <w:bottom w:val="single" w:sz="8" w:space="0" w:color="auto"/>
              <w:right w:val="single" w:sz="8" w:space="0" w:color="auto"/>
            </w:tcBorders>
            <w:vAlign w:val="center"/>
            <w:hideMark/>
          </w:tcPr>
          <w:p w:rsidR="00BA5056" w:rsidRPr="0063628F" w:rsidP="00432DCE" w14:paraId="38EB550C" w14:textId="75056D5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134.48</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372A6E9F" w14:textId="57BED62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6,590</w:t>
            </w:r>
          </w:p>
        </w:tc>
        <w:tc>
          <w:tcPr>
            <w:tcW w:w="983" w:type="dxa"/>
            <w:tcBorders>
              <w:top w:val="nil"/>
              <w:left w:val="nil"/>
              <w:bottom w:val="single" w:sz="8" w:space="0" w:color="auto"/>
              <w:right w:val="single" w:sz="8" w:space="0" w:color="auto"/>
            </w:tcBorders>
            <w:vAlign w:val="center"/>
            <w:hideMark/>
          </w:tcPr>
          <w:p w:rsidR="00BA5056" w:rsidRPr="0063628F" w:rsidP="00432DCE" w14:paraId="71E2AB9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BA5056" w:rsidRPr="0063628F" w:rsidP="00432DCE" w14:paraId="1FDEAEC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6A23B741"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1041232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12.64</w:t>
            </w:r>
          </w:p>
        </w:tc>
        <w:tc>
          <w:tcPr>
            <w:tcW w:w="1516" w:type="dxa"/>
            <w:tcBorders>
              <w:top w:val="nil"/>
              <w:left w:val="nil"/>
              <w:bottom w:val="single" w:sz="8" w:space="0" w:color="auto"/>
              <w:right w:val="single" w:sz="8" w:space="0" w:color="auto"/>
            </w:tcBorders>
            <w:vAlign w:val="center"/>
            <w:hideMark/>
          </w:tcPr>
          <w:p w:rsidR="00BA5056" w:rsidRPr="0063628F" w:rsidP="00432DCE" w14:paraId="2DEF43C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438.818(a)(2), Encounter Data</w:t>
            </w:r>
          </w:p>
        </w:tc>
        <w:tc>
          <w:tcPr>
            <w:tcW w:w="1239" w:type="dxa"/>
            <w:tcBorders>
              <w:top w:val="nil"/>
              <w:left w:val="nil"/>
              <w:bottom w:val="single" w:sz="8" w:space="0" w:color="auto"/>
              <w:right w:val="single" w:sz="8" w:space="0" w:color="auto"/>
            </w:tcBorders>
            <w:vAlign w:val="center"/>
            <w:hideMark/>
          </w:tcPr>
          <w:p w:rsidR="00BA5056" w:rsidRPr="0063628F" w:rsidP="00432DCE" w14:paraId="4F08C9C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10</w:t>
            </w:r>
          </w:p>
        </w:tc>
        <w:tc>
          <w:tcPr>
            <w:tcW w:w="1328" w:type="dxa"/>
            <w:tcBorders>
              <w:top w:val="nil"/>
              <w:left w:val="nil"/>
              <w:bottom w:val="single" w:sz="8" w:space="0" w:color="auto"/>
              <w:right w:val="single" w:sz="8" w:space="0" w:color="auto"/>
            </w:tcBorders>
            <w:vAlign w:val="center"/>
            <w:hideMark/>
          </w:tcPr>
          <w:p w:rsidR="00BA5056" w:rsidRPr="0063628F" w:rsidP="00432DCE" w14:paraId="1F314A2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10</w:t>
            </w:r>
          </w:p>
        </w:tc>
        <w:tc>
          <w:tcPr>
            <w:tcW w:w="983" w:type="dxa"/>
            <w:tcBorders>
              <w:top w:val="nil"/>
              <w:left w:val="nil"/>
              <w:bottom w:val="single" w:sz="8" w:space="0" w:color="auto"/>
              <w:right w:val="single" w:sz="8" w:space="0" w:color="auto"/>
            </w:tcBorders>
            <w:vAlign w:val="center"/>
            <w:hideMark/>
          </w:tcPr>
          <w:p w:rsidR="00BA5056" w:rsidRPr="0063628F" w:rsidP="00432DCE" w14:paraId="40F7A8B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150</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781064CB"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1500</w:t>
            </w:r>
          </w:p>
        </w:tc>
        <w:tc>
          <w:tcPr>
            <w:tcW w:w="994" w:type="dxa"/>
            <w:tcBorders>
              <w:top w:val="nil"/>
              <w:left w:val="nil"/>
              <w:bottom w:val="single" w:sz="8" w:space="0" w:color="auto"/>
              <w:right w:val="single" w:sz="8" w:space="0" w:color="auto"/>
            </w:tcBorders>
            <w:vAlign w:val="center"/>
            <w:hideMark/>
          </w:tcPr>
          <w:p w:rsidR="00BA5056" w:rsidRPr="0063628F" w:rsidP="00432DCE" w14:paraId="27F7CAA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Varies (see narrative)</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6826AC9A" w14:textId="669591B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143,575</w:t>
            </w:r>
          </w:p>
        </w:tc>
        <w:tc>
          <w:tcPr>
            <w:tcW w:w="983" w:type="dxa"/>
            <w:tcBorders>
              <w:top w:val="nil"/>
              <w:left w:val="nil"/>
              <w:bottom w:val="single" w:sz="8" w:space="0" w:color="auto"/>
              <w:right w:val="single" w:sz="8" w:space="0" w:color="auto"/>
            </w:tcBorders>
            <w:vAlign w:val="center"/>
            <w:hideMark/>
          </w:tcPr>
          <w:p w:rsidR="00BA5056" w:rsidRPr="0063628F" w:rsidP="00432DCE" w14:paraId="2EB88FC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w:t>
            </w:r>
          </w:p>
        </w:tc>
        <w:tc>
          <w:tcPr>
            <w:tcW w:w="1061" w:type="dxa"/>
            <w:tcBorders>
              <w:top w:val="nil"/>
              <w:left w:val="nil"/>
              <w:bottom w:val="single" w:sz="8" w:space="0" w:color="auto"/>
              <w:right w:val="single" w:sz="8" w:space="0" w:color="auto"/>
            </w:tcBorders>
            <w:vAlign w:val="center"/>
            <w:hideMark/>
          </w:tcPr>
          <w:p w:rsidR="00BA5056" w:rsidRPr="0063628F" w:rsidP="00432DCE" w14:paraId="7970741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39D57256" w14:textId="77777777" w:rsidTr="006E1EA1">
        <w:tblPrEx>
          <w:tblW w:w="12960" w:type="dxa"/>
          <w:tblInd w:w="-10" w:type="dxa"/>
          <w:tblLook w:val="04A0"/>
        </w:tblPrEx>
        <w:trPr>
          <w:trHeight w:val="300"/>
        </w:trPr>
        <w:tc>
          <w:tcPr>
            <w:tcW w:w="119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BA5056" w:rsidRPr="0063628F" w:rsidP="00432DCE" w14:paraId="23E1CC93" w14:textId="5D936279">
            <w:pPr>
              <w:spacing w:after="0" w:line="240" w:lineRule="auto"/>
              <w:rPr>
                <w:rFonts w:ascii="Times New Roman" w:eastAsia="Times New Roman" w:hAnsi="Times New Roman" w:cs="Times New Roman"/>
                <w:i/>
                <w:iCs/>
                <w:color w:val="000000"/>
                <w:sz w:val="20"/>
                <w:szCs w:val="20"/>
              </w:rPr>
            </w:pPr>
          </w:p>
        </w:tc>
        <w:tc>
          <w:tcPr>
            <w:tcW w:w="153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rsidR="00BA5056" w:rsidRPr="0063628F" w:rsidP="00432DCE" w14:paraId="773A2B53" w14:textId="78EAAA47">
            <w:pPr>
              <w:spacing w:after="0" w:line="240" w:lineRule="auto"/>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Subtotal: Reporting</w:t>
            </w:r>
          </w:p>
        </w:tc>
        <w:tc>
          <w:tcPr>
            <w:tcW w:w="1239"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0D9D12E1"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49</w:t>
            </w:r>
          </w:p>
        </w:tc>
        <w:tc>
          <w:tcPr>
            <w:tcW w:w="1328"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5DEA01CD" w14:textId="69C62618">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9</w:t>
            </w:r>
            <w:r w:rsidR="00597B15">
              <w:rPr>
                <w:rFonts w:ascii="Times New Roman" w:eastAsia="Times New Roman" w:hAnsi="Times New Roman" w:cs="Times New Roman"/>
                <w:i/>
                <w:iCs/>
                <w:color w:val="000000"/>
                <w:sz w:val="20"/>
                <w:szCs w:val="20"/>
              </w:rPr>
              <w:t>99</w:t>
            </w:r>
          </w:p>
        </w:tc>
        <w:tc>
          <w:tcPr>
            <w:tcW w:w="983"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7553FAEC"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Varies</w:t>
            </w:r>
          </w:p>
        </w:tc>
        <w:tc>
          <w:tcPr>
            <w:tcW w:w="1884"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31CE2DB1" w14:textId="70464976">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3</w:t>
            </w:r>
            <w:r w:rsidR="008F325F">
              <w:rPr>
                <w:rFonts w:ascii="Times New Roman" w:eastAsia="Times New Roman" w:hAnsi="Times New Roman" w:cs="Times New Roman"/>
                <w:i/>
                <w:iCs/>
                <w:color w:val="000000"/>
                <w:sz w:val="20"/>
                <w:szCs w:val="20"/>
              </w:rPr>
              <w:t>9,054</w:t>
            </w:r>
          </w:p>
        </w:tc>
        <w:tc>
          <w:tcPr>
            <w:tcW w:w="994"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4DBB9FD0"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Varies</w:t>
            </w:r>
          </w:p>
        </w:tc>
        <w:tc>
          <w:tcPr>
            <w:tcW w:w="1764"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31EED777" w14:textId="0434DBFA">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4,4</w:t>
            </w:r>
            <w:r w:rsidR="0022075D">
              <w:rPr>
                <w:rFonts w:ascii="Times New Roman" w:eastAsia="Times New Roman" w:hAnsi="Times New Roman" w:cs="Times New Roman"/>
                <w:i/>
                <w:iCs/>
                <w:color w:val="000000"/>
                <w:sz w:val="20"/>
                <w:szCs w:val="20"/>
              </w:rPr>
              <w:t>53</w:t>
            </w:r>
            <w:r>
              <w:rPr>
                <w:rFonts w:ascii="Times New Roman" w:eastAsia="Times New Roman" w:hAnsi="Times New Roman" w:cs="Times New Roman"/>
                <w:i/>
                <w:iCs/>
                <w:color w:val="000000"/>
                <w:sz w:val="20"/>
                <w:szCs w:val="20"/>
              </w:rPr>
              <w:t>,</w:t>
            </w:r>
            <w:r w:rsidR="0022075D">
              <w:rPr>
                <w:rFonts w:ascii="Times New Roman" w:eastAsia="Times New Roman" w:hAnsi="Times New Roman" w:cs="Times New Roman"/>
                <w:i/>
                <w:iCs/>
                <w:color w:val="000000"/>
                <w:sz w:val="20"/>
                <w:szCs w:val="20"/>
              </w:rPr>
              <w:t>330</w:t>
            </w:r>
          </w:p>
        </w:tc>
        <w:tc>
          <w:tcPr>
            <w:tcW w:w="983"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32CCAF19"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R</w:t>
            </w:r>
          </w:p>
        </w:tc>
        <w:tc>
          <w:tcPr>
            <w:tcW w:w="1061"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716614C4" w14:textId="3F789FD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Annual</w:t>
            </w:r>
          </w:p>
        </w:tc>
      </w:tr>
      <w:tr w14:paraId="2D3609A9"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1390750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12.6b</w:t>
            </w:r>
          </w:p>
        </w:tc>
        <w:tc>
          <w:tcPr>
            <w:tcW w:w="1516" w:type="dxa"/>
            <w:tcBorders>
              <w:top w:val="nil"/>
              <w:left w:val="nil"/>
              <w:bottom w:val="single" w:sz="8" w:space="0" w:color="auto"/>
              <w:right w:val="single" w:sz="8" w:space="0" w:color="auto"/>
            </w:tcBorders>
            <w:vAlign w:val="center"/>
            <w:hideMark/>
          </w:tcPr>
          <w:p w:rsidR="00BA5056" w:rsidRPr="0063628F" w:rsidP="00432DCE" w14:paraId="27E6888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438.10(c), Information Requirements</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520F731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35BFE67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983" w:type="dxa"/>
            <w:tcBorders>
              <w:top w:val="nil"/>
              <w:left w:val="nil"/>
              <w:bottom w:val="single" w:sz="8" w:space="0" w:color="auto"/>
              <w:right w:val="single" w:sz="8" w:space="0" w:color="auto"/>
            </w:tcBorders>
            <w:vAlign w:val="center"/>
            <w:hideMark/>
          </w:tcPr>
          <w:p w:rsidR="00BA5056" w:rsidRPr="0063628F" w:rsidP="00432DCE" w14:paraId="1DFA4A2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25FAFCC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147</w:t>
            </w:r>
          </w:p>
        </w:tc>
        <w:tc>
          <w:tcPr>
            <w:tcW w:w="994" w:type="dxa"/>
            <w:tcBorders>
              <w:top w:val="nil"/>
              <w:left w:val="nil"/>
              <w:bottom w:val="single" w:sz="8" w:space="0" w:color="auto"/>
              <w:right w:val="single" w:sz="8" w:space="0" w:color="auto"/>
            </w:tcBorders>
            <w:vAlign w:val="center"/>
            <w:hideMark/>
          </w:tcPr>
          <w:p w:rsidR="00BA5056" w:rsidRPr="0063628F" w:rsidP="00432DCE" w14:paraId="28C12761" w14:textId="6C40BEA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134.48</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15108517" w14:textId="39CCF0A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19,769</w:t>
            </w:r>
          </w:p>
        </w:tc>
        <w:tc>
          <w:tcPr>
            <w:tcW w:w="983" w:type="dxa"/>
            <w:tcBorders>
              <w:top w:val="nil"/>
              <w:left w:val="nil"/>
              <w:bottom w:val="single" w:sz="8" w:space="0" w:color="auto"/>
              <w:right w:val="single" w:sz="8" w:space="0" w:color="auto"/>
            </w:tcBorders>
            <w:vAlign w:val="center"/>
            <w:hideMark/>
          </w:tcPr>
          <w:p w:rsidR="00BA5056" w:rsidRPr="0063628F" w:rsidP="00432DCE" w14:paraId="35CE767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TPD</w:t>
            </w:r>
          </w:p>
        </w:tc>
        <w:tc>
          <w:tcPr>
            <w:tcW w:w="1061" w:type="dxa"/>
            <w:tcBorders>
              <w:top w:val="nil"/>
              <w:left w:val="nil"/>
              <w:bottom w:val="single" w:sz="8" w:space="0" w:color="auto"/>
              <w:right w:val="single" w:sz="8" w:space="0" w:color="auto"/>
            </w:tcBorders>
            <w:vAlign w:val="center"/>
            <w:hideMark/>
          </w:tcPr>
          <w:p w:rsidR="00BA5056" w:rsidRPr="0063628F" w:rsidP="00432DCE" w14:paraId="4CA33BB2"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58AE6436" w14:textId="77777777" w:rsidTr="00BA5056">
        <w:tblPrEx>
          <w:tblW w:w="12960" w:type="dxa"/>
          <w:tblInd w:w="-10" w:type="dxa"/>
          <w:tblLook w:val="04A0"/>
        </w:tblPrEx>
        <w:trPr>
          <w:trHeight w:val="79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0D1D64C0"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12.8b</w:t>
            </w:r>
          </w:p>
        </w:tc>
        <w:tc>
          <w:tcPr>
            <w:tcW w:w="1516" w:type="dxa"/>
            <w:tcBorders>
              <w:top w:val="nil"/>
              <w:left w:val="nil"/>
              <w:bottom w:val="single" w:sz="8" w:space="0" w:color="auto"/>
              <w:right w:val="single" w:sz="8" w:space="0" w:color="auto"/>
            </w:tcBorders>
            <w:vAlign w:val="center"/>
            <w:hideMark/>
          </w:tcPr>
          <w:p w:rsidR="00BA5056" w:rsidRPr="0063628F" w:rsidP="00432DCE" w14:paraId="3BAED0B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438.10(c)(4)(ii), Information Requirements</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3C8B15A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20</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3ECAF24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20</w:t>
            </w:r>
          </w:p>
        </w:tc>
        <w:tc>
          <w:tcPr>
            <w:tcW w:w="983" w:type="dxa"/>
            <w:tcBorders>
              <w:top w:val="nil"/>
              <w:left w:val="nil"/>
              <w:bottom w:val="single" w:sz="8" w:space="0" w:color="auto"/>
              <w:right w:val="single" w:sz="8" w:space="0" w:color="auto"/>
            </w:tcBorders>
            <w:vAlign w:val="center"/>
            <w:hideMark/>
          </w:tcPr>
          <w:p w:rsidR="00BA5056" w:rsidRPr="0063628F" w:rsidP="00432DCE" w14:paraId="0ABD474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1A63BB6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40</w:t>
            </w:r>
          </w:p>
        </w:tc>
        <w:tc>
          <w:tcPr>
            <w:tcW w:w="994" w:type="dxa"/>
            <w:tcBorders>
              <w:top w:val="nil"/>
              <w:left w:val="nil"/>
              <w:bottom w:val="single" w:sz="8" w:space="0" w:color="auto"/>
              <w:right w:val="single" w:sz="8" w:space="0" w:color="auto"/>
            </w:tcBorders>
            <w:vAlign w:val="center"/>
            <w:hideMark/>
          </w:tcPr>
          <w:p w:rsidR="00BA5056" w:rsidRPr="0063628F" w:rsidP="00432DCE" w14:paraId="7F18D44D" w14:textId="0AE000D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89.26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76957A2B" w14:textId="31A78D7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3,570</w:t>
            </w:r>
          </w:p>
        </w:tc>
        <w:tc>
          <w:tcPr>
            <w:tcW w:w="983" w:type="dxa"/>
            <w:tcBorders>
              <w:top w:val="nil"/>
              <w:left w:val="nil"/>
              <w:bottom w:val="single" w:sz="8" w:space="0" w:color="auto"/>
              <w:right w:val="single" w:sz="8" w:space="0" w:color="auto"/>
            </w:tcBorders>
            <w:vAlign w:val="center"/>
            <w:hideMark/>
          </w:tcPr>
          <w:p w:rsidR="00BA5056" w:rsidRPr="0063628F" w:rsidP="00432DCE" w14:paraId="5F7CA88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TPD</w:t>
            </w:r>
          </w:p>
        </w:tc>
        <w:tc>
          <w:tcPr>
            <w:tcW w:w="1061" w:type="dxa"/>
            <w:tcBorders>
              <w:top w:val="nil"/>
              <w:left w:val="nil"/>
              <w:bottom w:val="single" w:sz="8" w:space="0" w:color="auto"/>
              <w:right w:val="single" w:sz="8" w:space="0" w:color="auto"/>
            </w:tcBorders>
            <w:vAlign w:val="center"/>
            <w:hideMark/>
          </w:tcPr>
          <w:p w:rsidR="00BA5056" w:rsidRPr="0063628F" w:rsidP="00432DCE" w14:paraId="4C5AF67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7FE3F8CD" w14:textId="77777777" w:rsidTr="00BA5056">
        <w:tblPrEx>
          <w:tblW w:w="12960" w:type="dxa"/>
          <w:tblInd w:w="-10" w:type="dxa"/>
          <w:tblLook w:val="04A0"/>
        </w:tblPrEx>
        <w:trPr>
          <w:trHeight w:val="79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354746C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12.10b</w:t>
            </w:r>
          </w:p>
        </w:tc>
        <w:tc>
          <w:tcPr>
            <w:tcW w:w="1516" w:type="dxa"/>
            <w:tcBorders>
              <w:top w:val="nil"/>
              <w:left w:val="nil"/>
              <w:bottom w:val="single" w:sz="8" w:space="0" w:color="auto"/>
              <w:right w:val="single" w:sz="8" w:space="0" w:color="auto"/>
            </w:tcBorders>
            <w:vAlign w:val="center"/>
            <w:hideMark/>
          </w:tcPr>
          <w:p w:rsidR="00BA5056" w:rsidRPr="0063628F" w:rsidP="00432DCE" w14:paraId="0A7428D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438.10(e)(1), Information Requirements</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254FE8C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05A1A28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2,408,242</w:t>
            </w:r>
          </w:p>
        </w:tc>
        <w:tc>
          <w:tcPr>
            <w:tcW w:w="983" w:type="dxa"/>
            <w:tcBorders>
              <w:top w:val="nil"/>
              <w:left w:val="nil"/>
              <w:bottom w:val="single" w:sz="8" w:space="0" w:color="auto"/>
              <w:right w:val="single" w:sz="8" w:space="0" w:color="auto"/>
            </w:tcBorders>
            <w:vAlign w:val="center"/>
            <w:hideMark/>
          </w:tcPr>
          <w:p w:rsidR="00BA5056" w:rsidRPr="0063628F" w:rsidP="00432DCE" w14:paraId="24E53AD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0.0167</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090FE2A4"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40,218</w:t>
            </w:r>
          </w:p>
        </w:tc>
        <w:tc>
          <w:tcPr>
            <w:tcW w:w="994" w:type="dxa"/>
            <w:tcBorders>
              <w:top w:val="nil"/>
              <w:left w:val="nil"/>
              <w:bottom w:val="single" w:sz="8" w:space="0" w:color="auto"/>
              <w:right w:val="single" w:sz="8" w:space="0" w:color="auto"/>
            </w:tcBorders>
            <w:vAlign w:val="center"/>
            <w:hideMark/>
          </w:tcPr>
          <w:p w:rsidR="00BA5056" w:rsidRPr="0063628F" w:rsidP="00432DCE" w14:paraId="41766374" w14:textId="4E8CF3A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75D2239E" w14:textId="6FE8516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1,611,133</w:t>
            </w:r>
          </w:p>
        </w:tc>
        <w:tc>
          <w:tcPr>
            <w:tcW w:w="983" w:type="dxa"/>
            <w:tcBorders>
              <w:top w:val="nil"/>
              <w:left w:val="nil"/>
              <w:bottom w:val="single" w:sz="8" w:space="0" w:color="auto"/>
              <w:right w:val="single" w:sz="8" w:space="0" w:color="auto"/>
            </w:tcBorders>
            <w:vAlign w:val="center"/>
            <w:hideMark/>
          </w:tcPr>
          <w:p w:rsidR="00BA5056" w:rsidRPr="0063628F" w:rsidP="00432DCE" w14:paraId="19AD535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TPD</w:t>
            </w:r>
          </w:p>
        </w:tc>
        <w:tc>
          <w:tcPr>
            <w:tcW w:w="1061" w:type="dxa"/>
            <w:tcBorders>
              <w:top w:val="nil"/>
              <w:left w:val="nil"/>
              <w:bottom w:val="single" w:sz="8" w:space="0" w:color="auto"/>
              <w:right w:val="single" w:sz="8" w:space="0" w:color="auto"/>
            </w:tcBorders>
            <w:vAlign w:val="center"/>
            <w:hideMark/>
          </w:tcPr>
          <w:p w:rsidR="00BA5056" w:rsidRPr="0063628F" w:rsidP="00432DCE" w14:paraId="29641770"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00FB26B6" w14:textId="77777777" w:rsidTr="00BA5056">
        <w:tblPrEx>
          <w:tblW w:w="12960" w:type="dxa"/>
          <w:tblInd w:w="-10" w:type="dxa"/>
          <w:tblLook w:val="04A0"/>
        </w:tblPrEx>
        <w:trPr>
          <w:trHeight w:val="30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67CCDDD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12.16b</w:t>
            </w:r>
          </w:p>
        </w:tc>
        <w:tc>
          <w:tcPr>
            <w:tcW w:w="1516" w:type="dxa"/>
            <w:tcBorders>
              <w:top w:val="nil"/>
              <w:left w:val="nil"/>
              <w:bottom w:val="single" w:sz="8" w:space="0" w:color="auto"/>
              <w:right w:val="single" w:sz="8" w:space="0" w:color="auto"/>
            </w:tcBorders>
            <w:vAlign w:val="center"/>
            <w:hideMark/>
          </w:tcPr>
          <w:p w:rsidR="00BA5056" w:rsidRPr="0063628F" w:rsidP="00432DCE" w14:paraId="396837D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438.14(c), Contracts</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6E32CA5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25</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2D89048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25</w:t>
            </w:r>
          </w:p>
        </w:tc>
        <w:tc>
          <w:tcPr>
            <w:tcW w:w="983" w:type="dxa"/>
            <w:tcBorders>
              <w:top w:val="nil"/>
              <w:left w:val="nil"/>
              <w:bottom w:val="single" w:sz="8" w:space="0" w:color="auto"/>
              <w:right w:val="single" w:sz="8" w:space="0" w:color="auto"/>
            </w:tcBorders>
            <w:vAlign w:val="center"/>
            <w:hideMark/>
          </w:tcPr>
          <w:p w:rsidR="00BA5056" w:rsidRPr="0063628F" w:rsidP="00432DCE" w14:paraId="7C80A827"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6EBFE7E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300</w:t>
            </w:r>
          </w:p>
        </w:tc>
        <w:tc>
          <w:tcPr>
            <w:tcW w:w="994" w:type="dxa"/>
            <w:tcBorders>
              <w:top w:val="nil"/>
              <w:left w:val="nil"/>
              <w:bottom w:val="single" w:sz="8" w:space="0" w:color="auto"/>
              <w:right w:val="single" w:sz="8" w:space="0" w:color="auto"/>
            </w:tcBorders>
            <w:vAlign w:val="center"/>
            <w:hideMark/>
          </w:tcPr>
          <w:p w:rsidR="00BA5056" w:rsidRPr="0063628F" w:rsidP="00432DCE" w14:paraId="5331C11F" w14:textId="106CF6D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89.26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36CAA17F" w14:textId="48761E8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26,778</w:t>
            </w:r>
          </w:p>
        </w:tc>
        <w:tc>
          <w:tcPr>
            <w:tcW w:w="983" w:type="dxa"/>
            <w:tcBorders>
              <w:top w:val="nil"/>
              <w:left w:val="nil"/>
              <w:bottom w:val="single" w:sz="8" w:space="0" w:color="auto"/>
              <w:right w:val="single" w:sz="8" w:space="0" w:color="auto"/>
            </w:tcBorders>
            <w:vAlign w:val="center"/>
            <w:hideMark/>
          </w:tcPr>
          <w:p w:rsidR="00BA5056" w:rsidRPr="0063628F" w:rsidP="00432DCE" w14:paraId="16A259C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TPD</w:t>
            </w:r>
          </w:p>
        </w:tc>
        <w:tc>
          <w:tcPr>
            <w:tcW w:w="1061" w:type="dxa"/>
            <w:tcBorders>
              <w:top w:val="nil"/>
              <w:left w:val="nil"/>
              <w:bottom w:val="single" w:sz="8" w:space="0" w:color="auto"/>
              <w:right w:val="single" w:sz="8" w:space="0" w:color="auto"/>
            </w:tcBorders>
            <w:vAlign w:val="center"/>
            <w:hideMark/>
          </w:tcPr>
          <w:p w:rsidR="00BA5056" w:rsidRPr="0063628F" w:rsidP="00432DCE" w14:paraId="6D5C176A"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3845B70F"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3E08C87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12.18</w:t>
            </w:r>
          </w:p>
        </w:tc>
        <w:tc>
          <w:tcPr>
            <w:tcW w:w="1516" w:type="dxa"/>
            <w:tcBorders>
              <w:top w:val="nil"/>
              <w:left w:val="nil"/>
              <w:bottom w:val="single" w:sz="8" w:space="0" w:color="auto"/>
              <w:right w:val="single" w:sz="8" w:space="0" w:color="auto"/>
            </w:tcBorders>
            <w:vAlign w:val="center"/>
            <w:hideMark/>
          </w:tcPr>
          <w:p w:rsidR="00BA5056" w:rsidRPr="0063628F" w:rsidP="00432DCE" w14:paraId="7200625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438.54(c)(8), Enrollment</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13C97D5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49</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33DB705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1,425,000</w:t>
            </w:r>
          </w:p>
        </w:tc>
        <w:tc>
          <w:tcPr>
            <w:tcW w:w="983" w:type="dxa"/>
            <w:tcBorders>
              <w:top w:val="nil"/>
              <w:left w:val="nil"/>
              <w:bottom w:val="single" w:sz="8" w:space="0" w:color="auto"/>
              <w:right w:val="single" w:sz="8" w:space="0" w:color="auto"/>
            </w:tcBorders>
            <w:vAlign w:val="center"/>
            <w:hideMark/>
          </w:tcPr>
          <w:p w:rsidR="00BA5056" w:rsidRPr="0063628F" w:rsidP="00432DCE" w14:paraId="04728B3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0.0167</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3954426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23,798</w:t>
            </w:r>
          </w:p>
        </w:tc>
        <w:tc>
          <w:tcPr>
            <w:tcW w:w="994" w:type="dxa"/>
            <w:tcBorders>
              <w:top w:val="nil"/>
              <w:left w:val="nil"/>
              <w:bottom w:val="single" w:sz="8" w:space="0" w:color="auto"/>
              <w:right w:val="single" w:sz="8" w:space="0" w:color="auto"/>
            </w:tcBorders>
            <w:vAlign w:val="center"/>
            <w:hideMark/>
          </w:tcPr>
          <w:p w:rsidR="00BA5056" w:rsidRPr="0063628F" w:rsidP="00432DCE" w14:paraId="70845FCD" w14:textId="3F4632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215C3B61" w14:textId="0650B5A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953,348</w:t>
            </w:r>
          </w:p>
        </w:tc>
        <w:tc>
          <w:tcPr>
            <w:tcW w:w="983" w:type="dxa"/>
            <w:tcBorders>
              <w:top w:val="nil"/>
              <w:left w:val="nil"/>
              <w:bottom w:val="single" w:sz="8" w:space="0" w:color="auto"/>
              <w:right w:val="single" w:sz="8" w:space="0" w:color="auto"/>
            </w:tcBorders>
            <w:vAlign w:val="center"/>
            <w:hideMark/>
          </w:tcPr>
          <w:p w:rsidR="00BA5056" w:rsidRPr="0063628F" w:rsidP="00432DCE" w14:paraId="6A5EAE1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TPD</w:t>
            </w:r>
          </w:p>
        </w:tc>
        <w:tc>
          <w:tcPr>
            <w:tcW w:w="1061" w:type="dxa"/>
            <w:tcBorders>
              <w:top w:val="nil"/>
              <w:left w:val="nil"/>
              <w:bottom w:val="single" w:sz="8" w:space="0" w:color="auto"/>
              <w:right w:val="single" w:sz="8" w:space="0" w:color="auto"/>
            </w:tcBorders>
            <w:vAlign w:val="center"/>
            <w:hideMark/>
          </w:tcPr>
          <w:p w:rsidR="00BA5056" w:rsidRPr="0063628F" w:rsidP="00432DCE" w14:paraId="4D4A590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29FF1838"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658C94A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12.60</w:t>
            </w:r>
          </w:p>
        </w:tc>
        <w:tc>
          <w:tcPr>
            <w:tcW w:w="1516" w:type="dxa"/>
            <w:tcBorders>
              <w:top w:val="nil"/>
              <w:left w:val="nil"/>
              <w:bottom w:val="single" w:sz="8" w:space="0" w:color="auto"/>
              <w:right w:val="single" w:sz="8" w:space="0" w:color="auto"/>
            </w:tcBorders>
            <w:vAlign w:val="center"/>
            <w:hideMark/>
          </w:tcPr>
          <w:p w:rsidR="00BA5056" w:rsidRPr="0063628F" w:rsidP="00432DCE" w14:paraId="5D300BE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438.722, Disenrollment Notices</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1745AE6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6741820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w:t>
            </w:r>
          </w:p>
        </w:tc>
        <w:tc>
          <w:tcPr>
            <w:tcW w:w="983" w:type="dxa"/>
            <w:tcBorders>
              <w:top w:val="nil"/>
              <w:left w:val="nil"/>
              <w:bottom w:val="single" w:sz="8" w:space="0" w:color="auto"/>
              <w:right w:val="single" w:sz="8" w:space="0" w:color="auto"/>
            </w:tcBorders>
            <w:vAlign w:val="center"/>
            <w:hideMark/>
          </w:tcPr>
          <w:p w:rsidR="00BA5056" w:rsidRPr="0063628F" w:rsidP="00432DCE" w14:paraId="572759F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1BB2E40C"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w:t>
            </w:r>
          </w:p>
        </w:tc>
        <w:tc>
          <w:tcPr>
            <w:tcW w:w="994" w:type="dxa"/>
            <w:tcBorders>
              <w:top w:val="nil"/>
              <w:left w:val="nil"/>
              <w:bottom w:val="single" w:sz="8" w:space="0" w:color="auto"/>
              <w:right w:val="single" w:sz="8" w:space="0" w:color="auto"/>
            </w:tcBorders>
            <w:vAlign w:val="center"/>
            <w:hideMark/>
          </w:tcPr>
          <w:p w:rsidR="00BA5056" w:rsidRPr="0063628F" w:rsidP="00432DCE" w14:paraId="38E3643F" w14:textId="02FB136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89.26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06898E18" w14:textId="5A14418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1,071</w:t>
            </w:r>
          </w:p>
        </w:tc>
        <w:tc>
          <w:tcPr>
            <w:tcW w:w="983" w:type="dxa"/>
            <w:tcBorders>
              <w:top w:val="nil"/>
              <w:left w:val="nil"/>
              <w:bottom w:val="single" w:sz="8" w:space="0" w:color="auto"/>
              <w:right w:val="single" w:sz="8" w:space="0" w:color="auto"/>
            </w:tcBorders>
            <w:vAlign w:val="center"/>
            <w:hideMark/>
          </w:tcPr>
          <w:p w:rsidR="00BA5056" w:rsidRPr="0063628F" w:rsidP="00432DCE" w14:paraId="661CF3F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TPD</w:t>
            </w:r>
          </w:p>
        </w:tc>
        <w:tc>
          <w:tcPr>
            <w:tcW w:w="1061" w:type="dxa"/>
            <w:tcBorders>
              <w:top w:val="nil"/>
              <w:left w:val="nil"/>
              <w:bottom w:val="single" w:sz="8" w:space="0" w:color="auto"/>
              <w:right w:val="single" w:sz="8" w:space="0" w:color="auto"/>
            </w:tcBorders>
            <w:vAlign w:val="center"/>
            <w:hideMark/>
          </w:tcPr>
          <w:p w:rsidR="00BA5056" w:rsidRPr="0063628F" w:rsidP="00432DCE" w14:paraId="7FC7AB2F"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686FEC24"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8" w:space="0" w:color="auto"/>
              <w:right w:val="single" w:sz="8" w:space="0" w:color="auto"/>
            </w:tcBorders>
            <w:vAlign w:val="center"/>
            <w:hideMark/>
          </w:tcPr>
          <w:p w:rsidR="00BA5056" w:rsidRPr="0063628F" w:rsidP="00432DCE" w14:paraId="3A50F6C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12.61</w:t>
            </w:r>
          </w:p>
        </w:tc>
        <w:tc>
          <w:tcPr>
            <w:tcW w:w="1516" w:type="dxa"/>
            <w:tcBorders>
              <w:top w:val="nil"/>
              <w:left w:val="nil"/>
              <w:bottom w:val="single" w:sz="8" w:space="0" w:color="auto"/>
              <w:right w:val="single" w:sz="8" w:space="0" w:color="auto"/>
            </w:tcBorders>
            <w:vAlign w:val="center"/>
            <w:hideMark/>
          </w:tcPr>
          <w:p w:rsidR="00BA5056" w:rsidRPr="0063628F" w:rsidP="00432DCE" w14:paraId="4F1839B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438.722, Disenrollment Notices</w:t>
            </w:r>
          </w:p>
        </w:tc>
        <w:tc>
          <w:tcPr>
            <w:tcW w:w="1239" w:type="dxa"/>
            <w:tcBorders>
              <w:top w:val="nil"/>
              <w:left w:val="nil"/>
              <w:bottom w:val="single" w:sz="8" w:space="0" w:color="auto"/>
              <w:right w:val="single" w:sz="8" w:space="0" w:color="auto"/>
            </w:tcBorders>
            <w:noWrap/>
            <w:vAlign w:val="center"/>
            <w:hideMark/>
          </w:tcPr>
          <w:p w:rsidR="00BA5056" w:rsidRPr="0063628F" w:rsidP="00432DCE" w14:paraId="6F6AD9E6"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w:t>
            </w:r>
          </w:p>
        </w:tc>
        <w:tc>
          <w:tcPr>
            <w:tcW w:w="1328" w:type="dxa"/>
            <w:tcBorders>
              <w:top w:val="nil"/>
              <w:left w:val="nil"/>
              <w:bottom w:val="single" w:sz="8" w:space="0" w:color="auto"/>
              <w:right w:val="single" w:sz="8" w:space="0" w:color="auto"/>
            </w:tcBorders>
            <w:noWrap/>
            <w:vAlign w:val="center"/>
            <w:hideMark/>
          </w:tcPr>
          <w:p w:rsidR="00BA5056" w:rsidRPr="0063628F" w:rsidP="00432DCE" w14:paraId="7136442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1,200,000</w:t>
            </w:r>
          </w:p>
        </w:tc>
        <w:tc>
          <w:tcPr>
            <w:tcW w:w="983" w:type="dxa"/>
            <w:tcBorders>
              <w:top w:val="nil"/>
              <w:left w:val="nil"/>
              <w:bottom w:val="single" w:sz="8" w:space="0" w:color="auto"/>
              <w:right w:val="single" w:sz="8" w:space="0" w:color="auto"/>
            </w:tcBorders>
            <w:vAlign w:val="center"/>
            <w:hideMark/>
          </w:tcPr>
          <w:p w:rsidR="00BA5056" w:rsidRPr="0063628F" w:rsidP="00432DCE" w14:paraId="49E0EF0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0.0167</w:t>
            </w:r>
          </w:p>
        </w:tc>
        <w:tc>
          <w:tcPr>
            <w:tcW w:w="1884" w:type="dxa"/>
            <w:tcBorders>
              <w:top w:val="nil"/>
              <w:left w:val="nil"/>
              <w:bottom w:val="single" w:sz="8" w:space="0" w:color="auto"/>
              <w:right w:val="single" w:sz="8" w:space="0" w:color="auto"/>
            </w:tcBorders>
            <w:noWrap/>
            <w:vAlign w:val="center"/>
            <w:hideMark/>
          </w:tcPr>
          <w:p w:rsidR="00BA5056" w:rsidRPr="0063628F" w:rsidP="00432DCE" w14:paraId="553E79D8"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20,040</w:t>
            </w:r>
          </w:p>
        </w:tc>
        <w:tc>
          <w:tcPr>
            <w:tcW w:w="994" w:type="dxa"/>
            <w:tcBorders>
              <w:top w:val="nil"/>
              <w:left w:val="nil"/>
              <w:bottom w:val="single" w:sz="8" w:space="0" w:color="auto"/>
              <w:right w:val="single" w:sz="8" w:space="0" w:color="auto"/>
            </w:tcBorders>
            <w:vAlign w:val="center"/>
            <w:hideMark/>
          </w:tcPr>
          <w:p w:rsidR="00BA5056" w:rsidRPr="0063628F" w:rsidP="00432DCE" w14:paraId="58D523F1" w14:textId="7524723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40.06</w:t>
            </w:r>
          </w:p>
        </w:tc>
        <w:tc>
          <w:tcPr>
            <w:tcW w:w="1764" w:type="dxa"/>
            <w:tcBorders>
              <w:top w:val="nil"/>
              <w:left w:val="nil"/>
              <w:bottom w:val="single" w:sz="8" w:space="0" w:color="auto"/>
              <w:right w:val="single" w:sz="8" w:space="0" w:color="auto"/>
            </w:tcBorders>
            <w:noWrap/>
            <w:vAlign w:val="center"/>
            <w:hideMark/>
          </w:tcPr>
          <w:p w:rsidR="00BA5056" w:rsidRPr="0063628F" w:rsidP="00432DCE" w14:paraId="03D0B18A" w14:textId="23671AA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802,802</w:t>
            </w:r>
          </w:p>
        </w:tc>
        <w:tc>
          <w:tcPr>
            <w:tcW w:w="983" w:type="dxa"/>
            <w:tcBorders>
              <w:top w:val="nil"/>
              <w:left w:val="nil"/>
              <w:bottom w:val="single" w:sz="8" w:space="0" w:color="auto"/>
              <w:right w:val="single" w:sz="8" w:space="0" w:color="auto"/>
            </w:tcBorders>
            <w:vAlign w:val="center"/>
            <w:hideMark/>
          </w:tcPr>
          <w:p w:rsidR="00BA5056" w:rsidRPr="0063628F" w:rsidP="00432DCE" w14:paraId="7837BE9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TPD</w:t>
            </w:r>
          </w:p>
        </w:tc>
        <w:tc>
          <w:tcPr>
            <w:tcW w:w="1061" w:type="dxa"/>
            <w:tcBorders>
              <w:top w:val="nil"/>
              <w:left w:val="nil"/>
              <w:bottom w:val="single" w:sz="8" w:space="0" w:color="auto"/>
              <w:right w:val="single" w:sz="8" w:space="0" w:color="auto"/>
            </w:tcBorders>
            <w:vAlign w:val="center"/>
            <w:hideMark/>
          </w:tcPr>
          <w:p w:rsidR="00BA5056" w:rsidRPr="0063628F" w:rsidP="00432DCE" w14:paraId="0D96ACC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2D721D43" w14:textId="77777777" w:rsidTr="006E1EA1">
        <w:tblPrEx>
          <w:tblW w:w="12960" w:type="dxa"/>
          <w:tblInd w:w="-10" w:type="dxa"/>
          <w:tblLook w:val="04A0"/>
        </w:tblPrEx>
        <w:trPr>
          <w:trHeight w:val="440"/>
        </w:trPr>
        <w:tc>
          <w:tcPr>
            <w:tcW w:w="120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BA5056" w:rsidRPr="0063628F" w:rsidP="00432DCE" w14:paraId="7EA1140D" w14:textId="18D86E54">
            <w:pPr>
              <w:spacing w:after="0" w:line="240" w:lineRule="auto"/>
              <w:rPr>
                <w:rFonts w:ascii="Times New Roman" w:eastAsia="Times New Roman" w:hAnsi="Times New Roman" w:cs="Times New Roman"/>
                <w:i/>
                <w:iCs/>
                <w:color w:val="000000"/>
                <w:sz w:val="20"/>
                <w:szCs w:val="20"/>
              </w:rPr>
            </w:pPr>
          </w:p>
        </w:tc>
        <w:tc>
          <w:tcPr>
            <w:tcW w:w="1516"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rsidR="00BA5056" w:rsidRPr="0063628F" w:rsidP="00432DCE" w14:paraId="28C31FB5" w14:textId="38A1236A">
            <w:pPr>
              <w:spacing w:after="0" w:line="240" w:lineRule="auto"/>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Subtotal: Third-Party Disclosure</w:t>
            </w:r>
          </w:p>
        </w:tc>
        <w:tc>
          <w:tcPr>
            <w:tcW w:w="1239"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60A43B8B"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49</w:t>
            </w:r>
          </w:p>
        </w:tc>
        <w:tc>
          <w:tcPr>
            <w:tcW w:w="1328"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178D26B4"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5,033,348</w:t>
            </w:r>
          </w:p>
        </w:tc>
        <w:tc>
          <w:tcPr>
            <w:tcW w:w="983"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1D128DC0"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Varies</w:t>
            </w:r>
          </w:p>
        </w:tc>
        <w:tc>
          <w:tcPr>
            <w:tcW w:w="1884"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6BD4C7BA" w14:textId="7A21B16D">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84,555</w:t>
            </w:r>
          </w:p>
        </w:tc>
        <w:tc>
          <w:tcPr>
            <w:tcW w:w="994"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5CFF27A0"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Varies</w:t>
            </w:r>
          </w:p>
        </w:tc>
        <w:tc>
          <w:tcPr>
            <w:tcW w:w="1764" w:type="dxa"/>
            <w:tcBorders>
              <w:top w:val="nil"/>
              <w:left w:val="nil"/>
              <w:bottom w:val="single" w:sz="8" w:space="0" w:color="auto"/>
              <w:right w:val="single" w:sz="8" w:space="0" w:color="auto"/>
            </w:tcBorders>
            <w:shd w:val="clear" w:color="auto" w:fill="F2F2F2" w:themeFill="background1" w:themeFillShade="F2"/>
            <w:noWrap/>
            <w:vAlign w:val="center"/>
            <w:hideMark/>
          </w:tcPr>
          <w:p w:rsidR="00BA5056" w:rsidRPr="0063628F" w:rsidP="00432DCE" w14:paraId="43A0051C" w14:textId="2FA2B9E2">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3,418,471</w:t>
            </w:r>
          </w:p>
        </w:tc>
        <w:tc>
          <w:tcPr>
            <w:tcW w:w="983"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6CF0D0CC" w14:textId="77777777">
            <w:pPr>
              <w:spacing w:after="0" w:line="240" w:lineRule="auto"/>
              <w:jc w:val="center"/>
              <w:rPr>
                <w:rFonts w:ascii="Times New Roman" w:eastAsia="Times New Roman" w:hAnsi="Times New Roman" w:cs="Times New Roman"/>
                <w:i/>
                <w:iCs/>
                <w:color w:val="000000"/>
                <w:sz w:val="20"/>
                <w:szCs w:val="20"/>
              </w:rPr>
            </w:pPr>
            <w:r w:rsidRPr="0063628F">
              <w:rPr>
                <w:rFonts w:ascii="Times New Roman" w:eastAsia="Times New Roman" w:hAnsi="Times New Roman" w:cs="Times New Roman"/>
                <w:i/>
                <w:iCs/>
                <w:color w:val="000000"/>
                <w:sz w:val="20"/>
                <w:szCs w:val="20"/>
              </w:rPr>
              <w:t>TPD</w:t>
            </w:r>
          </w:p>
        </w:tc>
        <w:tc>
          <w:tcPr>
            <w:tcW w:w="1061" w:type="dxa"/>
            <w:tcBorders>
              <w:top w:val="nil"/>
              <w:left w:val="nil"/>
              <w:bottom w:val="single" w:sz="8" w:space="0" w:color="auto"/>
              <w:right w:val="single" w:sz="8" w:space="0" w:color="auto"/>
            </w:tcBorders>
            <w:shd w:val="clear" w:color="auto" w:fill="F2F2F2" w:themeFill="background1" w:themeFillShade="F2"/>
            <w:vAlign w:val="center"/>
            <w:hideMark/>
          </w:tcPr>
          <w:p w:rsidR="00BA5056" w:rsidRPr="0063628F" w:rsidP="00432DCE" w14:paraId="6D8702D7" w14:textId="360F76FD">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Annual</w:t>
            </w:r>
          </w:p>
        </w:tc>
      </w:tr>
      <w:tr w14:paraId="66990DD5" w14:textId="77777777" w:rsidTr="00BA5056">
        <w:tblPrEx>
          <w:tblW w:w="12960" w:type="dxa"/>
          <w:tblInd w:w="-10" w:type="dxa"/>
          <w:tblLook w:val="04A0"/>
        </w:tblPrEx>
        <w:trPr>
          <w:trHeight w:val="530"/>
        </w:trPr>
        <w:tc>
          <w:tcPr>
            <w:tcW w:w="1208" w:type="dxa"/>
            <w:gridSpan w:val="2"/>
            <w:tcBorders>
              <w:top w:val="nil"/>
              <w:left w:val="single" w:sz="8" w:space="0" w:color="auto"/>
              <w:bottom w:val="single" w:sz="4" w:space="0" w:color="auto"/>
              <w:right w:val="single" w:sz="8" w:space="0" w:color="auto"/>
            </w:tcBorders>
            <w:vAlign w:val="center"/>
            <w:hideMark/>
          </w:tcPr>
          <w:p w:rsidR="00BA5056" w:rsidRPr="0063628F" w:rsidP="00432DCE" w14:paraId="5770B38D"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12.24</w:t>
            </w:r>
          </w:p>
        </w:tc>
        <w:tc>
          <w:tcPr>
            <w:tcW w:w="1516" w:type="dxa"/>
            <w:tcBorders>
              <w:top w:val="nil"/>
              <w:left w:val="nil"/>
              <w:bottom w:val="single" w:sz="4" w:space="0" w:color="auto"/>
              <w:right w:val="single" w:sz="8" w:space="0" w:color="auto"/>
            </w:tcBorders>
            <w:vAlign w:val="center"/>
            <w:hideMark/>
          </w:tcPr>
          <w:p w:rsidR="00BA5056" w:rsidRPr="0063628F" w:rsidP="00432DCE" w14:paraId="19A51BD7" w14:textId="123DB3D9">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40.06</w:t>
            </w:r>
            <w:r w:rsidRPr="0063628F">
              <w:rPr>
                <w:rFonts w:ascii="Times New Roman" w:eastAsia="Times New Roman" w:hAnsi="Times New Roman" w:cs="Times New Roman"/>
                <w:color w:val="000000"/>
                <w:sz w:val="20"/>
                <w:szCs w:val="20"/>
              </w:rPr>
              <w:t>(d)(3), State Monitoring</w:t>
            </w:r>
          </w:p>
        </w:tc>
        <w:tc>
          <w:tcPr>
            <w:tcW w:w="1239" w:type="dxa"/>
            <w:tcBorders>
              <w:top w:val="nil"/>
              <w:left w:val="nil"/>
              <w:bottom w:val="single" w:sz="4" w:space="0" w:color="auto"/>
              <w:right w:val="single" w:sz="8" w:space="0" w:color="auto"/>
            </w:tcBorders>
            <w:vAlign w:val="center"/>
            <w:hideMark/>
          </w:tcPr>
          <w:p w:rsidR="00BA5056" w:rsidRPr="0063628F" w:rsidP="00432DCE" w14:paraId="6E29C4F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20</w:t>
            </w:r>
          </w:p>
        </w:tc>
        <w:tc>
          <w:tcPr>
            <w:tcW w:w="1328" w:type="dxa"/>
            <w:tcBorders>
              <w:top w:val="nil"/>
              <w:left w:val="nil"/>
              <w:bottom w:val="single" w:sz="4" w:space="0" w:color="auto"/>
              <w:right w:val="single" w:sz="8" w:space="0" w:color="auto"/>
            </w:tcBorders>
            <w:vAlign w:val="center"/>
            <w:hideMark/>
          </w:tcPr>
          <w:p w:rsidR="00BA5056" w:rsidRPr="0063628F" w:rsidP="00432DCE" w14:paraId="537745D3"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20</w:t>
            </w:r>
          </w:p>
        </w:tc>
        <w:tc>
          <w:tcPr>
            <w:tcW w:w="983" w:type="dxa"/>
            <w:tcBorders>
              <w:top w:val="nil"/>
              <w:left w:val="nil"/>
              <w:bottom w:val="single" w:sz="4" w:space="0" w:color="auto"/>
              <w:right w:val="single" w:sz="8" w:space="0" w:color="auto"/>
            </w:tcBorders>
            <w:vAlign w:val="center"/>
            <w:hideMark/>
          </w:tcPr>
          <w:p w:rsidR="00BA5056" w:rsidRPr="0063628F" w:rsidP="00432DCE" w14:paraId="21BE8BBE"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40</w:t>
            </w:r>
          </w:p>
        </w:tc>
        <w:tc>
          <w:tcPr>
            <w:tcW w:w="1884" w:type="dxa"/>
            <w:tcBorders>
              <w:top w:val="nil"/>
              <w:left w:val="nil"/>
              <w:bottom w:val="single" w:sz="4" w:space="0" w:color="auto"/>
              <w:right w:val="single" w:sz="8" w:space="0" w:color="auto"/>
            </w:tcBorders>
            <w:noWrap/>
            <w:vAlign w:val="center"/>
            <w:hideMark/>
          </w:tcPr>
          <w:p w:rsidR="00BA5056" w:rsidRPr="0063628F" w:rsidP="00432DCE" w14:paraId="2603B491"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800</w:t>
            </w:r>
          </w:p>
        </w:tc>
        <w:tc>
          <w:tcPr>
            <w:tcW w:w="994" w:type="dxa"/>
            <w:tcBorders>
              <w:top w:val="nil"/>
              <w:left w:val="nil"/>
              <w:bottom w:val="single" w:sz="4" w:space="0" w:color="auto"/>
              <w:right w:val="single" w:sz="8" w:space="0" w:color="auto"/>
            </w:tcBorders>
            <w:vAlign w:val="center"/>
            <w:hideMark/>
          </w:tcPr>
          <w:p w:rsidR="00BA5056" w:rsidRPr="0063628F" w:rsidP="00432DCE" w14:paraId="7732EF85"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Varies (see narrative)</w:t>
            </w:r>
          </w:p>
        </w:tc>
        <w:tc>
          <w:tcPr>
            <w:tcW w:w="1764" w:type="dxa"/>
            <w:tcBorders>
              <w:top w:val="nil"/>
              <w:left w:val="nil"/>
              <w:bottom w:val="single" w:sz="4" w:space="0" w:color="auto"/>
              <w:right w:val="single" w:sz="8" w:space="0" w:color="auto"/>
            </w:tcBorders>
            <w:noWrap/>
            <w:vAlign w:val="center"/>
            <w:hideMark/>
          </w:tcPr>
          <w:p w:rsidR="00BA5056" w:rsidRPr="0063628F" w:rsidP="00432DCE" w14:paraId="781BC124" w14:textId="7982526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79,804</w:t>
            </w:r>
          </w:p>
        </w:tc>
        <w:tc>
          <w:tcPr>
            <w:tcW w:w="983" w:type="dxa"/>
            <w:tcBorders>
              <w:top w:val="nil"/>
              <w:left w:val="nil"/>
              <w:bottom w:val="single" w:sz="4" w:space="0" w:color="auto"/>
              <w:right w:val="single" w:sz="8" w:space="0" w:color="auto"/>
            </w:tcBorders>
            <w:vAlign w:val="center"/>
            <w:hideMark/>
          </w:tcPr>
          <w:p w:rsidR="00BA5056" w:rsidRPr="0063628F" w:rsidP="00432DCE" w14:paraId="5BCD7DC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RK</w:t>
            </w:r>
          </w:p>
        </w:tc>
        <w:tc>
          <w:tcPr>
            <w:tcW w:w="1061" w:type="dxa"/>
            <w:tcBorders>
              <w:top w:val="nil"/>
              <w:left w:val="nil"/>
              <w:bottom w:val="single" w:sz="4" w:space="0" w:color="auto"/>
              <w:right w:val="single" w:sz="8" w:space="0" w:color="auto"/>
            </w:tcBorders>
            <w:vAlign w:val="center"/>
            <w:hideMark/>
          </w:tcPr>
          <w:p w:rsidR="00BA5056" w:rsidRPr="0063628F" w:rsidP="00432DCE" w14:paraId="755F5DA9" w14:textId="77777777">
            <w:pPr>
              <w:spacing w:after="0" w:line="240" w:lineRule="auto"/>
              <w:jc w:val="center"/>
              <w:rPr>
                <w:rFonts w:ascii="Times New Roman" w:eastAsia="Times New Roman" w:hAnsi="Times New Roman" w:cs="Times New Roman"/>
                <w:color w:val="000000"/>
                <w:sz w:val="20"/>
                <w:szCs w:val="20"/>
              </w:rPr>
            </w:pPr>
            <w:r w:rsidRPr="0063628F">
              <w:rPr>
                <w:rFonts w:ascii="Times New Roman" w:eastAsia="Times New Roman" w:hAnsi="Times New Roman" w:cs="Times New Roman"/>
                <w:color w:val="000000"/>
                <w:sz w:val="20"/>
                <w:szCs w:val="20"/>
              </w:rPr>
              <w:t>Annual</w:t>
            </w:r>
          </w:p>
        </w:tc>
      </w:tr>
      <w:tr w14:paraId="724067B7" w14:textId="77777777" w:rsidTr="006E1EA1">
        <w:tblPrEx>
          <w:tblW w:w="12960" w:type="dxa"/>
          <w:tblInd w:w="-10" w:type="dxa"/>
          <w:tblLook w:val="04A0"/>
        </w:tblPrEx>
        <w:trPr>
          <w:trHeight w:val="440"/>
        </w:trPr>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32147" w:rsidRPr="00232147" w:rsidP="00432DCE" w14:paraId="3FCBDFF9" w14:textId="14DEB4B4">
            <w:pPr>
              <w:spacing w:after="0" w:line="240" w:lineRule="auto"/>
              <w:rPr>
                <w:rFonts w:ascii="Times New Roman" w:eastAsia="Times New Roman" w:hAnsi="Times New Roman" w:cs="Times New Roman"/>
                <w:i/>
                <w:iCs/>
                <w:color w:val="000000"/>
                <w:sz w:val="20"/>
                <w:szCs w:val="20"/>
              </w:rPr>
            </w:pPr>
          </w:p>
        </w:tc>
        <w:tc>
          <w:tcPr>
            <w:tcW w:w="1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32147" w:rsidRPr="00232147" w:rsidP="00432DCE" w14:paraId="1460D6AD" w14:textId="44BCAA51">
            <w:pPr>
              <w:spacing w:after="0" w:line="240" w:lineRule="auto"/>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Subtotal: Recordkeeping</w:t>
            </w:r>
          </w:p>
        </w:tc>
        <w:tc>
          <w:tcPr>
            <w:tcW w:w="1239" w:type="dxa"/>
            <w:tcBorders>
              <w:top w:val="nil"/>
              <w:left w:val="nil"/>
              <w:bottom w:val="single" w:sz="4" w:space="0" w:color="auto"/>
              <w:right w:val="single" w:sz="8" w:space="0" w:color="auto"/>
            </w:tcBorders>
            <w:shd w:val="clear" w:color="auto" w:fill="F2F2F2" w:themeFill="background1" w:themeFillShade="F2"/>
            <w:noWrap/>
            <w:vAlign w:val="center"/>
            <w:hideMark/>
          </w:tcPr>
          <w:p w:rsidR="00232147" w:rsidRPr="00232147" w:rsidP="00432DCE" w14:paraId="62187972" w14:textId="1917B04E">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20</w:t>
            </w:r>
          </w:p>
        </w:tc>
        <w:tc>
          <w:tcPr>
            <w:tcW w:w="1328" w:type="dxa"/>
            <w:tcBorders>
              <w:top w:val="nil"/>
              <w:left w:val="nil"/>
              <w:bottom w:val="single" w:sz="4" w:space="0" w:color="auto"/>
              <w:right w:val="single" w:sz="8" w:space="0" w:color="auto"/>
            </w:tcBorders>
            <w:shd w:val="clear" w:color="auto" w:fill="F2F2F2" w:themeFill="background1" w:themeFillShade="F2"/>
            <w:noWrap/>
            <w:vAlign w:val="center"/>
            <w:hideMark/>
          </w:tcPr>
          <w:p w:rsidR="00232147" w:rsidRPr="00232147" w:rsidP="00432DCE" w14:paraId="5FF7F902" w14:textId="12266588">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20</w:t>
            </w:r>
          </w:p>
        </w:tc>
        <w:tc>
          <w:tcPr>
            <w:tcW w:w="983" w:type="dxa"/>
            <w:tcBorders>
              <w:top w:val="nil"/>
              <w:left w:val="nil"/>
              <w:bottom w:val="single" w:sz="4" w:space="0" w:color="auto"/>
              <w:right w:val="single" w:sz="8" w:space="0" w:color="auto"/>
            </w:tcBorders>
            <w:shd w:val="clear" w:color="auto" w:fill="F2F2F2" w:themeFill="background1" w:themeFillShade="F2"/>
            <w:vAlign w:val="center"/>
            <w:hideMark/>
          </w:tcPr>
          <w:p w:rsidR="00232147" w:rsidRPr="00232147" w:rsidP="00432DCE" w14:paraId="47189F76" w14:textId="533D3CA2">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40</w:t>
            </w:r>
          </w:p>
        </w:tc>
        <w:tc>
          <w:tcPr>
            <w:tcW w:w="1884" w:type="dxa"/>
            <w:tcBorders>
              <w:top w:val="nil"/>
              <w:left w:val="nil"/>
              <w:bottom w:val="single" w:sz="4" w:space="0" w:color="auto"/>
              <w:right w:val="single" w:sz="8" w:space="0" w:color="auto"/>
            </w:tcBorders>
            <w:shd w:val="clear" w:color="auto" w:fill="F2F2F2" w:themeFill="background1" w:themeFillShade="F2"/>
            <w:noWrap/>
            <w:vAlign w:val="center"/>
            <w:hideMark/>
          </w:tcPr>
          <w:p w:rsidR="00232147" w:rsidRPr="00232147" w:rsidP="00432DCE" w14:paraId="16AA54A0" w14:textId="51EEAF81">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800</w:t>
            </w:r>
          </w:p>
        </w:tc>
        <w:tc>
          <w:tcPr>
            <w:tcW w:w="994" w:type="dxa"/>
            <w:tcBorders>
              <w:top w:val="nil"/>
              <w:left w:val="nil"/>
              <w:bottom w:val="single" w:sz="4" w:space="0" w:color="auto"/>
              <w:right w:val="single" w:sz="8" w:space="0" w:color="auto"/>
            </w:tcBorders>
            <w:shd w:val="clear" w:color="auto" w:fill="F2F2F2" w:themeFill="background1" w:themeFillShade="F2"/>
            <w:vAlign w:val="center"/>
            <w:hideMark/>
          </w:tcPr>
          <w:p w:rsidR="00232147" w:rsidRPr="00232147" w:rsidP="00432DCE" w14:paraId="1F7D410A" w14:textId="57867C3C">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Varies (see narrative)</w:t>
            </w:r>
          </w:p>
        </w:tc>
        <w:tc>
          <w:tcPr>
            <w:tcW w:w="1764" w:type="dxa"/>
            <w:tcBorders>
              <w:top w:val="nil"/>
              <w:left w:val="nil"/>
              <w:bottom w:val="single" w:sz="4" w:space="0" w:color="auto"/>
              <w:right w:val="single" w:sz="8" w:space="0" w:color="auto"/>
            </w:tcBorders>
            <w:shd w:val="clear" w:color="auto" w:fill="F2F2F2" w:themeFill="background1" w:themeFillShade="F2"/>
            <w:noWrap/>
            <w:vAlign w:val="center"/>
            <w:hideMark/>
          </w:tcPr>
          <w:p w:rsidR="00232147" w:rsidRPr="00232147" w:rsidP="00432DCE" w14:paraId="2334D7FA" w14:textId="3A6BC47C">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79,804</w:t>
            </w:r>
          </w:p>
        </w:tc>
        <w:tc>
          <w:tcPr>
            <w:tcW w:w="983" w:type="dxa"/>
            <w:tcBorders>
              <w:top w:val="nil"/>
              <w:left w:val="nil"/>
              <w:bottom w:val="single" w:sz="4" w:space="0" w:color="auto"/>
              <w:right w:val="single" w:sz="8" w:space="0" w:color="auto"/>
            </w:tcBorders>
            <w:shd w:val="clear" w:color="auto" w:fill="F2F2F2" w:themeFill="background1" w:themeFillShade="F2"/>
            <w:vAlign w:val="center"/>
            <w:hideMark/>
          </w:tcPr>
          <w:p w:rsidR="00232147" w:rsidRPr="00232147" w:rsidP="00432DCE" w14:paraId="3D4E6644" w14:textId="49F9B33D">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RK</w:t>
            </w:r>
          </w:p>
        </w:tc>
        <w:tc>
          <w:tcPr>
            <w:tcW w:w="1061" w:type="dxa"/>
            <w:tcBorders>
              <w:top w:val="nil"/>
              <w:left w:val="nil"/>
              <w:bottom w:val="single" w:sz="4" w:space="0" w:color="auto"/>
              <w:right w:val="single" w:sz="8" w:space="0" w:color="auto"/>
            </w:tcBorders>
            <w:shd w:val="clear" w:color="auto" w:fill="F2F2F2" w:themeFill="background1" w:themeFillShade="F2"/>
            <w:vAlign w:val="center"/>
            <w:hideMark/>
          </w:tcPr>
          <w:p w:rsidR="00232147" w:rsidRPr="00232147" w:rsidP="00432DCE" w14:paraId="03B60D62" w14:textId="34343D2B">
            <w:pPr>
              <w:spacing w:after="0" w:line="240" w:lineRule="auto"/>
              <w:jc w:val="center"/>
              <w:rPr>
                <w:rFonts w:ascii="Times New Roman" w:eastAsia="Times New Roman" w:hAnsi="Times New Roman" w:cs="Times New Roman"/>
                <w:i/>
                <w:iCs/>
                <w:color w:val="000000"/>
                <w:sz w:val="20"/>
                <w:szCs w:val="20"/>
              </w:rPr>
            </w:pPr>
            <w:r w:rsidRPr="00232147">
              <w:rPr>
                <w:rFonts w:ascii="Times New Roman" w:eastAsia="Times New Roman" w:hAnsi="Times New Roman" w:cs="Times New Roman"/>
                <w:i/>
                <w:iCs/>
                <w:color w:val="000000"/>
                <w:sz w:val="20"/>
                <w:szCs w:val="20"/>
              </w:rPr>
              <w:t>Annual</w:t>
            </w:r>
          </w:p>
        </w:tc>
      </w:tr>
      <w:tr w14:paraId="00AE0710" w14:textId="77777777" w:rsidTr="00BA5056">
        <w:tblPrEx>
          <w:tblW w:w="12960" w:type="dxa"/>
          <w:tblInd w:w="-10" w:type="dxa"/>
          <w:tblLook w:val="04A0"/>
        </w:tblPrEx>
        <w:trPr>
          <w:trHeight w:val="440"/>
        </w:trPr>
        <w:tc>
          <w:tcPr>
            <w:tcW w:w="2724"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rsidR="00232147" w:rsidRPr="00232147" w:rsidP="00432DCE" w14:paraId="0158947D" w14:textId="67C1EA60">
            <w:pPr>
              <w:spacing w:after="0" w:line="240" w:lineRule="auto"/>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TOTAL</w:t>
            </w:r>
          </w:p>
        </w:tc>
        <w:tc>
          <w:tcPr>
            <w:tcW w:w="123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232147" w:rsidRPr="00232147" w:rsidP="00432DCE" w14:paraId="3E453A01" w14:textId="37CD44E9">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49</w:t>
            </w:r>
          </w:p>
        </w:tc>
        <w:tc>
          <w:tcPr>
            <w:tcW w:w="1328"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232147" w:rsidRPr="00232147" w:rsidP="00432DCE" w14:paraId="00CF13DB" w14:textId="2DCCEAF1">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5,034,367</w:t>
            </w:r>
          </w:p>
        </w:tc>
        <w:tc>
          <w:tcPr>
            <w:tcW w:w="983" w:type="dxa"/>
            <w:tcBorders>
              <w:top w:val="single" w:sz="4" w:space="0" w:color="auto"/>
              <w:left w:val="single" w:sz="4" w:space="0" w:color="auto"/>
              <w:bottom w:val="single" w:sz="4" w:space="0" w:color="auto"/>
              <w:right w:val="single" w:sz="4" w:space="0" w:color="auto"/>
            </w:tcBorders>
            <w:shd w:val="clear" w:color="000000" w:fill="D9D9D9"/>
            <w:vAlign w:val="center"/>
          </w:tcPr>
          <w:p w:rsidR="00232147" w:rsidRPr="00232147" w:rsidP="00432DCE" w14:paraId="23396F2F" w14:textId="7984A821">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varies</w:t>
            </w:r>
          </w:p>
        </w:tc>
        <w:tc>
          <w:tcPr>
            <w:tcW w:w="188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232147" w:rsidRPr="00232147" w:rsidP="00432DCE" w14:paraId="6D6B2182" w14:textId="3DF45DFB">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124,409</w:t>
            </w:r>
          </w:p>
        </w:tc>
        <w:tc>
          <w:tcPr>
            <w:tcW w:w="994" w:type="dxa"/>
            <w:tcBorders>
              <w:top w:val="single" w:sz="4" w:space="0" w:color="auto"/>
              <w:left w:val="single" w:sz="4" w:space="0" w:color="auto"/>
              <w:bottom w:val="single" w:sz="4" w:space="0" w:color="auto"/>
              <w:right w:val="single" w:sz="4" w:space="0" w:color="auto"/>
            </w:tcBorders>
            <w:shd w:val="clear" w:color="000000" w:fill="D9D9D9"/>
            <w:vAlign w:val="center"/>
          </w:tcPr>
          <w:p w:rsidR="00232147" w:rsidRPr="00232147" w:rsidP="00432DCE" w14:paraId="41F16FDA" w14:textId="716A9849">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varies</w:t>
            </w:r>
          </w:p>
        </w:tc>
        <w:tc>
          <w:tcPr>
            <w:tcW w:w="1764"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232147" w:rsidRPr="00232147" w:rsidP="00432DCE" w14:paraId="665CC48D" w14:textId="53DA544B">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7,951,605</w:t>
            </w:r>
          </w:p>
        </w:tc>
        <w:tc>
          <w:tcPr>
            <w:tcW w:w="983" w:type="dxa"/>
            <w:tcBorders>
              <w:top w:val="single" w:sz="4" w:space="0" w:color="auto"/>
              <w:left w:val="single" w:sz="4" w:space="0" w:color="auto"/>
              <w:bottom w:val="single" w:sz="4" w:space="0" w:color="auto"/>
              <w:right w:val="single" w:sz="4" w:space="0" w:color="auto"/>
            </w:tcBorders>
            <w:shd w:val="clear" w:color="000000" w:fill="D9D9D9"/>
            <w:vAlign w:val="center"/>
          </w:tcPr>
          <w:p w:rsidR="00232147" w:rsidRPr="00232147" w:rsidP="00432DCE" w14:paraId="0FED4492" w14:textId="1ECA80B5">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varies</w:t>
            </w:r>
          </w:p>
        </w:tc>
        <w:tc>
          <w:tcPr>
            <w:tcW w:w="1061" w:type="dxa"/>
            <w:tcBorders>
              <w:top w:val="single" w:sz="4" w:space="0" w:color="auto"/>
              <w:left w:val="single" w:sz="4" w:space="0" w:color="auto"/>
              <w:bottom w:val="single" w:sz="4" w:space="0" w:color="auto"/>
              <w:right w:val="single" w:sz="4" w:space="0" w:color="auto"/>
            </w:tcBorders>
            <w:shd w:val="clear" w:color="000000" w:fill="D9D9D9"/>
            <w:vAlign w:val="center"/>
          </w:tcPr>
          <w:p w:rsidR="00232147" w:rsidRPr="00232147" w:rsidP="00432DCE" w14:paraId="1C6C455F" w14:textId="63563651">
            <w:pPr>
              <w:spacing w:after="0" w:line="240" w:lineRule="auto"/>
              <w:jc w:val="center"/>
              <w:rPr>
                <w:rFonts w:ascii="Times New Roman" w:eastAsia="Times New Roman" w:hAnsi="Times New Roman" w:cs="Times New Roman"/>
                <w:b/>
                <w:bCs/>
                <w:color w:val="000000"/>
                <w:sz w:val="20"/>
                <w:szCs w:val="20"/>
              </w:rPr>
            </w:pPr>
            <w:r w:rsidRPr="00232147">
              <w:rPr>
                <w:rFonts w:ascii="Times New Roman" w:eastAsia="Times New Roman" w:hAnsi="Times New Roman" w:cs="Times New Roman"/>
                <w:b/>
                <w:bCs/>
                <w:color w:val="000000"/>
                <w:sz w:val="20"/>
                <w:szCs w:val="20"/>
              </w:rPr>
              <w:t>varies</w:t>
            </w:r>
          </w:p>
        </w:tc>
      </w:tr>
    </w:tbl>
    <w:p w:rsidR="00046945" w:rsidRPr="006872E2" w:rsidP="00432DCE" w14:paraId="365FE018" w14:textId="1A2DF5BC">
      <w:pPr>
        <w:pStyle w:val="TableCaption"/>
        <w:spacing w:after="0"/>
        <w:jc w:val="left"/>
        <w:rPr>
          <w:b w:val="0"/>
        </w:rPr>
      </w:pPr>
    </w:p>
    <w:p w:rsidR="00B13026" w:rsidRPr="00B84A04" w:rsidP="00432DCE" w14:paraId="22374C31" w14:textId="24BB3003">
      <w:pPr>
        <w:pStyle w:val="TableCaption"/>
        <w:spacing w:after="0"/>
        <w:rPr>
          <w:b w:val="0"/>
          <w:sz w:val="22"/>
          <w:szCs w:val="22"/>
        </w:rPr>
      </w:pPr>
      <w:bookmarkStart w:id="58" w:name="_Hlk1639306"/>
      <w:r w:rsidRPr="00F46A7C">
        <w:rPr>
          <w:b w:val="0"/>
          <w:sz w:val="22"/>
          <w:szCs w:val="22"/>
        </w:rPr>
        <w:t>Summary of Annual Burden Estimates: Private Sector</w:t>
      </w:r>
    </w:p>
    <w:p w:rsidR="00F14558" w:rsidRPr="00B84A04" w:rsidP="00432DCE" w14:paraId="3C2DB9DB" w14:textId="67D6197C">
      <w:pPr>
        <w:pStyle w:val="TableCaption"/>
        <w:spacing w:after="0"/>
        <w:rPr>
          <w:b w:val="0"/>
          <w:i/>
          <w:sz w:val="22"/>
          <w:szCs w:val="22"/>
        </w:rPr>
      </w:pPr>
      <w:r w:rsidRPr="00B84A04">
        <w:rPr>
          <w:b w:val="0"/>
          <w:i/>
          <w:sz w:val="22"/>
          <w:szCs w:val="22"/>
        </w:rPr>
        <w:t>(Response Type: R=reporting; RK=recordkeeping; TPD=third-party disclosure)</w:t>
      </w:r>
    </w:p>
    <w:tbl>
      <w:tblPr>
        <w:tblStyle w:val="TableGrid"/>
        <w:tblW w:w="13225" w:type="dxa"/>
        <w:tblLayout w:type="fixed"/>
        <w:tblLook w:val="04A0"/>
      </w:tblPr>
      <w:tblGrid>
        <w:gridCol w:w="1075"/>
        <w:gridCol w:w="1659"/>
        <w:gridCol w:w="1491"/>
        <w:gridCol w:w="1159"/>
        <w:gridCol w:w="1181"/>
        <w:gridCol w:w="1514"/>
        <w:gridCol w:w="1062"/>
        <w:gridCol w:w="1625"/>
        <w:gridCol w:w="1199"/>
        <w:gridCol w:w="1260"/>
      </w:tblGrid>
      <w:tr w14:paraId="5538F83C" w14:textId="77777777" w:rsidTr="00DE3A26">
        <w:tblPrEx>
          <w:tblW w:w="13225" w:type="dxa"/>
          <w:tblLayout w:type="fixed"/>
          <w:tblLook w:val="04A0"/>
        </w:tblPrEx>
        <w:trPr>
          <w:trHeight w:val="1068"/>
          <w:tblHeader/>
        </w:trPr>
        <w:tc>
          <w:tcPr>
            <w:tcW w:w="1075" w:type="dxa"/>
            <w:hideMark/>
          </w:tcPr>
          <w:p w:rsidR="00E75905" w:rsidRPr="0063628F" w:rsidP="00432DCE" w14:paraId="3DC68380" w14:textId="77777777">
            <w:pPr>
              <w:pStyle w:val="TableCaption"/>
              <w:spacing w:after="0"/>
              <w:jc w:val="left"/>
              <w:rPr>
                <w:b w:val="0"/>
                <w:sz w:val="20"/>
                <w:szCs w:val="20"/>
              </w:rPr>
            </w:pPr>
            <w:r w:rsidRPr="0063628F">
              <w:rPr>
                <w:b w:val="0"/>
                <w:sz w:val="20"/>
                <w:szCs w:val="20"/>
              </w:rPr>
              <w:t>Estimate #</w:t>
            </w:r>
          </w:p>
        </w:tc>
        <w:tc>
          <w:tcPr>
            <w:tcW w:w="1659" w:type="dxa"/>
            <w:hideMark/>
          </w:tcPr>
          <w:p w:rsidR="00E75905" w:rsidRPr="0063628F" w:rsidP="00432DCE" w14:paraId="03AF96CD" w14:textId="77777777">
            <w:pPr>
              <w:pStyle w:val="TableCaption"/>
              <w:spacing w:after="0"/>
              <w:jc w:val="left"/>
              <w:rPr>
                <w:b w:val="0"/>
                <w:sz w:val="20"/>
                <w:szCs w:val="20"/>
              </w:rPr>
            </w:pPr>
            <w:r w:rsidRPr="0063628F">
              <w:rPr>
                <w:b w:val="0"/>
                <w:sz w:val="20"/>
                <w:szCs w:val="20"/>
              </w:rPr>
              <w:t>CFR Section</w:t>
            </w:r>
          </w:p>
        </w:tc>
        <w:tc>
          <w:tcPr>
            <w:tcW w:w="1491" w:type="dxa"/>
            <w:hideMark/>
          </w:tcPr>
          <w:p w:rsidR="00E75905" w:rsidRPr="0063628F" w:rsidP="00432DCE" w14:paraId="0238ED06" w14:textId="77777777">
            <w:pPr>
              <w:pStyle w:val="TableCaption"/>
              <w:spacing w:after="0"/>
              <w:jc w:val="left"/>
              <w:rPr>
                <w:b w:val="0"/>
                <w:sz w:val="20"/>
                <w:szCs w:val="20"/>
              </w:rPr>
            </w:pPr>
            <w:r w:rsidRPr="0063628F">
              <w:rPr>
                <w:b w:val="0"/>
                <w:sz w:val="20"/>
                <w:szCs w:val="20"/>
              </w:rPr>
              <w:t>Respondents</w:t>
            </w:r>
          </w:p>
        </w:tc>
        <w:tc>
          <w:tcPr>
            <w:tcW w:w="1159" w:type="dxa"/>
            <w:hideMark/>
          </w:tcPr>
          <w:p w:rsidR="00E75905" w:rsidRPr="0063628F" w:rsidP="00432DCE" w14:paraId="5CE9BBA5" w14:textId="77777777">
            <w:pPr>
              <w:pStyle w:val="TableCaption"/>
              <w:spacing w:after="0"/>
              <w:jc w:val="left"/>
              <w:rPr>
                <w:b w:val="0"/>
                <w:sz w:val="20"/>
                <w:szCs w:val="20"/>
              </w:rPr>
            </w:pPr>
            <w:r w:rsidRPr="0063628F">
              <w:rPr>
                <w:b w:val="0"/>
                <w:sz w:val="20"/>
                <w:szCs w:val="20"/>
              </w:rPr>
              <w:t>Total Responses</w:t>
            </w:r>
          </w:p>
        </w:tc>
        <w:tc>
          <w:tcPr>
            <w:tcW w:w="1181" w:type="dxa"/>
            <w:hideMark/>
          </w:tcPr>
          <w:p w:rsidR="00E75905" w:rsidRPr="0063628F" w:rsidP="00432DCE" w14:paraId="0DD09931" w14:textId="77777777">
            <w:pPr>
              <w:pStyle w:val="TableCaption"/>
              <w:spacing w:after="0"/>
              <w:jc w:val="left"/>
              <w:rPr>
                <w:b w:val="0"/>
                <w:sz w:val="20"/>
                <w:szCs w:val="20"/>
              </w:rPr>
            </w:pPr>
            <w:r w:rsidRPr="0063628F">
              <w:rPr>
                <w:b w:val="0"/>
                <w:sz w:val="20"/>
                <w:szCs w:val="20"/>
              </w:rPr>
              <w:t>Burden per Response (hr)</w:t>
            </w:r>
          </w:p>
        </w:tc>
        <w:tc>
          <w:tcPr>
            <w:tcW w:w="1514" w:type="dxa"/>
            <w:hideMark/>
          </w:tcPr>
          <w:p w:rsidR="00E75905" w:rsidRPr="0063628F" w:rsidP="00432DCE" w14:paraId="169194AA" w14:textId="77777777">
            <w:pPr>
              <w:pStyle w:val="TableCaption"/>
              <w:spacing w:after="0"/>
              <w:jc w:val="left"/>
              <w:rPr>
                <w:b w:val="0"/>
                <w:sz w:val="20"/>
                <w:szCs w:val="20"/>
              </w:rPr>
            </w:pPr>
            <w:r w:rsidRPr="0063628F">
              <w:rPr>
                <w:b w:val="0"/>
                <w:sz w:val="20"/>
                <w:szCs w:val="20"/>
              </w:rPr>
              <w:t>Total Annual Time (hr)</w:t>
            </w:r>
          </w:p>
        </w:tc>
        <w:tc>
          <w:tcPr>
            <w:tcW w:w="1062" w:type="dxa"/>
            <w:hideMark/>
          </w:tcPr>
          <w:p w:rsidR="00E75905" w:rsidRPr="0063628F" w:rsidP="00432DCE" w14:paraId="6A010982" w14:textId="77777777">
            <w:pPr>
              <w:pStyle w:val="TableCaption"/>
              <w:spacing w:after="0"/>
              <w:jc w:val="left"/>
              <w:rPr>
                <w:b w:val="0"/>
                <w:sz w:val="20"/>
                <w:szCs w:val="20"/>
              </w:rPr>
            </w:pPr>
            <w:r w:rsidRPr="0063628F">
              <w:rPr>
                <w:b w:val="0"/>
                <w:sz w:val="20"/>
                <w:szCs w:val="20"/>
              </w:rPr>
              <w:t>Labor Rate ($/hr)</w:t>
            </w:r>
          </w:p>
        </w:tc>
        <w:tc>
          <w:tcPr>
            <w:tcW w:w="1625" w:type="dxa"/>
            <w:hideMark/>
          </w:tcPr>
          <w:p w:rsidR="00E75905" w:rsidRPr="0063628F" w:rsidP="00432DCE" w14:paraId="44D6B291" w14:textId="77777777">
            <w:pPr>
              <w:pStyle w:val="TableCaption"/>
              <w:spacing w:after="0"/>
              <w:jc w:val="left"/>
              <w:rPr>
                <w:b w:val="0"/>
                <w:sz w:val="20"/>
                <w:szCs w:val="20"/>
              </w:rPr>
            </w:pPr>
            <w:r w:rsidRPr="0063628F">
              <w:rPr>
                <w:b w:val="0"/>
                <w:sz w:val="20"/>
                <w:szCs w:val="20"/>
              </w:rPr>
              <w:t>Total Annual Cost ($)</w:t>
            </w:r>
          </w:p>
        </w:tc>
        <w:tc>
          <w:tcPr>
            <w:tcW w:w="1199" w:type="dxa"/>
            <w:hideMark/>
          </w:tcPr>
          <w:p w:rsidR="00E75905" w:rsidRPr="0063628F" w:rsidP="00432DCE" w14:paraId="7B8D458E" w14:textId="77777777">
            <w:pPr>
              <w:pStyle w:val="TableCaption"/>
              <w:spacing w:after="0"/>
              <w:jc w:val="left"/>
              <w:rPr>
                <w:b w:val="0"/>
                <w:sz w:val="20"/>
                <w:szCs w:val="20"/>
              </w:rPr>
            </w:pPr>
            <w:r w:rsidRPr="0063628F">
              <w:rPr>
                <w:b w:val="0"/>
                <w:sz w:val="20"/>
                <w:szCs w:val="20"/>
              </w:rPr>
              <w:t>Response Type</w:t>
            </w:r>
          </w:p>
        </w:tc>
        <w:tc>
          <w:tcPr>
            <w:tcW w:w="1260" w:type="dxa"/>
            <w:hideMark/>
          </w:tcPr>
          <w:p w:rsidR="00E75905" w:rsidRPr="0063628F" w:rsidP="00432DCE" w14:paraId="75B25377" w14:textId="77777777">
            <w:pPr>
              <w:pStyle w:val="TableCaption"/>
              <w:spacing w:after="0"/>
              <w:jc w:val="left"/>
              <w:rPr>
                <w:b w:val="0"/>
                <w:sz w:val="20"/>
                <w:szCs w:val="20"/>
              </w:rPr>
            </w:pPr>
            <w:r w:rsidRPr="0063628F">
              <w:rPr>
                <w:b w:val="0"/>
                <w:sz w:val="20"/>
                <w:szCs w:val="20"/>
              </w:rPr>
              <w:t>Frequency</w:t>
            </w:r>
          </w:p>
        </w:tc>
      </w:tr>
      <w:tr w14:paraId="07513AFC" w14:textId="77777777" w:rsidTr="00B84A04">
        <w:tblPrEx>
          <w:tblW w:w="13225" w:type="dxa"/>
          <w:tblLayout w:type="fixed"/>
          <w:tblLook w:val="04A0"/>
        </w:tblPrEx>
        <w:trPr>
          <w:trHeight w:val="269"/>
        </w:trPr>
        <w:tc>
          <w:tcPr>
            <w:tcW w:w="1075" w:type="dxa"/>
            <w:hideMark/>
          </w:tcPr>
          <w:p w:rsidR="00AB5786" w:rsidRPr="0063628F" w:rsidP="00432DCE" w14:paraId="4914BF2A" w14:textId="77777777">
            <w:pPr>
              <w:pStyle w:val="TableCaption"/>
              <w:spacing w:after="0"/>
              <w:rPr>
                <w:b w:val="0"/>
                <w:sz w:val="20"/>
                <w:szCs w:val="20"/>
              </w:rPr>
            </w:pPr>
            <w:r w:rsidRPr="0063628F">
              <w:rPr>
                <w:b w:val="0"/>
                <w:sz w:val="20"/>
                <w:szCs w:val="20"/>
              </w:rPr>
              <w:t>12.5</w:t>
            </w:r>
          </w:p>
        </w:tc>
        <w:tc>
          <w:tcPr>
            <w:tcW w:w="1659" w:type="dxa"/>
            <w:hideMark/>
          </w:tcPr>
          <w:p w:rsidR="00AB5786" w:rsidRPr="0063628F" w:rsidP="00432DCE" w14:paraId="3BF69BE1" w14:textId="77777777">
            <w:pPr>
              <w:pStyle w:val="TableCaption"/>
              <w:spacing w:after="0"/>
              <w:rPr>
                <w:b w:val="0"/>
                <w:sz w:val="20"/>
                <w:szCs w:val="20"/>
              </w:rPr>
            </w:pPr>
            <w:r w:rsidRPr="0063628F">
              <w:rPr>
                <w:b w:val="0"/>
                <w:sz w:val="20"/>
                <w:szCs w:val="20"/>
              </w:rPr>
              <w:t>438.8(c), MLR</w:t>
            </w:r>
          </w:p>
        </w:tc>
        <w:tc>
          <w:tcPr>
            <w:tcW w:w="1491" w:type="dxa"/>
            <w:tcBorders>
              <w:top w:val="nil"/>
              <w:left w:val="nil"/>
              <w:bottom w:val="single" w:sz="8" w:space="0" w:color="auto"/>
              <w:right w:val="single" w:sz="8" w:space="0" w:color="auto"/>
            </w:tcBorders>
            <w:noWrap/>
            <w:vAlign w:val="center"/>
            <w:hideMark/>
          </w:tcPr>
          <w:p w:rsidR="00AB5786" w:rsidRPr="0063628F" w:rsidP="00432DCE" w14:paraId="7EC6D69C" w14:textId="5E242F56">
            <w:pPr>
              <w:pStyle w:val="TableCaption"/>
              <w:spacing w:after="0"/>
              <w:jc w:val="left"/>
              <w:rPr>
                <w:b w:val="0"/>
                <w:bCs/>
                <w:sz w:val="20"/>
                <w:szCs w:val="20"/>
              </w:rPr>
            </w:pPr>
            <w:r w:rsidRPr="00B84A04">
              <w:rPr>
                <w:b w:val="0"/>
                <w:bCs/>
                <w:color w:val="000000"/>
                <w:sz w:val="20"/>
                <w:szCs w:val="20"/>
              </w:rPr>
              <w:t>488</w:t>
            </w:r>
          </w:p>
        </w:tc>
        <w:tc>
          <w:tcPr>
            <w:tcW w:w="1159" w:type="dxa"/>
            <w:tcBorders>
              <w:top w:val="nil"/>
              <w:left w:val="nil"/>
              <w:bottom w:val="single" w:sz="8" w:space="0" w:color="auto"/>
              <w:right w:val="single" w:sz="8" w:space="0" w:color="auto"/>
            </w:tcBorders>
            <w:noWrap/>
            <w:vAlign w:val="center"/>
            <w:hideMark/>
          </w:tcPr>
          <w:p w:rsidR="00AB5786" w:rsidRPr="0063628F" w:rsidP="00432DCE" w14:paraId="2D2410A4" w14:textId="2D38E716">
            <w:pPr>
              <w:pStyle w:val="TableCaption"/>
              <w:spacing w:after="0"/>
              <w:jc w:val="left"/>
              <w:rPr>
                <w:b w:val="0"/>
                <w:bCs/>
                <w:sz w:val="20"/>
                <w:szCs w:val="20"/>
              </w:rPr>
            </w:pPr>
            <w:r w:rsidRPr="00B84A04">
              <w:rPr>
                <w:b w:val="0"/>
                <w:bCs/>
                <w:color w:val="000000"/>
                <w:sz w:val="20"/>
                <w:szCs w:val="20"/>
              </w:rPr>
              <w:t>488</w:t>
            </w:r>
          </w:p>
        </w:tc>
        <w:tc>
          <w:tcPr>
            <w:tcW w:w="1181" w:type="dxa"/>
            <w:tcBorders>
              <w:top w:val="nil"/>
              <w:left w:val="nil"/>
              <w:bottom w:val="single" w:sz="8" w:space="0" w:color="auto"/>
              <w:right w:val="single" w:sz="8" w:space="0" w:color="auto"/>
            </w:tcBorders>
            <w:vAlign w:val="center"/>
            <w:hideMark/>
          </w:tcPr>
          <w:p w:rsidR="00AB5786" w:rsidRPr="0063628F" w:rsidP="00432DCE" w14:paraId="5B9F21B1" w14:textId="7B05FF98">
            <w:pPr>
              <w:pStyle w:val="TableCaption"/>
              <w:spacing w:after="0"/>
              <w:jc w:val="left"/>
              <w:rPr>
                <w:b w:val="0"/>
                <w:bCs/>
                <w:sz w:val="20"/>
                <w:szCs w:val="20"/>
              </w:rPr>
            </w:pPr>
            <w:r w:rsidRPr="00B84A04">
              <w:rPr>
                <w:b w:val="0"/>
                <w:bCs/>
                <w:color w:val="000000"/>
                <w:sz w:val="20"/>
                <w:szCs w:val="20"/>
              </w:rPr>
              <w:t>53</w:t>
            </w:r>
          </w:p>
        </w:tc>
        <w:tc>
          <w:tcPr>
            <w:tcW w:w="1514" w:type="dxa"/>
            <w:tcBorders>
              <w:top w:val="nil"/>
              <w:left w:val="nil"/>
              <w:bottom w:val="single" w:sz="8" w:space="0" w:color="auto"/>
              <w:right w:val="single" w:sz="8" w:space="0" w:color="auto"/>
            </w:tcBorders>
            <w:vAlign w:val="center"/>
            <w:hideMark/>
          </w:tcPr>
          <w:p w:rsidR="00AB5786" w:rsidRPr="0063628F" w:rsidP="00432DCE" w14:paraId="02DC7366" w14:textId="302B6ACC">
            <w:pPr>
              <w:pStyle w:val="TableCaption"/>
              <w:spacing w:after="0"/>
              <w:jc w:val="left"/>
              <w:rPr>
                <w:b w:val="0"/>
                <w:bCs/>
                <w:sz w:val="20"/>
                <w:szCs w:val="20"/>
              </w:rPr>
            </w:pPr>
            <w:r w:rsidRPr="00B84A04">
              <w:rPr>
                <w:b w:val="0"/>
                <w:bCs/>
                <w:color w:val="000000"/>
                <w:sz w:val="20"/>
                <w:szCs w:val="20"/>
              </w:rPr>
              <w:t>25,864</w:t>
            </w:r>
          </w:p>
        </w:tc>
        <w:tc>
          <w:tcPr>
            <w:tcW w:w="1062" w:type="dxa"/>
            <w:tcBorders>
              <w:top w:val="nil"/>
              <w:left w:val="nil"/>
              <w:bottom w:val="single" w:sz="8" w:space="0" w:color="auto"/>
              <w:right w:val="single" w:sz="8" w:space="0" w:color="auto"/>
            </w:tcBorders>
            <w:vAlign w:val="center"/>
            <w:hideMark/>
          </w:tcPr>
          <w:p w:rsidR="00AB5786" w:rsidRPr="0063628F" w:rsidP="00432DCE" w14:paraId="5E43B957" w14:textId="0CACE243">
            <w:pPr>
              <w:pStyle w:val="TableCaption"/>
              <w:spacing w:after="0"/>
              <w:jc w:val="left"/>
              <w:rPr>
                <w:b w:val="0"/>
                <w:bCs/>
                <w:sz w:val="20"/>
                <w:szCs w:val="20"/>
              </w:rPr>
            </w:pPr>
            <w:r w:rsidRPr="00B84A04">
              <w:rPr>
                <w:b w:val="0"/>
                <w:bCs/>
                <w:color w:val="000000"/>
                <w:sz w:val="20"/>
                <w:szCs w:val="20"/>
              </w:rPr>
              <w:t>Varies (see narrative)</w:t>
            </w:r>
          </w:p>
        </w:tc>
        <w:tc>
          <w:tcPr>
            <w:tcW w:w="1625" w:type="dxa"/>
            <w:tcBorders>
              <w:top w:val="nil"/>
              <w:left w:val="nil"/>
              <w:bottom w:val="single" w:sz="8" w:space="0" w:color="auto"/>
              <w:right w:val="single" w:sz="8" w:space="0" w:color="auto"/>
            </w:tcBorders>
            <w:vAlign w:val="center"/>
            <w:hideMark/>
          </w:tcPr>
          <w:p w:rsidR="00AB5786" w:rsidRPr="0063628F" w:rsidP="00432DCE" w14:paraId="672A1BAB" w14:textId="7F8E887E">
            <w:pPr>
              <w:pStyle w:val="TableCaption"/>
              <w:spacing w:after="0"/>
              <w:jc w:val="left"/>
              <w:rPr>
                <w:b w:val="0"/>
                <w:bCs/>
                <w:sz w:val="20"/>
                <w:szCs w:val="20"/>
              </w:rPr>
            </w:pPr>
            <w:r>
              <w:rPr>
                <w:b w:val="0"/>
                <w:bCs/>
                <w:color w:val="000000"/>
                <w:sz w:val="20"/>
                <w:szCs w:val="20"/>
              </w:rPr>
              <w:t>3,109,302</w:t>
            </w:r>
          </w:p>
        </w:tc>
        <w:tc>
          <w:tcPr>
            <w:tcW w:w="1199" w:type="dxa"/>
            <w:hideMark/>
          </w:tcPr>
          <w:p w:rsidR="00AB5786" w:rsidRPr="0063628F" w:rsidP="00432DCE" w14:paraId="55745087" w14:textId="77777777">
            <w:pPr>
              <w:pStyle w:val="TableCaption"/>
              <w:spacing w:after="0"/>
              <w:jc w:val="left"/>
              <w:rPr>
                <w:b w:val="0"/>
                <w:sz w:val="20"/>
                <w:szCs w:val="20"/>
              </w:rPr>
            </w:pPr>
            <w:r w:rsidRPr="0063628F">
              <w:rPr>
                <w:b w:val="0"/>
                <w:sz w:val="20"/>
                <w:szCs w:val="20"/>
              </w:rPr>
              <w:t>R</w:t>
            </w:r>
          </w:p>
        </w:tc>
        <w:tc>
          <w:tcPr>
            <w:tcW w:w="1260" w:type="dxa"/>
            <w:hideMark/>
          </w:tcPr>
          <w:p w:rsidR="00AB5786" w:rsidRPr="0063628F" w:rsidP="00432DCE" w14:paraId="6A4229FA" w14:textId="77777777">
            <w:pPr>
              <w:pStyle w:val="TableCaption"/>
              <w:spacing w:after="0"/>
              <w:jc w:val="left"/>
              <w:rPr>
                <w:b w:val="0"/>
                <w:sz w:val="20"/>
                <w:szCs w:val="20"/>
              </w:rPr>
            </w:pPr>
            <w:r w:rsidRPr="0063628F">
              <w:rPr>
                <w:b w:val="0"/>
                <w:sz w:val="20"/>
                <w:szCs w:val="20"/>
              </w:rPr>
              <w:t>Annual</w:t>
            </w:r>
          </w:p>
        </w:tc>
      </w:tr>
      <w:tr w14:paraId="7DF12DC3" w14:textId="77777777" w:rsidTr="00B84A04">
        <w:tblPrEx>
          <w:tblW w:w="13225" w:type="dxa"/>
          <w:tblLayout w:type="fixed"/>
          <w:tblLook w:val="04A0"/>
        </w:tblPrEx>
        <w:trPr>
          <w:trHeight w:val="737"/>
        </w:trPr>
        <w:tc>
          <w:tcPr>
            <w:tcW w:w="1075" w:type="dxa"/>
            <w:hideMark/>
          </w:tcPr>
          <w:p w:rsidR="00AB5786" w:rsidRPr="0063628F" w:rsidP="00432DCE" w14:paraId="52507CE2" w14:textId="77777777">
            <w:pPr>
              <w:pStyle w:val="TableCaption"/>
              <w:spacing w:after="0"/>
              <w:rPr>
                <w:b w:val="0"/>
                <w:sz w:val="20"/>
                <w:szCs w:val="20"/>
              </w:rPr>
            </w:pPr>
            <w:r w:rsidRPr="0063628F">
              <w:rPr>
                <w:b w:val="0"/>
                <w:sz w:val="20"/>
                <w:szCs w:val="20"/>
              </w:rPr>
              <w:t>12.21</w:t>
            </w:r>
          </w:p>
        </w:tc>
        <w:tc>
          <w:tcPr>
            <w:tcW w:w="1659" w:type="dxa"/>
            <w:hideMark/>
          </w:tcPr>
          <w:p w:rsidR="00AB5786" w:rsidRPr="0063628F" w:rsidP="00432DCE" w14:paraId="74D3D1CD" w14:textId="77777777">
            <w:pPr>
              <w:pStyle w:val="TableCaption"/>
              <w:spacing w:after="0"/>
              <w:rPr>
                <w:b w:val="0"/>
                <w:sz w:val="20"/>
                <w:szCs w:val="20"/>
              </w:rPr>
            </w:pPr>
            <w:r w:rsidRPr="0063628F">
              <w:rPr>
                <w:b w:val="0"/>
                <w:sz w:val="20"/>
                <w:szCs w:val="20"/>
              </w:rPr>
              <w:t>438.62(b)(2), Transition of Care</w:t>
            </w:r>
          </w:p>
        </w:tc>
        <w:tc>
          <w:tcPr>
            <w:tcW w:w="1491" w:type="dxa"/>
            <w:tcBorders>
              <w:top w:val="nil"/>
              <w:left w:val="nil"/>
              <w:bottom w:val="single" w:sz="8" w:space="0" w:color="auto"/>
              <w:right w:val="single" w:sz="8" w:space="0" w:color="auto"/>
            </w:tcBorders>
            <w:noWrap/>
            <w:vAlign w:val="center"/>
            <w:hideMark/>
          </w:tcPr>
          <w:p w:rsidR="00AB5786" w:rsidRPr="0063628F" w:rsidP="00432DCE" w14:paraId="7D248E4B" w14:textId="09AC40BA">
            <w:pPr>
              <w:pStyle w:val="TableCaption"/>
              <w:spacing w:after="0"/>
              <w:jc w:val="left"/>
              <w:rPr>
                <w:b w:val="0"/>
                <w:bCs/>
                <w:sz w:val="20"/>
                <w:szCs w:val="20"/>
              </w:rPr>
            </w:pPr>
            <w:r w:rsidRPr="00B84A04">
              <w:rPr>
                <w:b w:val="0"/>
                <w:bCs/>
                <w:color w:val="000000"/>
                <w:sz w:val="20"/>
                <w:szCs w:val="20"/>
              </w:rPr>
              <w:t>670</w:t>
            </w:r>
          </w:p>
        </w:tc>
        <w:tc>
          <w:tcPr>
            <w:tcW w:w="1159" w:type="dxa"/>
            <w:tcBorders>
              <w:top w:val="nil"/>
              <w:left w:val="nil"/>
              <w:bottom w:val="single" w:sz="8" w:space="0" w:color="auto"/>
              <w:right w:val="single" w:sz="8" w:space="0" w:color="auto"/>
            </w:tcBorders>
            <w:noWrap/>
            <w:vAlign w:val="center"/>
            <w:hideMark/>
          </w:tcPr>
          <w:p w:rsidR="00AB5786" w:rsidRPr="0063628F" w:rsidP="00432DCE" w14:paraId="7E73D7F1" w14:textId="303BD9B7">
            <w:pPr>
              <w:pStyle w:val="TableCaption"/>
              <w:spacing w:after="0"/>
              <w:jc w:val="left"/>
              <w:rPr>
                <w:b w:val="0"/>
                <w:bCs/>
                <w:sz w:val="20"/>
                <w:szCs w:val="20"/>
              </w:rPr>
            </w:pPr>
            <w:r w:rsidRPr="00B84A04">
              <w:rPr>
                <w:b w:val="0"/>
                <w:bCs/>
                <w:color w:val="000000"/>
                <w:sz w:val="20"/>
                <w:szCs w:val="20"/>
              </w:rPr>
              <w:t>364,885</w:t>
            </w:r>
          </w:p>
        </w:tc>
        <w:tc>
          <w:tcPr>
            <w:tcW w:w="1181" w:type="dxa"/>
            <w:tcBorders>
              <w:top w:val="nil"/>
              <w:left w:val="nil"/>
              <w:bottom w:val="single" w:sz="8" w:space="0" w:color="auto"/>
              <w:right w:val="single" w:sz="8" w:space="0" w:color="auto"/>
            </w:tcBorders>
            <w:vAlign w:val="center"/>
            <w:hideMark/>
          </w:tcPr>
          <w:p w:rsidR="00AB5786" w:rsidRPr="0063628F" w:rsidP="00432DCE" w14:paraId="3D302CC4" w14:textId="031C1986">
            <w:pPr>
              <w:pStyle w:val="TableCaption"/>
              <w:spacing w:after="0"/>
              <w:jc w:val="left"/>
              <w:rPr>
                <w:b w:val="0"/>
                <w:bCs/>
                <w:sz w:val="20"/>
                <w:szCs w:val="20"/>
              </w:rPr>
            </w:pPr>
            <w:r w:rsidRPr="00B84A04">
              <w:rPr>
                <w:b w:val="0"/>
                <w:bCs/>
                <w:color w:val="000000"/>
                <w:sz w:val="20"/>
                <w:szCs w:val="20"/>
              </w:rPr>
              <w:t>0.1667</w:t>
            </w:r>
          </w:p>
        </w:tc>
        <w:tc>
          <w:tcPr>
            <w:tcW w:w="1514" w:type="dxa"/>
            <w:tcBorders>
              <w:top w:val="nil"/>
              <w:left w:val="nil"/>
              <w:bottom w:val="single" w:sz="8" w:space="0" w:color="auto"/>
              <w:right w:val="single" w:sz="8" w:space="0" w:color="auto"/>
            </w:tcBorders>
            <w:vAlign w:val="center"/>
            <w:hideMark/>
          </w:tcPr>
          <w:p w:rsidR="00AB5786" w:rsidRPr="0063628F" w:rsidP="00432DCE" w14:paraId="7C322A8D" w14:textId="680BED90">
            <w:pPr>
              <w:pStyle w:val="TableCaption"/>
              <w:spacing w:after="0"/>
              <w:jc w:val="left"/>
              <w:rPr>
                <w:b w:val="0"/>
                <w:bCs/>
                <w:sz w:val="20"/>
                <w:szCs w:val="20"/>
              </w:rPr>
            </w:pPr>
            <w:r w:rsidRPr="00B84A04">
              <w:rPr>
                <w:b w:val="0"/>
                <w:bCs/>
                <w:color w:val="000000"/>
                <w:sz w:val="20"/>
                <w:szCs w:val="20"/>
              </w:rPr>
              <w:t>60,826</w:t>
            </w:r>
          </w:p>
        </w:tc>
        <w:tc>
          <w:tcPr>
            <w:tcW w:w="1062" w:type="dxa"/>
            <w:tcBorders>
              <w:top w:val="nil"/>
              <w:left w:val="nil"/>
              <w:bottom w:val="single" w:sz="8" w:space="0" w:color="auto"/>
              <w:right w:val="single" w:sz="8" w:space="0" w:color="auto"/>
            </w:tcBorders>
            <w:vAlign w:val="center"/>
            <w:hideMark/>
          </w:tcPr>
          <w:p w:rsidR="00AB5786" w:rsidRPr="0063628F" w:rsidP="00432DCE" w14:paraId="2B974AC6" w14:textId="2125FDA0">
            <w:pPr>
              <w:pStyle w:val="TableCaption"/>
              <w:spacing w:after="0"/>
              <w:jc w:val="left"/>
              <w:rPr>
                <w:b w:val="0"/>
                <w:bCs/>
                <w:sz w:val="20"/>
                <w:szCs w:val="20"/>
              </w:rPr>
            </w:pPr>
            <w:r>
              <w:rPr>
                <w:b w:val="0"/>
                <w:bCs/>
                <w:color w:val="000000"/>
                <w:sz w:val="20"/>
                <w:szCs w:val="20"/>
              </w:rPr>
              <w:t>97.72</w:t>
            </w:r>
          </w:p>
        </w:tc>
        <w:tc>
          <w:tcPr>
            <w:tcW w:w="1625" w:type="dxa"/>
            <w:tcBorders>
              <w:top w:val="nil"/>
              <w:left w:val="nil"/>
              <w:bottom w:val="single" w:sz="8" w:space="0" w:color="auto"/>
              <w:right w:val="single" w:sz="8" w:space="0" w:color="auto"/>
            </w:tcBorders>
            <w:vAlign w:val="center"/>
            <w:hideMark/>
          </w:tcPr>
          <w:p w:rsidR="00AB5786" w:rsidRPr="0063628F" w:rsidP="00432DCE" w14:paraId="661C68F7" w14:textId="659255F2">
            <w:pPr>
              <w:pStyle w:val="TableCaption"/>
              <w:spacing w:after="0"/>
              <w:jc w:val="left"/>
              <w:rPr>
                <w:b w:val="0"/>
                <w:bCs/>
                <w:sz w:val="20"/>
                <w:szCs w:val="20"/>
              </w:rPr>
            </w:pPr>
            <w:r>
              <w:rPr>
                <w:b w:val="0"/>
                <w:bCs/>
                <w:color w:val="000000"/>
                <w:sz w:val="20"/>
                <w:szCs w:val="20"/>
              </w:rPr>
              <w:t>5,943,917</w:t>
            </w:r>
          </w:p>
        </w:tc>
        <w:tc>
          <w:tcPr>
            <w:tcW w:w="1199" w:type="dxa"/>
            <w:hideMark/>
          </w:tcPr>
          <w:p w:rsidR="00AB5786" w:rsidRPr="0063628F" w:rsidP="00432DCE" w14:paraId="6AF3C02B" w14:textId="77777777">
            <w:pPr>
              <w:pStyle w:val="TableCaption"/>
              <w:spacing w:after="0"/>
              <w:jc w:val="left"/>
              <w:rPr>
                <w:b w:val="0"/>
                <w:sz w:val="20"/>
                <w:szCs w:val="20"/>
              </w:rPr>
            </w:pPr>
            <w:r w:rsidRPr="0063628F">
              <w:rPr>
                <w:b w:val="0"/>
                <w:sz w:val="20"/>
                <w:szCs w:val="20"/>
              </w:rPr>
              <w:t>R</w:t>
            </w:r>
          </w:p>
        </w:tc>
        <w:tc>
          <w:tcPr>
            <w:tcW w:w="1260" w:type="dxa"/>
            <w:hideMark/>
          </w:tcPr>
          <w:p w:rsidR="00AB5786" w:rsidRPr="0063628F" w:rsidP="00432DCE" w14:paraId="242015CD" w14:textId="77777777">
            <w:pPr>
              <w:pStyle w:val="TableCaption"/>
              <w:spacing w:after="0"/>
              <w:jc w:val="left"/>
              <w:rPr>
                <w:b w:val="0"/>
                <w:sz w:val="20"/>
                <w:szCs w:val="20"/>
              </w:rPr>
            </w:pPr>
            <w:r w:rsidRPr="0063628F">
              <w:rPr>
                <w:b w:val="0"/>
                <w:sz w:val="20"/>
                <w:szCs w:val="20"/>
              </w:rPr>
              <w:t>Annual</w:t>
            </w:r>
          </w:p>
        </w:tc>
      </w:tr>
      <w:tr w14:paraId="3C852C70" w14:textId="77777777" w:rsidTr="00B84A04">
        <w:tblPrEx>
          <w:tblW w:w="13225" w:type="dxa"/>
          <w:tblLayout w:type="fixed"/>
          <w:tblLook w:val="04A0"/>
        </w:tblPrEx>
        <w:trPr>
          <w:trHeight w:val="1061"/>
        </w:trPr>
        <w:tc>
          <w:tcPr>
            <w:tcW w:w="1075" w:type="dxa"/>
            <w:hideMark/>
          </w:tcPr>
          <w:p w:rsidR="00AB5786" w:rsidRPr="0063628F" w:rsidP="00432DCE" w14:paraId="28759F4E" w14:textId="77777777">
            <w:pPr>
              <w:pStyle w:val="TableCaption"/>
              <w:spacing w:after="0"/>
              <w:rPr>
                <w:b w:val="0"/>
                <w:sz w:val="20"/>
                <w:szCs w:val="20"/>
              </w:rPr>
            </w:pPr>
            <w:r w:rsidRPr="0063628F">
              <w:rPr>
                <w:b w:val="0"/>
                <w:sz w:val="20"/>
                <w:szCs w:val="20"/>
              </w:rPr>
              <w:t>12.33</w:t>
            </w:r>
          </w:p>
        </w:tc>
        <w:tc>
          <w:tcPr>
            <w:tcW w:w="1659" w:type="dxa"/>
            <w:hideMark/>
          </w:tcPr>
          <w:p w:rsidR="00AB5786" w:rsidRPr="0063628F" w:rsidP="00432DCE" w14:paraId="436D4AC7" w14:textId="77777777">
            <w:pPr>
              <w:pStyle w:val="TableCaption"/>
              <w:spacing w:after="0"/>
              <w:rPr>
                <w:b w:val="0"/>
                <w:sz w:val="20"/>
                <w:szCs w:val="20"/>
              </w:rPr>
            </w:pPr>
            <w:r w:rsidRPr="0063628F">
              <w:rPr>
                <w:b w:val="0"/>
                <w:sz w:val="20"/>
                <w:szCs w:val="20"/>
              </w:rPr>
              <w:t>438.110(a), Member Advisory Committee</w:t>
            </w:r>
          </w:p>
        </w:tc>
        <w:tc>
          <w:tcPr>
            <w:tcW w:w="1491" w:type="dxa"/>
            <w:tcBorders>
              <w:top w:val="nil"/>
              <w:left w:val="nil"/>
              <w:bottom w:val="single" w:sz="8" w:space="0" w:color="auto"/>
              <w:right w:val="single" w:sz="8" w:space="0" w:color="auto"/>
            </w:tcBorders>
            <w:noWrap/>
            <w:vAlign w:val="center"/>
            <w:hideMark/>
          </w:tcPr>
          <w:p w:rsidR="00AB5786" w:rsidRPr="0063628F" w:rsidP="00432DCE" w14:paraId="52DA8D28" w14:textId="20E2E216">
            <w:pPr>
              <w:pStyle w:val="TableCaption"/>
              <w:spacing w:after="0"/>
              <w:jc w:val="left"/>
              <w:rPr>
                <w:b w:val="0"/>
                <w:bCs/>
                <w:sz w:val="20"/>
                <w:szCs w:val="20"/>
              </w:rPr>
            </w:pPr>
            <w:r w:rsidRPr="00B84A04">
              <w:rPr>
                <w:b w:val="0"/>
                <w:bCs/>
                <w:color w:val="000000"/>
                <w:sz w:val="20"/>
                <w:szCs w:val="20"/>
              </w:rPr>
              <w:t>14</w:t>
            </w:r>
          </w:p>
        </w:tc>
        <w:tc>
          <w:tcPr>
            <w:tcW w:w="1159" w:type="dxa"/>
            <w:tcBorders>
              <w:top w:val="nil"/>
              <w:left w:val="nil"/>
              <w:bottom w:val="single" w:sz="8" w:space="0" w:color="auto"/>
              <w:right w:val="single" w:sz="8" w:space="0" w:color="auto"/>
            </w:tcBorders>
            <w:noWrap/>
            <w:vAlign w:val="center"/>
            <w:hideMark/>
          </w:tcPr>
          <w:p w:rsidR="00AB5786" w:rsidRPr="0063628F" w:rsidP="00432DCE" w14:paraId="256621B5" w14:textId="3B082E99">
            <w:pPr>
              <w:pStyle w:val="TableCaption"/>
              <w:spacing w:after="0"/>
              <w:jc w:val="left"/>
              <w:rPr>
                <w:b w:val="0"/>
                <w:bCs/>
                <w:sz w:val="20"/>
                <w:szCs w:val="20"/>
              </w:rPr>
            </w:pPr>
            <w:r w:rsidRPr="00B84A04">
              <w:rPr>
                <w:b w:val="0"/>
                <w:bCs/>
                <w:color w:val="000000"/>
                <w:sz w:val="20"/>
                <w:szCs w:val="20"/>
              </w:rPr>
              <w:t>14</w:t>
            </w:r>
          </w:p>
        </w:tc>
        <w:tc>
          <w:tcPr>
            <w:tcW w:w="1181" w:type="dxa"/>
            <w:tcBorders>
              <w:top w:val="nil"/>
              <w:left w:val="nil"/>
              <w:bottom w:val="single" w:sz="8" w:space="0" w:color="auto"/>
              <w:right w:val="single" w:sz="8" w:space="0" w:color="auto"/>
            </w:tcBorders>
            <w:vAlign w:val="center"/>
            <w:hideMark/>
          </w:tcPr>
          <w:p w:rsidR="00AB5786" w:rsidRPr="0063628F" w:rsidP="00432DCE" w14:paraId="5A27DEFD" w14:textId="43F07DCC">
            <w:pPr>
              <w:pStyle w:val="TableCaption"/>
              <w:spacing w:after="0"/>
              <w:jc w:val="left"/>
              <w:rPr>
                <w:b w:val="0"/>
                <w:bCs/>
                <w:sz w:val="20"/>
                <w:szCs w:val="20"/>
              </w:rPr>
            </w:pPr>
            <w:r w:rsidRPr="00B84A04">
              <w:rPr>
                <w:b w:val="0"/>
                <w:bCs/>
                <w:color w:val="000000"/>
                <w:sz w:val="20"/>
                <w:szCs w:val="20"/>
              </w:rPr>
              <w:t>6</w:t>
            </w:r>
          </w:p>
        </w:tc>
        <w:tc>
          <w:tcPr>
            <w:tcW w:w="1514" w:type="dxa"/>
            <w:tcBorders>
              <w:top w:val="nil"/>
              <w:left w:val="nil"/>
              <w:bottom w:val="single" w:sz="8" w:space="0" w:color="auto"/>
              <w:right w:val="single" w:sz="8" w:space="0" w:color="auto"/>
            </w:tcBorders>
            <w:vAlign w:val="center"/>
            <w:hideMark/>
          </w:tcPr>
          <w:p w:rsidR="00AB5786" w:rsidRPr="0063628F" w:rsidP="00432DCE" w14:paraId="46A27FA1" w14:textId="7C16C942">
            <w:pPr>
              <w:pStyle w:val="TableCaption"/>
              <w:spacing w:after="0"/>
              <w:jc w:val="left"/>
              <w:rPr>
                <w:b w:val="0"/>
                <w:bCs/>
                <w:sz w:val="20"/>
                <w:szCs w:val="20"/>
              </w:rPr>
            </w:pPr>
            <w:r w:rsidRPr="00B84A04">
              <w:rPr>
                <w:b w:val="0"/>
                <w:bCs/>
                <w:color w:val="000000"/>
                <w:sz w:val="20"/>
                <w:szCs w:val="20"/>
              </w:rPr>
              <w:t>84</w:t>
            </w:r>
          </w:p>
        </w:tc>
        <w:tc>
          <w:tcPr>
            <w:tcW w:w="1062" w:type="dxa"/>
            <w:tcBorders>
              <w:top w:val="nil"/>
              <w:left w:val="nil"/>
              <w:bottom w:val="single" w:sz="8" w:space="0" w:color="auto"/>
              <w:right w:val="single" w:sz="8" w:space="0" w:color="auto"/>
            </w:tcBorders>
            <w:vAlign w:val="center"/>
            <w:hideMark/>
          </w:tcPr>
          <w:p w:rsidR="00AB5786" w:rsidRPr="0063628F" w:rsidP="00432DCE" w14:paraId="630716A8" w14:textId="497F963A">
            <w:pPr>
              <w:pStyle w:val="TableCaption"/>
              <w:spacing w:after="0"/>
              <w:jc w:val="left"/>
              <w:rPr>
                <w:b w:val="0"/>
                <w:bCs/>
                <w:sz w:val="20"/>
                <w:szCs w:val="20"/>
              </w:rPr>
            </w:pPr>
            <w:r>
              <w:rPr>
                <w:b w:val="0"/>
                <w:bCs/>
                <w:color w:val="000000"/>
                <w:sz w:val="20"/>
                <w:szCs w:val="20"/>
              </w:rPr>
              <w:t>89.26</w:t>
            </w:r>
          </w:p>
        </w:tc>
        <w:tc>
          <w:tcPr>
            <w:tcW w:w="1625" w:type="dxa"/>
            <w:tcBorders>
              <w:top w:val="nil"/>
              <w:left w:val="nil"/>
              <w:bottom w:val="single" w:sz="8" w:space="0" w:color="auto"/>
              <w:right w:val="single" w:sz="8" w:space="0" w:color="auto"/>
            </w:tcBorders>
            <w:vAlign w:val="center"/>
            <w:hideMark/>
          </w:tcPr>
          <w:p w:rsidR="00AB5786" w:rsidRPr="0063628F" w:rsidP="00432DCE" w14:paraId="21FD1CB3" w14:textId="098C586F">
            <w:pPr>
              <w:pStyle w:val="TableCaption"/>
              <w:spacing w:after="0"/>
              <w:jc w:val="left"/>
              <w:rPr>
                <w:b w:val="0"/>
                <w:bCs/>
                <w:sz w:val="20"/>
                <w:szCs w:val="20"/>
              </w:rPr>
            </w:pPr>
            <w:r>
              <w:rPr>
                <w:b w:val="0"/>
                <w:bCs/>
                <w:color w:val="000000"/>
                <w:sz w:val="20"/>
                <w:szCs w:val="20"/>
              </w:rPr>
              <w:t>7,499</w:t>
            </w:r>
          </w:p>
        </w:tc>
        <w:tc>
          <w:tcPr>
            <w:tcW w:w="1199" w:type="dxa"/>
            <w:hideMark/>
          </w:tcPr>
          <w:p w:rsidR="00AB5786" w:rsidRPr="0063628F" w:rsidP="00432DCE" w14:paraId="0642C790" w14:textId="77777777">
            <w:pPr>
              <w:pStyle w:val="TableCaption"/>
              <w:spacing w:after="0"/>
              <w:jc w:val="left"/>
              <w:rPr>
                <w:b w:val="0"/>
                <w:sz w:val="20"/>
                <w:szCs w:val="20"/>
              </w:rPr>
            </w:pPr>
            <w:r w:rsidRPr="0063628F">
              <w:rPr>
                <w:b w:val="0"/>
                <w:sz w:val="20"/>
                <w:szCs w:val="20"/>
              </w:rPr>
              <w:t>R</w:t>
            </w:r>
          </w:p>
        </w:tc>
        <w:tc>
          <w:tcPr>
            <w:tcW w:w="1260" w:type="dxa"/>
            <w:hideMark/>
          </w:tcPr>
          <w:p w:rsidR="00AB5786" w:rsidRPr="0063628F" w:rsidP="00432DCE" w14:paraId="4AEE8C32" w14:textId="77777777">
            <w:pPr>
              <w:pStyle w:val="TableCaption"/>
              <w:spacing w:after="0"/>
              <w:jc w:val="left"/>
              <w:rPr>
                <w:b w:val="0"/>
                <w:sz w:val="20"/>
                <w:szCs w:val="20"/>
              </w:rPr>
            </w:pPr>
            <w:r w:rsidRPr="0063628F">
              <w:rPr>
                <w:b w:val="0"/>
                <w:sz w:val="20"/>
                <w:szCs w:val="20"/>
              </w:rPr>
              <w:t>Annual</w:t>
            </w:r>
          </w:p>
        </w:tc>
      </w:tr>
      <w:tr w14:paraId="538174DE" w14:textId="77777777" w:rsidTr="00B84A04">
        <w:tblPrEx>
          <w:tblW w:w="13225" w:type="dxa"/>
          <w:tblLayout w:type="fixed"/>
          <w:tblLook w:val="04A0"/>
        </w:tblPrEx>
        <w:trPr>
          <w:trHeight w:val="1068"/>
        </w:trPr>
        <w:tc>
          <w:tcPr>
            <w:tcW w:w="1075" w:type="dxa"/>
            <w:hideMark/>
          </w:tcPr>
          <w:p w:rsidR="00AB5786" w:rsidRPr="0063628F" w:rsidP="00432DCE" w14:paraId="5C068918" w14:textId="77777777">
            <w:pPr>
              <w:pStyle w:val="TableCaption"/>
              <w:spacing w:after="0"/>
              <w:rPr>
                <w:b w:val="0"/>
                <w:sz w:val="20"/>
                <w:szCs w:val="20"/>
              </w:rPr>
            </w:pPr>
            <w:r w:rsidRPr="0063628F">
              <w:rPr>
                <w:b w:val="0"/>
                <w:sz w:val="20"/>
                <w:szCs w:val="20"/>
              </w:rPr>
              <w:t>12.34b</w:t>
            </w:r>
          </w:p>
        </w:tc>
        <w:tc>
          <w:tcPr>
            <w:tcW w:w="1659" w:type="dxa"/>
            <w:hideMark/>
          </w:tcPr>
          <w:p w:rsidR="00AB5786" w:rsidRPr="0063628F" w:rsidP="00432DCE" w14:paraId="01C657B5" w14:textId="77777777">
            <w:pPr>
              <w:pStyle w:val="TableCaption"/>
              <w:spacing w:after="0"/>
              <w:rPr>
                <w:b w:val="0"/>
                <w:sz w:val="20"/>
                <w:szCs w:val="20"/>
              </w:rPr>
            </w:pPr>
            <w:r w:rsidRPr="0063628F">
              <w:rPr>
                <w:b w:val="0"/>
                <w:sz w:val="20"/>
                <w:szCs w:val="20"/>
              </w:rPr>
              <w:t>438.207(b) - (d), Adequate Capacity</w:t>
            </w:r>
          </w:p>
        </w:tc>
        <w:tc>
          <w:tcPr>
            <w:tcW w:w="1491" w:type="dxa"/>
            <w:tcBorders>
              <w:top w:val="nil"/>
              <w:left w:val="nil"/>
              <w:bottom w:val="single" w:sz="8" w:space="0" w:color="auto"/>
              <w:right w:val="single" w:sz="8" w:space="0" w:color="auto"/>
            </w:tcBorders>
            <w:noWrap/>
            <w:vAlign w:val="center"/>
            <w:hideMark/>
          </w:tcPr>
          <w:p w:rsidR="00AB5786" w:rsidRPr="0063628F" w:rsidP="00432DCE" w14:paraId="311F6324" w14:textId="7ECB1C74">
            <w:pPr>
              <w:pStyle w:val="TableCaption"/>
              <w:spacing w:after="0"/>
              <w:jc w:val="left"/>
              <w:rPr>
                <w:b w:val="0"/>
                <w:bCs/>
                <w:sz w:val="20"/>
                <w:szCs w:val="20"/>
              </w:rPr>
            </w:pPr>
            <w:r w:rsidRPr="00B84A04">
              <w:rPr>
                <w:b w:val="0"/>
                <w:bCs/>
                <w:color w:val="000000"/>
                <w:sz w:val="20"/>
                <w:szCs w:val="20"/>
              </w:rPr>
              <w:t>670</w:t>
            </w:r>
          </w:p>
        </w:tc>
        <w:tc>
          <w:tcPr>
            <w:tcW w:w="1159" w:type="dxa"/>
            <w:tcBorders>
              <w:top w:val="nil"/>
              <w:left w:val="nil"/>
              <w:bottom w:val="single" w:sz="8" w:space="0" w:color="auto"/>
              <w:right w:val="single" w:sz="8" w:space="0" w:color="auto"/>
            </w:tcBorders>
            <w:noWrap/>
            <w:vAlign w:val="center"/>
            <w:hideMark/>
          </w:tcPr>
          <w:p w:rsidR="00AB5786" w:rsidRPr="0063628F" w:rsidP="00432DCE" w14:paraId="1C2B3240" w14:textId="510F844D">
            <w:pPr>
              <w:pStyle w:val="TableCaption"/>
              <w:spacing w:after="0"/>
              <w:jc w:val="left"/>
              <w:rPr>
                <w:b w:val="0"/>
                <w:bCs/>
                <w:sz w:val="20"/>
                <w:szCs w:val="20"/>
              </w:rPr>
            </w:pPr>
            <w:r w:rsidRPr="00B84A04">
              <w:rPr>
                <w:b w:val="0"/>
                <w:bCs/>
                <w:color w:val="000000"/>
                <w:sz w:val="20"/>
                <w:szCs w:val="20"/>
              </w:rPr>
              <w:t>670</w:t>
            </w:r>
          </w:p>
        </w:tc>
        <w:tc>
          <w:tcPr>
            <w:tcW w:w="1181" w:type="dxa"/>
            <w:tcBorders>
              <w:top w:val="nil"/>
              <w:left w:val="nil"/>
              <w:bottom w:val="single" w:sz="8" w:space="0" w:color="auto"/>
              <w:right w:val="single" w:sz="8" w:space="0" w:color="auto"/>
            </w:tcBorders>
            <w:vAlign w:val="center"/>
            <w:hideMark/>
          </w:tcPr>
          <w:p w:rsidR="00AB5786" w:rsidRPr="0063628F" w:rsidP="00432DCE" w14:paraId="40338762" w14:textId="5B53690B">
            <w:pPr>
              <w:pStyle w:val="TableCaption"/>
              <w:spacing w:after="0"/>
              <w:jc w:val="left"/>
              <w:rPr>
                <w:b w:val="0"/>
                <w:bCs/>
                <w:sz w:val="20"/>
                <w:szCs w:val="20"/>
              </w:rPr>
            </w:pPr>
            <w:r w:rsidRPr="00B84A04">
              <w:rPr>
                <w:b w:val="0"/>
                <w:bCs/>
                <w:color w:val="000000"/>
                <w:sz w:val="20"/>
                <w:szCs w:val="20"/>
              </w:rPr>
              <w:t>2</w:t>
            </w:r>
          </w:p>
        </w:tc>
        <w:tc>
          <w:tcPr>
            <w:tcW w:w="1514" w:type="dxa"/>
            <w:tcBorders>
              <w:top w:val="nil"/>
              <w:left w:val="nil"/>
              <w:bottom w:val="single" w:sz="8" w:space="0" w:color="auto"/>
              <w:right w:val="single" w:sz="8" w:space="0" w:color="auto"/>
            </w:tcBorders>
            <w:vAlign w:val="center"/>
            <w:hideMark/>
          </w:tcPr>
          <w:p w:rsidR="00AB5786" w:rsidRPr="0063628F" w:rsidP="00432DCE" w14:paraId="13DD950B" w14:textId="29F1BA7E">
            <w:pPr>
              <w:pStyle w:val="TableCaption"/>
              <w:spacing w:after="0"/>
              <w:jc w:val="left"/>
              <w:rPr>
                <w:b w:val="0"/>
                <w:bCs/>
                <w:sz w:val="20"/>
                <w:szCs w:val="20"/>
              </w:rPr>
            </w:pPr>
            <w:r w:rsidRPr="00B84A04">
              <w:rPr>
                <w:b w:val="0"/>
                <w:bCs/>
                <w:color w:val="000000"/>
                <w:sz w:val="20"/>
                <w:szCs w:val="20"/>
              </w:rPr>
              <w:t>1,340</w:t>
            </w:r>
          </w:p>
        </w:tc>
        <w:tc>
          <w:tcPr>
            <w:tcW w:w="1062" w:type="dxa"/>
            <w:tcBorders>
              <w:top w:val="nil"/>
              <w:left w:val="nil"/>
              <w:bottom w:val="single" w:sz="8" w:space="0" w:color="auto"/>
              <w:right w:val="single" w:sz="8" w:space="0" w:color="auto"/>
            </w:tcBorders>
            <w:vAlign w:val="center"/>
            <w:hideMark/>
          </w:tcPr>
          <w:p w:rsidR="00AB5786" w:rsidRPr="0063628F" w:rsidP="00432DCE" w14:paraId="36AB83B0" w14:textId="3EB30444">
            <w:pPr>
              <w:pStyle w:val="TableCaption"/>
              <w:spacing w:after="0"/>
              <w:jc w:val="left"/>
              <w:rPr>
                <w:b w:val="0"/>
                <w:bCs/>
                <w:sz w:val="20"/>
                <w:szCs w:val="20"/>
              </w:rPr>
            </w:pPr>
            <w:r>
              <w:rPr>
                <w:b w:val="0"/>
                <w:bCs/>
                <w:color w:val="000000"/>
                <w:sz w:val="20"/>
                <w:szCs w:val="20"/>
              </w:rPr>
              <w:t>89.26</w:t>
            </w:r>
          </w:p>
        </w:tc>
        <w:tc>
          <w:tcPr>
            <w:tcW w:w="1625" w:type="dxa"/>
            <w:tcBorders>
              <w:top w:val="nil"/>
              <w:left w:val="nil"/>
              <w:bottom w:val="single" w:sz="8" w:space="0" w:color="auto"/>
              <w:right w:val="single" w:sz="8" w:space="0" w:color="auto"/>
            </w:tcBorders>
            <w:vAlign w:val="center"/>
            <w:hideMark/>
          </w:tcPr>
          <w:p w:rsidR="00AB5786" w:rsidRPr="0063628F" w:rsidP="00432DCE" w14:paraId="6CE7D5B8" w14:textId="2475AD6C">
            <w:pPr>
              <w:pStyle w:val="TableCaption"/>
              <w:spacing w:after="0"/>
              <w:jc w:val="left"/>
              <w:rPr>
                <w:b w:val="0"/>
                <w:bCs/>
                <w:sz w:val="20"/>
                <w:szCs w:val="20"/>
              </w:rPr>
            </w:pPr>
            <w:r>
              <w:rPr>
                <w:b w:val="0"/>
                <w:bCs/>
                <w:color w:val="000000"/>
                <w:sz w:val="20"/>
                <w:szCs w:val="20"/>
              </w:rPr>
              <w:t>119,</w:t>
            </w:r>
            <w:r w:rsidR="003614D0">
              <w:rPr>
                <w:b w:val="0"/>
                <w:bCs/>
                <w:color w:val="000000"/>
                <w:sz w:val="20"/>
                <w:szCs w:val="20"/>
              </w:rPr>
              <w:t>568</w:t>
            </w:r>
          </w:p>
        </w:tc>
        <w:tc>
          <w:tcPr>
            <w:tcW w:w="1199" w:type="dxa"/>
            <w:hideMark/>
          </w:tcPr>
          <w:p w:rsidR="00AB5786" w:rsidRPr="0063628F" w:rsidP="00432DCE" w14:paraId="14FEEB6F" w14:textId="77777777">
            <w:pPr>
              <w:pStyle w:val="TableCaption"/>
              <w:spacing w:after="0"/>
              <w:jc w:val="left"/>
              <w:rPr>
                <w:b w:val="0"/>
                <w:sz w:val="20"/>
                <w:szCs w:val="20"/>
              </w:rPr>
            </w:pPr>
            <w:r w:rsidRPr="0063628F">
              <w:rPr>
                <w:b w:val="0"/>
                <w:sz w:val="20"/>
                <w:szCs w:val="20"/>
              </w:rPr>
              <w:t>R</w:t>
            </w:r>
          </w:p>
        </w:tc>
        <w:tc>
          <w:tcPr>
            <w:tcW w:w="1260" w:type="dxa"/>
            <w:hideMark/>
          </w:tcPr>
          <w:p w:rsidR="00AB5786" w:rsidRPr="0063628F" w:rsidP="00432DCE" w14:paraId="129AB0E8" w14:textId="77777777">
            <w:pPr>
              <w:pStyle w:val="TableCaption"/>
              <w:spacing w:after="0"/>
              <w:jc w:val="left"/>
              <w:rPr>
                <w:b w:val="0"/>
                <w:sz w:val="20"/>
                <w:szCs w:val="20"/>
              </w:rPr>
            </w:pPr>
            <w:r w:rsidRPr="0063628F">
              <w:rPr>
                <w:b w:val="0"/>
                <w:sz w:val="20"/>
                <w:szCs w:val="20"/>
              </w:rPr>
              <w:t>Annual</w:t>
            </w:r>
          </w:p>
        </w:tc>
      </w:tr>
      <w:tr w14:paraId="223784DE" w14:textId="77777777" w:rsidTr="0043708C">
        <w:tblPrEx>
          <w:tblW w:w="13225" w:type="dxa"/>
          <w:tblLayout w:type="fixed"/>
          <w:tblLook w:val="04A0"/>
        </w:tblPrEx>
        <w:trPr>
          <w:trHeight w:val="528"/>
        </w:trPr>
        <w:tc>
          <w:tcPr>
            <w:tcW w:w="1075" w:type="dxa"/>
            <w:shd w:val="clear" w:color="auto" w:fill="D9D9D9" w:themeFill="background1" w:themeFillShade="D9"/>
            <w:hideMark/>
          </w:tcPr>
          <w:p w:rsidR="0043708C" w:rsidRPr="009C3EA9" w:rsidP="00432DCE" w14:paraId="458465C3" w14:textId="659E8EBA">
            <w:pPr>
              <w:pStyle w:val="TableCaption"/>
              <w:spacing w:after="0"/>
              <w:rPr>
                <w:b w:val="0"/>
                <w:i/>
                <w:iCs/>
                <w:sz w:val="20"/>
                <w:szCs w:val="20"/>
              </w:rPr>
            </w:pPr>
          </w:p>
        </w:tc>
        <w:tc>
          <w:tcPr>
            <w:tcW w:w="1659" w:type="dxa"/>
            <w:shd w:val="clear" w:color="auto" w:fill="D9D9D9" w:themeFill="background1" w:themeFillShade="D9"/>
          </w:tcPr>
          <w:p w:rsidR="0043708C" w:rsidRPr="009C3EA9" w:rsidP="00432DCE" w14:paraId="286D5885" w14:textId="508D3F46">
            <w:pPr>
              <w:pStyle w:val="TableCaption"/>
              <w:spacing w:after="0"/>
              <w:rPr>
                <w:b w:val="0"/>
                <w:i/>
                <w:iCs/>
                <w:sz w:val="20"/>
                <w:szCs w:val="20"/>
              </w:rPr>
            </w:pPr>
            <w:r w:rsidRPr="009C3EA9">
              <w:rPr>
                <w:b w:val="0"/>
                <w:i/>
                <w:iCs/>
                <w:sz w:val="20"/>
                <w:szCs w:val="20"/>
              </w:rPr>
              <w:t>Subtotal: Reporting</w:t>
            </w:r>
          </w:p>
        </w:tc>
        <w:tc>
          <w:tcPr>
            <w:tcW w:w="1491" w:type="dxa"/>
            <w:shd w:val="clear" w:color="auto" w:fill="D9D9D9" w:themeFill="background1" w:themeFillShade="D9"/>
            <w:noWrap/>
            <w:hideMark/>
          </w:tcPr>
          <w:p w:rsidR="0043708C" w:rsidRPr="009C3EA9" w:rsidP="00432DCE" w14:paraId="05E9A110" w14:textId="5A870827">
            <w:pPr>
              <w:pStyle w:val="TableCaption"/>
              <w:spacing w:after="0"/>
              <w:jc w:val="left"/>
              <w:rPr>
                <w:b w:val="0"/>
                <w:i/>
                <w:iCs/>
                <w:sz w:val="20"/>
                <w:szCs w:val="20"/>
              </w:rPr>
            </w:pPr>
            <w:r>
              <w:rPr>
                <w:b w:val="0"/>
                <w:i/>
                <w:iCs/>
                <w:sz w:val="20"/>
                <w:szCs w:val="20"/>
              </w:rPr>
              <w:t>670</w:t>
            </w:r>
          </w:p>
        </w:tc>
        <w:tc>
          <w:tcPr>
            <w:tcW w:w="1159" w:type="dxa"/>
            <w:shd w:val="clear" w:color="auto" w:fill="D9D9D9" w:themeFill="background1" w:themeFillShade="D9"/>
            <w:noWrap/>
            <w:hideMark/>
          </w:tcPr>
          <w:p w:rsidR="0043708C" w:rsidRPr="009C3EA9" w:rsidP="00432DCE" w14:paraId="6ED4A5DF" w14:textId="29411D0D">
            <w:pPr>
              <w:pStyle w:val="TableCaption"/>
              <w:spacing w:after="0"/>
              <w:jc w:val="left"/>
              <w:rPr>
                <w:b w:val="0"/>
                <w:i/>
                <w:iCs/>
                <w:sz w:val="20"/>
                <w:szCs w:val="20"/>
              </w:rPr>
            </w:pPr>
            <w:r w:rsidRPr="009C3EA9">
              <w:rPr>
                <w:b w:val="0"/>
                <w:i/>
                <w:iCs/>
                <w:sz w:val="20"/>
                <w:szCs w:val="20"/>
              </w:rPr>
              <w:t>366,057</w:t>
            </w:r>
          </w:p>
        </w:tc>
        <w:tc>
          <w:tcPr>
            <w:tcW w:w="1181" w:type="dxa"/>
            <w:shd w:val="clear" w:color="auto" w:fill="D9D9D9" w:themeFill="background1" w:themeFillShade="D9"/>
            <w:hideMark/>
          </w:tcPr>
          <w:p w:rsidR="0043708C" w:rsidRPr="009C3EA9" w:rsidP="00432DCE" w14:paraId="6EEC4BA7" w14:textId="42043F15">
            <w:pPr>
              <w:pStyle w:val="TableCaption"/>
              <w:spacing w:after="0"/>
              <w:jc w:val="left"/>
              <w:rPr>
                <w:b w:val="0"/>
                <w:i/>
                <w:iCs/>
                <w:sz w:val="20"/>
                <w:szCs w:val="20"/>
              </w:rPr>
            </w:pPr>
            <w:r w:rsidRPr="009C3EA9">
              <w:rPr>
                <w:b w:val="0"/>
                <w:i/>
                <w:iCs/>
                <w:sz w:val="20"/>
                <w:szCs w:val="20"/>
              </w:rPr>
              <w:t>Varies</w:t>
            </w:r>
          </w:p>
        </w:tc>
        <w:tc>
          <w:tcPr>
            <w:tcW w:w="1514" w:type="dxa"/>
            <w:shd w:val="clear" w:color="auto" w:fill="D9D9D9" w:themeFill="background1" w:themeFillShade="D9"/>
            <w:noWrap/>
            <w:hideMark/>
          </w:tcPr>
          <w:p w:rsidR="0043708C" w:rsidRPr="009C3EA9" w:rsidP="00432DCE" w14:paraId="7A1F3861" w14:textId="37F4EDC8">
            <w:pPr>
              <w:pStyle w:val="TableCaption"/>
              <w:spacing w:after="0"/>
              <w:jc w:val="left"/>
              <w:rPr>
                <w:b w:val="0"/>
                <w:i/>
                <w:iCs/>
                <w:sz w:val="20"/>
                <w:szCs w:val="20"/>
              </w:rPr>
            </w:pPr>
            <w:r w:rsidRPr="009C3EA9">
              <w:rPr>
                <w:b w:val="0"/>
                <w:i/>
                <w:iCs/>
                <w:sz w:val="20"/>
                <w:szCs w:val="20"/>
              </w:rPr>
              <w:t>88,114</w:t>
            </w:r>
          </w:p>
        </w:tc>
        <w:tc>
          <w:tcPr>
            <w:tcW w:w="1062" w:type="dxa"/>
            <w:shd w:val="clear" w:color="auto" w:fill="D9D9D9" w:themeFill="background1" w:themeFillShade="D9"/>
            <w:hideMark/>
          </w:tcPr>
          <w:p w:rsidR="0043708C" w:rsidRPr="009C3EA9" w:rsidP="00432DCE" w14:paraId="1AC2E50A" w14:textId="4A52F3BD">
            <w:pPr>
              <w:pStyle w:val="TableCaption"/>
              <w:spacing w:after="0"/>
              <w:jc w:val="left"/>
              <w:rPr>
                <w:b w:val="0"/>
                <w:i/>
                <w:iCs/>
                <w:sz w:val="20"/>
                <w:szCs w:val="20"/>
              </w:rPr>
            </w:pPr>
            <w:r w:rsidRPr="009C3EA9">
              <w:rPr>
                <w:b w:val="0"/>
                <w:i/>
                <w:iCs/>
                <w:sz w:val="20"/>
                <w:szCs w:val="20"/>
              </w:rPr>
              <w:t>Varies</w:t>
            </w:r>
          </w:p>
        </w:tc>
        <w:tc>
          <w:tcPr>
            <w:tcW w:w="1625" w:type="dxa"/>
            <w:shd w:val="clear" w:color="auto" w:fill="D9D9D9" w:themeFill="background1" w:themeFillShade="D9"/>
            <w:noWrap/>
            <w:hideMark/>
          </w:tcPr>
          <w:p w:rsidR="0043708C" w:rsidRPr="009C3EA9" w:rsidP="00432DCE" w14:paraId="41D97797" w14:textId="27AEED94">
            <w:pPr>
              <w:pStyle w:val="TableCaption"/>
              <w:spacing w:after="0"/>
              <w:jc w:val="left"/>
              <w:rPr>
                <w:b w:val="0"/>
                <w:i/>
                <w:iCs/>
                <w:sz w:val="20"/>
                <w:szCs w:val="20"/>
              </w:rPr>
            </w:pPr>
            <w:r w:rsidRPr="009C3EA9">
              <w:rPr>
                <w:b w:val="0"/>
                <w:i/>
                <w:iCs/>
                <w:sz w:val="20"/>
                <w:szCs w:val="20"/>
              </w:rPr>
              <w:t>9,180,</w:t>
            </w:r>
            <w:r w:rsidRPr="009C3EA9" w:rsidR="003506FB">
              <w:rPr>
                <w:b w:val="0"/>
                <w:i/>
                <w:iCs/>
                <w:sz w:val="20"/>
                <w:szCs w:val="20"/>
              </w:rPr>
              <w:t>2</w:t>
            </w:r>
            <w:r w:rsidRPr="009C3EA9" w:rsidR="005F3B40">
              <w:rPr>
                <w:b w:val="0"/>
                <w:i/>
                <w:iCs/>
                <w:sz w:val="20"/>
                <w:szCs w:val="20"/>
              </w:rPr>
              <w:t>86</w:t>
            </w:r>
          </w:p>
        </w:tc>
        <w:tc>
          <w:tcPr>
            <w:tcW w:w="1199" w:type="dxa"/>
            <w:shd w:val="clear" w:color="auto" w:fill="D9D9D9" w:themeFill="background1" w:themeFillShade="D9"/>
            <w:hideMark/>
          </w:tcPr>
          <w:p w:rsidR="0043708C" w:rsidRPr="009C3EA9" w:rsidP="00432DCE" w14:paraId="4ECDB638" w14:textId="77777777">
            <w:pPr>
              <w:pStyle w:val="TableCaption"/>
              <w:spacing w:after="0"/>
              <w:jc w:val="left"/>
              <w:rPr>
                <w:b w:val="0"/>
                <w:i/>
                <w:iCs/>
                <w:sz w:val="20"/>
                <w:szCs w:val="20"/>
              </w:rPr>
            </w:pPr>
            <w:r w:rsidRPr="009C3EA9">
              <w:rPr>
                <w:b w:val="0"/>
                <w:i/>
                <w:iCs/>
                <w:sz w:val="20"/>
                <w:szCs w:val="20"/>
              </w:rPr>
              <w:t>R</w:t>
            </w:r>
          </w:p>
        </w:tc>
        <w:tc>
          <w:tcPr>
            <w:tcW w:w="1260" w:type="dxa"/>
            <w:shd w:val="clear" w:color="auto" w:fill="D9D9D9" w:themeFill="background1" w:themeFillShade="D9"/>
            <w:hideMark/>
          </w:tcPr>
          <w:p w:rsidR="0043708C" w:rsidRPr="009C3EA9" w:rsidP="00432DCE" w14:paraId="44D45E6E" w14:textId="7E4DFF39">
            <w:pPr>
              <w:pStyle w:val="TableCaption"/>
              <w:spacing w:after="0"/>
              <w:jc w:val="left"/>
              <w:rPr>
                <w:b w:val="0"/>
                <w:i/>
                <w:iCs/>
                <w:sz w:val="20"/>
                <w:szCs w:val="20"/>
              </w:rPr>
            </w:pPr>
            <w:r w:rsidRPr="009C3EA9">
              <w:rPr>
                <w:b w:val="0"/>
                <w:i/>
                <w:iCs/>
                <w:sz w:val="20"/>
                <w:szCs w:val="20"/>
              </w:rPr>
              <w:t xml:space="preserve"> Annual</w:t>
            </w:r>
          </w:p>
        </w:tc>
      </w:tr>
      <w:tr w14:paraId="30C98877" w14:textId="77777777" w:rsidTr="00496B8D">
        <w:tblPrEx>
          <w:tblW w:w="13225" w:type="dxa"/>
          <w:tblLayout w:type="fixed"/>
          <w:tblLook w:val="04A0"/>
        </w:tblPrEx>
        <w:trPr>
          <w:trHeight w:val="710"/>
        </w:trPr>
        <w:tc>
          <w:tcPr>
            <w:tcW w:w="1075" w:type="dxa"/>
            <w:hideMark/>
          </w:tcPr>
          <w:p w:rsidR="00B00E33" w:rsidRPr="0039217D" w:rsidP="00432DCE" w14:paraId="46F1097F" w14:textId="77777777">
            <w:pPr>
              <w:pStyle w:val="TableCaption"/>
              <w:spacing w:after="0"/>
              <w:jc w:val="left"/>
              <w:rPr>
                <w:b w:val="0"/>
                <w:sz w:val="20"/>
                <w:szCs w:val="20"/>
              </w:rPr>
            </w:pPr>
            <w:r w:rsidRPr="0039217D">
              <w:rPr>
                <w:b w:val="0"/>
                <w:sz w:val="20"/>
                <w:szCs w:val="20"/>
              </w:rPr>
              <w:t>12.12</w:t>
            </w:r>
          </w:p>
        </w:tc>
        <w:tc>
          <w:tcPr>
            <w:tcW w:w="1659" w:type="dxa"/>
            <w:hideMark/>
          </w:tcPr>
          <w:p w:rsidR="00B00E33" w:rsidRPr="0039217D" w:rsidP="00432DCE" w14:paraId="2806269A" w14:textId="77777777">
            <w:pPr>
              <w:pStyle w:val="TableCaption"/>
              <w:spacing w:after="0"/>
              <w:rPr>
                <w:b w:val="0"/>
                <w:sz w:val="20"/>
                <w:szCs w:val="20"/>
              </w:rPr>
            </w:pPr>
            <w:r w:rsidRPr="0039217D">
              <w:rPr>
                <w:b w:val="0"/>
                <w:sz w:val="20"/>
                <w:szCs w:val="20"/>
              </w:rPr>
              <w:t>438.10(g), Information Requirements</w:t>
            </w:r>
          </w:p>
        </w:tc>
        <w:tc>
          <w:tcPr>
            <w:tcW w:w="1491" w:type="dxa"/>
            <w:noWrap/>
            <w:hideMark/>
          </w:tcPr>
          <w:p w:rsidR="00B00E33" w:rsidRPr="0039217D" w:rsidP="00432DCE" w14:paraId="0F03B724" w14:textId="79CEB68F">
            <w:pPr>
              <w:pStyle w:val="TableCaption"/>
              <w:spacing w:after="0"/>
              <w:jc w:val="left"/>
              <w:rPr>
                <w:b w:val="0"/>
                <w:bCs/>
                <w:sz w:val="20"/>
                <w:szCs w:val="20"/>
              </w:rPr>
            </w:pPr>
            <w:r w:rsidRPr="0039217D">
              <w:rPr>
                <w:b w:val="0"/>
                <w:bCs/>
                <w:sz w:val="20"/>
                <w:szCs w:val="20"/>
              </w:rPr>
              <w:t>100</w:t>
            </w:r>
          </w:p>
        </w:tc>
        <w:tc>
          <w:tcPr>
            <w:tcW w:w="1159" w:type="dxa"/>
            <w:noWrap/>
            <w:hideMark/>
          </w:tcPr>
          <w:p w:rsidR="00B00E33" w:rsidRPr="0039217D" w:rsidP="00432DCE" w14:paraId="1C95A7B6" w14:textId="0A3E8377">
            <w:pPr>
              <w:pStyle w:val="TableCaption"/>
              <w:spacing w:after="0"/>
              <w:jc w:val="left"/>
              <w:rPr>
                <w:b w:val="0"/>
                <w:bCs/>
                <w:sz w:val="20"/>
                <w:szCs w:val="20"/>
              </w:rPr>
            </w:pPr>
            <w:r w:rsidRPr="0039217D">
              <w:rPr>
                <w:b w:val="0"/>
                <w:bCs/>
                <w:sz w:val="20"/>
                <w:szCs w:val="20"/>
              </w:rPr>
              <w:t>2,408,242</w:t>
            </w:r>
          </w:p>
        </w:tc>
        <w:tc>
          <w:tcPr>
            <w:tcW w:w="1181" w:type="dxa"/>
            <w:hideMark/>
          </w:tcPr>
          <w:p w:rsidR="00B00E33" w:rsidRPr="0039217D" w:rsidP="00432DCE" w14:paraId="344FBD78" w14:textId="1B4614EB">
            <w:pPr>
              <w:pStyle w:val="TableCaption"/>
              <w:spacing w:after="0"/>
              <w:jc w:val="left"/>
              <w:rPr>
                <w:b w:val="0"/>
                <w:bCs/>
                <w:sz w:val="20"/>
                <w:szCs w:val="20"/>
              </w:rPr>
            </w:pPr>
            <w:r w:rsidRPr="0039217D">
              <w:rPr>
                <w:b w:val="0"/>
                <w:bCs/>
                <w:sz w:val="20"/>
                <w:szCs w:val="20"/>
              </w:rPr>
              <w:t>0.0167</w:t>
            </w:r>
          </w:p>
        </w:tc>
        <w:tc>
          <w:tcPr>
            <w:tcW w:w="1514" w:type="dxa"/>
            <w:noWrap/>
            <w:hideMark/>
          </w:tcPr>
          <w:p w:rsidR="00B00E33" w:rsidRPr="0039217D" w:rsidP="00432DCE" w14:paraId="722481F4" w14:textId="6A9D470C">
            <w:pPr>
              <w:pStyle w:val="TableCaption"/>
              <w:spacing w:after="0"/>
              <w:jc w:val="left"/>
              <w:rPr>
                <w:b w:val="0"/>
                <w:bCs/>
                <w:sz w:val="20"/>
                <w:szCs w:val="20"/>
              </w:rPr>
            </w:pPr>
            <w:r w:rsidRPr="0039217D">
              <w:rPr>
                <w:b w:val="0"/>
                <w:bCs/>
                <w:sz w:val="20"/>
                <w:szCs w:val="20"/>
              </w:rPr>
              <w:t>40,218</w:t>
            </w:r>
          </w:p>
        </w:tc>
        <w:tc>
          <w:tcPr>
            <w:tcW w:w="1062" w:type="dxa"/>
            <w:hideMark/>
          </w:tcPr>
          <w:p w:rsidR="00B00E33" w:rsidRPr="0039217D" w:rsidP="00432DCE" w14:paraId="7D9A53EA" w14:textId="74B76C55">
            <w:pPr>
              <w:pStyle w:val="TableCaption"/>
              <w:spacing w:after="0"/>
              <w:jc w:val="left"/>
              <w:rPr>
                <w:b w:val="0"/>
                <w:bCs/>
                <w:sz w:val="20"/>
                <w:szCs w:val="20"/>
              </w:rPr>
            </w:pPr>
            <w:r w:rsidRPr="0039217D">
              <w:rPr>
                <w:b w:val="0"/>
                <w:bCs/>
                <w:sz w:val="20"/>
                <w:szCs w:val="20"/>
              </w:rPr>
              <w:t>40.06</w:t>
            </w:r>
          </w:p>
        </w:tc>
        <w:tc>
          <w:tcPr>
            <w:tcW w:w="1625" w:type="dxa"/>
            <w:noWrap/>
            <w:hideMark/>
          </w:tcPr>
          <w:p w:rsidR="00B00E33" w:rsidRPr="0039217D" w:rsidP="00432DCE" w14:paraId="249235F7" w14:textId="7D05130F">
            <w:pPr>
              <w:pStyle w:val="TableCaption"/>
              <w:spacing w:after="0"/>
              <w:jc w:val="left"/>
              <w:rPr>
                <w:b w:val="0"/>
                <w:bCs/>
                <w:sz w:val="20"/>
                <w:szCs w:val="20"/>
              </w:rPr>
            </w:pPr>
            <w:r w:rsidRPr="0039217D">
              <w:rPr>
                <w:b w:val="0"/>
                <w:bCs/>
                <w:sz w:val="20"/>
                <w:szCs w:val="20"/>
              </w:rPr>
              <w:t>1,611,133</w:t>
            </w:r>
          </w:p>
        </w:tc>
        <w:tc>
          <w:tcPr>
            <w:tcW w:w="1199" w:type="dxa"/>
            <w:hideMark/>
          </w:tcPr>
          <w:p w:rsidR="00B00E33" w:rsidRPr="0039217D" w:rsidP="00432DCE" w14:paraId="182D053F" w14:textId="77777777">
            <w:pPr>
              <w:pStyle w:val="TableCaption"/>
              <w:spacing w:after="0"/>
              <w:jc w:val="left"/>
              <w:rPr>
                <w:b w:val="0"/>
                <w:sz w:val="20"/>
                <w:szCs w:val="20"/>
              </w:rPr>
            </w:pPr>
            <w:r w:rsidRPr="0039217D">
              <w:rPr>
                <w:b w:val="0"/>
                <w:sz w:val="20"/>
                <w:szCs w:val="20"/>
              </w:rPr>
              <w:t>TPD</w:t>
            </w:r>
          </w:p>
        </w:tc>
        <w:tc>
          <w:tcPr>
            <w:tcW w:w="1260" w:type="dxa"/>
            <w:hideMark/>
          </w:tcPr>
          <w:p w:rsidR="00B00E33" w:rsidRPr="0039217D" w:rsidP="00432DCE" w14:paraId="122F046D" w14:textId="77777777">
            <w:pPr>
              <w:pStyle w:val="TableCaption"/>
              <w:spacing w:after="0"/>
              <w:jc w:val="left"/>
              <w:rPr>
                <w:b w:val="0"/>
                <w:sz w:val="20"/>
                <w:szCs w:val="20"/>
              </w:rPr>
            </w:pPr>
            <w:r w:rsidRPr="0039217D">
              <w:rPr>
                <w:b w:val="0"/>
                <w:sz w:val="20"/>
                <w:szCs w:val="20"/>
              </w:rPr>
              <w:t>Annual</w:t>
            </w:r>
          </w:p>
        </w:tc>
      </w:tr>
      <w:tr w14:paraId="15D56853" w14:textId="77777777" w:rsidTr="00D553E9">
        <w:tblPrEx>
          <w:tblW w:w="13225" w:type="dxa"/>
          <w:tblLayout w:type="fixed"/>
          <w:tblLook w:val="04A0"/>
        </w:tblPrEx>
        <w:trPr>
          <w:trHeight w:val="800"/>
        </w:trPr>
        <w:tc>
          <w:tcPr>
            <w:tcW w:w="1075" w:type="dxa"/>
            <w:hideMark/>
          </w:tcPr>
          <w:p w:rsidR="00B00E33" w:rsidRPr="0039217D" w:rsidP="00432DCE" w14:paraId="3E84FFEB" w14:textId="77777777">
            <w:pPr>
              <w:pStyle w:val="TableCaption"/>
              <w:spacing w:after="0"/>
              <w:jc w:val="left"/>
              <w:rPr>
                <w:b w:val="0"/>
                <w:sz w:val="20"/>
                <w:szCs w:val="20"/>
              </w:rPr>
            </w:pPr>
            <w:r w:rsidRPr="0039217D">
              <w:rPr>
                <w:b w:val="0"/>
                <w:sz w:val="20"/>
                <w:szCs w:val="20"/>
              </w:rPr>
              <w:t>12.13</w:t>
            </w:r>
          </w:p>
        </w:tc>
        <w:tc>
          <w:tcPr>
            <w:tcW w:w="1659" w:type="dxa"/>
            <w:hideMark/>
          </w:tcPr>
          <w:p w:rsidR="00B00E33" w:rsidRPr="0039217D" w:rsidP="00432DCE" w14:paraId="0F5AA72D" w14:textId="77777777">
            <w:pPr>
              <w:pStyle w:val="TableCaption"/>
              <w:spacing w:after="0"/>
              <w:rPr>
                <w:b w:val="0"/>
                <w:sz w:val="20"/>
                <w:szCs w:val="20"/>
              </w:rPr>
            </w:pPr>
            <w:r w:rsidRPr="0039217D">
              <w:rPr>
                <w:b w:val="0"/>
                <w:sz w:val="20"/>
                <w:szCs w:val="20"/>
              </w:rPr>
              <w:t>438.10(g), Information Requirements</w:t>
            </w:r>
          </w:p>
        </w:tc>
        <w:tc>
          <w:tcPr>
            <w:tcW w:w="1491" w:type="dxa"/>
            <w:noWrap/>
            <w:hideMark/>
          </w:tcPr>
          <w:p w:rsidR="00B00E33" w:rsidRPr="0039217D" w:rsidP="00432DCE" w14:paraId="23CC23CB" w14:textId="7EEC99B2">
            <w:pPr>
              <w:pStyle w:val="TableCaption"/>
              <w:spacing w:after="0"/>
              <w:jc w:val="left"/>
              <w:rPr>
                <w:b w:val="0"/>
                <w:bCs/>
                <w:sz w:val="20"/>
                <w:szCs w:val="20"/>
              </w:rPr>
            </w:pPr>
            <w:r w:rsidRPr="0039217D">
              <w:rPr>
                <w:b w:val="0"/>
                <w:bCs/>
                <w:sz w:val="20"/>
                <w:szCs w:val="20"/>
              </w:rPr>
              <w:t>496</w:t>
            </w:r>
          </w:p>
        </w:tc>
        <w:tc>
          <w:tcPr>
            <w:tcW w:w="1159" w:type="dxa"/>
            <w:noWrap/>
            <w:hideMark/>
          </w:tcPr>
          <w:p w:rsidR="00B00E33" w:rsidRPr="0039217D" w:rsidP="00432DCE" w14:paraId="6985F04B" w14:textId="3F9FFB8F">
            <w:pPr>
              <w:pStyle w:val="TableCaption"/>
              <w:spacing w:after="0"/>
              <w:jc w:val="left"/>
              <w:rPr>
                <w:b w:val="0"/>
                <w:bCs/>
                <w:sz w:val="20"/>
                <w:szCs w:val="20"/>
              </w:rPr>
            </w:pPr>
            <w:r w:rsidRPr="0039217D">
              <w:rPr>
                <w:b w:val="0"/>
                <w:bCs/>
                <w:sz w:val="20"/>
                <w:szCs w:val="20"/>
              </w:rPr>
              <w:t>496</w:t>
            </w:r>
          </w:p>
        </w:tc>
        <w:tc>
          <w:tcPr>
            <w:tcW w:w="1181" w:type="dxa"/>
            <w:hideMark/>
          </w:tcPr>
          <w:p w:rsidR="00B00E33" w:rsidRPr="0039217D" w:rsidP="00432DCE" w14:paraId="52606D5F" w14:textId="48CC1AAE">
            <w:pPr>
              <w:pStyle w:val="TableCaption"/>
              <w:spacing w:after="0"/>
              <w:jc w:val="left"/>
              <w:rPr>
                <w:b w:val="0"/>
                <w:bCs/>
                <w:sz w:val="20"/>
                <w:szCs w:val="20"/>
              </w:rPr>
            </w:pPr>
            <w:r w:rsidRPr="0039217D">
              <w:rPr>
                <w:b w:val="0"/>
                <w:bCs/>
                <w:sz w:val="20"/>
                <w:szCs w:val="20"/>
              </w:rPr>
              <w:t>1</w:t>
            </w:r>
          </w:p>
        </w:tc>
        <w:tc>
          <w:tcPr>
            <w:tcW w:w="1514" w:type="dxa"/>
            <w:noWrap/>
            <w:hideMark/>
          </w:tcPr>
          <w:p w:rsidR="00B00E33" w:rsidRPr="0039217D" w:rsidP="00432DCE" w14:paraId="5850C694" w14:textId="4BAD37C7">
            <w:pPr>
              <w:pStyle w:val="TableCaption"/>
              <w:spacing w:after="0"/>
              <w:jc w:val="left"/>
              <w:rPr>
                <w:b w:val="0"/>
                <w:bCs/>
                <w:sz w:val="20"/>
                <w:szCs w:val="20"/>
              </w:rPr>
            </w:pPr>
            <w:r w:rsidRPr="0039217D">
              <w:rPr>
                <w:b w:val="0"/>
                <w:bCs/>
                <w:sz w:val="20"/>
                <w:szCs w:val="20"/>
              </w:rPr>
              <w:t>496</w:t>
            </w:r>
          </w:p>
        </w:tc>
        <w:tc>
          <w:tcPr>
            <w:tcW w:w="1062" w:type="dxa"/>
            <w:hideMark/>
          </w:tcPr>
          <w:p w:rsidR="00B00E33" w:rsidRPr="0039217D" w:rsidP="00432DCE" w14:paraId="2DDEF947" w14:textId="3BC3EB98">
            <w:pPr>
              <w:pStyle w:val="TableCaption"/>
              <w:spacing w:after="0"/>
              <w:jc w:val="left"/>
              <w:rPr>
                <w:b w:val="0"/>
                <w:bCs/>
                <w:sz w:val="20"/>
                <w:szCs w:val="20"/>
              </w:rPr>
            </w:pPr>
            <w:r w:rsidRPr="0039217D">
              <w:rPr>
                <w:b w:val="0"/>
                <w:bCs/>
                <w:sz w:val="20"/>
                <w:szCs w:val="20"/>
              </w:rPr>
              <w:t>89.26</w:t>
            </w:r>
          </w:p>
        </w:tc>
        <w:tc>
          <w:tcPr>
            <w:tcW w:w="1625" w:type="dxa"/>
            <w:noWrap/>
            <w:hideMark/>
          </w:tcPr>
          <w:p w:rsidR="00B00E33" w:rsidRPr="0039217D" w:rsidP="00432DCE" w14:paraId="5E0DE6A4" w14:textId="10DE8B7E">
            <w:pPr>
              <w:pStyle w:val="TableCaption"/>
              <w:spacing w:after="0"/>
              <w:jc w:val="left"/>
              <w:rPr>
                <w:b w:val="0"/>
                <w:bCs/>
                <w:sz w:val="20"/>
                <w:szCs w:val="20"/>
              </w:rPr>
            </w:pPr>
            <w:r w:rsidRPr="0039217D">
              <w:rPr>
                <w:b w:val="0"/>
                <w:bCs/>
                <w:sz w:val="20"/>
                <w:szCs w:val="20"/>
              </w:rPr>
              <w:t>44,27</w:t>
            </w:r>
            <w:r w:rsidRPr="0039217D" w:rsidR="00290EB8">
              <w:rPr>
                <w:b w:val="0"/>
                <w:bCs/>
                <w:sz w:val="20"/>
                <w:szCs w:val="20"/>
              </w:rPr>
              <w:t>2</w:t>
            </w:r>
          </w:p>
        </w:tc>
        <w:tc>
          <w:tcPr>
            <w:tcW w:w="1199" w:type="dxa"/>
            <w:hideMark/>
          </w:tcPr>
          <w:p w:rsidR="00B00E33" w:rsidRPr="0039217D" w:rsidP="00432DCE" w14:paraId="56561737" w14:textId="77777777">
            <w:pPr>
              <w:pStyle w:val="TableCaption"/>
              <w:spacing w:after="0"/>
              <w:jc w:val="left"/>
              <w:rPr>
                <w:b w:val="0"/>
                <w:sz w:val="20"/>
                <w:szCs w:val="20"/>
              </w:rPr>
            </w:pPr>
            <w:r w:rsidRPr="0039217D">
              <w:rPr>
                <w:b w:val="0"/>
                <w:sz w:val="20"/>
                <w:szCs w:val="20"/>
              </w:rPr>
              <w:t>TPD</w:t>
            </w:r>
          </w:p>
        </w:tc>
        <w:tc>
          <w:tcPr>
            <w:tcW w:w="1260" w:type="dxa"/>
            <w:hideMark/>
          </w:tcPr>
          <w:p w:rsidR="00B00E33" w:rsidRPr="0039217D" w:rsidP="00432DCE" w14:paraId="3FC57990" w14:textId="77777777">
            <w:pPr>
              <w:pStyle w:val="TableCaption"/>
              <w:spacing w:after="0"/>
              <w:jc w:val="left"/>
              <w:rPr>
                <w:b w:val="0"/>
                <w:sz w:val="20"/>
                <w:szCs w:val="20"/>
              </w:rPr>
            </w:pPr>
            <w:r w:rsidRPr="0039217D">
              <w:rPr>
                <w:b w:val="0"/>
                <w:sz w:val="20"/>
                <w:szCs w:val="20"/>
              </w:rPr>
              <w:t>Annual</w:t>
            </w:r>
          </w:p>
        </w:tc>
      </w:tr>
      <w:tr w14:paraId="756174CD" w14:textId="77777777" w:rsidTr="00D553E9">
        <w:tblPrEx>
          <w:tblW w:w="13225" w:type="dxa"/>
          <w:tblLayout w:type="fixed"/>
          <w:tblLook w:val="04A0"/>
        </w:tblPrEx>
        <w:trPr>
          <w:trHeight w:val="791"/>
        </w:trPr>
        <w:tc>
          <w:tcPr>
            <w:tcW w:w="1075" w:type="dxa"/>
            <w:hideMark/>
          </w:tcPr>
          <w:p w:rsidR="00B00E33" w:rsidRPr="0063628F" w:rsidP="00432DCE" w14:paraId="370FF7EB" w14:textId="77777777">
            <w:pPr>
              <w:pStyle w:val="TableCaption"/>
              <w:spacing w:after="0"/>
              <w:jc w:val="left"/>
              <w:rPr>
                <w:b w:val="0"/>
                <w:sz w:val="20"/>
                <w:szCs w:val="20"/>
              </w:rPr>
            </w:pPr>
            <w:r w:rsidRPr="0063628F">
              <w:rPr>
                <w:b w:val="0"/>
                <w:sz w:val="20"/>
                <w:szCs w:val="20"/>
              </w:rPr>
              <w:t>12.15</w:t>
            </w:r>
          </w:p>
        </w:tc>
        <w:tc>
          <w:tcPr>
            <w:tcW w:w="1659" w:type="dxa"/>
            <w:hideMark/>
          </w:tcPr>
          <w:p w:rsidR="00B00E33" w:rsidRPr="0063628F" w:rsidP="00432DCE" w14:paraId="7AA6BBF3" w14:textId="77777777">
            <w:pPr>
              <w:pStyle w:val="TableCaption"/>
              <w:spacing w:after="0"/>
              <w:rPr>
                <w:b w:val="0"/>
                <w:sz w:val="20"/>
                <w:szCs w:val="20"/>
              </w:rPr>
            </w:pPr>
            <w:r w:rsidRPr="0063628F">
              <w:rPr>
                <w:b w:val="0"/>
                <w:sz w:val="20"/>
                <w:szCs w:val="20"/>
              </w:rPr>
              <w:t>438.12, Provider Discrimination Prohibited</w:t>
            </w:r>
          </w:p>
        </w:tc>
        <w:tc>
          <w:tcPr>
            <w:tcW w:w="1491" w:type="dxa"/>
            <w:noWrap/>
            <w:hideMark/>
          </w:tcPr>
          <w:p w:rsidR="00B00E33" w:rsidRPr="0063628F" w:rsidP="00432DCE" w14:paraId="6985415A" w14:textId="46150A57">
            <w:pPr>
              <w:pStyle w:val="TableCaption"/>
              <w:spacing w:after="0"/>
              <w:jc w:val="left"/>
              <w:rPr>
                <w:b w:val="0"/>
                <w:bCs/>
                <w:sz w:val="20"/>
                <w:szCs w:val="20"/>
              </w:rPr>
            </w:pPr>
            <w:r w:rsidRPr="00B84A04">
              <w:rPr>
                <w:b w:val="0"/>
                <w:bCs/>
                <w:sz w:val="20"/>
                <w:szCs w:val="20"/>
              </w:rPr>
              <w:t>670</w:t>
            </w:r>
          </w:p>
        </w:tc>
        <w:tc>
          <w:tcPr>
            <w:tcW w:w="1159" w:type="dxa"/>
            <w:noWrap/>
            <w:hideMark/>
          </w:tcPr>
          <w:p w:rsidR="00B00E33" w:rsidRPr="0063628F" w:rsidP="00432DCE" w14:paraId="3828FF13" w14:textId="303A8991">
            <w:pPr>
              <w:pStyle w:val="TableCaption"/>
              <w:spacing w:after="0"/>
              <w:jc w:val="left"/>
              <w:rPr>
                <w:b w:val="0"/>
                <w:bCs/>
                <w:sz w:val="20"/>
                <w:szCs w:val="20"/>
              </w:rPr>
            </w:pPr>
            <w:r w:rsidRPr="00B84A04">
              <w:rPr>
                <w:b w:val="0"/>
                <w:bCs/>
                <w:sz w:val="20"/>
                <w:szCs w:val="20"/>
              </w:rPr>
              <w:t>6,700</w:t>
            </w:r>
          </w:p>
        </w:tc>
        <w:tc>
          <w:tcPr>
            <w:tcW w:w="1181" w:type="dxa"/>
            <w:hideMark/>
          </w:tcPr>
          <w:p w:rsidR="00B00E33" w:rsidRPr="0063628F" w:rsidP="00432DCE" w14:paraId="17CE4C87" w14:textId="50BC50F9">
            <w:pPr>
              <w:pStyle w:val="TableCaption"/>
              <w:spacing w:after="0"/>
              <w:jc w:val="left"/>
              <w:rPr>
                <w:b w:val="0"/>
                <w:bCs/>
                <w:sz w:val="20"/>
                <w:szCs w:val="20"/>
              </w:rPr>
            </w:pPr>
            <w:r w:rsidRPr="00B84A04">
              <w:rPr>
                <w:b w:val="0"/>
                <w:bCs/>
                <w:sz w:val="20"/>
                <w:szCs w:val="20"/>
              </w:rPr>
              <w:t>0.0167</w:t>
            </w:r>
          </w:p>
        </w:tc>
        <w:tc>
          <w:tcPr>
            <w:tcW w:w="1514" w:type="dxa"/>
            <w:noWrap/>
            <w:hideMark/>
          </w:tcPr>
          <w:p w:rsidR="00B00E33" w:rsidRPr="0063628F" w:rsidP="00432DCE" w14:paraId="605A9B9A" w14:textId="637B3D5E">
            <w:pPr>
              <w:pStyle w:val="TableCaption"/>
              <w:spacing w:after="0"/>
              <w:jc w:val="left"/>
              <w:rPr>
                <w:b w:val="0"/>
                <w:bCs/>
                <w:sz w:val="20"/>
                <w:szCs w:val="20"/>
              </w:rPr>
            </w:pPr>
            <w:r w:rsidRPr="00B84A04">
              <w:rPr>
                <w:b w:val="0"/>
                <w:bCs/>
                <w:sz w:val="20"/>
                <w:szCs w:val="20"/>
              </w:rPr>
              <w:t>112</w:t>
            </w:r>
          </w:p>
        </w:tc>
        <w:tc>
          <w:tcPr>
            <w:tcW w:w="1062" w:type="dxa"/>
            <w:hideMark/>
          </w:tcPr>
          <w:p w:rsidR="00B00E33" w:rsidRPr="0063628F" w:rsidP="00432DCE" w14:paraId="0F104481" w14:textId="663203A7">
            <w:pPr>
              <w:pStyle w:val="TableCaption"/>
              <w:spacing w:after="0"/>
              <w:jc w:val="left"/>
              <w:rPr>
                <w:b w:val="0"/>
                <w:bCs/>
                <w:sz w:val="20"/>
                <w:szCs w:val="20"/>
              </w:rPr>
            </w:pPr>
            <w:r>
              <w:rPr>
                <w:b w:val="0"/>
                <w:bCs/>
                <w:sz w:val="20"/>
                <w:szCs w:val="20"/>
              </w:rPr>
              <w:t>40.06</w:t>
            </w:r>
          </w:p>
        </w:tc>
        <w:tc>
          <w:tcPr>
            <w:tcW w:w="1625" w:type="dxa"/>
            <w:noWrap/>
            <w:hideMark/>
          </w:tcPr>
          <w:p w:rsidR="00B00E33" w:rsidRPr="0063628F" w:rsidP="00432DCE" w14:paraId="7E20CF5E" w14:textId="263DECAE">
            <w:pPr>
              <w:pStyle w:val="TableCaption"/>
              <w:spacing w:after="0"/>
              <w:jc w:val="left"/>
              <w:rPr>
                <w:b w:val="0"/>
                <w:bCs/>
                <w:sz w:val="20"/>
                <w:szCs w:val="20"/>
              </w:rPr>
            </w:pPr>
            <w:r>
              <w:rPr>
                <w:b w:val="0"/>
                <w:bCs/>
                <w:sz w:val="20"/>
                <w:szCs w:val="20"/>
              </w:rPr>
              <w:t>4,487</w:t>
            </w:r>
          </w:p>
        </w:tc>
        <w:tc>
          <w:tcPr>
            <w:tcW w:w="1199" w:type="dxa"/>
            <w:hideMark/>
          </w:tcPr>
          <w:p w:rsidR="00B00E33" w:rsidRPr="0063628F" w:rsidP="00432DCE" w14:paraId="4BC0466E" w14:textId="77777777">
            <w:pPr>
              <w:pStyle w:val="TableCaption"/>
              <w:spacing w:after="0"/>
              <w:jc w:val="left"/>
              <w:rPr>
                <w:b w:val="0"/>
                <w:sz w:val="20"/>
                <w:szCs w:val="20"/>
              </w:rPr>
            </w:pPr>
            <w:r w:rsidRPr="0063628F">
              <w:rPr>
                <w:b w:val="0"/>
                <w:sz w:val="20"/>
                <w:szCs w:val="20"/>
              </w:rPr>
              <w:t>TPD</w:t>
            </w:r>
          </w:p>
        </w:tc>
        <w:tc>
          <w:tcPr>
            <w:tcW w:w="1260" w:type="dxa"/>
            <w:hideMark/>
          </w:tcPr>
          <w:p w:rsidR="00B00E33" w:rsidRPr="0063628F" w:rsidP="00432DCE" w14:paraId="2A5AB86A" w14:textId="77777777">
            <w:pPr>
              <w:pStyle w:val="TableCaption"/>
              <w:spacing w:after="0"/>
              <w:jc w:val="left"/>
              <w:rPr>
                <w:b w:val="0"/>
                <w:sz w:val="20"/>
                <w:szCs w:val="20"/>
              </w:rPr>
            </w:pPr>
            <w:r w:rsidRPr="0063628F">
              <w:rPr>
                <w:b w:val="0"/>
                <w:sz w:val="20"/>
                <w:szCs w:val="20"/>
              </w:rPr>
              <w:t>Annual</w:t>
            </w:r>
          </w:p>
        </w:tc>
      </w:tr>
      <w:tr w14:paraId="22B0211F" w14:textId="77777777" w:rsidTr="00D553E9">
        <w:tblPrEx>
          <w:tblW w:w="13225" w:type="dxa"/>
          <w:tblLayout w:type="fixed"/>
          <w:tblLook w:val="04A0"/>
        </w:tblPrEx>
        <w:trPr>
          <w:trHeight w:val="809"/>
        </w:trPr>
        <w:tc>
          <w:tcPr>
            <w:tcW w:w="1075" w:type="dxa"/>
            <w:hideMark/>
          </w:tcPr>
          <w:p w:rsidR="00B00E33" w:rsidRPr="0063628F" w:rsidP="00432DCE" w14:paraId="36CAC273" w14:textId="77777777">
            <w:pPr>
              <w:pStyle w:val="TableCaption"/>
              <w:spacing w:after="0"/>
              <w:jc w:val="left"/>
              <w:rPr>
                <w:b w:val="0"/>
                <w:sz w:val="20"/>
                <w:szCs w:val="20"/>
              </w:rPr>
            </w:pPr>
            <w:r w:rsidRPr="0063628F">
              <w:rPr>
                <w:b w:val="0"/>
                <w:sz w:val="20"/>
                <w:szCs w:val="20"/>
              </w:rPr>
              <w:t>12.32</w:t>
            </w:r>
          </w:p>
        </w:tc>
        <w:tc>
          <w:tcPr>
            <w:tcW w:w="1659" w:type="dxa"/>
            <w:hideMark/>
          </w:tcPr>
          <w:p w:rsidR="00B00E33" w:rsidRPr="0063628F" w:rsidP="00432DCE" w14:paraId="1B9297DC" w14:textId="77777777">
            <w:pPr>
              <w:pStyle w:val="TableCaption"/>
              <w:spacing w:after="0"/>
              <w:rPr>
                <w:b w:val="0"/>
                <w:sz w:val="20"/>
                <w:szCs w:val="20"/>
              </w:rPr>
            </w:pPr>
            <w:r w:rsidRPr="0063628F">
              <w:rPr>
                <w:b w:val="0"/>
                <w:sz w:val="20"/>
                <w:szCs w:val="20"/>
              </w:rPr>
              <w:t>438.102, Provider Enrollee Communications</w:t>
            </w:r>
          </w:p>
        </w:tc>
        <w:tc>
          <w:tcPr>
            <w:tcW w:w="1491" w:type="dxa"/>
            <w:noWrap/>
            <w:hideMark/>
          </w:tcPr>
          <w:p w:rsidR="00B00E33" w:rsidRPr="0063628F" w:rsidP="00432DCE" w14:paraId="61D8A3D8" w14:textId="30FD9766">
            <w:pPr>
              <w:pStyle w:val="TableCaption"/>
              <w:spacing w:after="0"/>
              <w:jc w:val="left"/>
              <w:rPr>
                <w:b w:val="0"/>
                <w:bCs/>
                <w:sz w:val="20"/>
                <w:szCs w:val="20"/>
              </w:rPr>
            </w:pPr>
            <w:r w:rsidRPr="00B84A04">
              <w:rPr>
                <w:b w:val="0"/>
                <w:bCs/>
                <w:sz w:val="20"/>
                <w:szCs w:val="20"/>
              </w:rPr>
              <w:t>3</w:t>
            </w:r>
          </w:p>
        </w:tc>
        <w:tc>
          <w:tcPr>
            <w:tcW w:w="1159" w:type="dxa"/>
            <w:noWrap/>
            <w:hideMark/>
          </w:tcPr>
          <w:p w:rsidR="00B00E33" w:rsidRPr="0063628F" w:rsidP="00432DCE" w14:paraId="4F1275E7" w14:textId="0BA5F8E1">
            <w:pPr>
              <w:pStyle w:val="TableCaption"/>
              <w:spacing w:after="0"/>
              <w:jc w:val="left"/>
              <w:rPr>
                <w:b w:val="0"/>
                <w:bCs/>
                <w:sz w:val="20"/>
                <w:szCs w:val="20"/>
              </w:rPr>
            </w:pPr>
            <w:r w:rsidRPr="00B84A04">
              <w:rPr>
                <w:b w:val="0"/>
                <w:bCs/>
                <w:sz w:val="20"/>
                <w:szCs w:val="20"/>
              </w:rPr>
              <w:t>75,000</w:t>
            </w:r>
          </w:p>
        </w:tc>
        <w:tc>
          <w:tcPr>
            <w:tcW w:w="1181" w:type="dxa"/>
            <w:hideMark/>
          </w:tcPr>
          <w:p w:rsidR="00B00E33" w:rsidRPr="0063628F" w:rsidP="00432DCE" w14:paraId="1241EFFE" w14:textId="79497486">
            <w:pPr>
              <w:pStyle w:val="TableCaption"/>
              <w:spacing w:after="0"/>
              <w:jc w:val="left"/>
              <w:rPr>
                <w:b w:val="0"/>
                <w:bCs/>
                <w:sz w:val="20"/>
                <w:szCs w:val="20"/>
              </w:rPr>
            </w:pPr>
            <w:r w:rsidRPr="00B84A04">
              <w:rPr>
                <w:b w:val="0"/>
                <w:bCs/>
                <w:sz w:val="20"/>
                <w:szCs w:val="20"/>
              </w:rPr>
              <w:t>0.0167</w:t>
            </w:r>
          </w:p>
        </w:tc>
        <w:tc>
          <w:tcPr>
            <w:tcW w:w="1514" w:type="dxa"/>
            <w:noWrap/>
            <w:hideMark/>
          </w:tcPr>
          <w:p w:rsidR="00B00E33" w:rsidRPr="0063628F" w:rsidP="00432DCE" w14:paraId="06A0AB49" w14:textId="12084001">
            <w:pPr>
              <w:pStyle w:val="TableCaption"/>
              <w:spacing w:after="0"/>
              <w:jc w:val="left"/>
              <w:rPr>
                <w:b w:val="0"/>
                <w:bCs/>
                <w:sz w:val="20"/>
                <w:szCs w:val="20"/>
              </w:rPr>
            </w:pPr>
            <w:r w:rsidRPr="00B84A04">
              <w:rPr>
                <w:b w:val="0"/>
                <w:bCs/>
                <w:sz w:val="20"/>
                <w:szCs w:val="20"/>
              </w:rPr>
              <w:t>1,253</w:t>
            </w:r>
          </w:p>
        </w:tc>
        <w:tc>
          <w:tcPr>
            <w:tcW w:w="1062" w:type="dxa"/>
            <w:hideMark/>
          </w:tcPr>
          <w:p w:rsidR="00B00E33" w:rsidRPr="0063628F" w:rsidP="00432DCE" w14:paraId="5CD7B1FC" w14:textId="27C30AEA">
            <w:pPr>
              <w:pStyle w:val="TableCaption"/>
              <w:spacing w:after="0"/>
              <w:jc w:val="left"/>
              <w:rPr>
                <w:b w:val="0"/>
                <w:bCs/>
                <w:sz w:val="20"/>
                <w:szCs w:val="20"/>
              </w:rPr>
            </w:pPr>
            <w:r>
              <w:rPr>
                <w:b w:val="0"/>
                <w:bCs/>
                <w:sz w:val="20"/>
                <w:szCs w:val="20"/>
              </w:rPr>
              <w:t>40.06</w:t>
            </w:r>
          </w:p>
        </w:tc>
        <w:tc>
          <w:tcPr>
            <w:tcW w:w="1625" w:type="dxa"/>
            <w:noWrap/>
            <w:hideMark/>
          </w:tcPr>
          <w:p w:rsidR="00B00E33" w:rsidRPr="0063628F" w:rsidP="00432DCE" w14:paraId="59D3FFAA" w14:textId="264A284E">
            <w:pPr>
              <w:pStyle w:val="TableCaption"/>
              <w:spacing w:after="0"/>
              <w:jc w:val="left"/>
              <w:rPr>
                <w:b w:val="0"/>
                <w:bCs/>
                <w:sz w:val="20"/>
                <w:szCs w:val="20"/>
              </w:rPr>
            </w:pPr>
            <w:r>
              <w:rPr>
                <w:b w:val="0"/>
                <w:bCs/>
                <w:sz w:val="20"/>
                <w:szCs w:val="20"/>
              </w:rPr>
              <w:t>50,1</w:t>
            </w:r>
            <w:r w:rsidR="0079468E">
              <w:rPr>
                <w:b w:val="0"/>
                <w:bCs/>
                <w:sz w:val="20"/>
                <w:szCs w:val="20"/>
              </w:rPr>
              <w:t>95</w:t>
            </w:r>
          </w:p>
        </w:tc>
        <w:tc>
          <w:tcPr>
            <w:tcW w:w="1199" w:type="dxa"/>
            <w:hideMark/>
          </w:tcPr>
          <w:p w:rsidR="00B00E33" w:rsidRPr="0063628F" w:rsidP="00432DCE" w14:paraId="350404E9" w14:textId="77777777">
            <w:pPr>
              <w:pStyle w:val="TableCaption"/>
              <w:spacing w:after="0"/>
              <w:jc w:val="left"/>
              <w:rPr>
                <w:b w:val="0"/>
                <w:sz w:val="20"/>
                <w:szCs w:val="20"/>
              </w:rPr>
            </w:pPr>
            <w:r w:rsidRPr="0063628F">
              <w:rPr>
                <w:b w:val="0"/>
                <w:sz w:val="20"/>
                <w:szCs w:val="20"/>
              </w:rPr>
              <w:t>TPD</w:t>
            </w:r>
          </w:p>
        </w:tc>
        <w:tc>
          <w:tcPr>
            <w:tcW w:w="1260" w:type="dxa"/>
            <w:hideMark/>
          </w:tcPr>
          <w:p w:rsidR="00B00E33" w:rsidRPr="0063628F" w:rsidP="00432DCE" w14:paraId="763D248D" w14:textId="77777777">
            <w:pPr>
              <w:pStyle w:val="TableCaption"/>
              <w:spacing w:after="0"/>
              <w:jc w:val="left"/>
              <w:rPr>
                <w:b w:val="0"/>
                <w:sz w:val="20"/>
                <w:szCs w:val="20"/>
              </w:rPr>
            </w:pPr>
            <w:r w:rsidRPr="0063628F">
              <w:rPr>
                <w:b w:val="0"/>
                <w:sz w:val="20"/>
                <w:szCs w:val="20"/>
              </w:rPr>
              <w:t>Annual</w:t>
            </w:r>
          </w:p>
        </w:tc>
      </w:tr>
      <w:tr w14:paraId="2136411C" w14:textId="77777777" w:rsidTr="003878CC">
        <w:tblPrEx>
          <w:tblW w:w="13225" w:type="dxa"/>
          <w:tblLayout w:type="fixed"/>
          <w:tblLook w:val="04A0"/>
        </w:tblPrEx>
        <w:trPr>
          <w:trHeight w:val="1342"/>
        </w:trPr>
        <w:tc>
          <w:tcPr>
            <w:tcW w:w="1075" w:type="dxa"/>
            <w:hideMark/>
          </w:tcPr>
          <w:p w:rsidR="00892648" w:rsidRPr="0063628F" w:rsidP="00432DCE" w14:paraId="59F36B51" w14:textId="77777777">
            <w:pPr>
              <w:pStyle w:val="TableCaption"/>
              <w:spacing w:after="0"/>
              <w:jc w:val="left"/>
              <w:rPr>
                <w:b w:val="0"/>
                <w:sz w:val="20"/>
                <w:szCs w:val="20"/>
              </w:rPr>
            </w:pPr>
            <w:r w:rsidRPr="0063628F">
              <w:rPr>
                <w:b w:val="0"/>
                <w:sz w:val="20"/>
                <w:szCs w:val="20"/>
              </w:rPr>
              <w:t>12.35</w:t>
            </w:r>
          </w:p>
        </w:tc>
        <w:tc>
          <w:tcPr>
            <w:tcW w:w="1659" w:type="dxa"/>
            <w:hideMark/>
          </w:tcPr>
          <w:p w:rsidR="00892648" w:rsidRPr="0063628F" w:rsidP="00432DCE" w14:paraId="413ECBB2" w14:textId="77777777">
            <w:pPr>
              <w:pStyle w:val="TableCaption"/>
              <w:spacing w:after="0"/>
              <w:rPr>
                <w:b w:val="0"/>
                <w:sz w:val="20"/>
                <w:szCs w:val="20"/>
              </w:rPr>
            </w:pPr>
            <w:r w:rsidRPr="0063628F">
              <w:rPr>
                <w:b w:val="0"/>
                <w:sz w:val="20"/>
                <w:szCs w:val="20"/>
              </w:rPr>
              <w:t>438.208(b)(2)(iii)</w:t>
            </w:r>
          </w:p>
          <w:p w:rsidR="00892648" w:rsidRPr="0063628F" w:rsidP="00432DCE" w14:paraId="6A68E015" w14:textId="1435E69E">
            <w:pPr>
              <w:pStyle w:val="TableCaption"/>
              <w:spacing w:after="0"/>
              <w:rPr>
                <w:b w:val="0"/>
                <w:sz w:val="20"/>
                <w:szCs w:val="20"/>
              </w:rPr>
            </w:pPr>
            <w:r w:rsidRPr="0063628F">
              <w:rPr>
                <w:b w:val="0"/>
                <w:sz w:val="20"/>
                <w:szCs w:val="20"/>
              </w:rPr>
              <w:t>Care Coordination</w:t>
            </w:r>
          </w:p>
        </w:tc>
        <w:tc>
          <w:tcPr>
            <w:tcW w:w="1491" w:type="dxa"/>
            <w:hideMark/>
          </w:tcPr>
          <w:p w:rsidR="00892648" w:rsidRPr="0063628F" w:rsidP="00432DCE" w14:paraId="2AD942B7" w14:textId="2CEB7F0F">
            <w:pPr>
              <w:pStyle w:val="TableCaption"/>
              <w:spacing w:after="0"/>
              <w:jc w:val="left"/>
              <w:rPr>
                <w:b w:val="0"/>
                <w:bCs/>
                <w:sz w:val="20"/>
                <w:szCs w:val="20"/>
              </w:rPr>
            </w:pPr>
            <w:r w:rsidRPr="00B84A04">
              <w:rPr>
                <w:b w:val="0"/>
                <w:bCs/>
                <w:sz w:val="20"/>
                <w:szCs w:val="20"/>
              </w:rPr>
              <w:t>488</w:t>
            </w:r>
          </w:p>
          <w:p w:rsidR="00892648" w:rsidRPr="0063628F" w:rsidP="00432DCE" w14:paraId="546987C7" w14:textId="2A160C0E">
            <w:pPr>
              <w:pStyle w:val="TableCaption"/>
              <w:spacing w:after="0"/>
              <w:jc w:val="left"/>
              <w:rPr>
                <w:b w:val="0"/>
                <w:bCs/>
                <w:sz w:val="20"/>
                <w:szCs w:val="20"/>
              </w:rPr>
            </w:pPr>
          </w:p>
        </w:tc>
        <w:tc>
          <w:tcPr>
            <w:tcW w:w="1159" w:type="dxa"/>
            <w:noWrap/>
            <w:hideMark/>
          </w:tcPr>
          <w:p w:rsidR="00892648" w:rsidRPr="0063628F" w:rsidP="00432DCE" w14:paraId="31CE4F6F" w14:textId="617639AA">
            <w:pPr>
              <w:pStyle w:val="TableCaption"/>
              <w:spacing w:after="0"/>
              <w:jc w:val="left"/>
              <w:rPr>
                <w:b w:val="0"/>
                <w:bCs/>
                <w:sz w:val="20"/>
                <w:szCs w:val="20"/>
              </w:rPr>
            </w:pPr>
            <w:r w:rsidRPr="00B84A04">
              <w:rPr>
                <w:b w:val="0"/>
                <w:bCs/>
                <w:sz w:val="20"/>
                <w:szCs w:val="20"/>
              </w:rPr>
              <w:t>3,030,655</w:t>
            </w:r>
          </w:p>
          <w:p w:rsidR="00892648" w:rsidRPr="0063628F" w:rsidP="00432DCE" w14:paraId="6F8ACAB0" w14:textId="5CFB5A91">
            <w:pPr>
              <w:pStyle w:val="TableCaption"/>
              <w:spacing w:after="0"/>
              <w:jc w:val="left"/>
              <w:rPr>
                <w:b w:val="0"/>
                <w:bCs/>
                <w:sz w:val="20"/>
                <w:szCs w:val="20"/>
              </w:rPr>
            </w:pPr>
          </w:p>
        </w:tc>
        <w:tc>
          <w:tcPr>
            <w:tcW w:w="1181" w:type="dxa"/>
            <w:hideMark/>
          </w:tcPr>
          <w:p w:rsidR="00892648" w:rsidRPr="0063628F" w:rsidP="00432DCE" w14:paraId="21F711E8" w14:textId="0F8F1916">
            <w:pPr>
              <w:pStyle w:val="TableCaption"/>
              <w:spacing w:after="0"/>
              <w:jc w:val="left"/>
              <w:rPr>
                <w:b w:val="0"/>
                <w:bCs/>
                <w:sz w:val="20"/>
                <w:szCs w:val="20"/>
              </w:rPr>
            </w:pPr>
            <w:r w:rsidRPr="00B84A04">
              <w:rPr>
                <w:b w:val="0"/>
                <w:bCs/>
                <w:sz w:val="20"/>
                <w:szCs w:val="20"/>
              </w:rPr>
              <w:t>0.1667</w:t>
            </w:r>
          </w:p>
          <w:p w:rsidR="00892648" w:rsidRPr="0063628F" w:rsidP="00432DCE" w14:paraId="3A8EA345" w14:textId="1EEDC04D">
            <w:pPr>
              <w:pStyle w:val="TableCaption"/>
              <w:spacing w:after="0"/>
              <w:jc w:val="left"/>
              <w:rPr>
                <w:b w:val="0"/>
                <w:bCs/>
                <w:sz w:val="20"/>
                <w:szCs w:val="20"/>
              </w:rPr>
            </w:pPr>
          </w:p>
        </w:tc>
        <w:tc>
          <w:tcPr>
            <w:tcW w:w="1514" w:type="dxa"/>
            <w:noWrap/>
            <w:hideMark/>
          </w:tcPr>
          <w:p w:rsidR="00892648" w:rsidRPr="0063628F" w:rsidP="00432DCE" w14:paraId="0D1A661C" w14:textId="77777777">
            <w:pPr>
              <w:pStyle w:val="TableCaption"/>
              <w:spacing w:after="0"/>
              <w:jc w:val="left"/>
              <w:rPr>
                <w:b w:val="0"/>
                <w:bCs/>
                <w:sz w:val="20"/>
                <w:szCs w:val="20"/>
              </w:rPr>
            </w:pPr>
            <w:r w:rsidRPr="0063628F">
              <w:rPr>
                <w:b w:val="0"/>
                <w:bCs/>
                <w:sz w:val="20"/>
                <w:szCs w:val="20"/>
              </w:rPr>
              <w:t>505,210</w:t>
            </w:r>
          </w:p>
        </w:tc>
        <w:tc>
          <w:tcPr>
            <w:tcW w:w="1062" w:type="dxa"/>
            <w:hideMark/>
          </w:tcPr>
          <w:p w:rsidR="00892648" w:rsidRPr="0063628F" w:rsidP="00432DCE" w14:paraId="7983D66A" w14:textId="00868668">
            <w:pPr>
              <w:pStyle w:val="TableCaption"/>
              <w:spacing w:after="0"/>
              <w:jc w:val="left"/>
              <w:rPr>
                <w:b w:val="0"/>
                <w:bCs/>
                <w:sz w:val="20"/>
                <w:szCs w:val="20"/>
              </w:rPr>
            </w:pPr>
            <w:r>
              <w:rPr>
                <w:b w:val="0"/>
                <w:bCs/>
                <w:sz w:val="20"/>
                <w:szCs w:val="20"/>
              </w:rPr>
              <w:t>69.02</w:t>
            </w:r>
          </w:p>
          <w:p w:rsidR="00892648" w:rsidRPr="0063628F" w:rsidP="00432DCE" w14:paraId="48CC040F" w14:textId="39186FBF">
            <w:pPr>
              <w:pStyle w:val="TableCaption"/>
              <w:spacing w:after="0"/>
              <w:jc w:val="left"/>
              <w:rPr>
                <w:b w:val="0"/>
                <w:bCs/>
                <w:sz w:val="20"/>
                <w:szCs w:val="20"/>
              </w:rPr>
            </w:pPr>
          </w:p>
        </w:tc>
        <w:tc>
          <w:tcPr>
            <w:tcW w:w="1625" w:type="dxa"/>
            <w:noWrap/>
            <w:hideMark/>
          </w:tcPr>
          <w:p w:rsidR="00892648" w:rsidRPr="0063628F" w:rsidP="00432DCE" w14:paraId="411AD735" w14:textId="472190FC">
            <w:pPr>
              <w:pStyle w:val="TableCaption"/>
              <w:spacing w:after="0"/>
              <w:jc w:val="left"/>
              <w:rPr>
                <w:b w:val="0"/>
                <w:bCs/>
                <w:sz w:val="20"/>
                <w:szCs w:val="20"/>
              </w:rPr>
            </w:pPr>
            <w:r>
              <w:rPr>
                <w:b w:val="0"/>
                <w:bCs/>
                <w:sz w:val="20"/>
                <w:szCs w:val="20"/>
              </w:rPr>
              <w:t>34,869,594</w:t>
            </w:r>
          </w:p>
          <w:p w:rsidR="00892648" w:rsidRPr="0063628F" w:rsidP="00432DCE" w14:paraId="55C47CA7" w14:textId="2B5B4734">
            <w:pPr>
              <w:pStyle w:val="TableCaption"/>
              <w:spacing w:after="0"/>
              <w:jc w:val="left"/>
              <w:rPr>
                <w:b w:val="0"/>
                <w:bCs/>
                <w:sz w:val="20"/>
                <w:szCs w:val="20"/>
              </w:rPr>
            </w:pPr>
          </w:p>
        </w:tc>
        <w:tc>
          <w:tcPr>
            <w:tcW w:w="1199" w:type="dxa"/>
            <w:hideMark/>
          </w:tcPr>
          <w:p w:rsidR="00892648" w:rsidRPr="0063628F" w:rsidP="00432DCE" w14:paraId="6DEEFE43" w14:textId="77777777">
            <w:pPr>
              <w:pStyle w:val="TableCaption"/>
              <w:spacing w:after="0"/>
              <w:jc w:val="left"/>
              <w:rPr>
                <w:b w:val="0"/>
                <w:sz w:val="20"/>
                <w:szCs w:val="20"/>
              </w:rPr>
            </w:pPr>
            <w:r w:rsidRPr="0063628F">
              <w:rPr>
                <w:b w:val="0"/>
                <w:sz w:val="20"/>
                <w:szCs w:val="20"/>
              </w:rPr>
              <w:t>TPD</w:t>
            </w:r>
          </w:p>
        </w:tc>
        <w:tc>
          <w:tcPr>
            <w:tcW w:w="1260" w:type="dxa"/>
            <w:hideMark/>
          </w:tcPr>
          <w:p w:rsidR="00892648" w:rsidRPr="0063628F" w:rsidP="00432DCE" w14:paraId="049D4A41" w14:textId="77777777">
            <w:pPr>
              <w:pStyle w:val="TableCaption"/>
              <w:spacing w:after="0"/>
              <w:jc w:val="left"/>
              <w:rPr>
                <w:b w:val="0"/>
                <w:sz w:val="20"/>
                <w:szCs w:val="20"/>
              </w:rPr>
            </w:pPr>
            <w:r w:rsidRPr="0063628F">
              <w:rPr>
                <w:b w:val="0"/>
                <w:sz w:val="20"/>
                <w:szCs w:val="20"/>
              </w:rPr>
              <w:t>Annual</w:t>
            </w:r>
          </w:p>
        </w:tc>
      </w:tr>
      <w:tr w14:paraId="085C7F27" w14:textId="77777777" w:rsidTr="003878CC">
        <w:tblPrEx>
          <w:tblW w:w="13225" w:type="dxa"/>
          <w:tblLayout w:type="fixed"/>
          <w:tblLook w:val="04A0"/>
        </w:tblPrEx>
        <w:trPr>
          <w:trHeight w:val="1342"/>
        </w:trPr>
        <w:tc>
          <w:tcPr>
            <w:tcW w:w="1075" w:type="dxa"/>
          </w:tcPr>
          <w:p w:rsidR="00892648" w:rsidRPr="0063628F" w:rsidP="00432DCE" w14:paraId="31F71F2D" w14:textId="1AA25E97">
            <w:pPr>
              <w:pStyle w:val="TableCaption"/>
              <w:spacing w:after="0"/>
              <w:jc w:val="left"/>
              <w:rPr>
                <w:b w:val="0"/>
                <w:sz w:val="20"/>
                <w:szCs w:val="20"/>
              </w:rPr>
            </w:pPr>
            <w:r>
              <w:rPr>
                <w:b w:val="0"/>
                <w:sz w:val="20"/>
                <w:szCs w:val="20"/>
              </w:rPr>
              <w:t>12.37</w:t>
            </w:r>
          </w:p>
        </w:tc>
        <w:tc>
          <w:tcPr>
            <w:tcW w:w="1659" w:type="dxa"/>
          </w:tcPr>
          <w:p w:rsidR="00892648" w:rsidP="00432DCE" w14:paraId="6CDEC074" w14:textId="77777777">
            <w:pPr>
              <w:pStyle w:val="TableCaption"/>
              <w:spacing w:after="0"/>
              <w:rPr>
                <w:b w:val="0"/>
                <w:sz w:val="20"/>
                <w:szCs w:val="20"/>
              </w:rPr>
            </w:pPr>
            <w:r w:rsidRPr="0063628F">
              <w:rPr>
                <w:b w:val="0"/>
                <w:sz w:val="20"/>
                <w:szCs w:val="20"/>
              </w:rPr>
              <w:t>438.208(b)(3)</w:t>
            </w:r>
          </w:p>
          <w:p w:rsidR="00892648" w:rsidRPr="0063628F" w:rsidP="00432DCE" w14:paraId="7073CC80" w14:textId="4FF6A2D5">
            <w:pPr>
              <w:pStyle w:val="TableCaption"/>
              <w:spacing w:after="0"/>
              <w:rPr>
                <w:b w:val="0"/>
                <w:sz w:val="20"/>
                <w:szCs w:val="20"/>
              </w:rPr>
            </w:pPr>
            <w:r>
              <w:rPr>
                <w:b w:val="0"/>
                <w:sz w:val="20"/>
                <w:szCs w:val="20"/>
              </w:rPr>
              <w:t>Care Coordination</w:t>
            </w:r>
          </w:p>
        </w:tc>
        <w:tc>
          <w:tcPr>
            <w:tcW w:w="1491" w:type="dxa"/>
          </w:tcPr>
          <w:p w:rsidR="00892648" w:rsidRPr="00B84A04" w:rsidP="00432DCE" w14:paraId="25792B76" w14:textId="3864D046">
            <w:pPr>
              <w:pStyle w:val="TableCaption"/>
              <w:spacing w:after="0"/>
              <w:jc w:val="left"/>
              <w:rPr>
                <w:b w:val="0"/>
                <w:bCs/>
                <w:sz w:val="20"/>
                <w:szCs w:val="20"/>
              </w:rPr>
            </w:pPr>
            <w:r>
              <w:rPr>
                <w:b w:val="0"/>
                <w:bCs/>
                <w:sz w:val="20"/>
                <w:szCs w:val="20"/>
              </w:rPr>
              <w:t>448</w:t>
            </w:r>
          </w:p>
        </w:tc>
        <w:tc>
          <w:tcPr>
            <w:tcW w:w="1159" w:type="dxa"/>
            <w:noWrap/>
          </w:tcPr>
          <w:p w:rsidR="00892648" w:rsidRPr="00B84A04" w:rsidP="00432DCE" w14:paraId="34850324" w14:textId="7BEB0001">
            <w:pPr>
              <w:pStyle w:val="TableCaption"/>
              <w:spacing w:after="0"/>
              <w:jc w:val="left"/>
              <w:rPr>
                <w:b w:val="0"/>
                <w:bCs/>
                <w:sz w:val="20"/>
                <w:szCs w:val="20"/>
              </w:rPr>
            </w:pPr>
            <w:r>
              <w:rPr>
                <w:b w:val="0"/>
                <w:bCs/>
                <w:sz w:val="20"/>
                <w:szCs w:val="20"/>
              </w:rPr>
              <w:t>2,000,232</w:t>
            </w:r>
          </w:p>
        </w:tc>
        <w:tc>
          <w:tcPr>
            <w:tcW w:w="1181" w:type="dxa"/>
          </w:tcPr>
          <w:p w:rsidR="00892648" w:rsidRPr="00B84A04" w:rsidP="00432DCE" w14:paraId="6DD65B89" w14:textId="4B52D30C">
            <w:pPr>
              <w:pStyle w:val="TableCaption"/>
              <w:spacing w:after="0"/>
              <w:jc w:val="left"/>
              <w:rPr>
                <w:b w:val="0"/>
                <w:bCs/>
                <w:sz w:val="20"/>
                <w:szCs w:val="20"/>
              </w:rPr>
            </w:pPr>
            <w:r>
              <w:rPr>
                <w:b w:val="0"/>
                <w:bCs/>
                <w:sz w:val="20"/>
                <w:szCs w:val="20"/>
              </w:rPr>
              <w:t>0.1667</w:t>
            </w:r>
          </w:p>
        </w:tc>
        <w:tc>
          <w:tcPr>
            <w:tcW w:w="1514" w:type="dxa"/>
            <w:noWrap/>
          </w:tcPr>
          <w:p w:rsidR="00892648" w:rsidRPr="0063628F" w:rsidP="00432DCE" w14:paraId="53828058" w14:textId="752F3201">
            <w:pPr>
              <w:pStyle w:val="TableCaption"/>
              <w:spacing w:after="0"/>
              <w:jc w:val="left"/>
              <w:rPr>
                <w:b w:val="0"/>
                <w:bCs/>
                <w:sz w:val="20"/>
                <w:szCs w:val="20"/>
              </w:rPr>
            </w:pPr>
            <w:r>
              <w:rPr>
                <w:b w:val="0"/>
                <w:bCs/>
                <w:sz w:val="20"/>
                <w:szCs w:val="20"/>
              </w:rPr>
              <w:t>333,439</w:t>
            </w:r>
          </w:p>
        </w:tc>
        <w:tc>
          <w:tcPr>
            <w:tcW w:w="1062" w:type="dxa"/>
          </w:tcPr>
          <w:p w:rsidR="00892648" w:rsidRPr="00B84A04" w:rsidP="00432DCE" w14:paraId="50828742" w14:textId="43DEFDA0">
            <w:pPr>
              <w:pStyle w:val="TableCaption"/>
              <w:spacing w:after="0"/>
              <w:jc w:val="left"/>
              <w:rPr>
                <w:b w:val="0"/>
                <w:bCs/>
                <w:sz w:val="20"/>
                <w:szCs w:val="20"/>
              </w:rPr>
            </w:pPr>
            <w:r>
              <w:rPr>
                <w:b w:val="0"/>
                <w:bCs/>
                <w:sz w:val="20"/>
                <w:szCs w:val="20"/>
              </w:rPr>
              <w:t>44.80</w:t>
            </w:r>
          </w:p>
        </w:tc>
        <w:tc>
          <w:tcPr>
            <w:tcW w:w="1625" w:type="dxa"/>
            <w:noWrap/>
          </w:tcPr>
          <w:p w:rsidR="00892648" w:rsidRPr="00B84A04" w:rsidP="00432DCE" w14:paraId="3A8BE045" w14:textId="2F9DAC40">
            <w:pPr>
              <w:pStyle w:val="TableCaption"/>
              <w:spacing w:after="0"/>
              <w:jc w:val="left"/>
              <w:rPr>
                <w:b w:val="0"/>
                <w:bCs/>
                <w:sz w:val="20"/>
                <w:szCs w:val="20"/>
              </w:rPr>
            </w:pPr>
            <w:r>
              <w:rPr>
                <w:b w:val="0"/>
                <w:bCs/>
                <w:sz w:val="20"/>
                <w:szCs w:val="20"/>
              </w:rPr>
              <w:t>14,938,067</w:t>
            </w:r>
          </w:p>
        </w:tc>
        <w:tc>
          <w:tcPr>
            <w:tcW w:w="1199" w:type="dxa"/>
          </w:tcPr>
          <w:p w:rsidR="00892648" w:rsidRPr="0063628F" w:rsidP="00432DCE" w14:paraId="2327831F" w14:textId="03CE443A">
            <w:pPr>
              <w:pStyle w:val="TableCaption"/>
              <w:spacing w:after="0"/>
              <w:jc w:val="left"/>
              <w:rPr>
                <w:b w:val="0"/>
                <w:sz w:val="20"/>
                <w:szCs w:val="20"/>
              </w:rPr>
            </w:pPr>
            <w:r>
              <w:rPr>
                <w:b w:val="0"/>
                <w:sz w:val="20"/>
                <w:szCs w:val="20"/>
              </w:rPr>
              <w:t>TPD</w:t>
            </w:r>
          </w:p>
        </w:tc>
        <w:tc>
          <w:tcPr>
            <w:tcW w:w="1260" w:type="dxa"/>
          </w:tcPr>
          <w:p w:rsidR="00892648" w:rsidRPr="0063628F" w:rsidP="00432DCE" w14:paraId="3DDDFDC0" w14:textId="2257F007">
            <w:pPr>
              <w:pStyle w:val="TableCaption"/>
              <w:spacing w:after="0"/>
              <w:jc w:val="left"/>
              <w:rPr>
                <w:b w:val="0"/>
                <w:sz w:val="20"/>
                <w:szCs w:val="20"/>
              </w:rPr>
            </w:pPr>
            <w:r>
              <w:rPr>
                <w:b w:val="0"/>
                <w:sz w:val="20"/>
                <w:szCs w:val="20"/>
              </w:rPr>
              <w:t>Annual</w:t>
            </w:r>
          </w:p>
        </w:tc>
      </w:tr>
      <w:tr w14:paraId="128671D3" w14:textId="77777777" w:rsidTr="00D553E9">
        <w:tblPrEx>
          <w:tblW w:w="13225" w:type="dxa"/>
          <w:tblLayout w:type="fixed"/>
          <w:tblLook w:val="04A0"/>
        </w:tblPrEx>
        <w:trPr>
          <w:trHeight w:val="791"/>
        </w:trPr>
        <w:tc>
          <w:tcPr>
            <w:tcW w:w="1075" w:type="dxa"/>
            <w:hideMark/>
          </w:tcPr>
          <w:p w:rsidR="00B00E33" w:rsidRPr="0063628F" w:rsidP="00432DCE" w14:paraId="54F56F91" w14:textId="77777777">
            <w:pPr>
              <w:pStyle w:val="TableCaption"/>
              <w:spacing w:after="0"/>
              <w:jc w:val="left"/>
              <w:rPr>
                <w:b w:val="0"/>
                <w:sz w:val="20"/>
                <w:szCs w:val="20"/>
              </w:rPr>
            </w:pPr>
            <w:r w:rsidRPr="0063628F">
              <w:rPr>
                <w:b w:val="0"/>
                <w:sz w:val="20"/>
                <w:szCs w:val="20"/>
              </w:rPr>
              <w:t>12.57</w:t>
            </w:r>
          </w:p>
        </w:tc>
        <w:tc>
          <w:tcPr>
            <w:tcW w:w="1659" w:type="dxa"/>
            <w:hideMark/>
          </w:tcPr>
          <w:p w:rsidR="00B00E33" w:rsidRPr="0063628F" w:rsidP="00432DCE" w14:paraId="66C5FA65" w14:textId="77777777">
            <w:pPr>
              <w:pStyle w:val="TableCaption"/>
              <w:spacing w:after="0"/>
              <w:rPr>
                <w:b w:val="0"/>
                <w:sz w:val="20"/>
                <w:szCs w:val="20"/>
              </w:rPr>
            </w:pPr>
            <w:r w:rsidRPr="0063628F">
              <w:rPr>
                <w:b w:val="0"/>
                <w:sz w:val="20"/>
                <w:szCs w:val="20"/>
              </w:rPr>
              <w:t>438.608(a)(2) - (3) Program Integrity</w:t>
            </w:r>
          </w:p>
        </w:tc>
        <w:tc>
          <w:tcPr>
            <w:tcW w:w="1491" w:type="dxa"/>
            <w:noWrap/>
            <w:hideMark/>
          </w:tcPr>
          <w:p w:rsidR="00B00E33" w:rsidRPr="0063628F" w:rsidP="00432DCE" w14:paraId="5423E409" w14:textId="22AD0314">
            <w:pPr>
              <w:pStyle w:val="TableCaption"/>
              <w:spacing w:after="0"/>
              <w:jc w:val="left"/>
              <w:rPr>
                <w:b w:val="0"/>
                <w:bCs/>
                <w:sz w:val="20"/>
                <w:szCs w:val="20"/>
              </w:rPr>
            </w:pPr>
            <w:r w:rsidRPr="00B84A04">
              <w:rPr>
                <w:b w:val="0"/>
                <w:bCs/>
                <w:sz w:val="20"/>
                <w:szCs w:val="20"/>
              </w:rPr>
              <w:t>670</w:t>
            </w:r>
          </w:p>
        </w:tc>
        <w:tc>
          <w:tcPr>
            <w:tcW w:w="1159" w:type="dxa"/>
            <w:noWrap/>
            <w:hideMark/>
          </w:tcPr>
          <w:p w:rsidR="00B00E33" w:rsidRPr="0063628F" w:rsidP="00432DCE" w14:paraId="7FF003F5" w14:textId="625BD820">
            <w:pPr>
              <w:pStyle w:val="TableCaption"/>
              <w:spacing w:after="0"/>
              <w:jc w:val="left"/>
              <w:rPr>
                <w:b w:val="0"/>
                <w:bCs/>
                <w:sz w:val="20"/>
                <w:szCs w:val="20"/>
              </w:rPr>
            </w:pPr>
            <w:r w:rsidRPr="00B84A04">
              <w:rPr>
                <w:b w:val="0"/>
                <w:bCs/>
                <w:sz w:val="20"/>
                <w:szCs w:val="20"/>
              </w:rPr>
              <w:t>670</w:t>
            </w:r>
          </w:p>
        </w:tc>
        <w:tc>
          <w:tcPr>
            <w:tcW w:w="1181" w:type="dxa"/>
            <w:hideMark/>
          </w:tcPr>
          <w:p w:rsidR="00B00E33" w:rsidRPr="0063628F" w:rsidP="00432DCE" w14:paraId="35D4D447" w14:textId="787F36DD">
            <w:pPr>
              <w:pStyle w:val="TableCaption"/>
              <w:spacing w:after="0"/>
              <w:jc w:val="left"/>
              <w:rPr>
                <w:b w:val="0"/>
                <w:bCs/>
                <w:sz w:val="20"/>
                <w:szCs w:val="20"/>
              </w:rPr>
            </w:pPr>
            <w:r w:rsidRPr="00B84A04">
              <w:rPr>
                <w:b w:val="0"/>
                <w:bCs/>
                <w:sz w:val="20"/>
                <w:szCs w:val="20"/>
              </w:rPr>
              <w:t>2</w:t>
            </w:r>
          </w:p>
        </w:tc>
        <w:tc>
          <w:tcPr>
            <w:tcW w:w="1514" w:type="dxa"/>
            <w:noWrap/>
            <w:hideMark/>
          </w:tcPr>
          <w:p w:rsidR="00B00E33" w:rsidRPr="0063628F" w:rsidP="00432DCE" w14:paraId="40E06E73" w14:textId="4368A410">
            <w:pPr>
              <w:pStyle w:val="TableCaption"/>
              <w:spacing w:after="0"/>
              <w:jc w:val="left"/>
              <w:rPr>
                <w:b w:val="0"/>
                <w:bCs/>
                <w:sz w:val="20"/>
                <w:szCs w:val="20"/>
              </w:rPr>
            </w:pPr>
            <w:r w:rsidRPr="0063628F">
              <w:rPr>
                <w:b w:val="0"/>
                <w:bCs/>
                <w:sz w:val="20"/>
                <w:szCs w:val="20"/>
              </w:rPr>
              <w:t>1,340</w:t>
            </w:r>
          </w:p>
        </w:tc>
        <w:tc>
          <w:tcPr>
            <w:tcW w:w="1062" w:type="dxa"/>
            <w:hideMark/>
          </w:tcPr>
          <w:p w:rsidR="00B00E33" w:rsidRPr="0063628F" w:rsidP="00432DCE" w14:paraId="7CFA16A1" w14:textId="5CB4C5A8">
            <w:pPr>
              <w:pStyle w:val="TableCaption"/>
              <w:spacing w:after="0"/>
              <w:jc w:val="left"/>
              <w:rPr>
                <w:b w:val="0"/>
                <w:bCs/>
                <w:sz w:val="20"/>
                <w:szCs w:val="20"/>
              </w:rPr>
            </w:pPr>
            <w:r>
              <w:rPr>
                <w:b w:val="0"/>
                <w:bCs/>
                <w:sz w:val="20"/>
                <w:szCs w:val="20"/>
              </w:rPr>
              <w:t>89.26</w:t>
            </w:r>
          </w:p>
        </w:tc>
        <w:tc>
          <w:tcPr>
            <w:tcW w:w="1625" w:type="dxa"/>
            <w:noWrap/>
            <w:hideMark/>
          </w:tcPr>
          <w:p w:rsidR="00B00E33" w:rsidRPr="0063628F" w:rsidP="00432DCE" w14:paraId="21430B10" w14:textId="4DA9CF10">
            <w:pPr>
              <w:pStyle w:val="TableCaption"/>
              <w:spacing w:after="0"/>
              <w:jc w:val="left"/>
              <w:rPr>
                <w:b w:val="0"/>
                <w:bCs/>
                <w:sz w:val="20"/>
                <w:szCs w:val="20"/>
              </w:rPr>
            </w:pPr>
            <w:r>
              <w:rPr>
                <w:b w:val="0"/>
                <w:bCs/>
                <w:sz w:val="20"/>
                <w:szCs w:val="20"/>
              </w:rPr>
              <w:t>119,</w:t>
            </w:r>
            <w:r w:rsidR="008857B9">
              <w:rPr>
                <w:b w:val="0"/>
                <w:bCs/>
                <w:sz w:val="20"/>
                <w:szCs w:val="20"/>
              </w:rPr>
              <w:t>568</w:t>
            </w:r>
          </w:p>
        </w:tc>
        <w:tc>
          <w:tcPr>
            <w:tcW w:w="1199" w:type="dxa"/>
            <w:hideMark/>
          </w:tcPr>
          <w:p w:rsidR="00B00E33" w:rsidRPr="0063628F" w:rsidP="00432DCE" w14:paraId="240C1FEF" w14:textId="77777777">
            <w:pPr>
              <w:pStyle w:val="TableCaption"/>
              <w:spacing w:after="0"/>
              <w:jc w:val="left"/>
              <w:rPr>
                <w:b w:val="0"/>
                <w:sz w:val="20"/>
                <w:szCs w:val="20"/>
              </w:rPr>
            </w:pPr>
            <w:r w:rsidRPr="0063628F">
              <w:rPr>
                <w:b w:val="0"/>
                <w:sz w:val="20"/>
                <w:szCs w:val="20"/>
              </w:rPr>
              <w:t>TPD</w:t>
            </w:r>
          </w:p>
        </w:tc>
        <w:tc>
          <w:tcPr>
            <w:tcW w:w="1260" w:type="dxa"/>
            <w:hideMark/>
          </w:tcPr>
          <w:p w:rsidR="00B00E33" w:rsidRPr="0063628F" w:rsidP="00432DCE" w14:paraId="0031D35E" w14:textId="77777777">
            <w:pPr>
              <w:pStyle w:val="TableCaption"/>
              <w:spacing w:after="0"/>
              <w:jc w:val="left"/>
              <w:rPr>
                <w:b w:val="0"/>
                <w:sz w:val="20"/>
                <w:szCs w:val="20"/>
              </w:rPr>
            </w:pPr>
            <w:r w:rsidRPr="0063628F">
              <w:rPr>
                <w:b w:val="0"/>
                <w:sz w:val="20"/>
                <w:szCs w:val="20"/>
              </w:rPr>
              <w:t>Annual</w:t>
            </w:r>
          </w:p>
        </w:tc>
      </w:tr>
      <w:tr w14:paraId="5F4DB129" w14:textId="77777777" w:rsidTr="00D553E9">
        <w:tblPrEx>
          <w:tblW w:w="13225" w:type="dxa"/>
          <w:tblLayout w:type="fixed"/>
          <w:tblLook w:val="04A0"/>
        </w:tblPrEx>
        <w:trPr>
          <w:trHeight w:val="620"/>
        </w:trPr>
        <w:tc>
          <w:tcPr>
            <w:tcW w:w="1075" w:type="dxa"/>
            <w:hideMark/>
          </w:tcPr>
          <w:p w:rsidR="00B00E33" w:rsidRPr="0063628F" w:rsidP="00432DCE" w14:paraId="4AC979BB" w14:textId="77777777">
            <w:pPr>
              <w:pStyle w:val="TableCaption"/>
              <w:spacing w:after="0"/>
              <w:jc w:val="left"/>
              <w:rPr>
                <w:b w:val="0"/>
                <w:sz w:val="20"/>
                <w:szCs w:val="20"/>
              </w:rPr>
            </w:pPr>
            <w:r w:rsidRPr="0063628F">
              <w:rPr>
                <w:b w:val="0"/>
                <w:sz w:val="20"/>
                <w:szCs w:val="20"/>
              </w:rPr>
              <w:t>12.58</w:t>
            </w:r>
          </w:p>
        </w:tc>
        <w:tc>
          <w:tcPr>
            <w:tcW w:w="1659" w:type="dxa"/>
            <w:hideMark/>
          </w:tcPr>
          <w:p w:rsidR="00B00E33" w:rsidRPr="0063628F" w:rsidP="00432DCE" w14:paraId="2E4FC71E" w14:textId="77777777">
            <w:pPr>
              <w:pStyle w:val="TableCaption"/>
              <w:spacing w:after="0"/>
              <w:rPr>
                <w:b w:val="0"/>
                <w:sz w:val="20"/>
                <w:szCs w:val="20"/>
              </w:rPr>
            </w:pPr>
            <w:r w:rsidRPr="0063628F">
              <w:rPr>
                <w:b w:val="0"/>
                <w:sz w:val="20"/>
                <w:szCs w:val="20"/>
              </w:rPr>
              <w:t>438.608(a)(4) Program Integrity</w:t>
            </w:r>
          </w:p>
        </w:tc>
        <w:tc>
          <w:tcPr>
            <w:tcW w:w="1491" w:type="dxa"/>
            <w:noWrap/>
            <w:hideMark/>
          </w:tcPr>
          <w:p w:rsidR="00B00E33" w:rsidRPr="0063628F" w:rsidP="00432DCE" w14:paraId="4596A131" w14:textId="6C99D9D4">
            <w:pPr>
              <w:pStyle w:val="TableCaption"/>
              <w:spacing w:after="0"/>
              <w:jc w:val="left"/>
              <w:rPr>
                <w:b w:val="0"/>
                <w:bCs/>
                <w:sz w:val="20"/>
                <w:szCs w:val="20"/>
              </w:rPr>
            </w:pPr>
            <w:r w:rsidRPr="00B84A04">
              <w:rPr>
                <w:b w:val="0"/>
                <w:bCs/>
                <w:sz w:val="20"/>
                <w:szCs w:val="20"/>
              </w:rPr>
              <w:t>200</w:t>
            </w:r>
          </w:p>
        </w:tc>
        <w:tc>
          <w:tcPr>
            <w:tcW w:w="1159" w:type="dxa"/>
            <w:noWrap/>
            <w:hideMark/>
          </w:tcPr>
          <w:p w:rsidR="00B00E33" w:rsidRPr="0063628F" w:rsidP="00432DCE" w14:paraId="3EB29FBB" w14:textId="654689A8">
            <w:pPr>
              <w:pStyle w:val="TableCaption"/>
              <w:spacing w:after="0"/>
              <w:jc w:val="left"/>
              <w:rPr>
                <w:b w:val="0"/>
                <w:bCs/>
                <w:sz w:val="20"/>
                <w:szCs w:val="20"/>
              </w:rPr>
            </w:pPr>
            <w:r w:rsidRPr="00B84A04">
              <w:rPr>
                <w:b w:val="0"/>
                <w:bCs/>
                <w:sz w:val="20"/>
                <w:szCs w:val="20"/>
              </w:rPr>
              <w:t>20,000</w:t>
            </w:r>
          </w:p>
        </w:tc>
        <w:tc>
          <w:tcPr>
            <w:tcW w:w="1181" w:type="dxa"/>
            <w:hideMark/>
          </w:tcPr>
          <w:p w:rsidR="00B00E33" w:rsidRPr="0063628F" w:rsidP="00432DCE" w14:paraId="65A694FC" w14:textId="5E1BE4BF">
            <w:pPr>
              <w:pStyle w:val="TableCaption"/>
              <w:spacing w:after="0"/>
              <w:jc w:val="left"/>
              <w:rPr>
                <w:b w:val="0"/>
                <w:bCs/>
                <w:sz w:val="20"/>
                <w:szCs w:val="20"/>
              </w:rPr>
            </w:pPr>
            <w:r w:rsidRPr="00B84A04">
              <w:rPr>
                <w:b w:val="0"/>
                <w:bCs/>
                <w:sz w:val="20"/>
                <w:szCs w:val="20"/>
              </w:rPr>
              <w:t>0.0167</w:t>
            </w:r>
          </w:p>
        </w:tc>
        <w:tc>
          <w:tcPr>
            <w:tcW w:w="1514" w:type="dxa"/>
            <w:noWrap/>
            <w:hideMark/>
          </w:tcPr>
          <w:p w:rsidR="00B00E33" w:rsidRPr="0063628F" w:rsidP="00432DCE" w14:paraId="42AE6F66" w14:textId="77777777">
            <w:pPr>
              <w:pStyle w:val="TableCaption"/>
              <w:spacing w:after="0"/>
              <w:jc w:val="left"/>
              <w:rPr>
                <w:b w:val="0"/>
                <w:bCs/>
                <w:sz w:val="20"/>
                <w:szCs w:val="20"/>
              </w:rPr>
            </w:pPr>
            <w:r w:rsidRPr="0063628F">
              <w:rPr>
                <w:b w:val="0"/>
                <w:bCs/>
                <w:sz w:val="20"/>
                <w:szCs w:val="20"/>
              </w:rPr>
              <w:t>334</w:t>
            </w:r>
          </w:p>
        </w:tc>
        <w:tc>
          <w:tcPr>
            <w:tcW w:w="1062" w:type="dxa"/>
            <w:hideMark/>
          </w:tcPr>
          <w:p w:rsidR="00B00E33" w:rsidRPr="0063628F" w:rsidP="00432DCE" w14:paraId="38F46C74" w14:textId="1E0F9DDE">
            <w:pPr>
              <w:pStyle w:val="TableCaption"/>
              <w:spacing w:after="0"/>
              <w:jc w:val="left"/>
              <w:rPr>
                <w:b w:val="0"/>
                <w:bCs/>
                <w:sz w:val="20"/>
                <w:szCs w:val="20"/>
              </w:rPr>
            </w:pPr>
            <w:r>
              <w:rPr>
                <w:b w:val="0"/>
                <w:bCs/>
                <w:sz w:val="20"/>
                <w:szCs w:val="20"/>
              </w:rPr>
              <w:t>40.06</w:t>
            </w:r>
          </w:p>
        </w:tc>
        <w:tc>
          <w:tcPr>
            <w:tcW w:w="1625" w:type="dxa"/>
            <w:noWrap/>
            <w:hideMark/>
          </w:tcPr>
          <w:p w:rsidR="00B00E33" w:rsidRPr="0063628F" w:rsidP="00432DCE" w14:paraId="13F17429" w14:textId="57ED7E7D">
            <w:pPr>
              <w:pStyle w:val="TableCaption"/>
              <w:spacing w:after="0"/>
              <w:jc w:val="left"/>
              <w:rPr>
                <w:b w:val="0"/>
                <w:bCs/>
                <w:sz w:val="20"/>
                <w:szCs w:val="20"/>
              </w:rPr>
            </w:pPr>
            <w:r>
              <w:rPr>
                <w:b w:val="0"/>
                <w:bCs/>
                <w:sz w:val="20"/>
                <w:szCs w:val="20"/>
              </w:rPr>
              <w:t>13,380</w:t>
            </w:r>
          </w:p>
        </w:tc>
        <w:tc>
          <w:tcPr>
            <w:tcW w:w="1199" w:type="dxa"/>
            <w:hideMark/>
          </w:tcPr>
          <w:p w:rsidR="00B00E33" w:rsidRPr="0063628F" w:rsidP="00432DCE" w14:paraId="31021074" w14:textId="77777777">
            <w:pPr>
              <w:pStyle w:val="TableCaption"/>
              <w:spacing w:after="0"/>
              <w:jc w:val="left"/>
              <w:rPr>
                <w:b w:val="0"/>
                <w:sz w:val="20"/>
                <w:szCs w:val="20"/>
              </w:rPr>
            </w:pPr>
            <w:r w:rsidRPr="0063628F">
              <w:rPr>
                <w:b w:val="0"/>
                <w:sz w:val="20"/>
                <w:szCs w:val="20"/>
              </w:rPr>
              <w:t>TPD</w:t>
            </w:r>
          </w:p>
        </w:tc>
        <w:tc>
          <w:tcPr>
            <w:tcW w:w="1260" w:type="dxa"/>
            <w:hideMark/>
          </w:tcPr>
          <w:p w:rsidR="00B00E33" w:rsidRPr="0063628F" w:rsidP="00432DCE" w14:paraId="373DF786" w14:textId="77777777">
            <w:pPr>
              <w:pStyle w:val="TableCaption"/>
              <w:spacing w:after="0"/>
              <w:jc w:val="left"/>
              <w:rPr>
                <w:b w:val="0"/>
                <w:sz w:val="20"/>
                <w:szCs w:val="20"/>
              </w:rPr>
            </w:pPr>
            <w:r w:rsidRPr="0063628F">
              <w:rPr>
                <w:b w:val="0"/>
                <w:sz w:val="20"/>
                <w:szCs w:val="20"/>
              </w:rPr>
              <w:t>Annual</w:t>
            </w:r>
          </w:p>
        </w:tc>
      </w:tr>
      <w:tr w14:paraId="5D0F64B2" w14:textId="77777777" w:rsidTr="00892648">
        <w:tblPrEx>
          <w:tblW w:w="13225" w:type="dxa"/>
          <w:tblLayout w:type="fixed"/>
          <w:tblLook w:val="04A0"/>
        </w:tblPrEx>
        <w:trPr>
          <w:trHeight w:val="528"/>
        </w:trPr>
        <w:tc>
          <w:tcPr>
            <w:tcW w:w="1075" w:type="dxa"/>
            <w:shd w:val="clear" w:color="auto" w:fill="D9D9D9" w:themeFill="background1" w:themeFillShade="D9"/>
            <w:hideMark/>
          </w:tcPr>
          <w:p w:rsidR="00892648" w:rsidRPr="00D103B8" w:rsidP="00432DCE" w14:paraId="59B2A11E" w14:textId="3AD621FA">
            <w:pPr>
              <w:pStyle w:val="TableCaption"/>
              <w:spacing w:after="0"/>
              <w:rPr>
                <w:b w:val="0"/>
                <w:i/>
                <w:iCs/>
                <w:sz w:val="20"/>
                <w:szCs w:val="20"/>
              </w:rPr>
            </w:pPr>
            <w:bookmarkStart w:id="59" w:name="_Hlk124174660"/>
          </w:p>
        </w:tc>
        <w:tc>
          <w:tcPr>
            <w:tcW w:w="1659" w:type="dxa"/>
            <w:shd w:val="clear" w:color="auto" w:fill="D9D9D9" w:themeFill="background1" w:themeFillShade="D9"/>
          </w:tcPr>
          <w:p w:rsidR="00892648" w:rsidRPr="00D103B8" w:rsidP="00432DCE" w14:paraId="429257CC" w14:textId="4FEFBA97">
            <w:pPr>
              <w:pStyle w:val="TableCaption"/>
              <w:spacing w:after="0"/>
              <w:rPr>
                <w:b w:val="0"/>
                <w:i/>
                <w:iCs/>
                <w:sz w:val="20"/>
                <w:szCs w:val="20"/>
              </w:rPr>
            </w:pPr>
            <w:r w:rsidRPr="00D103B8">
              <w:rPr>
                <w:b w:val="0"/>
                <w:i/>
                <w:iCs/>
                <w:sz w:val="20"/>
                <w:szCs w:val="20"/>
              </w:rPr>
              <w:t>Subtotal: Third-Party Disclosure</w:t>
            </w:r>
          </w:p>
        </w:tc>
        <w:tc>
          <w:tcPr>
            <w:tcW w:w="1491" w:type="dxa"/>
            <w:shd w:val="clear" w:color="auto" w:fill="D9D9D9" w:themeFill="background1" w:themeFillShade="D9"/>
            <w:noWrap/>
            <w:hideMark/>
          </w:tcPr>
          <w:p w:rsidR="00892648" w:rsidRPr="00D103B8" w:rsidP="00432DCE" w14:paraId="033F0827" w14:textId="4F30A785">
            <w:pPr>
              <w:pStyle w:val="TableCaption"/>
              <w:spacing w:after="0"/>
              <w:jc w:val="left"/>
              <w:rPr>
                <w:b w:val="0"/>
                <w:i/>
                <w:iCs/>
                <w:sz w:val="20"/>
                <w:szCs w:val="20"/>
              </w:rPr>
            </w:pPr>
            <w:r w:rsidRPr="00D103B8">
              <w:rPr>
                <w:b w:val="0"/>
                <w:sz w:val="20"/>
                <w:szCs w:val="20"/>
              </w:rPr>
              <w:t>689</w:t>
            </w:r>
          </w:p>
        </w:tc>
        <w:tc>
          <w:tcPr>
            <w:tcW w:w="1159" w:type="dxa"/>
            <w:shd w:val="clear" w:color="auto" w:fill="D9D9D9" w:themeFill="background1" w:themeFillShade="D9"/>
            <w:noWrap/>
            <w:hideMark/>
          </w:tcPr>
          <w:p w:rsidR="00892648" w:rsidRPr="00D103B8" w:rsidP="00432DCE" w14:paraId="242867E2" w14:textId="720742C6">
            <w:pPr>
              <w:pStyle w:val="TableCaption"/>
              <w:spacing w:after="0"/>
              <w:jc w:val="left"/>
              <w:rPr>
                <w:b w:val="0"/>
                <w:i/>
                <w:iCs/>
                <w:sz w:val="20"/>
                <w:szCs w:val="20"/>
              </w:rPr>
            </w:pPr>
            <w:r w:rsidRPr="00D103B8">
              <w:rPr>
                <w:b w:val="0"/>
                <w:sz w:val="20"/>
                <w:szCs w:val="20"/>
              </w:rPr>
              <w:t>7,54</w:t>
            </w:r>
            <w:r w:rsidRPr="00D103B8" w:rsidR="00822A73">
              <w:rPr>
                <w:b w:val="0"/>
                <w:sz w:val="20"/>
                <w:szCs w:val="20"/>
              </w:rPr>
              <w:t>1</w:t>
            </w:r>
            <w:r w:rsidRPr="00D103B8">
              <w:rPr>
                <w:b w:val="0"/>
                <w:sz w:val="20"/>
                <w:szCs w:val="20"/>
              </w:rPr>
              <w:t>,</w:t>
            </w:r>
            <w:r w:rsidRPr="00D103B8" w:rsidR="00D05E93">
              <w:rPr>
                <w:b w:val="0"/>
                <w:sz w:val="20"/>
                <w:szCs w:val="20"/>
              </w:rPr>
              <w:t>995</w:t>
            </w:r>
          </w:p>
        </w:tc>
        <w:tc>
          <w:tcPr>
            <w:tcW w:w="1181" w:type="dxa"/>
            <w:shd w:val="clear" w:color="auto" w:fill="D9D9D9" w:themeFill="background1" w:themeFillShade="D9"/>
            <w:hideMark/>
          </w:tcPr>
          <w:p w:rsidR="00892648" w:rsidRPr="00D103B8" w:rsidP="00432DCE" w14:paraId="3D2606EC" w14:textId="77777777">
            <w:pPr>
              <w:pStyle w:val="TableCaption"/>
              <w:spacing w:after="0"/>
              <w:jc w:val="left"/>
              <w:rPr>
                <w:b w:val="0"/>
                <w:i/>
                <w:iCs/>
                <w:sz w:val="20"/>
                <w:szCs w:val="20"/>
              </w:rPr>
            </w:pPr>
            <w:r w:rsidRPr="00D103B8">
              <w:rPr>
                <w:b w:val="0"/>
                <w:i/>
                <w:iCs/>
                <w:sz w:val="20"/>
                <w:szCs w:val="20"/>
              </w:rPr>
              <w:t>Varies</w:t>
            </w:r>
          </w:p>
        </w:tc>
        <w:tc>
          <w:tcPr>
            <w:tcW w:w="1514" w:type="dxa"/>
            <w:tcBorders>
              <w:top w:val="nil"/>
              <w:left w:val="nil"/>
              <w:bottom w:val="single" w:sz="8" w:space="0" w:color="auto"/>
              <w:right w:val="single" w:sz="8" w:space="0" w:color="auto"/>
            </w:tcBorders>
            <w:shd w:val="clear" w:color="000000" w:fill="D9D9D9"/>
            <w:noWrap/>
            <w:vAlign w:val="center"/>
            <w:hideMark/>
          </w:tcPr>
          <w:p w:rsidR="00892648" w:rsidRPr="00D103B8" w:rsidP="00432DCE" w14:paraId="76E45097" w14:textId="709D76C1">
            <w:pPr>
              <w:pStyle w:val="TableCaption"/>
              <w:spacing w:after="0"/>
              <w:jc w:val="left"/>
              <w:rPr>
                <w:b w:val="0"/>
                <w:i/>
                <w:iCs/>
                <w:sz w:val="20"/>
                <w:szCs w:val="20"/>
              </w:rPr>
            </w:pPr>
            <w:r w:rsidRPr="00D103B8">
              <w:rPr>
                <w:b w:val="0"/>
                <w:i/>
                <w:iCs/>
                <w:sz w:val="20"/>
                <w:szCs w:val="20"/>
              </w:rPr>
              <w:t>882,</w:t>
            </w:r>
            <w:r w:rsidRPr="00D103B8" w:rsidR="00367775">
              <w:rPr>
                <w:b w:val="0"/>
                <w:i/>
                <w:iCs/>
                <w:sz w:val="20"/>
                <w:szCs w:val="20"/>
              </w:rPr>
              <w:t>402</w:t>
            </w:r>
          </w:p>
        </w:tc>
        <w:tc>
          <w:tcPr>
            <w:tcW w:w="1062" w:type="dxa"/>
            <w:tcBorders>
              <w:top w:val="nil"/>
              <w:left w:val="nil"/>
              <w:bottom w:val="single" w:sz="8" w:space="0" w:color="auto"/>
              <w:right w:val="single" w:sz="8" w:space="0" w:color="auto"/>
            </w:tcBorders>
            <w:shd w:val="clear" w:color="000000" w:fill="D9D9D9"/>
            <w:vAlign w:val="center"/>
            <w:hideMark/>
          </w:tcPr>
          <w:p w:rsidR="00892648" w:rsidRPr="00D103B8" w:rsidP="00432DCE" w14:paraId="2FF4AE49" w14:textId="333FA482">
            <w:pPr>
              <w:pStyle w:val="TableCaption"/>
              <w:spacing w:after="0"/>
              <w:jc w:val="left"/>
              <w:rPr>
                <w:b w:val="0"/>
                <w:i/>
                <w:iCs/>
                <w:sz w:val="20"/>
                <w:szCs w:val="20"/>
              </w:rPr>
            </w:pPr>
            <w:r w:rsidRPr="00D103B8">
              <w:rPr>
                <w:b w:val="0"/>
                <w:i/>
                <w:iCs/>
                <w:sz w:val="20"/>
                <w:szCs w:val="20"/>
              </w:rPr>
              <w:t>Varies</w:t>
            </w:r>
          </w:p>
        </w:tc>
        <w:tc>
          <w:tcPr>
            <w:tcW w:w="1625" w:type="dxa"/>
            <w:tcBorders>
              <w:top w:val="nil"/>
              <w:left w:val="nil"/>
              <w:bottom w:val="single" w:sz="8" w:space="0" w:color="auto"/>
              <w:right w:val="single" w:sz="8" w:space="0" w:color="auto"/>
            </w:tcBorders>
            <w:shd w:val="clear" w:color="000000" w:fill="D9D9D9"/>
            <w:noWrap/>
            <w:vAlign w:val="center"/>
            <w:hideMark/>
          </w:tcPr>
          <w:p w:rsidR="00892648" w:rsidRPr="00D103B8" w:rsidP="00432DCE" w14:paraId="58CF030E" w14:textId="6876D783">
            <w:pPr>
              <w:pStyle w:val="TableCaption"/>
              <w:spacing w:after="0"/>
              <w:jc w:val="left"/>
              <w:rPr>
                <w:b w:val="0"/>
                <w:i/>
                <w:iCs/>
                <w:sz w:val="20"/>
                <w:szCs w:val="20"/>
              </w:rPr>
            </w:pPr>
            <w:r w:rsidRPr="00D103B8">
              <w:rPr>
                <w:b w:val="0"/>
                <w:i/>
                <w:iCs/>
                <w:sz w:val="20"/>
                <w:szCs w:val="20"/>
              </w:rPr>
              <w:t>51,</w:t>
            </w:r>
            <w:r w:rsidRPr="00D103B8" w:rsidR="00B27884">
              <w:rPr>
                <w:b w:val="0"/>
                <w:i/>
                <w:iCs/>
                <w:sz w:val="20"/>
                <w:szCs w:val="20"/>
              </w:rPr>
              <w:t>560</w:t>
            </w:r>
            <w:r w:rsidRPr="00D103B8">
              <w:rPr>
                <w:b w:val="0"/>
                <w:i/>
                <w:iCs/>
                <w:sz w:val="20"/>
                <w:szCs w:val="20"/>
              </w:rPr>
              <w:t>,</w:t>
            </w:r>
            <w:r w:rsidRPr="00D103B8" w:rsidR="00B27884">
              <w:rPr>
                <w:b w:val="0"/>
                <w:i/>
                <w:iCs/>
                <w:sz w:val="20"/>
                <w:szCs w:val="20"/>
              </w:rPr>
              <w:t>986</w:t>
            </w:r>
          </w:p>
        </w:tc>
        <w:tc>
          <w:tcPr>
            <w:tcW w:w="1199" w:type="dxa"/>
            <w:shd w:val="clear" w:color="auto" w:fill="D9D9D9" w:themeFill="background1" w:themeFillShade="D9"/>
            <w:hideMark/>
          </w:tcPr>
          <w:p w:rsidR="00892648" w:rsidRPr="00D103B8" w:rsidP="00432DCE" w14:paraId="18B51671" w14:textId="77777777">
            <w:pPr>
              <w:pStyle w:val="TableCaption"/>
              <w:spacing w:after="0"/>
              <w:jc w:val="left"/>
              <w:rPr>
                <w:b w:val="0"/>
                <w:i/>
                <w:iCs/>
                <w:sz w:val="20"/>
                <w:szCs w:val="20"/>
              </w:rPr>
            </w:pPr>
            <w:r w:rsidRPr="00D103B8">
              <w:rPr>
                <w:b w:val="0"/>
                <w:i/>
                <w:iCs/>
                <w:sz w:val="20"/>
                <w:szCs w:val="20"/>
              </w:rPr>
              <w:t>TPD</w:t>
            </w:r>
          </w:p>
        </w:tc>
        <w:tc>
          <w:tcPr>
            <w:tcW w:w="1260" w:type="dxa"/>
            <w:shd w:val="clear" w:color="auto" w:fill="D9D9D9" w:themeFill="background1" w:themeFillShade="D9"/>
            <w:hideMark/>
          </w:tcPr>
          <w:p w:rsidR="00892648" w:rsidRPr="00D103B8" w:rsidP="00432DCE" w14:paraId="762AA52B" w14:textId="77777777">
            <w:pPr>
              <w:pStyle w:val="TableCaption"/>
              <w:spacing w:after="0"/>
              <w:jc w:val="left"/>
              <w:rPr>
                <w:b w:val="0"/>
                <w:i/>
                <w:iCs/>
                <w:sz w:val="20"/>
                <w:szCs w:val="20"/>
              </w:rPr>
            </w:pPr>
            <w:r w:rsidRPr="00D103B8">
              <w:rPr>
                <w:b w:val="0"/>
                <w:i/>
                <w:iCs/>
                <w:sz w:val="20"/>
                <w:szCs w:val="20"/>
              </w:rPr>
              <w:t>Annual</w:t>
            </w:r>
          </w:p>
        </w:tc>
      </w:tr>
      <w:bookmarkEnd w:id="59"/>
      <w:tr w14:paraId="439C08AF" w14:textId="77777777" w:rsidTr="00794504">
        <w:tblPrEx>
          <w:tblW w:w="13225" w:type="dxa"/>
          <w:tblLayout w:type="fixed"/>
          <w:tblLook w:val="04A0"/>
        </w:tblPrEx>
        <w:trPr>
          <w:trHeight w:val="1068"/>
        </w:trPr>
        <w:tc>
          <w:tcPr>
            <w:tcW w:w="1075" w:type="dxa"/>
            <w:hideMark/>
          </w:tcPr>
          <w:p w:rsidR="00E75905" w:rsidRPr="0063628F" w:rsidP="00432DCE" w14:paraId="3296E718" w14:textId="77777777">
            <w:pPr>
              <w:pStyle w:val="TableCaption"/>
              <w:spacing w:after="0"/>
              <w:jc w:val="left"/>
              <w:rPr>
                <w:b w:val="0"/>
                <w:sz w:val="20"/>
                <w:szCs w:val="20"/>
              </w:rPr>
            </w:pPr>
            <w:r w:rsidRPr="0063628F">
              <w:rPr>
                <w:b w:val="0"/>
                <w:sz w:val="20"/>
                <w:szCs w:val="20"/>
              </w:rPr>
              <w:t>12.25</w:t>
            </w:r>
          </w:p>
        </w:tc>
        <w:tc>
          <w:tcPr>
            <w:tcW w:w="1659" w:type="dxa"/>
            <w:hideMark/>
          </w:tcPr>
          <w:p w:rsidR="00E75905" w:rsidRPr="0063628F" w:rsidP="00432DCE" w14:paraId="622C42CE" w14:textId="77777777">
            <w:pPr>
              <w:pStyle w:val="TableCaption"/>
              <w:spacing w:after="0"/>
              <w:rPr>
                <w:b w:val="0"/>
                <w:sz w:val="20"/>
                <w:szCs w:val="20"/>
              </w:rPr>
            </w:pPr>
            <w:r w:rsidRPr="0063628F">
              <w:rPr>
                <w:b w:val="0"/>
                <w:sz w:val="20"/>
                <w:szCs w:val="20"/>
              </w:rPr>
              <w:t>438.66(d)(3), State Monitoring</w:t>
            </w:r>
          </w:p>
        </w:tc>
        <w:tc>
          <w:tcPr>
            <w:tcW w:w="1491" w:type="dxa"/>
            <w:hideMark/>
          </w:tcPr>
          <w:p w:rsidR="00E75905" w:rsidRPr="0063628F" w:rsidP="00432DCE" w14:paraId="570BD6CA" w14:textId="77777777">
            <w:pPr>
              <w:pStyle w:val="TableCaption"/>
              <w:spacing w:after="0"/>
              <w:jc w:val="left"/>
              <w:rPr>
                <w:b w:val="0"/>
                <w:sz w:val="20"/>
                <w:szCs w:val="20"/>
              </w:rPr>
            </w:pPr>
            <w:r w:rsidRPr="0063628F">
              <w:rPr>
                <w:b w:val="0"/>
                <w:sz w:val="20"/>
                <w:szCs w:val="20"/>
              </w:rPr>
              <w:t>20</w:t>
            </w:r>
          </w:p>
        </w:tc>
        <w:tc>
          <w:tcPr>
            <w:tcW w:w="1159" w:type="dxa"/>
            <w:hideMark/>
          </w:tcPr>
          <w:p w:rsidR="00E75905" w:rsidRPr="0063628F" w:rsidP="00432DCE" w14:paraId="7C3BEA2E" w14:textId="77777777">
            <w:pPr>
              <w:pStyle w:val="TableCaption"/>
              <w:spacing w:after="0"/>
              <w:jc w:val="left"/>
              <w:rPr>
                <w:b w:val="0"/>
                <w:sz w:val="20"/>
                <w:szCs w:val="20"/>
              </w:rPr>
            </w:pPr>
            <w:r w:rsidRPr="0063628F">
              <w:rPr>
                <w:b w:val="0"/>
                <w:sz w:val="20"/>
                <w:szCs w:val="20"/>
              </w:rPr>
              <w:t>20</w:t>
            </w:r>
          </w:p>
        </w:tc>
        <w:tc>
          <w:tcPr>
            <w:tcW w:w="1181" w:type="dxa"/>
            <w:hideMark/>
          </w:tcPr>
          <w:p w:rsidR="00E75905" w:rsidRPr="0063628F" w:rsidP="00432DCE" w14:paraId="2193EF02" w14:textId="77777777">
            <w:pPr>
              <w:pStyle w:val="TableCaption"/>
              <w:spacing w:after="0"/>
              <w:jc w:val="left"/>
              <w:rPr>
                <w:b w:val="0"/>
                <w:sz w:val="20"/>
                <w:szCs w:val="20"/>
              </w:rPr>
            </w:pPr>
            <w:r w:rsidRPr="0063628F">
              <w:rPr>
                <w:b w:val="0"/>
                <w:sz w:val="20"/>
                <w:szCs w:val="20"/>
              </w:rPr>
              <w:t>40</w:t>
            </w:r>
          </w:p>
        </w:tc>
        <w:tc>
          <w:tcPr>
            <w:tcW w:w="1514" w:type="dxa"/>
            <w:noWrap/>
            <w:hideMark/>
          </w:tcPr>
          <w:p w:rsidR="00E75905" w:rsidRPr="0063628F" w:rsidP="00432DCE" w14:paraId="4344E2CA" w14:textId="77777777">
            <w:pPr>
              <w:pStyle w:val="TableCaption"/>
              <w:spacing w:after="0"/>
              <w:jc w:val="left"/>
              <w:rPr>
                <w:b w:val="0"/>
                <w:sz w:val="20"/>
                <w:szCs w:val="20"/>
              </w:rPr>
            </w:pPr>
            <w:r w:rsidRPr="0063628F">
              <w:rPr>
                <w:b w:val="0"/>
                <w:sz w:val="20"/>
                <w:szCs w:val="20"/>
              </w:rPr>
              <w:t>800</w:t>
            </w:r>
          </w:p>
        </w:tc>
        <w:tc>
          <w:tcPr>
            <w:tcW w:w="1062" w:type="dxa"/>
            <w:hideMark/>
          </w:tcPr>
          <w:p w:rsidR="00E75905" w:rsidRPr="0063628F" w:rsidP="00432DCE" w14:paraId="44BD28AA" w14:textId="77777777">
            <w:pPr>
              <w:pStyle w:val="TableCaption"/>
              <w:spacing w:after="0"/>
              <w:jc w:val="left"/>
              <w:rPr>
                <w:b w:val="0"/>
                <w:sz w:val="20"/>
                <w:szCs w:val="20"/>
              </w:rPr>
            </w:pPr>
            <w:r w:rsidRPr="0063628F">
              <w:rPr>
                <w:b w:val="0"/>
                <w:sz w:val="20"/>
                <w:szCs w:val="20"/>
              </w:rPr>
              <w:t>Varies (see narrative)</w:t>
            </w:r>
          </w:p>
        </w:tc>
        <w:tc>
          <w:tcPr>
            <w:tcW w:w="1625" w:type="dxa"/>
            <w:noWrap/>
            <w:hideMark/>
          </w:tcPr>
          <w:p w:rsidR="00E75905" w:rsidRPr="0063628F" w:rsidP="00432DCE" w14:paraId="27CDCDF6" w14:textId="450A1CD7">
            <w:pPr>
              <w:pStyle w:val="TableCaption"/>
              <w:spacing w:after="0"/>
              <w:jc w:val="left"/>
              <w:rPr>
                <w:b w:val="0"/>
                <w:sz w:val="20"/>
                <w:szCs w:val="20"/>
              </w:rPr>
            </w:pPr>
            <w:r>
              <w:rPr>
                <w:b w:val="0"/>
                <w:sz w:val="20"/>
                <w:szCs w:val="20"/>
              </w:rPr>
              <w:t>79,804</w:t>
            </w:r>
          </w:p>
        </w:tc>
        <w:tc>
          <w:tcPr>
            <w:tcW w:w="1199" w:type="dxa"/>
            <w:hideMark/>
          </w:tcPr>
          <w:p w:rsidR="00E75905" w:rsidRPr="0063628F" w:rsidP="00432DCE" w14:paraId="1D6325CB" w14:textId="77777777">
            <w:pPr>
              <w:pStyle w:val="TableCaption"/>
              <w:spacing w:after="0"/>
              <w:jc w:val="left"/>
              <w:rPr>
                <w:b w:val="0"/>
                <w:sz w:val="20"/>
                <w:szCs w:val="20"/>
              </w:rPr>
            </w:pPr>
            <w:r w:rsidRPr="0063628F">
              <w:rPr>
                <w:b w:val="0"/>
                <w:sz w:val="20"/>
                <w:szCs w:val="20"/>
              </w:rPr>
              <w:t>RK</w:t>
            </w:r>
          </w:p>
        </w:tc>
        <w:tc>
          <w:tcPr>
            <w:tcW w:w="1260" w:type="dxa"/>
            <w:hideMark/>
          </w:tcPr>
          <w:p w:rsidR="00E75905" w:rsidRPr="0063628F" w:rsidP="00432DCE" w14:paraId="7FADA4E6" w14:textId="77777777">
            <w:pPr>
              <w:pStyle w:val="TableCaption"/>
              <w:spacing w:after="0"/>
              <w:jc w:val="left"/>
              <w:rPr>
                <w:b w:val="0"/>
                <w:sz w:val="20"/>
                <w:szCs w:val="20"/>
              </w:rPr>
            </w:pPr>
            <w:r w:rsidRPr="0063628F">
              <w:rPr>
                <w:b w:val="0"/>
                <w:sz w:val="20"/>
                <w:szCs w:val="20"/>
              </w:rPr>
              <w:t>Annual</w:t>
            </w:r>
          </w:p>
        </w:tc>
      </w:tr>
      <w:tr w14:paraId="00FA3866" w14:textId="77777777" w:rsidTr="00D553E9">
        <w:tblPrEx>
          <w:tblW w:w="13225" w:type="dxa"/>
          <w:tblLayout w:type="fixed"/>
          <w:tblLook w:val="04A0"/>
        </w:tblPrEx>
        <w:trPr>
          <w:trHeight w:val="800"/>
        </w:trPr>
        <w:tc>
          <w:tcPr>
            <w:tcW w:w="1075" w:type="dxa"/>
            <w:hideMark/>
          </w:tcPr>
          <w:p w:rsidR="00EF76EE" w:rsidRPr="0063628F" w:rsidP="00432DCE" w14:paraId="5406089A" w14:textId="77777777">
            <w:pPr>
              <w:pStyle w:val="TableCaption"/>
              <w:spacing w:after="0"/>
              <w:jc w:val="left"/>
              <w:rPr>
                <w:b w:val="0"/>
                <w:sz w:val="20"/>
                <w:szCs w:val="20"/>
              </w:rPr>
            </w:pPr>
            <w:r w:rsidRPr="0063628F">
              <w:rPr>
                <w:b w:val="0"/>
                <w:sz w:val="20"/>
                <w:szCs w:val="20"/>
              </w:rPr>
              <w:t>12.39</w:t>
            </w:r>
          </w:p>
        </w:tc>
        <w:tc>
          <w:tcPr>
            <w:tcW w:w="1659" w:type="dxa"/>
            <w:hideMark/>
          </w:tcPr>
          <w:p w:rsidR="00EF76EE" w:rsidRPr="0063628F" w:rsidP="00432DCE" w14:paraId="0684CC6C" w14:textId="77777777">
            <w:pPr>
              <w:pStyle w:val="TableCaption"/>
              <w:spacing w:after="0"/>
              <w:rPr>
                <w:b w:val="0"/>
                <w:sz w:val="20"/>
                <w:szCs w:val="20"/>
              </w:rPr>
            </w:pPr>
            <w:r w:rsidRPr="0063628F">
              <w:rPr>
                <w:b w:val="0"/>
                <w:sz w:val="20"/>
                <w:szCs w:val="20"/>
              </w:rPr>
              <w:t>438.208(c)(2) - (3) Care Coordination</w:t>
            </w:r>
          </w:p>
        </w:tc>
        <w:tc>
          <w:tcPr>
            <w:tcW w:w="1491" w:type="dxa"/>
            <w:noWrap/>
            <w:hideMark/>
          </w:tcPr>
          <w:p w:rsidR="00EF76EE" w:rsidRPr="0063628F" w:rsidP="00432DCE" w14:paraId="2FA301DC" w14:textId="77777777">
            <w:pPr>
              <w:pStyle w:val="TableCaption"/>
              <w:spacing w:after="0"/>
              <w:jc w:val="left"/>
              <w:rPr>
                <w:b w:val="0"/>
                <w:sz w:val="20"/>
                <w:szCs w:val="20"/>
              </w:rPr>
            </w:pPr>
            <w:r w:rsidRPr="0063628F">
              <w:rPr>
                <w:b w:val="0"/>
                <w:sz w:val="20"/>
                <w:szCs w:val="20"/>
              </w:rPr>
              <w:t>568</w:t>
            </w:r>
          </w:p>
        </w:tc>
        <w:tc>
          <w:tcPr>
            <w:tcW w:w="1159" w:type="dxa"/>
            <w:noWrap/>
            <w:hideMark/>
          </w:tcPr>
          <w:p w:rsidR="00EF76EE" w:rsidRPr="0063628F" w:rsidP="00432DCE" w14:paraId="1B8B185C" w14:textId="6F9DB143">
            <w:pPr>
              <w:pStyle w:val="TableCaption"/>
              <w:spacing w:after="0"/>
              <w:jc w:val="left"/>
              <w:rPr>
                <w:b w:val="0"/>
                <w:bCs/>
                <w:sz w:val="20"/>
                <w:szCs w:val="20"/>
              </w:rPr>
            </w:pPr>
            <w:r w:rsidRPr="00B84A04">
              <w:rPr>
                <w:b w:val="0"/>
                <w:bCs/>
                <w:sz w:val="20"/>
                <w:szCs w:val="20"/>
              </w:rPr>
              <w:t>729,770</w:t>
            </w:r>
          </w:p>
        </w:tc>
        <w:tc>
          <w:tcPr>
            <w:tcW w:w="1181" w:type="dxa"/>
            <w:hideMark/>
          </w:tcPr>
          <w:p w:rsidR="00EF76EE" w:rsidRPr="0063628F" w:rsidP="00432DCE" w14:paraId="4232472E" w14:textId="0FA642DD">
            <w:pPr>
              <w:pStyle w:val="TableCaption"/>
              <w:spacing w:after="0"/>
              <w:jc w:val="left"/>
              <w:rPr>
                <w:b w:val="0"/>
                <w:bCs/>
                <w:sz w:val="20"/>
                <w:szCs w:val="20"/>
              </w:rPr>
            </w:pPr>
            <w:r w:rsidRPr="00B84A04">
              <w:rPr>
                <w:b w:val="0"/>
                <w:bCs/>
                <w:sz w:val="20"/>
                <w:szCs w:val="20"/>
              </w:rPr>
              <w:t>1</w:t>
            </w:r>
          </w:p>
        </w:tc>
        <w:tc>
          <w:tcPr>
            <w:tcW w:w="1514" w:type="dxa"/>
            <w:noWrap/>
            <w:hideMark/>
          </w:tcPr>
          <w:p w:rsidR="00EF76EE" w:rsidRPr="0063628F" w:rsidP="00432DCE" w14:paraId="1DE18DAC" w14:textId="785FE4EF">
            <w:pPr>
              <w:pStyle w:val="TableCaption"/>
              <w:spacing w:after="0"/>
              <w:jc w:val="left"/>
              <w:rPr>
                <w:b w:val="0"/>
                <w:bCs/>
                <w:sz w:val="20"/>
                <w:szCs w:val="20"/>
              </w:rPr>
            </w:pPr>
            <w:r w:rsidRPr="00B84A04">
              <w:rPr>
                <w:b w:val="0"/>
                <w:bCs/>
                <w:sz w:val="20"/>
                <w:szCs w:val="20"/>
              </w:rPr>
              <w:t>729,770</w:t>
            </w:r>
          </w:p>
        </w:tc>
        <w:tc>
          <w:tcPr>
            <w:tcW w:w="1062" w:type="dxa"/>
            <w:hideMark/>
          </w:tcPr>
          <w:p w:rsidR="00EF76EE" w:rsidRPr="0063628F" w:rsidP="00432DCE" w14:paraId="7104D0C7" w14:textId="58280D56">
            <w:pPr>
              <w:pStyle w:val="TableCaption"/>
              <w:spacing w:after="0"/>
              <w:jc w:val="left"/>
              <w:rPr>
                <w:b w:val="0"/>
                <w:bCs/>
                <w:sz w:val="20"/>
                <w:szCs w:val="20"/>
              </w:rPr>
            </w:pPr>
            <w:r>
              <w:rPr>
                <w:b w:val="0"/>
                <w:bCs/>
                <w:sz w:val="20"/>
                <w:szCs w:val="20"/>
              </w:rPr>
              <w:t>97.72</w:t>
            </w:r>
          </w:p>
        </w:tc>
        <w:tc>
          <w:tcPr>
            <w:tcW w:w="1625" w:type="dxa"/>
            <w:noWrap/>
            <w:hideMark/>
          </w:tcPr>
          <w:p w:rsidR="00EF76EE" w:rsidRPr="0063628F" w:rsidP="00432DCE" w14:paraId="60CA6591" w14:textId="5344535A">
            <w:pPr>
              <w:pStyle w:val="TableCaption"/>
              <w:spacing w:after="0"/>
              <w:jc w:val="left"/>
              <w:rPr>
                <w:b w:val="0"/>
                <w:bCs/>
                <w:sz w:val="20"/>
                <w:szCs w:val="20"/>
              </w:rPr>
            </w:pPr>
            <w:r>
              <w:rPr>
                <w:b w:val="0"/>
                <w:bCs/>
                <w:sz w:val="20"/>
                <w:szCs w:val="20"/>
              </w:rPr>
              <w:t>71,313,124</w:t>
            </w:r>
          </w:p>
        </w:tc>
        <w:tc>
          <w:tcPr>
            <w:tcW w:w="1199" w:type="dxa"/>
            <w:hideMark/>
          </w:tcPr>
          <w:p w:rsidR="00EF76EE" w:rsidRPr="0063628F" w:rsidP="00432DCE" w14:paraId="4FA74E81" w14:textId="77777777">
            <w:pPr>
              <w:pStyle w:val="TableCaption"/>
              <w:spacing w:after="0"/>
              <w:jc w:val="left"/>
              <w:rPr>
                <w:b w:val="0"/>
                <w:sz w:val="20"/>
                <w:szCs w:val="20"/>
              </w:rPr>
            </w:pPr>
            <w:r w:rsidRPr="0063628F">
              <w:rPr>
                <w:b w:val="0"/>
                <w:sz w:val="20"/>
                <w:szCs w:val="20"/>
              </w:rPr>
              <w:t>RK</w:t>
            </w:r>
          </w:p>
        </w:tc>
        <w:tc>
          <w:tcPr>
            <w:tcW w:w="1260" w:type="dxa"/>
            <w:hideMark/>
          </w:tcPr>
          <w:p w:rsidR="00EF76EE" w:rsidRPr="0063628F" w:rsidP="00432DCE" w14:paraId="607B9B1B" w14:textId="77777777">
            <w:pPr>
              <w:pStyle w:val="TableCaption"/>
              <w:spacing w:after="0"/>
              <w:jc w:val="left"/>
              <w:rPr>
                <w:b w:val="0"/>
                <w:sz w:val="20"/>
                <w:szCs w:val="20"/>
              </w:rPr>
            </w:pPr>
            <w:r w:rsidRPr="0063628F">
              <w:rPr>
                <w:b w:val="0"/>
                <w:sz w:val="20"/>
                <w:szCs w:val="20"/>
              </w:rPr>
              <w:t>Annual</w:t>
            </w:r>
          </w:p>
        </w:tc>
      </w:tr>
      <w:tr w14:paraId="2B20B6B7" w14:textId="77777777" w:rsidTr="00794504">
        <w:tblPrEx>
          <w:tblW w:w="13225" w:type="dxa"/>
          <w:tblLayout w:type="fixed"/>
          <w:tblLook w:val="04A0"/>
        </w:tblPrEx>
        <w:trPr>
          <w:trHeight w:val="888"/>
        </w:trPr>
        <w:tc>
          <w:tcPr>
            <w:tcW w:w="1075" w:type="dxa"/>
            <w:hideMark/>
          </w:tcPr>
          <w:p w:rsidR="00A620FF" w:rsidRPr="0063628F" w:rsidP="00432DCE" w14:paraId="1A524F83" w14:textId="77777777">
            <w:pPr>
              <w:pStyle w:val="TableCaption"/>
              <w:spacing w:after="0"/>
              <w:jc w:val="left"/>
              <w:rPr>
                <w:b w:val="0"/>
                <w:sz w:val="20"/>
                <w:szCs w:val="20"/>
              </w:rPr>
            </w:pPr>
            <w:r w:rsidRPr="0063628F">
              <w:rPr>
                <w:b w:val="0"/>
                <w:sz w:val="20"/>
                <w:szCs w:val="20"/>
              </w:rPr>
              <w:t>12.50</w:t>
            </w:r>
          </w:p>
        </w:tc>
        <w:tc>
          <w:tcPr>
            <w:tcW w:w="1659" w:type="dxa"/>
            <w:hideMark/>
          </w:tcPr>
          <w:p w:rsidR="00A620FF" w:rsidRPr="0063628F" w:rsidP="00432DCE" w14:paraId="62C11FBE" w14:textId="77777777">
            <w:pPr>
              <w:pStyle w:val="TableCaption"/>
              <w:spacing w:after="0"/>
              <w:rPr>
                <w:b w:val="0"/>
                <w:sz w:val="20"/>
                <w:szCs w:val="20"/>
              </w:rPr>
            </w:pPr>
            <w:r w:rsidRPr="0063628F">
              <w:rPr>
                <w:b w:val="0"/>
                <w:sz w:val="20"/>
                <w:szCs w:val="20"/>
              </w:rPr>
              <w:t>438.416 Reporting</w:t>
            </w:r>
          </w:p>
        </w:tc>
        <w:tc>
          <w:tcPr>
            <w:tcW w:w="1491" w:type="dxa"/>
            <w:noWrap/>
            <w:hideMark/>
          </w:tcPr>
          <w:p w:rsidR="00A620FF" w:rsidRPr="0063628F" w:rsidP="00432DCE" w14:paraId="25EBA87C" w14:textId="71249247">
            <w:pPr>
              <w:pStyle w:val="TableCaption"/>
              <w:spacing w:after="0"/>
              <w:jc w:val="left"/>
              <w:rPr>
                <w:b w:val="0"/>
                <w:sz w:val="20"/>
                <w:szCs w:val="20"/>
              </w:rPr>
            </w:pPr>
            <w:r w:rsidRPr="0063628F">
              <w:rPr>
                <w:b w:val="0"/>
                <w:sz w:val="20"/>
                <w:szCs w:val="20"/>
              </w:rPr>
              <w:t>670</w:t>
            </w:r>
          </w:p>
        </w:tc>
        <w:tc>
          <w:tcPr>
            <w:tcW w:w="1159" w:type="dxa"/>
            <w:noWrap/>
            <w:hideMark/>
          </w:tcPr>
          <w:p w:rsidR="00A620FF" w:rsidRPr="0063628F" w:rsidP="00432DCE" w14:paraId="5CAB60C8" w14:textId="230C9DAA">
            <w:pPr>
              <w:pStyle w:val="TableCaption"/>
              <w:spacing w:after="0"/>
              <w:jc w:val="left"/>
              <w:rPr>
                <w:b w:val="0"/>
                <w:sz w:val="20"/>
                <w:szCs w:val="20"/>
              </w:rPr>
            </w:pPr>
            <w:r w:rsidRPr="00B84A04">
              <w:rPr>
                <w:b w:val="0"/>
                <w:sz w:val="20"/>
                <w:szCs w:val="20"/>
              </w:rPr>
              <w:t>1,459,941</w:t>
            </w:r>
          </w:p>
        </w:tc>
        <w:tc>
          <w:tcPr>
            <w:tcW w:w="1181" w:type="dxa"/>
            <w:hideMark/>
          </w:tcPr>
          <w:p w:rsidR="00A620FF" w:rsidRPr="0063628F" w:rsidP="00432DCE" w14:paraId="35ACBA4A" w14:textId="36093D94">
            <w:pPr>
              <w:pStyle w:val="TableCaption"/>
              <w:spacing w:after="0"/>
              <w:jc w:val="left"/>
              <w:rPr>
                <w:b w:val="0"/>
                <w:sz w:val="20"/>
                <w:szCs w:val="20"/>
              </w:rPr>
            </w:pPr>
            <w:r w:rsidRPr="00B84A04">
              <w:rPr>
                <w:b w:val="0"/>
                <w:sz w:val="20"/>
                <w:szCs w:val="20"/>
              </w:rPr>
              <w:t>0.0167</w:t>
            </w:r>
          </w:p>
        </w:tc>
        <w:tc>
          <w:tcPr>
            <w:tcW w:w="1514" w:type="dxa"/>
            <w:noWrap/>
            <w:hideMark/>
          </w:tcPr>
          <w:p w:rsidR="00A620FF" w:rsidRPr="0063628F" w:rsidP="00432DCE" w14:paraId="3E73765C" w14:textId="1B8C20CC">
            <w:pPr>
              <w:pStyle w:val="TableCaption"/>
              <w:spacing w:after="0"/>
              <w:jc w:val="left"/>
              <w:rPr>
                <w:b w:val="0"/>
                <w:sz w:val="20"/>
                <w:szCs w:val="20"/>
              </w:rPr>
            </w:pPr>
            <w:r w:rsidRPr="00B84A04">
              <w:rPr>
                <w:b w:val="0"/>
                <w:sz w:val="20"/>
                <w:szCs w:val="20"/>
              </w:rPr>
              <w:t>24,381</w:t>
            </w:r>
          </w:p>
        </w:tc>
        <w:tc>
          <w:tcPr>
            <w:tcW w:w="1062" w:type="dxa"/>
            <w:hideMark/>
          </w:tcPr>
          <w:p w:rsidR="00A620FF" w:rsidRPr="0063628F" w:rsidP="00432DCE" w14:paraId="6E907A37" w14:textId="13948538">
            <w:pPr>
              <w:pStyle w:val="TableCaption"/>
              <w:spacing w:after="0"/>
              <w:jc w:val="left"/>
              <w:rPr>
                <w:b w:val="0"/>
                <w:sz w:val="20"/>
                <w:szCs w:val="20"/>
              </w:rPr>
            </w:pPr>
            <w:r>
              <w:rPr>
                <w:b w:val="0"/>
                <w:sz w:val="20"/>
                <w:szCs w:val="20"/>
              </w:rPr>
              <w:t>45.06</w:t>
            </w:r>
          </w:p>
        </w:tc>
        <w:tc>
          <w:tcPr>
            <w:tcW w:w="1625" w:type="dxa"/>
            <w:noWrap/>
            <w:hideMark/>
          </w:tcPr>
          <w:p w:rsidR="00A620FF" w:rsidRPr="0063628F" w:rsidP="00432DCE" w14:paraId="37AD852B" w14:textId="01A59DF4">
            <w:pPr>
              <w:pStyle w:val="TableCaption"/>
              <w:spacing w:after="0"/>
              <w:jc w:val="left"/>
              <w:rPr>
                <w:b w:val="0"/>
                <w:sz w:val="20"/>
                <w:szCs w:val="20"/>
              </w:rPr>
            </w:pPr>
            <w:r>
              <w:rPr>
                <w:b w:val="0"/>
                <w:sz w:val="20"/>
                <w:szCs w:val="20"/>
              </w:rPr>
              <w:t>1,097,608</w:t>
            </w:r>
          </w:p>
        </w:tc>
        <w:tc>
          <w:tcPr>
            <w:tcW w:w="1199" w:type="dxa"/>
            <w:hideMark/>
          </w:tcPr>
          <w:p w:rsidR="00A620FF" w:rsidRPr="0063628F" w:rsidP="00432DCE" w14:paraId="16DA9FC3" w14:textId="77777777">
            <w:pPr>
              <w:pStyle w:val="TableCaption"/>
              <w:spacing w:after="0"/>
              <w:jc w:val="left"/>
              <w:rPr>
                <w:b w:val="0"/>
                <w:sz w:val="20"/>
                <w:szCs w:val="20"/>
              </w:rPr>
            </w:pPr>
            <w:r w:rsidRPr="0063628F">
              <w:rPr>
                <w:b w:val="0"/>
                <w:sz w:val="20"/>
                <w:szCs w:val="20"/>
              </w:rPr>
              <w:t>RK</w:t>
            </w:r>
          </w:p>
        </w:tc>
        <w:tc>
          <w:tcPr>
            <w:tcW w:w="1260" w:type="dxa"/>
            <w:hideMark/>
          </w:tcPr>
          <w:p w:rsidR="00A620FF" w:rsidRPr="0063628F" w:rsidP="00432DCE" w14:paraId="5C2FA6D9" w14:textId="77777777">
            <w:pPr>
              <w:pStyle w:val="TableCaption"/>
              <w:spacing w:after="0"/>
              <w:jc w:val="left"/>
              <w:rPr>
                <w:b w:val="0"/>
                <w:sz w:val="20"/>
                <w:szCs w:val="20"/>
              </w:rPr>
            </w:pPr>
            <w:r w:rsidRPr="0063628F">
              <w:rPr>
                <w:b w:val="0"/>
                <w:sz w:val="20"/>
                <w:szCs w:val="20"/>
              </w:rPr>
              <w:t>Annual</w:t>
            </w:r>
          </w:p>
        </w:tc>
      </w:tr>
      <w:tr w14:paraId="0FF1F836" w14:textId="77777777" w:rsidTr="00892648">
        <w:tblPrEx>
          <w:tblW w:w="13225" w:type="dxa"/>
          <w:tblLayout w:type="fixed"/>
          <w:tblLook w:val="04A0"/>
        </w:tblPrEx>
        <w:trPr>
          <w:trHeight w:val="528"/>
        </w:trPr>
        <w:tc>
          <w:tcPr>
            <w:tcW w:w="1075" w:type="dxa"/>
            <w:shd w:val="clear" w:color="auto" w:fill="D9D9D9" w:themeFill="background1" w:themeFillShade="D9"/>
            <w:hideMark/>
          </w:tcPr>
          <w:p w:rsidR="00892648" w:rsidRPr="0063628F" w:rsidP="00432DCE" w14:paraId="3B767C86" w14:textId="5234A2F2">
            <w:pPr>
              <w:pStyle w:val="TableCaption"/>
              <w:spacing w:after="0"/>
              <w:rPr>
                <w:b w:val="0"/>
                <w:i/>
                <w:iCs/>
                <w:sz w:val="20"/>
                <w:szCs w:val="20"/>
              </w:rPr>
            </w:pPr>
          </w:p>
        </w:tc>
        <w:tc>
          <w:tcPr>
            <w:tcW w:w="1659" w:type="dxa"/>
            <w:shd w:val="clear" w:color="auto" w:fill="D9D9D9" w:themeFill="background1" w:themeFillShade="D9"/>
          </w:tcPr>
          <w:p w:rsidR="00892648" w:rsidRPr="0063628F" w:rsidP="00432DCE" w14:paraId="210E42D4" w14:textId="43C75C81">
            <w:pPr>
              <w:pStyle w:val="TableCaption"/>
              <w:spacing w:after="0"/>
              <w:rPr>
                <w:b w:val="0"/>
                <w:i/>
                <w:iCs/>
                <w:sz w:val="20"/>
                <w:szCs w:val="20"/>
              </w:rPr>
            </w:pPr>
            <w:r w:rsidRPr="0063628F">
              <w:rPr>
                <w:b w:val="0"/>
                <w:i/>
                <w:iCs/>
                <w:sz w:val="20"/>
                <w:szCs w:val="20"/>
              </w:rPr>
              <w:t>Subtotal: Recordkeeping</w:t>
            </w:r>
          </w:p>
        </w:tc>
        <w:tc>
          <w:tcPr>
            <w:tcW w:w="1491" w:type="dxa"/>
            <w:shd w:val="clear" w:color="auto" w:fill="D9D9D9" w:themeFill="background1" w:themeFillShade="D9"/>
            <w:noWrap/>
            <w:hideMark/>
          </w:tcPr>
          <w:p w:rsidR="00892648" w:rsidRPr="0063628F" w:rsidP="00432DCE" w14:paraId="3B268945" w14:textId="1EAE29CE">
            <w:pPr>
              <w:pStyle w:val="TableCaption"/>
              <w:spacing w:after="0"/>
              <w:jc w:val="left"/>
              <w:rPr>
                <w:b w:val="0"/>
                <w:i/>
                <w:iCs/>
                <w:sz w:val="20"/>
                <w:szCs w:val="20"/>
              </w:rPr>
            </w:pPr>
            <w:r>
              <w:rPr>
                <w:b w:val="0"/>
                <w:sz w:val="20"/>
                <w:szCs w:val="20"/>
              </w:rPr>
              <w:t>670</w:t>
            </w:r>
          </w:p>
        </w:tc>
        <w:tc>
          <w:tcPr>
            <w:tcW w:w="1159" w:type="dxa"/>
            <w:shd w:val="clear" w:color="auto" w:fill="D9D9D9" w:themeFill="background1" w:themeFillShade="D9"/>
            <w:noWrap/>
            <w:hideMark/>
          </w:tcPr>
          <w:p w:rsidR="00892648" w:rsidRPr="0063628F" w:rsidP="00432DCE" w14:paraId="506CF621" w14:textId="77A4D761">
            <w:pPr>
              <w:pStyle w:val="TableCaption"/>
              <w:spacing w:after="0"/>
              <w:jc w:val="left"/>
              <w:rPr>
                <w:b w:val="0"/>
                <w:i/>
                <w:iCs/>
                <w:sz w:val="20"/>
                <w:szCs w:val="20"/>
              </w:rPr>
            </w:pPr>
            <w:r w:rsidRPr="00B84A04">
              <w:rPr>
                <w:b w:val="0"/>
                <w:sz w:val="20"/>
                <w:szCs w:val="20"/>
              </w:rPr>
              <w:t>2,189,731</w:t>
            </w:r>
          </w:p>
        </w:tc>
        <w:tc>
          <w:tcPr>
            <w:tcW w:w="1181" w:type="dxa"/>
            <w:shd w:val="clear" w:color="auto" w:fill="D9D9D9" w:themeFill="background1" w:themeFillShade="D9"/>
            <w:hideMark/>
          </w:tcPr>
          <w:p w:rsidR="00892648" w:rsidRPr="0063628F" w:rsidP="00432DCE" w14:paraId="7F2B3690" w14:textId="19CF097E">
            <w:pPr>
              <w:pStyle w:val="TableCaption"/>
              <w:spacing w:after="0"/>
              <w:jc w:val="left"/>
              <w:rPr>
                <w:b w:val="0"/>
                <w:bCs/>
                <w:i/>
                <w:iCs/>
                <w:sz w:val="20"/>
                <w:szCs w:val="20"/>
              </w:rPr>
            </w:pPr>
            <w:r w:rsidRPr="00B84A04">
              <w:rPr>
                <w:b w:val="0"/>
                <w:bCs/>
                <w:i/>
                <w:iCs/>
                <w:sz w:val="20"/>
                <w:szCs w:val="20"/>
              </w:rPr>
              <w:t>Varies</w:t>
            </w:r>
          </w:p>
        </w:tc>
        <w:tc>
          <w:tcPr>
            <w:tcW w:w="1514" w:type="dxa"/>
            <w:shd w:val="clear" w:color="auto" w:fill="D9D9D9" w:themeFill="background1" w:themeFillShade="D9"/>
            <w:noWrap/>
            <w:hideMark/>
          </w:tcPr>
          <w:p w:rsidR="00892648" w:rsidRPr="0063628F" w:rsidP="00432DCE" w14:paraId="37D925B4" w14:textId="09E7A33F">
            <w:pPr>
              <w:pStyle w:val="TableCaption"/>
              <w:spacing w:after="0"/>
              <w:jc w:val="left"/>
              <w:rPr>
                <w:b w:val="0"/>
                <w:bCs/>
                <w:i/>
                <w:iCs/>
                <w:sz w:val="20"/>
                <w:szCs w:val="20"/>
              </w:rPr>
            </w:pPr>
            <w:r w:rsidRPr="00B84A04">
              <w:rPr>
                <w:b w:val="0"/>
                <w:bCs/>
                <w:i/>
                <w:iCs/>
                <w:sz w:val="20"/>
                <w:szCs w:val="20"/>
              </w:rPr>
              <w:t>754,951</w:t>
            </w:r>
          </w:p>
        </w:tc>
        <w:tc>
          <w:tcPr>
            <w:tcW w:w="1062" w:type="dxa"/>
            <w:shd w:val="clear" w:color="auto" w:fill="D9D9D9" w:themeFill="background1" w:themeFillShade="D9"/>
            <w:hideMark/>
          </w:tcPr>
          <w:p w:rsidR="00892648" w:rsidRPr="0063628F" w:rsidP="00432DCE" w14:paraId="208839BE" w14:textId="03B99364">
            <w:pPr>
              <w:pStyle w:val="TableCaption"/>
              <w:spacing w:after="0"/>
              <w:jc w:val="left"/>
              <w:rPr>
                <w:b w:val="0"/>
                <w:bCs/>
                <w:i/>
                <w:iCs/>
                <w:sz w:val="20"/>
                <w:szCs w:val="20"/>
              </w:rPr>
            </w:pPr>
            <w:r w:rsidRPr="00B84A04">
              <w:rPr>
                <w:b w:val="0"/>
                <w:bCs/>
                <w:i/>
                <w:iCs/>
                <w:sz w:val="20"/>
                <w:szCs w:val="20"/>
              </w:rPr>
              <w:t>Varies</w:t>
            </w:r>
          </w:p>
        </w:tc>
        <w:tc>
          <w:tcPr>
            <w:tcW w:w="1625" w:type="dxa"/>
            <w:shd w:val="clear" w:color="auto" w:fill="D9D9D9" w:themeFill="background1" w:themeFillShade="D9"/>
            <w:noWrap/>
            <w:hideMark/>
          </w:tcPr>
          <w:p w:rsidR="00892648" w:rsidRPr="0063628F" w:rsidP="00432DCE" w14:paraId="251BEF37" w14:textId="7DAE4016">
            <w:pPr>
              <w:pStyle w:val="TableCaption"/>
              <w:spacing w:after="0"/>
              <w:jc w:val="left"/>
              <w:rPr>
                <w:b w:val="0"/>
                <w:i/>
                <w:iCs/>
                <w:sz w:val="20"/>
                <w:szCs w:val="20"/>
              </w:rPr>
            </w:pPr>
            <w:r>
              <w:rPr>
                <w:b w:val="0"/>
                <w:sz w:val="20"/>
                <w:szCs w:val="20"/>
              </w:rPr>
              <w:t>72,490,536</w:t>
            </w:r>
          </w:p>
        </w:tc>
        <w:tc>
          <w:tcPr>
            <w:tcW w:w="1199" w:type="dxa"/>
            <w:shd w:val="clear" w:color="auto" w:fill="D9D9D9" w:themeFill="background1" w:themeFillShade="D9"/>
            <w:hideMark/>
          </w:tcPr>
          <w:p w:rsidR="00892648" w:rsidRPr="0063628F" w:rsidP="00432DCE" w14:paraId="3BB4C581" w14:textId="77777777">
            <w:pPr>
              <w:pStyle w:val="TableCaption"/>
              <w:spacing w:after="0"/>
              <w:jc w:val="left"/>
              <w:rPr>
                <w:b w:val="0"/>
                <w:i/>
                <w:iCs/>
                <w:sz w:val="20"/>
                <w:szCs w:val="20"/>
              </w:rPr>
            </w:pPr>
            <w:r w:rsidRPr="0063628F">
              <w:rPr>
                <w:b w:val="0"/>
                <w:i/>
                <w:iCs/>
                <w:sz w:val="20"/>
                <w:szCs w:val="20"/>
              </w:rPr>
              <w:t>RK</w:t>
            </w:r>
          </w:p>
        </w:tc>
        <w:tc>
          <w:tcPr>
            <w:tcW w:w="1260" w:type="dxa"/>
            <w:shd w:val="clear" w:color="auto" w:fill="D9D9D9" w:themeFill="background1" w:themeFillShade="D9"/>
            <w:hideMark/>
          </w:tcPr>
          <w:p w:rsidR="00892648" w:rsidRPr="0063628F" w:rsidP="00432DCE" w14:paraId="2109CC5E" w14:textId="77777777">
            <w:pPr>
              <w:pStyle w:val="TableCaption"/>
              <w:spacing w:after="0"/>
              <w:jc w:val="left"/>
              <w:rPr>
                <w:b w:val="0"/>
                <w:i/>
                <w:iCs/>
                <w:sz w:val="20"/>
                <w:szCs w:val="20"/>
              </w:rPr>
            </w:pPr>
            <w:r w:rsidRPr="0063628F">
              <w:rPr>
                <w:b w:val="0"/>
                <w:i/>
                <w:iCs/>
                <w:sz w:val="20"/>
                <w:szCs w:val="20"/>
              </w:rPr>
              <w:t>Annual</w:t>
            </w:r>
          </w:p>
        </w:tc>
      </w:tr>
      <w:tr w14:paraId="2E15D2A1" w14:textId="77777777" w:rsidTr="002976F5">
        <w:tblPrEx>
          <w:tblW w:w="13225" w:type="dxa"/>
          <w:tblLayout w:type="fixed"/>
          <w:tblLook w:val="04A0"/>
        </w:tblPrEx>
        <w:trPr>
          <w:trHeight w:val="528"/>
        </w:trPr>
        <w:tc>
          <w:tcPr>
            <w:tcW w:w="2734" w:type="dxa"/>
            <w:gridSpan w:val="2"/>
            <w:shd w:val="clear" w:color="auto" w:fill="D9D9D9" w:themeFill="background1" w:themeFillShade="D9"/>
          </w:tcPr>
          <w:p w:rsidR="00B04C8C" w:rsidRPr="00D103B8" w:rsidP="00432DCE" w14:paraId="0427B6D1" w14:textId="54B878D9">
            <w:pPr>
              <w:pStyle w:val="TableCaption"/>
              <w:spacing w:after="0"/>
              <w:rPr>
                <w:bCs/>
                <w:sz w:val="20"/>
                <w:szCs w:val="20"/>
              </w:rPr>
            </w:pPr>
            <w:r w:rsidRPr="00D103B8">
              <w:rPr>
                <w:bCs/>
                <w:sz w:val="20"/>
                <w:szCs w:val="20"/>
              </w:rPr>
              <w:t>TOTAL</w:t>
            </w:r>
          </w:p>
        </w:tc>
        <w:tc>
          <w:tcPr>
            <w:tcW w:w="1491" w:type="dxa"/>
            <w:shd w:val="clear" w:color="auto" w:fill="D9D9D9" w:themeFill="background1" w:themeFillShade="D9"/>
            <w:noWrap/>
          </w:tcPr>
          <w:p w:rsidR="00B04C8C" w:rsidRPr="00D103B8" w:rsidP="00432DCE" w14:paraId="029D1565" w14:textId="7299174C">
            <w:pPr>
              <w:pStyle w:val="TableCaption"/>
              <w:spacing w:after="0"/>
              <w:jc w:val="left"/>
              <w:rPr>
                <w:bCs/>
                <w:sz w:val="20"/>
                <w:szCs w:val="20"/>
              </w:rPr>
            </w:pPr>
            <w:r w:rsidRPr="00D103B8">
              <w:rPr>
                <w:bCs/>
                <w:sz w:val="20"/>
                <w:szCs w:val="20"/>
              </w:rPr>
              <w:t>689</w:t>
            </w:r>
          </w:p>
        </w:tc>
        <w:tc>
          <w:tcPr>
            <w:tcW w:w="1159" w:type="dxa"/>
            <w:shd w:val="clear" w:color="auto" w:fill="D9D9D9" w:themeFill="background1" w:themeFillShade="D9"/>
            <w:noWrap/>
          </w:tcPr>
          <w:p w:rsidR="00B04C8C" w:rsidRPr="00D103B8" w:rsidP="00432DCE" w14:paraId="5F4A8744" w14:textId="1A5454C3">
            <w:pPr>
              <w:pStyle w:val="TableCaption"/>
              <w:spacing w:after="0"/>
              <w:jc w:val="left"/>
              <w:rPr>
                <w:bCs/>
                <w:sz w:val="20"/>
                <w:szCs w:val="20"/>
              </w:rPr>
            </w:pPr>
            <w:r w:rsidRPr="00D103B8">
              <w:rPr>
                <w:bCs/>
                <w:sz w:val="20"/>
                <w:szCs w:val="20"/>
              </w:rPr>
              <w:t>10,097,976</w:t>
            </w:r>
          </w:p>
        </w:tc>
        <w:tc>
          <w:tcPr>
            <w:tcW w:w="1181" w:type="dxa"/>
            <w:shd w:val="clear" w:color="auto" w:fill="D9D9D9" w:themeFill="background1" w:themeFillShade="D9"/>
          </w:tcPr>
          <w:p w:rsidR="00B04C8C" w:rsidRPr="00D103B8" w:rsidP="00432DCE" w14:paraId="49342682" w14:textId="37B7EFAC">
            <w:pPr>
              <w:pStyle w:val="TableCaption"/>
              <w:spacing w:after="0"/>
              <w:jc w:val="left"/>
              <w:rPr>
                <w:bCs/>
                <w:sz w:val="20"/>
                <w:szCs w:val="20"/>
              </w:rPr>
            </w:pPr>
            <w:r w:rsidRPr="00D103B8">
              <w:rPr>
                <w:bCs/>
                <w:sz w:val="20"/>
                <w:szCs w:val="20"/>
              </w:rPr>
              <w:t>V</w:t>
            </w:r>
            <w:r w:rsidRPr="00D103B8">
              <w:rPr>
                <w:bCs/>
                <w:sz w:val="20"/>
                <w:szCs w:val="20"/>
              </w:rPr>
              <w:t>aries</w:t>
            </w:r>
          </w:p>
        </w:tc>
        <w:tc>
          <w:tcPr>
            <w:tcW w:w="1514" w:type="dxa"/>
            <w:shd w:val="clear" w:color="auto" w:fill="D9D9D9" w:themeFill="background1" w:themeFillShade="D9"/>
            <w:noWrap/>
          </w:tcPr>
          <w:p w:rsidR="00B04C8C" w:rsidRPr="00D103B8" w:rsidP="00432DCE" w14:paraId="70B614E7" w14:textId="479D8A14">
            <w:pPr>
              <w:pStyle w:val="TableCaption"/>
              <w:spacing w:after="0"/>
              <w:jc w:val="left"/>
              <w:rPr>
                <w:bCs/>
                <w:sz w:val="20"/>
                <w:szCs w:val="20"/>
              </w:rPr>
            </w:pPr>
            <w:r w:rsidRPr="00D103B8">
              <w:rPr>
                <w:bCs/>
                <w:sz w:val="20"/>
                <w:szCs w:val="20"/>
              </w:rPr>
              <w:t>1,725,6</w:t>
            </w:r>
            <w:r w:rsidRPr="00D103B8" w:rsidR="006443F0">
              <w:rPr>
                <w:bCs/>
                <w:sz w:val="20"/>
                <w:szCs w:val="20"/>
              </w:rPr>
              <w:t>59</w:t>
            </w:r>
          </w:p>
        </w:tc>
        <w:tc>
          <w:tcPr>
            <w:tcW w:w="1062" w:type="dxa"/>
            <w:shd w:val="clear" w:color="auto" w:fill="D9D9D9" w:themeFill="background1" w:themeFillShade="D9"/>
          </w:tcPr>
          <w:p w:rsidR="00B04C8C" w:rsidRPr="00D103B8" w:rsidP="00432DCE" w14:paraId="144CCD4B" w14:textId="55CAA00D">
            <w:pPr>
              <w:pStyle w:val="TableCaption"/>
              <w:spacing w:after="0"/>
              <w:jc w:val="left"/>
              <w:rPr>
                <w:bCs/>
                <w:sz w:val="20"/>
                <w:szCs w:val="20"/>
              </w:rPr>
            </w:pPr>
            <w:r w:rsidRPr="00D103B8">
              <w:rPr>
                <w:bCs/>
                <w:sz w:val="20"/>
                <w:szCs w:val="20"/>
              </w:rPr>
              <w:t>varies</w:t>
            </w:r>
          </w:p>
        </w:tc>
        <w:tc>
          <w:tcPr>
            <w:tcW w:w="1625" w:type="dxa"/>
            <w:shd w:val="clear" w:color="auto" w:fill="D9D9D9" w:themeFill="background1" w:themeFillShade="D9"/>
            <w:noWrap/>
          </w:tcPr>
          <w:p w:rsidR="00B04C8C" w:rsidRPr="00D103B8" w:rsidP="00432DCE" w14:paraId="616C74F6" w14:textId="6CC8E2B2">
            <w:pPr>
              <w:pStyle w:val="TableCaption"/>
              <w:spacing w:after="0"/>
              <w:jc w:val="left"/>
              <w:rPr>
                <w:bCs/>
                <w:sz w:val="20"/>
                <w:szCs w:val="20"/>
              </w:rPr>
            </w:pPr>
            <w:r w:rsidRPr="00D103B8">
              <w:rPr>
                <w:bCs/>
                <w:sz w:val="20"/>
                <w:szCs w:val="20"/>
              </w:rPr>
              <w:t>133,</w:t>
            </w:r>
            <w:r w:rsidRPr="00D103B8" w:rsidR="003E1C7F">
              <w:rPr>
                <w:bCs/>
                <w:sz w:val="20"/>
                <w:szCs w:val="20"/>
              </w:rPr>
              <w:t>011</w:t>
            </w:r>
            <w:r w:rsidRPr="00D103B8">
              <w:rPr>
                <w:bCs/>
                <w:sz w:val="20"/>
                <w:szCs w:val="20"/>
              </w:rPr>
              <w:t>,</w:t>
            </w:r>
            <w:r w:rsidRPr="00D103B8" w:rsidR="003E1C7F">
              <w:rPr>
                <w:bCs/>
                <w:sz w:val="20"/>
                <w:szCs w:val="20"/>
              </w:rPr>
              <w:t>035</w:t>
            </w:r>
          </w:p>
        </w:tc>
        <w:tc>
          <w:tcPr>
            <w:tcW w:w="1199" w:type="dxa"/>
            <w:shd w:val="clear" w:color="auto" w:fill="D9D9D9" w:themeFill="background1" w:themeFillShade="D9"/>
          </w:tcPr>
          <w:p w:rsidR="00B04C8C" w:rsidRPr="00D103B8" w:rsidP="00432DCE" w14:paraId="18CFDC7C" w14:textId="0747C6E7">
            <w:pPr>
              <w:pStyle w:val="TableCaption"/>
              <w:spacing w:after="0"/>
              <w:jc w:val="left"/>
              <w:rPr>
                <w:bCs/>
                <w:sz w:val="20"/>
                <w:szCs w:val="20"/>
              </w:rPr>
            </w:pPr>
            <w:r w:rsidRPr="00D103B8">
              <w:rPr>
                <w:bCs/>
                <w:sz w:val="20"/>
                <w:szCs w:val="20"/>
              </w:rPr>
              <w:t>varies</w:t>
            </w:r>
          </w:p>
        </w:tc>
        <w:tc>
          <w:tcPr>
            <w:tcW w:w="1260" w:type="dxa"/>
            <w:shd w:val="clear" w:color="auto" w:fill="D9D9D9" w:themeFill="background1" w:themeFillShade="D9"/>
          </w:tcPr>
          <w:p w:rsidR="00B04C8C" w:rsidRPr="00D103B8" w:rsidP="00432DCE" w14:paraId="794A2FB9" w14:textId="6D52B487">
            <w:pPr>
              <w:pStyle w:val="TableCaption"/>
              <w:spacing w:after="0"/>
              <w:jc w:val="left"/>
              <w:rPr>
                <w:bCs/>
                <w:sz w:val="20"/>
                <w:szCs w:val="20"/>
              </w:rPr>
            </w:pPr>
            <w:r w:rsidRPr="00D103B8">
              <w:rPr>
                <w:bCs/>
                <w:sz w:val="20"/>
                <w:szCs w:val="20"/>
              </w:rPr>
              <w:t>V</w:t>
            </w:r>
            <w:r w:rsidRPr="00D103B8">
              <w:rPr>
                <w:bCs/>
                <w:sz w:val="20"/>
                <w:szCs w:val="20"/>
              </w:rPr>
              <w:t>aries</w:t>
            </w:r>
          </w:p>
        </w:tc>
      </w:tr>
      <w:bookmarkEnd w:id="58"/>
    </w:tbl>
    <w:p w:rsidR="0036140B" w:rsidRPr="006872E2" w:rsidP="00432DCE" w14:paraId="3E7DECB2" w14:textId="77777777">
      <w:pPr>
        <w:pStyle w:val="TableCaption"/>
        <w:spacing w:after="0"/>
        <w:rPr>
          <w:b w:val="0"/>
        </w:rPr>
      </w:pPr>
    </w:p>
    <w:p w:rsidR="00CE6F64" w:rsidRPr="00B84A04" w:rsidP="00432DCE" w14:paraId="137FEB45" w14:textId="1C27D0B2">
      <w:pPr>
        <w:pStyle w:val="TableCaption"/>
        <w:spacing w:after="0"/>
        <w:rPr>
          <w:b w:val="0"/>
          <w:sz w:val="22"/>
          <w:szCs w:val="22"/>
        </w:rPr>
      </w:pPr>
      <w:r w:rsidRPr="009C6CDE">
        <w:rPr>
          <w:b w:val="0"/>
          <w:sz w:val="22"/>
          <w:szCs w:val="22"/>
        </w:rPr>
        <w:t>Summary of Annual Burden Estimates: Total</w:t>
      </w:r>
    </w:p>
    <w:tbl>
      <w:tblPr>
        <w:tblW w:w="13220" w:type="dxa"/>
        <w:tblLayout w:type="fixed"/>
        <w:tblLook w:val="04A0"/>
      </w:tblPr>
      <w:tblGrid>
        <w:gridCol w:w="3050"/>
        <w:gridCol w:w="1710"/>
        <w:gridCol w:w="1800"/>
        <w:gridCol w:w="1530"/>
        <w:gridCol w:w="1710"/>
        <w:gridCol w:w="1260"/>
        <w:gridCol w:w="2160"/>
      </w:tblGrid>
      <w:tr w14:paraId="536805AF" w14:textId="77777777" w:rsidTr="00DE3A26">
        <w:tblPrEx>
          <w:tblW w:w="13220" w:type="dxa"/>
          <w:tblLayout w:type="fixed"/>
          <w:tblLook w:val="04A0"/>
        </w:tblPrEx>
        <w:trPr>
          <w:trHeight w:val="450"/>
          <w:tblHeader/>
        </w:trPr>
        <w:tc>
          <w:tcPr>
            <w:tcW w:w="305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bookmarkEnd w:id="57"/>
          <w:p w:rsidR="00550F6C" w:rsidRPr="009C6CDE" w:rsidP="00432DCE" w14:paraId="307C66A7" w14:textId="77777777">
            <w:pPr>
              <w:spacing w:after="0" w:line="240" w:lineRule="auto"/>
              <w:jc w:val="center"/>
              <w:rPr>
                <w:rFonts w:ascii="Times New Roman" w:eastAsia="Times New Roman" w:hAnsi="Times New Roman" w:cs="Times New Roman"/>
                <w:bCs/>
                <w:sz w:val="20"/>
                <w:szCs w:val="20"/>
              </w:rPr>
            </w:pPr>
            <w:r w:rsidRPr="009C6CDE">
              <w:rPr>
                <w:rFonts w:ascii="Times New Roman" w:eastAsia="Times New Roman" w:hAnsi="Times New Roman" w:cs="Times New Roman"/>
                <w:bCs/>
                <w:sz w:val="20"/>
                <w:szCs w:val="20"/>
              </w:rPr>
              <w:t>Respondent Type</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9C6CDE" w:rsidP="00432DCE" w14:paraId="2F7AD88E" w14:textId="77777777">
            <w:pPr>
              <w:spacing w:after="0" w:line="240" w:lineRule="auto"/>
              <w:jc w:val="center"/>
              <w:rPr>
                <w:rFonts w:ascii="Times New Roman" w:eastAsia="Times New Roman" w:hAnsi="Times New Roman" w:cs="Times New Roman"/>
                <w:bCs/>
                <w:sz w:val="20"/>
                <w:szCs w:val="20"/>
              </w:rPr>
            </w:pPr>
            <w:r w:rsidRPr="009C6CDE">
              <w:rPr>
                <w:rFonts w:ascii="Times New Roman" w:eastAsia="Times New Roman" w:hAnsi="Times New Roman" w:cs="Times New Roman"/>
                <w:bCs/>
                <w:sz w:val="20"/>
                <w:szCs w:val="20"/>
              </w:rPr>
              <w:t>Respondents</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9C6CDE" w:rsidP="00432DCE" w14:paraId="16D288CB" w14:textId="77777777">
            <w:pPr>
              <w:spacing w:after="0" w:line="240" w:lineRule="auto"/>
              <w:jc w:val="center"/>
              <w:rPr>
                <w:rFonts w:ascii="Times New Roman" w:eastAsia="Times New Roman" w:hAnsi="Times New Roman" w:cs="Times New Roman"/>
                <w:bCs/>
                <w:sz w:val="20"/>
                <w:szCs w:val="20"/>
              </w:rPr>
            </w:pPr>
            <w:r w:rsidRPr="009C6CDE">
              <w:rPr>
                <w:rFonts w:ascii="Times New Roman" w:eastAsia="Times New Roman" w:hAnsi="Times New Roman" w:cs="Times New Roman"/>
                <w:bCs/>
                <w:sz w:val="20"/>
                <w:szCs w:val="20"/>
              </w:rPr>
              <w:t>Total Responses</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9C6CDE" w:rsidP="00432DCE" w14:paraId="25D698FB" w14:textId="77777777">
            <w:pPr>
              <w:spacing w:after="0" w:line="240" w:lineRule="auto"/>
              <w:jc w:val="center"/>
              <w:rPr>
                <w:rFonts w:ascii="Times New Roman" w:eastAsia="Times New Roman" w:hAnsi="Times New Roman" w:cs="Times New Roman"/>
                <w:bCs/>
                <w:sz w:val="20"/>
                <w:szCs w:val="20"/>
              </w:rPr>
            </w:pPr>
            <w:r w:rsidRPr="009C6CDE">
              <w:rPr>
                <w:rFonts w:ascii="Times New Roman" w:eastAsia="Times New Roman" w:hAnsi="Times New Roman" w:cs="Times New Roman"/>
                <w:bCs/>
                <w:sz w:val="20"/>
                <w:szCs w:val="20"/>
              </w:rPr>
              <w:t>Burden per Response (hr)</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9C6CDE" w:rsidP="00432DCE" w14:paraId="34B7A8BB" w14:textId="77777777">
            <w:pPr>
              <w:spacing w:after="0" w:line="240" w:lineRule="auto"/>
              <w:jc w:val="center"/>
              <w:rPr>
                <w:rFonts w:ascii="Times New Roman" w:eastAsia="Times New Roman" w:hAnsi="Times New Roman" w:cs="Times New Roman"/>
                <w:bCs/>
                <w:sz w:val="20"/>
                <w:szCs w:val="20"/>
              </w:rPr>
            </w:pPr>
            <w:r w:rsidRPr="009C6CDE">
              <w:rPr>
                <w:rFonts w:ascii="Times New Roman" w:eastAsia="Times New Roman" w:hAnsi="Times New Roman" w:cs="Times New Roman"/>
                <w:bCs/>
                <w:sz w:val="20"/>
                <w:szCs w:val="20"/>
              </w:rPr>
              <w:t>Total Annual Time (hr)</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9C6CDE" w:rsidP="00432DCE" w14:paraId="04D0D5B8" w14:textId="77777777">
            <w:pPr>
              <w:spacing w:after="0" w:line="240" w:lineRule="auto"/>
              <w:jc w:val="center"/>
              <w:rPr>
                <w:rFonts w:ascii="Times New Roman" w:eastAsia="Times New Roman" w:hAnsi="Times New Roman" w:cs="Times New Roman"/>
                <w:bCs/>
                <w:sz w:val="20"/>
                <w:szCs w:val="20"/>
              </w:rPr>
            </w:pPr>
            <w:r w:rsidRPr="009C6CDE">
              <w:rPr>
                <w:rFonts w:ascii="Times New Roman" w:eastAsia="Times New Roman" w:hAnsi="Times New Roman" w:cs="Times New Roman"/>
                <w:bCs/>
                <w:sz w:val="20"/>
                <w:szCs w:val="20"/>
              </w:rPr>
              <w:t>Labor Rate ($/hr)</w:t>
            </w:r>
          </w:p>
        </w:tc>
        <w:tc>
          <w:tcPr>
            <w:tcW w:w="216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9C6CDE" w:rsidP="00432DCE" w14:paraId="5AA3A7C5" w14:textId="77777777">
            <w:pPr>
              <w:spacing w:after="0" w:line="240" w:lineRule="auto"/>
              <w:jc w:val="center"/>
              <w:rPr>
                <w:rFonts w:ascii="Times New Roman" w:eastAsia="Times New Roman" w:hAnsi="Times New Roman" w:cs="Times New Roman"/>
                <w:bCs/>
                <w:sz w:val="20"/>
                <w:szCs w:val="20"/>
              </w:rPr>
            </w:pPr>
            <w:r w:rsidRPr="009C6CDE">
              <w:rPr>
                <w:rFonts w:ascii="Times New Roman" w:eastAsia="Times New Roman" w:hAnsi="Times New Roman" w:cs="Times New Roman"/>
                <w:bCs/>
                <w:sz w:val="20"/>
                <w:szCs w:val="20"/>
              </w:rPr>
              <w:t>Total Annual Cost ($)</w:t>
            </w:r>
          </w:p>
        </w:tc>
      </w:tr>
      <w:tr w14:paraId="628C8291" w14:textId="77777777" w:rsidTr="00D553E9">
        <w:tblPrEx>
          <w:tblW w:w="13220" w:type="dxa"/>
          <w:tblLayout w:type="fixed"/>
          <w:tblLook w:val="04A0"/>
        </w:tblPrEx>
        <w:trPr>
          <w:trHeight w:val="450"/>
        </w:trPr>
        <w:tc>
          <w:tcPr>
            <w:tcW w:w="305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63628F" w:rsidP="00432DCE" w14:paraId="58AEF199" w14:textId="77777777">
            <w:pPr>
              <w:spacing w:after="0" w:line="240" w:lineRule="auto"/>
              <w:rPr>
                <w:rFonts w:ascii="Times New Roman" w:eastAsia="Times New Roman" w:hAnsi="Times New Roman" w:cs="Times New Roman"/>
                <w:b/>
                <w:bCs/>
                <w:color w:val="000000"/>
                <w:sz w:val="20"/>
                <w:szCs w:val="20"/>
              </w:rPr>
            </w:pPr>
          </w:p>
        </w:tc>
        <w:tc>
          <w:tcPr>
            <w:tcW w:w="171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E36FD9" w:rsidP="00432DCE" w14:paraId="4A77716B" w14:textId="77777777">
            <w:pPr>
              <w:spacing w:after="0" w:line="240" w:lineRule="auto"/>
              <w:rPr>
                <w:rFonts w:ascii="Times New Roman" w:eastAsia="Times New Roman" w:hAnsi="Times New Roman" w:cs="Times New Roman"/>
                <w:b/>
                <w:bCs/>
                <w:color w:val="FF0000"/>
                <w:sz w:val="20"/>
                <w:szCs w:val="20"/>
              </w:rPr>
            </w:pPr>
          </w:p>
        </w:tc>
        <w:tc>
          <w:tcPr>
            <w:tcW w:w="180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63628F" w:rsidP="00432DCE" w14:paraId="6346F2DB" w14:textId="77777777">
            <w:pPr>
              <w:spacing w:after="0" w:line="240" w:lineRule="auto"/>
              <w:rPr>
                <w:rFonts w:ascii="Times New Roman" w:eastAsia="Times New Roman" w:hAnsi="Times New Roman" w:cs="Times New Roman"/>
                <w:b/>
                <w:bCs/>
                <w:color w:val="000000"/>
                <w:sz w:val="20"/>
                <w:szCs w:val="20"/>
              </w:rPr>
            </w:pPr>
          </w:p>
        </w:tc>
        <w:tc>
          <w:tcPr>
            <w:tcW w:w="153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63628F" w:rsidP="00432DCE" w14:paraId="33DFA55C" w14:textId="77777777">
            <w:pPr>
              <w:spacing w:after="0" w:line="240" w:lineRule="auto"/>
              <w:rPr>
                <w:rFonts w:ascii="Times New Roman" w:eastAsia="Times New Roman" w:hAnsi="Times New Roman" w:cs="Times New Roman"/>
                <w:b/>
                <w:bCs/>
                <w:color w:val="000000"/>
                <w:sz w:val="20"/>
                <w:szCs w:val="20"/>
              </w:rPr>
            </w:pPr>
          </w:p>
        </w:tc>
        <w:tc>
          <w:tcPr>
            <w:tcW w:w="171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63628F" w:rsidP="00432DCE" w14:paraId="25D7802F" w14:textId="77777777">
            <w:pPr>
              <w:spacing w:after="0" w:line="240" w:lineRule="auto"/>
              <w:rPr>
                <w:rFonts w:ascii="Times New Roman" w:eastAsia="Times New Roman" w:hAnsi="Times New Roman" w:cs="Times New Roman"/>
                <w:b/>
                <w:bCs/>
                <w:color w:val="000000"/>
                <w:sz w:val="20"/>
                <w:szCs w:val="20"/>
              </w:rPr>
            </w:pPr>
          </w:p>
        </w:tc>
        <w:tc>
          <w:tcPr>
            <w:tcW w:w="126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63628F" w:rsidP="00432DCE" w14:paraId="575D42AB" w14:textId="77777777">
            <w:pPr>
              <w:spacing w:after="0" w:line="240" w:lineRule="auto"/>
              <w:rPr>
                <w:rFonts w:ascii="Times New Roman" w:eastAsia="Times New Roman" w:hAnsi="Times New Roman" w:cs="Times New Roman"/>
                <w:b/>
                <w:bCs/>
                <w:color w:val="000000"/>
                <w:sz w:val="20"/>
                <w:szCs w:val="20"/>
              </w:rPr>
            </w:pPr>
          </w:p>
        </w:tc>
        <w:tc>
          <w:tcPr>
            <w:tcW w:w="216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550F6C" w:rsidRPr="0063628F" w:rsidP="00432DCE" w14:paraId="2FD391C8" w14:textId="77777777">
            <w:pPr>
              <w:spacing w:after="0" w:line="240" w:lineRule="auto"/>
              <w:rPr>
                <w:rFonts w:ascii="Times New Roman" w:eastAsia="Times New Roman" w:hAnsi="Times New Roman" w:cs="Times New Roman"/>
                <w:b/>
                <w:bCs/>
                <w:color w:val="000000"/>
                <w:sz w:val="20"/>
                <w:szCs w:val="20"/>
              </w:rPr>
            </w:pPr>
          </w:p>
        </w:tc>
      </w:tr>
      <w:tr w14:paraId="0F01E902" w14:textId="77777777" w:rsidTr="00B84A04">
        <w:tblPrEx>
          <w:tblW w:w="13220" w:type="dxa"/>
          <w:tblLayout w:type="fixed"/>
          <w:tblLook w:val="04A0"/>
        </w:tblPrEx>
        <w:trPr>
          <w:trHeight w:val="300"/>
        </w:trPr>
        <w:tc>
          <w:tcPr>
            <w:tcW w:w="3050" w:type="dxa"/>
            <w:tcBorders>
              <w:top w:val="nil"/>
              <w:left w:val="single" w:sz="4" w:space="0" w:color="auto"/>
              <w:bottom w:val="single" w:sz="4" w:space="0" w:color="auto"/>
              <w:right w:val="single" w:sz="4" w:space="0" w:color="auto"/>
            </w:tcBorders>
            <w:noWrap/>
            <w:vAlign w:val="bottom"/>
            <w:hideMark/>
          </w:tcPr>
          <w:p w:rsidR="006E3AE6" w:rsidRPr="009C6CDE" w:rsidP="00432DCE" w14:paraId="4379D782" w14:textId="77777777">
            <w:pPr>
              <w:spacing w:after="0" w:line="240" w:lineRule="auto"/>
              <w:rPr>
                <w:rFonts w:ascii="Times New Roman" w:eastAsia="Times New Roman" w:hAnsi="Times New Roman" w:cs="Times New Roman"/>
                <w:sz w:val="20"/>
                <w:szCs w:val="20"/>
              </w:rPr>
            </w:pPr>
            <w:r w:rsidRPr="009C6CDE">
              <w:rPr>
                <w:rFonts w:ascii="Times New Roman" w:eastAsia="Times New Roman" w:hAnsi="Times New Roman" w:cs="Times New Roman"/>
                <w:sz w:val="20"/>
                <w:szCs w:val="20"/>
              </w:rPr>
              <w:t>State</w:t>
            </w:r>
          </w:p>
        </w:tc>
        <w:tc>
          <w:tcPr>
            <w:tcW w:w="1710" w:type="dxa"/>
            <w:tcBorders>
              <w:top w:val="single" w:sz="4" w:space="0" w:color="auto"/>
              <w:left w:val="nil"/>
              <w:bottom w:val="single" w:sz="4" w:space="0" w:color="auto"/>
              <w:right w:val="single" w:sz="4" w:space="0" w:color="auto"/>
            </w:tcBorders>
            <w:noWrap/>
            <w:hideMark/>
          </w:tcPr>
          <w:p w:rsidR="006E3AE6" w:rsidRPr="009C6CDE" w:rsidP="00432DCE" w14:paraId="344D601B" w14:textId="7BABFD40">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49</w:t>
            </w:r>
          </w:p>
        </w:tc>
        <w:tc>
          <w:tcPr>
            <w:tcW w:w="1800" w:type="dxa"/>
            <w:tcBorders>
              <w:top w:val="single" w:sz="4" w:space="0" w:color="auto"/>
              <w:left w:val="nil"/>
              <w:bottom w:val="single" w:sz="4" w:space="0" w:color="auto"/>
              <w:right w:val="single" w:sz="4" w:space="0" w:color="auto"/>
            </w:tcBorders>
            <w:noWrap/>
            <w:hideMark/>
          </w:tcPr>
          <w:p w:rsidR="006E3AE6" w:rsidRPr="009C6CDE" w:rsidP="00432DCE" w14:paraId="176CC966" w14:textId="44170296">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5,034,3</w:t>
            </w:r>
            <w:r w:rsidRPr="009C6CDE" w:rsidR="001251D8">
              <w:rPr>
                <w:rFonts w:ascii="Times New Roman" w:hAnsi="Times New Roman" w:cs="Times New Roman"/>
                <w:sz w:val="20"/>
                <w:szCs w:val="20"/>
              </w:rPr>
              <w:t>67</w:t>
            </w:r>
          </w:p>
        </w:tc>
        <w:tc>
          <w:tcPr>
            <w:tcW w:w="1530" w:type="dxa"/>
            <w:tcBorders>
              <w:top w:val="single" w:sz="4" w:space="0" w:color="auto"/>
              <w:left w:val="nil"/>
              <w:bottom w:val="single" w:sz="4" w:space="0" w:color="auto"/>
              <w:right w:val="single" w:sz="4" w:space="0" w:color="auto"/>
            </w:tcBorders>
            <w:hideMark/>
          </w:tcPr>
          <w:p w:rsidR="006E3AE6" w:rsidRPr="009C6CDE" w:rsidP="00432DCE" w14:paraId="4376FC83" w14:textId="225C21A7">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Varies</w:t>
            </w:r>
          </w:p>
        </w:tc>
        <w:tc>
          <w:tcPr>
            <w:tcW w:w="1710" w:type="dxa"/>
            <w:tcBorders>
              <w:top w:val="single" w:sz="4" w:space="0" w:color="auto"/>
              <w:left w:val="nil"/>
              <w:bottom w:val="single" w:sz="4" w:space="0" w:color="auto"/>
              <w:right w:val="single" w:sz="4" w:space="0" w:color="auto"/>
            </w:tcBorders>
            <w:noWrap/>
            <w:hideMark/>
          </w:tcPr>
          <w:p w:rsidR="006E3AE6" w:rsidRPr="009C6CDE" w:rsidP="00432DCE" w14:paraId="46C1F8BE" w14:textId="68B5CD51">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124,409</w:t>
            </w:r>
          </w:p>
        </w:tc>
        <w:tc>
          <w:tcPr>
            <w:tcW w:w="1260" w:type="dxa"/>
            <w:tcBorders>
              <w:top w:val="single" w:sz="4" w:space="0" w:color="auto"/>
              <w:left w:val="nil"/>
              <w:bottom w:val="single" w:sz="4" w:space="0" w:color="auto"/>
              <w:right w:val="single" w:sz="4" w:space="0" w:color="auto"/>
            </w:tcBorders>
            <w:hideMark/>
          </w:tcPr>
          <w:p w:rsidR="006E3AE6" w:rsidRPr="009C6CDE" w:rsidP="00432DCE" w14:paraId="1A7071FC" w14:textId="31DBD82C">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Varies</w:t>
            </w:r>
          </w:p>
        </w:tc>
        <w:tc>
          <w:tcPr>
            <w:tcW w:w="2160" w:type="dxa"/>
            <w:tcBorders>
              <w:top w:val="single" w:sz="4" w:space="0" w:color="auto"/>
              <w:left w:val="nil"/>
              <w:bottom w:val="single" w:sz="4" w:space="0" w:color="auto"/>
              <w:right w:val="single" w:sz="4" w:space="0" w:color="auto"/>
            </w:tcBorders>
            <w:noWrap/>
            <w:hideMark/>
          </w:tcPr>
          <w:p w:rsidR="006E3AE6" w:rsidRPr="009C6CDE" w:rsidP="00432DCE" w14:paraId="66D185AB" w14:textId="3945A5AE">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7,951,605</w:t>
            </w:r>
          </w:p>
        </w:tc>
      </w:tr>
      <w:tr w14:paraId="22E5EA80" w14:textId="77777777" w:rsidTr="00B84A04">
        <w:tblPrEx>
          <w:tblW w:w="13220" w:type="dxa"/>
          <w:tblLayout w:type="fixed"/>
          <w:tblLook w:val="04A0"/>
        </w:tblPrEx>
        <w:trPr>
          <w:trHeight w:val="300"/>
        </w:trPr>
        <w:tc>
          <w:tcPr>
            <w:tcW w:w="3050" w:type="dxa"/>
            <w:tcBorders>
              <w:top w:val="single" w:sz="4" w:space="0" w:color="auto"/>
              <w:left w:val="single" w:sz="4" w:space="0" w:color="auto"/>
              <w:bottom w:val="single" w:sz="4" w:space="0" w:color="auto"/>
              <w:right w:val="single" w:sz="4" w:space="0" w:color="auto"/>
            </w:tcBorders>
            <w:noWrap/>
            <w:vAlign w:val="bottom"/>
            <w:hideMark/>
          </w:tcPr>
          <w:p w:rsidR="006E3AE6" w:rsidRPr="009C6CDE" w:rsidP="00432DCE" w14:paraId="5754BD2E" w14:textId="77777777">
            <w:pPr>
              <w:spacing w:after="0" w:line="240" w:lineRule="auto"/>
              <w:rPr>
                <w:rFonts w:ascii="Times New Roman" w:eastAsia="Times New Roman" w:hAnsi="Times New Roman" w:cs="Times New Roman"/>
                <w:sz w:val="20"/>
                <w:szCs w:val="20"/>
              </w:rPr>
            </w:pPr>
            <w:r w:rsidRPr="009C6CDE">
              <w:rPr>
                <w:rFonts w:ascii="Times New Roman" w:eastAsia="Times New Roman" w:hAnsi="Times New Roman" w:cs="Times New Roman"/>
                <w:sz w:val="20"/>
                <w:szCs w:val="20"/>
              </w:rPr>
              <w:t>Private Sector</w:t>
            </w:r>
          </w:p>
        </w:tc>
        <w:tc>
          <w:tcPr>
            <w:tcW w:w="1710" w:type="dxa"/>
            <w:tcBorders>
              <w:top w:val="nil"/>
              <w:left w:val="nil"/>
              <w:bottom w:val="single" w:sz="4" w:space="0" w:color="auto"/>
              <w:right w:val="single" w:sz="4" w:space="0" w:color="auto"/>
            </w:tcBorders>
            <w:noWrap/>
            <w:hideMark/>
          </w:tcPr>
          <w:p w:rsidR="006E3AE6" w:rsidRPr="009C6CDE" w:rsidP="00432DCE" w14:paraId="68EA642D" w14:textId="6CF51967">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689</w:t>
            </w:r>
          </w:p>
        </w:tc>
        <w:tc>
          <w:tcPr>
            <w:tcW w:w="1800" w:type="dxa"/>
            <w:tcBorders>
              <w:top w:val="nil"/>
              <w:left w:val="nil"/>
              <w:bottom w:val="single" w:sz="4" w:space="0" w:color="auto"/>
              <w:right w:val="single" w:sz="4" w:space="0" w:color="auto"/>
            </w:tcBorders>
            <w:noWrap/>
            <w:hideMark/>
          </w:tcPr>
          <w:p w:rsidR="006E3AE6" w:rsidRPr="009C6CDE" w:rsidP="00432DCE" w14:paraId="031203B8" w14:textId="11DC830D">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10,097,976</w:t>
            </w:r>
          </w:p>
        </w:tc>
        <w:tc>
          <w:tcPr>
            <w:tcW w:w="1530" w:type="dxa"/>
            <w:tcBorders>
              <w:top w:val="nil"/>
              <w:left w:val="nil"/>
              <w:bottom w:val="single" w:sz="4" w:space="0" w:color="auto"/>
              <w:right w:val="single" w:sz="4" w:space="0" w:color="auto"/>
            </w:tcBorders>
            <w:hideMark/>
          </w:tcPr>
          <w:p w:rsidR="006E3AE6" w:rsidRPr="009C6CDE" w:rsidP="00432DCE" w14:paraId="65255680" w14:textId="539C3C4C">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Varies</w:t>
            </w:r>
          </w:p>
        </w:tc>
        <w:tc>
          <w:tcPr>
            <w:tcW w:w="1710" w:type="dxa"/>
            <w:tcBorders>
              <w:top w:val="nil"/>
              <w:left w:val="nil"/>
              <w:bottom w:val="single" w:sz="4" w:space="0" w:color="auto"/>
              <w:right w:val="single" w:sz="4" w:space="0" w:color="auto"/>
            </w:tcBorders>
            <w:noWrap/>
            <w:hideMark/>
          </w:tcPr>
          <w:p w:rsidR="006E3AE6" w:rsidRPr="009C6CDE" w:rsidP="00432DCE" w14:paraId="6474503B" w14:textId="4562D0C6">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1,725,6</w:t>
            </w:r>
            <w:r w:rsidRPr="009C6CDE" w:rsidR="00E36FD9">
              <w:rPr>
                <w:rFonts w:ascii="Times New Roman" w:hAnsi="Times New Roman" w:cs="Times New Roman"/>
                <w:sz w:val="20"/>
                <w:szCs w:val="20"/>
              </w:rPr>
              <w:t>59</w:t>
            </w:r>
          </w:p>
        </w:tc>
        <w:tc>
          <w:tcPr>
            <w:tcW w:w="1260" w:type="dxa"/>
            <w:tcBorders>
              <w:top w:val="nil"/>
              <w:left w:val="nil"/>
              <w:bottom w:val="single" w:sz="4" w:space="0" w:color="auto"/>
              <w:right w:val="single" w:sz="4" w:space="0" w:color="auto"/>
            </w:tcBorders>
            <w:hideMark/>
          </w:tcPr>
          <w:p w:rsidR="006E3AE6" w:rsidRPr="009C6CDE" w:rsidP="00432DCE" w14:paraId="5D36CF35" w14:textId="516F4A3A">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Varies</w:t>
            </w:r>
          </w:p>
        </w:tc>
        <w:tc>
          <w:tcPr>
            <w:tcW w:w="2160" w:type="dxa"/>
            <w:tcBorders>
              <w:top w:val="nil"/>
              <w:left w:val="nil"/>
              <w:bottom w:val="single" w:sz="4" w:space="0" w:color="auto"/>
              <w:right w:val="single" w:sz="4" w:space="0" w:color="auto"/>
            </w:tcBorders>
            <w:noWrap/>
            <w:hideMark/>
          </w:tcPr>
          <w:p w:rsidR="006E3AE6" w:rsidRPr="009C6CDE" w:rsidP="00432DCE" w14:paraId="1AB8140D" w14:textId="05AF93B6">
            <w:pPr>
              <w:spacing w:after="0" w:line="240" w:lineRule="auto"/>
              <w:jc w:val="center"/>
              <w:rPr>
                <w:rFonts w:ascii="Times New Roman" w:eastAsia="Times New Roman" w:hAnsi="Times New Roman" w:cs="Times New Roman"/>
                <w:sz w:val="20"/>
                <w:szCs w:val="20"/>
              </w:rPr>
            </w:pPr>
            <w:r w:rsidRPr="009C6CDE">
              <w:rPr>
                <w:rFonts w:ascii="Times New Roman" w:hAnsi="Times New Roman" w:cs="Times New Roman"/>
                <w:sz w:val="20"/>
                <w:szCs w:val="20"/>
              </w:rPr>
              <w:t>133,</w:t>
            </w:r>
            <w:r w:rsidRPr="009C6CDE" w:rsidR="00E36FD9">
              <w:rPr>
                <w:rFonts w:ascii="Times New Roman" w:hAnsi="Times New Roman" w:cs="Times New Roman"/>
                <w:sz w:val="20"/>
                <w:szCs w:val="20"/>
              </w:rPr>
              <w:t>011,035</w:t>
            </w:r>
          </w:p>
        </w:tc>
      </w:tr>
      <w:tr w14:paraId="586CADB0" w14:textId="77777777" w:rsidTr="00B84A04">
        <w:tblPrEx>
          <w:tblW w:w="13220" w:type="dxa"/>
          <w:tblLayout w:type="fixed"/>
          <w:tblLook w:val="04A0"/>
        </w:tblPrEx>
        <w:trPr>
          <w:trHeight w:val="300"/>
        </w:trPr>
        <w:tc>
          <w:tcPr>
            <w:tcW w:w="30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54E26" w:rsidRPr="009C6CDE" w:rsidP="00432DCE" w14:paraId="6961F7AE" w14:textId="77777777">
            <w:pPr>
              <w:spacing w:after="0" w:line="240" w:lineRule="auto"/>
              <w:rPr>
                <w:rFonts w:ascii="Times New Roman" w:eastAsia="Times New Roman" w:hAnsi="Times New Roman" w:cs="Times New Roman"/>
                <w:b/>
                <w:bCs/>
                <w:sz w:val="20"/>
                <w:szCs w:val="20"/>
              </w:rPr>
            </w:pPr>
            <w:r w:rsidRPr="009C6CDE">
              <w:rPr>
                <w:rFonts w:ascii="Times New Roman" w:eastAsia="Times New Roman" w:hAnsi="Times New Roman" w:cs="Times New Roman"/>
                <w:b/>
                <w:bCs/>
                <w:sz w:val="20"/>
                <w:szCs w:val="20"/>
              </w:rPr>
              <w:t>TOTAL</w:t>
            </w:r>
          </w:p>
        </w:tc>
        <w:tc>
          <w:tcPr>
            <w:tcW w:w="1710" w:type="dxa"/>
            <w:tcBorders>
              <w:top w:val="nil"/>
              <w:left w:val="nil"/>
              <w:bottom w:val="single" w:sz="4" w:space="0" w:color="auto"/>
              <w:right w:val="single" w:sz="4" w:space="0" w:color="auto"/>
            </w:tcBorders>
            <w:shd w:val="clear" w:color="000000" w:fill="D9D9D9"/>
            <w:noWrap/>
            <w:hideMark/>
          </w:tcPr>
          <w:p w:rsidR="00C54E26" w:rsidRPr="009C6CDE" w:rsidP="00432DCE" w14:paraId="6E67BD7A" w14:textId="77D7B1E7">
            <w:pPr>
              <w:spacing w:after="0" w:line="240" w:lineRule="auto"/>
              <w:jc w:val="center"/>
              <w:rPr>
                <w:rFonts w:ascii="Times New Roman" w:eastAsia="Times New Roman" w:hAnsi="Times New Roman" w:cs="Times New Roman"/>
                <w:b/>
                <w:bCs/>
                <w:sz w:val="20"/>
                <w:szCs w:val="20"/>
              </w:rPr>
            </w:pPr>
            <w:r w:rsidRPr="009C6CDE">
              <w:rPr>
                <w:rFonts w:ascii="Times New Roman" w:hAnsi="Times New Roman" w:cs="Times New Roman"/>
                <w:b/>
                <w:bCs/>
                <w:sz w:val="20"/>
                <w:szCs w:val="20"/>
              </w:rPr>
              <w:t>738</w:t>
            </w:r>
          </w:p>
        </w:tc>
        <w:tc>
          <w:tcPr>
            <w:tcW w:w="1800" w:type="dxa"/>
            <w:tcBorders>
              <w:top w:val="nil"/>
              <w:left w:val="nil"/>
              <w:bottom w:val="single" w:sz="4" w:space="0" w:color="auto"/>
              <w:right w:val="single" w:sz="4" w:space="0" w:color="auto"/>
            </w:tcBorders>
            <w:shd w:val="clear" w:color="000000" w:fill="D9D9D9"/>
            <w:noWrap/>
            <w:hideMark/>
          </w:tcPr>
          <w:p w:rsidR="00C54E26" w:rsidRPr="009C6CDE" w:rsidP="00432DCE" w14:paraId="1CDCE769" w14:textId="7D623758">
            <w:pPr>
              <w:spacing w:after="0" w:line="240" w:lineRule="auto"/>
              <w:jc w:val="center"/>
              <w:rPr>
                <w:rFonts w:ascii="Times New Roman" w:eastAsia="Times New Roman" w:hAnsi="Times New Roman" w:cs="Times New Roman"/>
                <w:b/>
                <w:bCs/>
                <w:sz w:val="20"/>
                <w:szCs w:val="20"/>
              </w:rPr>
            </w:pPr>
            <w:r w:rsidRPr="009C6CDE">
              <w:rPr>
                <w:rFonts w:ascii="Times New Roman" w:hAnsi="Times New Roman" w:cs="Times New Roman"/>
                <w:b/>
                <w:bCs/>
                <w:sz w:val="20"/>
                <w:szCs w:val="20"/>
              </w:rPr>
              <w:t>15,132,3</w:t>
            </w:r>
            <w:r w:rsidRPr="009C6CDE" w:rsidR="00B01B5C">
              <w:rPr>
                <w:rFonts w:ascii="Times New Roman" w:hAnsi="Times New Roman" w:cs="Times New Roman"/>
                <w:b/>
                <w:bCs/>
                <w:sz w:val="20"/>
                <w:szCs w:val="20"/>
              </w:rPr>
              <w:t>43</w:t>
            </w:r>
          </w:p>
        </w:tc>
        <w:tc>
          <w:tcPr>
            <w:tcW w:w="1530" w:type="dxa"/>
            <w:tcBorders>
              <w:top w:val="nil"/>
              <w:left w:val="nil"/>
              <w:bottom w:val="single" w:sz="4" w:space="0" w:color="auto"/>
              <w:right w:val="single" w:sz="4" w:space="0" w:color="auto"/>
            </w:tcBorders>
            <w:shd w:val="clear" w:color="000000" w:fill="D9D9D9"/>
            <w:hideMark/>
          </w:tcPr>
          <w:p w:rsidR="00C54E26" w:rsidRPr="009C6CDE" w:rsidP="00432DCE" w14:paraId="61A664CF" w14:textId="72547085">
            <w:pPr>
              <w:spacing w:after="0" w:line="240" w:lineRule="auto"/>
              <w:jc w:val="center"/>
              <w:rPr>
                <w:rFonts w:ascii="Times New Roman" w:eastAsia="Times New Roman" w:hAnsi="Times New Roman" w:cs="Times New Roman"/>
                <w:b/>
                <w:bCs/>
                <w:sz w:val="20"/>
                <w:szCs w:val="20"/>
              </w:rPr>
            </w:pPr>
            <w:r w:rsidRPr="009C6CDE">
              <w:rPr>
                <w:rFonts w:ascii="Times New Roman" w:hAnsi="Times New Roman" w:cs="Times New Roman"/>
                <w:b/>
                <w:bCs/>
                <w:sz w:val="20"/>
                <w:szCs w:val="20"/>
              </w:rPr>
              <w:t>Varies</w:t>
            </w:r>
          </w:p>
        </w:tc>
        <w:tc>
          <w:tcPr>
            <w:tcW w:w="1710" w:type="dxa"/>
            <w:tcBorders>
              <w:top w:val="nil"/>
              <w:left w:val="nil"/>
              <w:bottom w:val="single" w:sz="4" w:space="0" w:color="auto"/>
              <w:right w:val="single" w:sz="4" w:space="0" w:color="auto"/>
            </w:tcBorders>
            <w:shd w:val="clear" w:color="000000" w:fill="D9D9D9"/>
            <w:noWrap/>
            <w:hideMark/>
          </w:tcPr>
          <w:p w:rsidR="00C54E26" w:rsidRPr="009C6CDE" w:rsidP="00432DCE" w14:paraId="477645D8" w14:textId="67546A6F">
            <w:pPr>
              <w:spacing w:after="0" w:line="240" w:lineRule="auto"/>
              <w:jc w:val="center"/>
              <w:rPr>
                <w:rFonts w:ascii="Times New Roman" w:eastAsia="Times New Roman" w:hAnsi="Times New Roman" w:cs="Times New Roman"/>
                <w:b/>
                <w:bCs/>
                <w:sz w:val="20"/>
                <w:szCs w:val="20"/>
              </w:rPr>
            </w:pPr>
            <w:r w:rsidRPr="009C6CDE">
              <w:rPr>
                <w:rFonts w:ascii="Times New Roman" w:hAnsi="Times New Roman" w:cs="Times New Roman"/>
                <w:b/>
                <w:bCs/>
                <w:sz w:val="20"/>
                <w:szCs w:val="20"/>
              </w:rPr>
              <w:t>1,850,</w:t>
            </w:r>
            <w:r w:rsidRPr="009C6CDE" w:rsidR="00B01B5C">
              <w:rPr>
                <w:rFonts w:ascii="Times New Roman" w:hAnsi="Times New Roman" w:cs="Times New Roman"/>
                <w:b/>
                <w:bCs/>
                <w:sz w:val="20"/>
                <w:szCs w:val="20"/>
              </w:rPr>
              <w:t>06</w:t>
            </w:r>
            <w:r w:rsidRPr="009C6CDE" w:rsidR="006E157B">
              <w:rPr>
                <w:rFonts w:ascii="Times New Roman" w:hAnsi="Times New Roman" w:cs="Times New Roman"/>
                <w:b/>
                <w:bCs/>
                <w:sz w:val="20"/>
                <w:szCs w:val="20"/>
              </w:rPr>
              <w:t>8</w:t>
            </w:r>
          </w:p>
        </w:tc>
        <w:tc>
          <w:tcPr>
            <w:tcW w:w="1260" w:type="dxa"/>
            <w:tcBorders>
              <w:top w:val="nil"/>
              <w:left w:val="nil"/>
              <w:bottom w:val="single" w:sz="4" w:space="0" w:color="auto"/>
              <w:right w:val="single" w:sz="4" w:space="0" w:color="auto"/>
            </w:tcBorders>
            <w:shd w:val="clear" w:color="000000" w:fill="D9D9D9"/>
            <w:hideMark/>
          </w:tcPr>
          <w:p w:rsidR="00C54E26" w:rsidRPr="009C6CDE" w:rsidP="00432DCE" w14:paraId="1F6257D9" w14:textId="02DD57DC">
            <w:pPr>
              <w:spacing w:after="0" w:line="240" w:lineRule="auto"/>
              <w:jc w:val="center"/>
              <w:rPr>
                <w:rFonts w:ascii="Times New Roman" w:eastAsia="Times New Roman" w:hAnsi="Times New Roman" w:cs="Times New Roman"/>
                <w:b/>
                <w:bCs/>
                <w:sz w:val="20"/>
                <w:szCs w:val="20"/>
              </w:rPr>
            </w:pPr>
            <w:r w:rsidRPr="009C6CDE">
              <w:rPr>
                <w:rFonts w:ascii="Times New Roman" w:hAnsi="Times New Roman" w:cs="Times New Roman"/>
                <w:b/>
                <w:bCs/>
                <w:sz w:val="20"/>
                <w:szCs w:val="20"/>
              </w:rPr>
              <w:t>Varies</w:t>
            </w:r>
          </w:p>
        </w:tc>
        <w:tc>
          <w:tcPr>
            <w:tcW w:w="2160" w:type="dxa"/>
            <w:tcBorders>
              <w:top w:val="nil"/>
              <w:left w:val="nil"/>
              <w:bottom w:val="single" w:sz="4" w:space="0" w:color="auto"/>
              <w:right w:val="single" w:sz="4" w:space="0" w:color="auto"/>
            </w:tcBorders>
            <w:shd w:val="clear" w:color="000000" w:fill="D9D9D9"/>
            <w:noWrap/>
            <w:hideMark/>
          </w:tcPr>
          <w:p w:rsidR="00C54E26" w:rsidRPr="009C6CDE" w:rsidP="00432DCE" w14:paraId="1AD0D449" w14:textId="04F9BA40">
            <w:pPr>
              <w:spacing w:after="0" w:line="240" w:lineRule="auto"/>
              <w:jc w:val="center"/>
              <w:rPr>
                <w:rFonts w:ascii="Times New Roman" w:eastAsia="Times New Roman" w:hAnsi="Times New Roman" w:cs="Times New Roman"/>
                <w:b/>
                <w:bCs/>
                <w:sz w:val="20"/>
                <w:szCs w:val="20"/>
              </w:rPr>
            </w:pPr>
            <w:r w:rsidRPr="009C6CDE">
              <w:rPr>
                <w:rFonts w:ascii="Times New Roman" w:hAnsi="Times New Roman" w:cs="Times New Roman"/>
                <w:b/>
                <w:bCs/>
                <w:sz w:val="20"/>
                <w:szCs w:val="20"/>
              </w:rPr>
              <w:t>1</w:t>
            </w:r>
            <w:r w:rsidRPr="009C6CDE" w:rsidR="00A44BF3">
              <w:rPr>
                <w:rFonts w:ascii="Times New Roman" w:hAnsi="Times New Roman" w:cs="Times New Roman"/>
                <w:b/>
                <w:bCs/>
                <w:sz w:val="20"/>
                <w:szCs w:val="20"/>
              </w:rPr>
              <w:t>40,962,640</w:t>
            </w:r>
          </w:p>
        </w:tc>
      </w:tr>
    </w:tbl>
    <w:p w:rsidR="00F7522D" w:rsidRPr="006872E2" w:rsidP="00432DCE" w14:paraId="6E92CB5F" w14:textId="77777777">
      <w:pPr>
        <w:pStyle w:val="BodyText"/>
        <w:spacing w:after="0" w:line="240" w:lineRule="auto"/>
        <w:sectPr w:rsidSect="00F7522D">
          <w:pgSz w:w="15840" w:h="12240" w:orient="landscape"/>
          <w:pgMar w:top="1440" w:right="1440" w:bottom="1440" w:left="1440" w:header="720" w:footer="720" w:gutter="0"/>
          <w:cols w:space="720"/>
          <w:docGrid w:linePitch="360"/>
        </w:sectPr>
      </w:pPr>
    </w:p>
    <w:p w:rsidR="006D1463" w:rsidRPr="006872E2" w:rsidP="00432DCE" w14:paraId="55C66FFC" w14:textId="32F14FE5">
      <w:pPr>
        <w:pStyle w:val="BodyText"/>
        <w:spacing w:after="0" w:line="240" w:lineRule="auto"/>
      </w:pPr>
    </w:p>
    <w:p w:rsidR="00D73D13" w:rsidRPr="00725E5D" w:rsidP="00432DCE" w14:paraId="0D3B99D4" w14:textId="48CA5D51">
      <w:pPr>
        <w:pStyle w:val="BodyText"/>
        <w:spacing w:after="0" w:line="240" w:lineRule="auto"/>
        <w:rPr>
          <w:rFonts w:ascii="Times New Roman" w:hAnsi="Times New Roman" w:cs="Times New Roman"/>
          <w:i/>
        </w:rPr>
      </w:pPr>
      <w:r w:rsidRPr="00725E5D">
        <w:rPr>
          <w:rFonts w:ascii="Times New Roman" w:hAnsi="Times New Roman" w:cs="Times New Roman"/>
          <w:i/>
        </w:rPr>
        <w:t>12.4 Collection of Information Instruments and Instruction/Guidance Documents</w:t>
      </w:r>
    </w:p>
    <w:p w:rsidR="0010600B" w:rsidRPr="00725E5D" w:rsidP="00432DCE" w14:paraId="585F3047" w14:textId="15C9C03F">
      <w:pPr>
        <w:pStyle w:val="BodyText"/>
        <w:spacing w:after="0" w:line="240" w:lineRule="auto"/>
        <w:rPr>
          <w:rFonts w:ascii="Times New Roman" w:hAnsi="Times New Roman" w:cs="Times New Roman"/>
        </w:rPr>
      </w:pPr>
      <w:r w:rsidRPr="00725E5D">
        <w:rPr>
          <w:rFonts w:ascii="Times New Roman" w:hAnsi="Times New Roman" w:cs="Times New Roman"/>
        </w:rPr>
        <w:t>Managed Care Program Annual Report (MCPAR) (No Change)</w:t>
      </w:r>
    </w:p>
    <w:p w:rsidR="0010600B" w:rsidRPr="00026844" w:rsidP="00432DCE" w14:paraId="12F98AAB" w14:textId="358E0574">
      <w:pPr>
        <w:pStyle w:val="BodyText"/>
        <w:spacing w:after="0" w:line="240" w:lineRule="auto"/>
        <w:rPr>
          <w:rFonts w:ascii="Times New Roman" w:hAnsi="Times New Roman" w:cs="Times New Roman"/>
        </w:rPr>
      </w:pPr>
      <w:r w:rsidRPr="00725E5D">
        <w:rPr>
          <w:rFonts w:ascii="Times New Roman" w:hAnsi="Times New Roman" w:cs="Times New Roman"/>
        </w:rPr>
        <w:t>(</w:t>
      </w:r>
      <w:r w:rsidRPr="00725E5D" w:rsidR="00CB3AD8">
        <w:rPr>
          <w:rFonts w:ascii="Times New Roman" w:hAnsi="Times New Roman" w:cs="Times New Roman"/>
        </w:rPr>
        <w:t>For Estimate 12.26 and the requirement under §438.66(e)</w:t>
      </w:r>
      <w:r w:rsidRPr="00725E5D">
        <w:rPr>
          <w:rFonts w:ascii="Times New Roman" w:hAnsi="Times New Roman" w:cs="Times New Roman"/>
        </w:rPr>
        <w:t>)</w:t>
      </w:r>
    </w:p>
    <w:p w:rsidR="00725E5D" w:rsidP="00432DCE" w14:paraId="50FC230A" w14:textId="46F35FB9">
      <w:pPr>
        <w:pStyle w:val="BodyText"/>
        <w:spacing w:after="0" w:line="240" w:lineRule="auto"/>
        <w:rPr>
          <w:rFonts w:ascii="Times New Roman" w:hAnsi="Times New Roman" w:cs="Times New Roman"/>
        </w:rPr>
      </w:pPr>
      <w:hyperlink r:id="rId11" w:history="1">
        <w:r w:rsidRPr="00F80EE8">
          <w:rPr>
            <w:rStyle w:val="Hyperlink"/>
            <w:rFonts w:ascii="Times New Roman" w:hAnsi="Times New Roman" w:cs="Times New Roman"/>
          </w:rPr>
          <w:t>https://www.medicaid.gov/medicaid/downloads/mcpar-reporting-template-2025-v1.xlsx</w:t>
        </w:r>
      </w:hyperlink>
    </w:p>
    <w:p w:rsidR="00881E08" w:rsidRPr="00725E5D" w:rsidP="00432DCE" w14:paraId="143C7E2F" w14:textId="77777777">
      <w:pPr>
        <w:pStyle w:val="BodyText"/>
        <w:spacing w:after="0" w:line="240" w:lineRule="auto"/>
        <w:rPr>
          <w:rFonts w:ascii="Times New Roman" w:hAnsi="Times New Roman" w:cs="Times New Roman"/>
        </w:rPr>
      </w:pPr>
    </w:p>
    <w:p w:rsidR="0010600B" w:rsidRPr="00725E5D" w:rsidP="00432DCE" w14:paraId="61B28557" w14:textId="322A5523">
      <w:pPr>
        <w:pStyle w:val="BodyText"/>
        <w:spacing w:after="0" w:line="240" w:lineRule="auto"/>
        <w:rPr>
          <w:rFonts w:ascii="Times New Roman" w:hAnsi="Times New Roman" w:cs="Times New Roman"/>
        </w:rPr>
      </w:pPr>
      <w:bookmarkStart w:id="60" w:name="_Hlk124834997"/>
      <w:r w:rsidRPr="00725E5D">
        <w:rPr>
          <w:rFonts w:ascii="Times New Roman" w:hAnsi="Times New Roman" w:cs="Times New Roman"/>
        </w:rPr>
        <w:t>Medical Loss Ratio (MLR) Reporting Template</w:t>
      </w:r>
      <w:r w:rsidRPr="00725E5D" w:rsidR="0053445E">
        <w:rPr>
          <w:rFonts w:ascii="Times New Roman" w:hAnsi="Times New Roman" w:cs="Times New Roman"/>
        </w:rPr>
        <w:t xml:space="preserve">  (No Change)</w:t>
      </w:r>
    </w:p>
    <w:p w:rsidR="00FD4FE0" w:rsidRPr="00725E5D" w:rsidP="00432DCE" w14:paraId="62A93F0D" w14:textId="160756F8">
      <w:pPr>
        <w:pStyle w:val="BodyText"/>
        <w:spacing w:after="0" w:line="240" w:lineRule="auto"/>
      </w:pPr>
      <w:r w:rsidRPr="00725E5D">
        <w:rPr>
          <w:rFonts w:ascii="Times New Roman" w:hAnsi="Times New Roman" w:cs="Times New Roman"/>
        </w:rPr>
        <w:t>(For Estimate 12.</w:t>
      </w:r>
      <w:r w:rsidRPr="00725E5D" w:rsidR="006C55C3">
        <w:rPr>
          <w:rFonts w:ascii="Times New Roman" w:hAnsi="Times New Roman" w:cs="Times New Roman"/>
        </w:rPr>
        <w:t>65</w:t>
      </w:r>
      <w:r w:rsidRPr="00725E5D">
        <w:rPr>
          <w:rFonts w:ascii="Times New Roman" w:hAnsi="Times New Roman" w:cs="Times New Roman"/>
        </w:rPr>
        <w:t xml:space="preserve"> and the requirement under §438.74(a)</w:t>
      </w:r>
      <w:r w:rsidRPr="00725E5D" w:rsidR="00001A5F">
        <w:t>)</w:t>
      </w:r>
    </w:p>
    <w:bookmarkEnd w:id="60"/>
    <w:p w:rsidR="00725E5D" w:rsidP="00432DCE" w14:paraId="0D56F4BB" w14:textId="58BAC3CA">
      <w:pPr>
        <w:pStyle w:val="BodyText"/>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w:instrText>
      </w:r>
      <w:r w:rsidRPr="00285BD6">
        <w:rPr>
          <w:rFonts w:ascii="Times New Roman" w:hAnsi="Times New Roman" w:cs="Times New Roman"/>
        </w:rPr>
        <w:instrText>https://www.medicaid.gov/medicaid/managed-care/downloads/mlr-reporting-template.xlsx</w:instrText>
      </w:r>
      <w:r>
        <w:rPr>
          <w:rFonts w:ascii="Times New Roman" w:hAnsi="Times New Roman" w:cs="Times New Roman"/>
        </w:rPr>
        <w:instrText>"</w:instrText>
      </w:r>
      <w:r>
        <w:rPr>
          <w:rFonts w:ascii="Times New Roman" w:hAnsi="Times New Roman" w:cs="Times New Roman"/>
        </w:rPr>
        <w:fldChar w:fldCharType="separate"/>
      </w:r>
      <w:r w:rsidRPr="00F80EE8">
        <w:rPr>
          <w:rStyle w:val="Hyperlink"/>
          <w:rFonts w:ascii="Times New Roman" w:hAnsi="Times New Roman" w:cs="Times New Roman"/>
        </w:rPr>
        <w:t>https://www.medicaid.gov/medicaid/managed-care/downloads/mlr-reporting-template.xlsx</w:t>
      </w:r>
      <w:r>
        <w:rPr>
          <w:rFonts w:ascii="Times New Roman" w:hAnsi="Times New Roman" w:cs="Times New Roman"/>
        </w:rPr>
        <w:fldChar w:fldCharType="end"/>
      </w:r>
    </w:p>
    <w:p w:rsidR="00881E08" w:rsidRPr="00725E5D" w:rsidP="00432DCE" w14:paraId="0B5CBCDA" w14:textId="77777777">
      <w:pPr>
        <w:pStyle w:val="BodyText"/>
        <w:spacing w:after="0" w:line="240" w:lineRule="auto"/>
        <w:rPr>
          <w:rFonts w:ascii="Times New Roman" w:hAnsi="Times New Roman" w:cs="Times New Roman"/>
        </w:rPr>
      </w:pPr>
    </w:p>
    <w:p w:rsidR="0053445E" w:rsidRPr="00725E5D" w:rsidP="00432DCE" w14:paraId="763F65E1" w14:textId="77777777">
      <w:pPr>
        <w:pStyle w:val="BodyText"/>
        <w:spacing w:after="0" w:line="240" w:lineRule="auto"/>
        <w:rPr>
          <w:rFonts w:ascii="Times New Roman" w:hAnsi="Times New Roman" w:cs="Times New Roman"/>
        </w:rPr>
      </w:pPr>
      <w:r w:rsidRPr="00725E5D">
        <w:rPr>
          <w:rFonts w:ascii="Times New Roman" w:hAnsi="Times New Roman" w:cs="Times New Roman"/>
        </w:rPr>
        <w:t>Network Adequacy and Access Assurances Tool</w:t>
      </w:r>
      <w:r w:rsidRPr="00026844">
        <w:rPr>
          <w:rFonts w:ascii="Times New Roman" w:hAnsi="Times New Roman" w:cs="Times New Roman"/>
        </w:rPr>
        <w:t>. (No Change)</w:t>
      </w:r>
    </w:p>
    <w:p w:rsidR="0053445E" w:rsidRPr="00881E08" w:rsidP="00432DCE" w14:paraId="6575E0D6" w14:textId="0B2C177E">
      <w:pPr>
        <w:pStyle w:val="BodyText"/>
        <w:spacing w:after="0" w:line="240" w:lineRule="auto"/>
      </w:pPr>
      <w:r w:rsidRPr="00725E5D">
        <w:rPr>
          <w:rFonts w:ascii="Times New Roman" w:hAnsi="Times New Roman" w:cs="Times New Roman"/>
        </w:rPr>
        <w:t>(For Estimate 12.34c and the requirement under §438.207(d))</w:t>
      </w:r>
    </w:p>
    <w:p w:rsidR="00FA1202" w:rsidP="00432DCE" w14:paraId="7EC9F908" w14:textId="29E102F6">
      <w:pPr>
        <w:pStyle w:val="BodyText"/>
        <w:spacing w:after="0" w:line="240" w:lineRule="auto"/>
        <w:rPr>
          <w:rFonts w:ascii="Times New Roman" w:hAnsi="Times New Roman" w:cs="Times New Roman"/>
        </w:rPr>
      </w:pPr>
      <w:hyperlink r:id="rId12" w:history="1">
        <w:r w:rsidRPr="00F80EE8">
          <w:rPr>
            <w:rStyle w:val="Hyperlink"/>
            <w:rFonts w:ascii="Times New Roman" w:hAnsi="Times New Roman" w:cs="Times New Roman"/>
          </w:rPr>
          <w:t>https://www.medicaid.gov/medicaid/managed-care/downloads/network-assurances-template-2025-v2.xlsx</w:t>
        </w:r>
      </w:hyperlink>
    </w:p>
    <w:p w:rsidR="00881E08" w:rsidRPr="006872E2" w:rsidP="00432DCE" w14:paraId="75B57292" w14:textId="77777777">
      <w:pPr>
        <w:pStyle w:val="BodyText"/>
        <w:spacing w:after="0" w:line="240" w:lineRule="auto"/>
        <w:rPr>
          <w:rFonts w:ascii="Times New Roman" w:hAnsi="Times New Roman" w:cs="Times New Roman"/>
        </w:rPr>
      </w:pPr>
    </w:p>
    <w:p w:rsidR="00FC2882" w:rsidRPr="006872E2" w:rsidP="00E05160" w14:paraId="42407923" w14:textId="4B14EA2A">
      <w:pPr>
        <w:pStyle w:val="Heading3"/>
        <w:keepNext w:val="0"/>
        <w:keepLines w:val="0"/>
        <w:widowControl w:val="0"/>
        <w:numPr>
          <w:ilvl w:val="0"/>
          <w:numId w:val="2"/>
        </w:numPr>
        <w:spacing w:before="0" w:line="240" w:lineRule="auto"/>
        <w:ind w:left="0" w:firstLine="0"/>
        <w:rPr>
          <w:rFonts w:ascii="Times New Roman" w:hAnsi="Times New Roman" w:cs="Times New Roman"/>
          <w:i/>
          <w:color w:val="auto"/>
          <w:u w:val="single"/>
        </w:rPr>
      </w:pPr>
      <w:bookmarkStart w:id="61" w:name="_Toc528571034"/>
      <w:bookmarkStart w:id="62" w:name="_Toc528571502"/>
      <w:bookmarkStart w:id="63" w:name="_Toc528571596"/>
      <w:r w:rsidRPr="006872E2">
        <w:rPr>
          <w:rFonts w:ascii="Times New Roman" w:hAnsi="Times New Roman" w:cs="Times New Roman"/>
          <w:color w:val="auto"/>
          <w:u w:val="single"/>
        </w:rPr>
        <w:t>Capital Costs (</w:t>
      </w:r>
      <w:r w:rsidRPr="006872E2" w:rsidR="00EC2906">
        <w:rPr>
          <w:rFonts w:ascii="Times New Roman" w:hAnsi="Times New Roman" w:cs="Times New Roman"/>
          <w:color w:val="auto"/>
          <w:u w:val="single"/>
        </w:rPr>
        <w:t>Maintenance</w:t>
      </w:r>
      <w:r w:rsidRPr="006872E2">
        <w:rPr>
          <w:rFonts w:ascii="Times New Roman" w:hAnsi="Times New Roman" w:cs="Times New Roman"/>
          <w:color w:val="auto"/>
          <w:u w:val="single"/>
        </w:rPr>
        <w:t xml:space="preserve"> of </w:t>
      </w:r>
      <w:r w:rsidRPr="006872E2" w:rsidR="00EC2906">
        <w:rPr>
          <w:rFonts w:ascii="Times New Roman" w:hAnsi="Times New Roman" w:cs="Times New Roman"/>
          <w:color w:val="auto"/>
          <w:u w:val="single"/>
        </w:rPr>
        <w:t>Capital</w:t>
      </w:r>
      <w:r w:rsidRPr="006872E2">
        <w:rPr>
          <w:rFonts w:ascii="Times New Roman" w:hAnsi="Times New Roman" w:cs="Times New Roman"/>
          <w:color w:val="auto"/>
          <w:u w:val="single"/>
        </w:rPr>
        <w:t xml:space="preserve"> Costs)</w:t>
      </w:r>
      <w:r w:rsidRPr="006872E2">
        <w:rPr>
          <w:rFonts w:ascii="Times New Roman" w:hAnsi="Times New Roman" w:cs="Times New Roman"/>
          <w:i/>
          <w:color w:val="auto"/>
          <w:u w:val="single"/>
        </w:rPr>
        <w:t>:</w:t>
      </w:r>
      <w:bookmarkEnd w:id="61"/>
      <w:bookmarkEnd w:id="62"/>
      <w:bookmarkEnd w:id="63"/>
    </w:p>
    <w:p w:rsidR="0053445D" w:rsidRPr="006872E2" w:rsidP="00432DCE" w14:paraId="7C6823CC" w14:textId="77777777">
      <w:pPr>
        <w:spacing w:after="0" w:line="240" w:lineRule="auto"/>
      </w:pPr>
    </w:p>
    <w:p w:rsidR="00615B73" w:rsidP="00432DCE" w14:paraId="3E741532"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There are no capital costs.</w:t>
      </w:r>
    </w:p>
    <w:p w:rsidR="00B41FE8" w:rsidRPr="00B41FE8" w:rsidP="00B41FE8" w14:paraId="59AEE8D5" w14:textId="77777777">
      <w:pPr>
        <w:pStyle w:val="BodyText"/>
      </w:pPr>
    </w:p>
    <w:p w:rsidR="00FC2882" w:rsidRPr="00B41FE8" w:rsidP="00E05160" w14:paraId="065E0512" w14:textId="28DDAFA2">
      <w:pPr>
        <w:pStyle w:val="Heading3"/>
        <w:keepNext w:val="0"/>
        <w:keepLines w:val="0"/>
        <w:widowControl w:val="0"/>
        <w:numPr>
          <w:ilvl w:val="0"/>
          <w:numId w:val="2"/>
        </w:numPr>
        <w:spacing w:before="0" w:line="240" w:lineRule="auto"/>
        <w:ind w:left="0" w:firstLine="0"/>
        <w:rPr>
          <w:rFonts w:ascii="Times New Roman" w:hAnsi="Times New Roman" w:cs="Times New Roman"/>
          <w:color w:val="auto"/>
          <w:u w:val="single"/>
        </w:rPr>
      </w:pPr>
      <w:bookmarkStart w:id="64" w:name="_Toc528571035"/>
      <w:bookmarkStart w:id="65" w:name="_Toc528571503"/>
      <w:bookmarkStart w:id="66" w:name="_Toc528571597"/>
      <w:r w:rsidRPr="00B41FE8">
        <w:rPr>
          <w:rFonts w:ascii="Times New Roman" w:hAnsi="Times New Roman" w:cs="Times New Roman"/>
          <w:color w:val="auto"/>
          <w:u w:val="single"/>
        </w:rPr>
        <w:t>Cost to Federal Government:</w:t>
      </w:r>
      <w:bookmarkEnd w:id="64"/>
      <w:bookmarkEnd w:id="65"/>
      <w:bookmarkEnd w:id="66"/>
    </w:p>
    <w:p w:rsidR="00442BEB" w:rsidRPr="006872E2" w:rsidP="00432DCE" w14:paraId="29133DD2" w14:textId="77777777">
      <w:pPr>
        <w:spacing w:after="0" w:line="240" w:lineRule="auto"/>
        <w:rPr>
          <w:rFonts w:ascii="Times New Roman" w:hAnsi="Times New Roman" w:cs="Times New Roman"/>
          <w:sz w:val="24"/>
          <w:szCs w:val="24"/>
        </w:rPr>
      </w:pPr>
    </w:p>
    <w:p w:rsidR="00615B73" w:rsidP="00432DCE" w14:paraId="5FF53836" w14:textId="7D8C0C2B">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 xml:space="preserve">For the revisions in part 438, we applied a weighted FMAP of 58.44 percent (weighted for enrollment) to estimate the federal share of </w:t>
      </w:r>
      <w:r w:rsidR="00623B8A">
        <w:rPr>
          <w:rFonts w:ascii="Times New Roman" w:hAnsi="Times New Roman" w:cs="Times New Roman"/>
          <w:sz w:val="24"/>
          <w:szCs w:val="24"/>
        </w:rPr>
        <w:t>state</w:t>
      </w:r>
      <w:r w:rsidRPr="006872E2">
        <w:rPr>
          <w:rFonts w:ascii="Times New Roman" w:hAnsi="Times New Roman" w:cs="Times New Roman"/>
          <w:sz w:val="24"/>
          <w:szCs w:val="24"/>
        </w:rPr>
        <w:t xml:space="preserve"> costs.  This was done to account for private sector costs that are </w:t>
      </w:r>
      <w:r w:rsidRPr="006872E2" w:rsidR="00DB5167">
        <w:rPr>
          <w:rFonts w:ascii="Times New Roman" w:hAnsi="Times New Roman" w:cs="Times New Roman"/>
          <w:sz w:val="24"/>
          <w:szCs w:val="24"/>
        </w:rPr>
        <w:t>passed on</w:t>
      </w:r>
      <w:r w:rsidRPr="006872E2">
        <w:rPr>
          <w:rFonts w:ascii="Times New Roman" w:hAnsi="Times New Roman" w:cs="Times New Roman"/>
          <w:sz w:val="24"/>
          <w:szCs w:val="24"/>
        </w:rPr>
        <w:t xml:space="preserve"> to the federal government through the managed care capitation rates.</w:t>
      </w:r>
    </w:p>
    <w:p w:rsidR="00E175B6" w:rsidRPr="00E175B6" w:rsidP="00E175B6" w14:paraId="561B3A60" w14:textId="77777777">
      <w:pPr>
        <w:pStyle w:val="BodyText"/>
      </w:pPr>
    </w:p>
    <w:p w:rsidR="00C24DDB" w:rsidP="00432DCE" w14:paraId="4660FE94" w14:textId="68EA96D0">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 xml:space="preserve">For the provisions contained in </w:t>
      </w:r>
      <w:r w:rsidRPr="006872E2" w:rsidR="00683299">
        <w:rPr>
          <w:rFonts w:ascii="Times New Roman" w:hAnsi="Times New Roman" w:cs="Times New Roman"/>
          <w:sz w:val="24"/>
          <w:szCs w:val="24"/>
        </w:rPr>
        <w:t xml:space="preserve">section 12 of </w:t>
      </w:r>
      <w:r w:rsidRPr="006872E2">
        <w:rPr>
          <w:rFonts w:ascii="Times New Roman" w:hAnsi="Times New Roman" w:cs="Times New Roman"/>
          <w:sz w:val="24"/>
          <w:szCs w:val="24"/>
        </w:rPr>
        <w:t xml:space="preserve">this supporting statement, the </w:t>
      </w:r>
      <w:r w:rsidRPr="00502B5C">
        <w:rPr>
          <w:rFonts w:ascii="Times New Roman" w:hAnsi="Times New Roman" w:cs="Times New Roman"/>
          <w:sz w:val="24"/>
          <w:szCs w:val="24"/>
        </w:rPr>
        <w:t>annualized cost to the federal government is $</w:t>
      </w:r>
      <w:r w:rsidRPr="00B71D78" w:rsidR="00B71D78">
        <w:rPr>
          <w:rFonts w:ascii="Times New Roman" w:hAnsi="Times New Roman" w:cs="Times New Roman"/>
          <w:sz w:val="24"/>
          <w:szCs w:val="24"/>
        </w:rPr>
        <w:t>82,378,56</w:t>
      </w:r>
      <w:r w:rsidR="00B71D78">
        <w:rPr>
          <w:rFonts w:ascii="Times New Roman" w:hAnsi="Times New Roman" w:cs="Times New Roman"/>
          <w:sz w:val="24"/>
          <w:szCs w:val="24"/>
        </w:rPr>
        <w:t>7</w:t>
      </w:r>
      <w:r w:rsidRPr="00E724DF" w:rsidR="00E724DF">
        <w:rPr>
          <w:rFonts w:ascii="Times New Roman" w:hAnsi="Times New Roman" w:cs="Times New Roman"/>
          <w:sz w:val="24"/>
          <w:szCs w:val="24"/>
        </w:rPr>
        <w:t xml:space="preserve"> </w:t>
      </w:r>
      <w:r w:rsidR="00E724DF">
        <w:rPr>
          <w:rFonts w:ascii="Times New Roman" w:hAnsi="Times New Roman" w:cs="Times New Roman"/>
          <w:sz w:val="24"/>
          <w:szCs w:val="24"/>
        </w:rPr>
        <w:t>(</w:t>
      </w:r>
      <w:r w:rsidRPr="00B71D78" w:rsidR="00B71D78">
        <w:rPr>
          <w:rFonts w:ascii="Times New Roman" w:hAnsi="Times New Roman" w:cs="Times New Roman"/>
          <w:sz w:val="24"/>
          <w:szCs w:val="24"/>
        </w:rPr>
        <w:t>140,962,640</w:t>
      </w:r>
      <w:r w:rsidR="00E724DF">
        <w:rPr>
          <w:rFonts w:ascii="Times New Roman" w:hAnsi="Times New Roman" w:cs="Times New Roman"/>
          <w:sz w:val="24"/>
          <w:szCs w:val="24"/>
        </w:rPr>
        <w:t xml:space="preserve"> x </w:t>
      </w:r>
      <w:r w:rsidR="00685475">
        <w:rPr>
          <w:rFonts w:ascii="Times New Roman" w:hAnsi="Times New Roman" w:cs="Times New Roman"/>
          <w:sz w:val="24"/>
          <w:szCs w:val="24"/>
        </w:rPr>
        <w:t>0</w:t>
      </w:r>
      <w:r w:rsidR="00E724DF">
        <w:rPr>
          <w:rFonts w:ascii="Times New Roman" w:hAnsi="Times New Roman" w:cs="Times New Roman"/>
          <w:sz w:val="24"/>
          <w:szCs w:val="24"/>
        </w:rPr>
        <w:t>.5844).</w:t>
      </w:r>
    </w:p>
    <w:p w:rsidR="00B41FE8" w:rsidRPr="00B41FE8" w:rsidP="00B41FE8" w14:paraId="1DB529DE" w14:textId="77777777">
      <w:pPr>
        <w:pStyle w:val="BodyText"/>
      </w:pPr>
    </w:p>
    <w:p w:rsidR="008560CA" w:rsidRPr="00B41FE8" w:rsidP="00E05160" w14:paraId="0795C109" w14:textId="0DF4F2F1">
      <w:pPr>
        <w:pStyle w:val="ListParagraph"/>
        <w:widowControl w:val="0"/>
        <w:numPr>
          <w:ilvl w:val="0"/>
          <w:numId w:val="9"/>
        </w:numPr>
        <w:spacing w:after="0" w:line="240" w:lineRule="auto"/>
        <w:ind w:left="0" w:firstLine="0"/>
        <w:contextualSpacing w:val="0"/>
        <w:rPr>
          <w:rFonts w:ascii="Times New Roman" w:hAnsi="Times New Roman" w:cs="Times New Roman"/>
          <w:sz w:val="24"/>
          <w:szCs w:val="24"/>
          <w:u w:val="single"/>
        </w:rPr>
      </w:pPr>
      <w:bookmarkStart w:id="67" w:name="_Toc528571036"/>
      <w:bookmarkStart w:id="68" w:name="_Toc528571504"/>
      <w:bookmarkStart w:id="69" w:name="_Toc528571598"/>
      <w:r w:rsidRPr="00B41FE8">
        <w:rPr>
          <w:rFonts w:ascii="Times New Roman" w:hAnsi="Times New Roman" w:cs="Times New Roman"/>
          <w:sz w:val="24"/>
          <w:szCs w:val="24"/>
          <w:u w:val="single"/>
        </w:rPr>
        <w:t xml:space="preserve">Program </w:t>
      </w:r>
      <w:r w:rsidRPr="00B41FE8" w:rsidR="00A669A6">
        <w:rPr>
          <w:rFonts w:ascii="Times New Roman" w:hAnsi="Times New Roman" w:cs="Times New Roman"/>
          <w:sz w:val="24"/>
          <w:szCs w:val="24"/>
          <w:u w:val="single"/>
        </w:rPr>
        <w:t>and</w:t>
      </w:r>
      <w:r w:rsidRPr="00B41FE8">
        <w:rPr>
          <w:rFonts w:ascii="Times New Roman" w:hAnsi="Times New Roman" w:cs="Times New Roman"/>
          <w:sz w:val="24"/>
          <w:szCs w:val="24"/>
          <w:u w:val="single"/>
        </w:rPr>
        <w:t xml:space="preserve"> Burden Changes:</w:t>
      </w:r>
      <w:bookmarkEnd w:id="67"/>
      <w:bookmarkEnd w:id="68"/>
      <w:bookmarkEnd w:id="69"/>
    </w:p>
    <w:p w:rsidR="00B41FE8" w:rsidRPr="00B41FE8" w:rsidP="00B41FE8" w14:paraId="7789E11F" w14:textId="77777777">
      <w:pPr>
        <w:spacing w:after="0" w:line="240" w:lineRule="auto"/>
        <w:ind w:left="-360"/>
        <w:rPr>
          <w:rFonts w:ascii="Times New Roman" w:hAnsi="Times New Roman" w:cs="Times New Roman"/>
          <w:sz w:val="24"/>
          <w:szCs w:val="24"/>
          <w:u w:val="single"/>
        </w:rPr>
      </w:pPr>
    </w:p>
    <w:p w:rsidR="000534B6" w:rsidP="00432DCE" w14:paraId="1CA9F6AD" w14:textId="5AF7DA85">
      <w:pPr>
        <w:pStyle w:val="BodyText"/>
        <w:spacing w:after="0" w:line="240" w:lineRule="auto"/>
        <w:rPr>
          <w:rFonts w:ascii="Times New Roman" w:hAnsi="Times New Roman" w:cs="Times New Roman"/>
          <w:sz w:val="24"/>
          <w:szCs w:val="24"/>
        </w:rPr>
      </w:pPr>
      <w:r w:rsidRPr="000534B6">
        <w:rPr>
          <w:rFonts w:ascii="Times New Roman" w:hAnsi="Times New Roman" w:cs="Times New Roman"/>
          <w:sz w:val="24"/>
          <w:szCs w:val="24"/>
        </w:rPr>
        <w:t xml:space="preserve">This 2026 collection of information request proposes to </w:t>
      </w:r>
      <w:r>
        <w:rPr>
          <w:rFonts w:ascii="Times New Roman" w:hAnsi="Times New Roman" w:cs="Times New Roman"/>
          <w:sz w:val="24"/>
          <w:szCs w:val="24"/>
        </w:rPr>
        <w:t xml:space="preserve">adjust </w:t>
      </w:r>
      <w:r w:rsidRPr="000534B6">
        <w:rPr>
          <w:rFonts w:ascii="Times New Roman" w:hAnsi="Times New Roman" w:cs="Times New Roman"/>
          <w:sz w:val="24"/>
          <w:szCs w:val="24"/>
        </w:rPr>
        <w:t>our active burden estimates</w:t>
      </w:r>
      <w:r>
        <w:rPr>
          <w:rFonts w:ascii="Times New Roman" w:hAnsi="Times New Roman" w:cs="Times New Roman"/>
          <w:sz w:val="24"/>
          <w:szCs w:val="24"/>
        </w:rPr>
        <w:t xml:space="preserve"> based on recent data.</w:t>
      </w:r>
    </w:p>
    <w:p w:rsidR="000534B6" w:rsidP="00432DCE" w14:paraId="3CE865AF" w14:textId="77777777">
      <w:pPr>
        <w:pStyle w:val="BodyText"/>
        <w:spacing w:after="0" w:line="240" w:lineRule="auto"/>
        <w:rPr>
          <w:rFonts w:ascii="Times New Roman" w:hAnsi="Times New Roman" w:cs="Times New Roman"/>
          <w:sz w:val="24"/>
          <w:szCs w:val="24"/>
        </w:rPr>
      </w:pPr>
    </w:p>
    <w:p w:rsidR="000534B6" w:rsidP="00432DCE" w14:paraId="7F136C1A" w14:textId="32D8AF01">
      <w:pPr>
        <w:pStyle w:val="BodyText"/>
        <w:spacing w:after="0" w:line="240" w:lineRule="auto"/>
        <w:rPr>
          <w:rFonts w:ascii="Times New Roman" w:hAnsi="Times New Roman" w:cs="Times New Roman"/>
          <w:sz w:val="24"/>
          <w:szCs w:val="24"/>
        </w:rPr>
      </w:pPr>
      <w:r w:rsidRPr="000534B6">
        <w:rPr>
          <w:rFonts w:ascii="Times New Roman" w:hAnsi="Times New Roman" w:cs="Times New Roman"/>
          <w:sz w:val="24"/>
          <w:szCs w:val="24"/>
        </w:rPr>
        <w:t>Overall, this iteration would increase our active burden by 1,389,088 responses (from 13,743,255 to 15,132,343 responses), 167,43</w:t>
      </w:r>
      <w:r>
        <w:rPr>
          <w:rFonts w:ascii="Times New Roman" w:hAnsi="Times New Roman" w:cs="Times New Roman"/>
          <w:sz w:val="24"/>
          <w:szCs w:val="24"/>
        </w:rPr>
        <w:t>2</w:t>
      </w:r>
      <w:r w:rsidRPr="000534B6">
        <w:rPr>
          <w:rFonts w:ascii="Times New Roman" w:hAnsi="Times New Roman" w:cs="Times New Roman"/>
          <w:sz w:val="24"/>
          <w:szCs w:val="24"/>
        </w:rPr>
        <w:t xml:space="preserve"> hours (from 1,682,636 to 1,850,06</w:t>
      </w:r>
      <w:r>
        <w:rPr>
          <w:rFonts w:ascii="Times New Roman" w:hAnsi="Times New Roman" w:cs="Times New Roman"/>
          <w:sz w:val="24"/>
          <w:szCs w:val="24"/>
        </w:rPr>
        <w:t>8</w:t>
      </w:r>
      <w:r w:rsidRPr="000534B6">
        <w:rPr>
          <w:rFonts w:ascii="Times New Roman" w:hAnsi="Times New Roman" w:cs="Times New Roman"/>
          <w:sz w:val="24"/>
          <w:szCs w:val="24"/>
        </w:rPr>
        <w:t xml:space="preserve"> hr), and $3</w:t>
      </w:r>
      <w:r>
        <w:rPr>
          <w:rFonts w:ascii="Times New Roman" w:hAnsi="Times New Roman" w:cs="Times New Roman"/>
          <w:sz w:val="24"/>
          <w:szCs w:val="24"/>
        </w:rPr>
        <w:t>6</w:t>
      </w:r>
      <w:r w:rsidRPr="000534B6">
        <w:rPr>
          <w:rFonts w:ascii="Times New Roman" w:hAnsi="Times New Roman" w:cs="Times New Roman"/>
          <w:sz w:val="24"/>
          <w:szCs w:val="24"/>
        </w:rPr>
        <w:t>,</w:t>
      </w:r>
      <w:r>
        <w:rPr>
          <w:rFonts w:ascii="Times New Roman" w:hAnsi="Times New Roman" w:cs="Times New Roman"/>
          <w:sz w:val="24"/>
          <w:szCs w:val="24"/>
        </w:rPr>
        <w:t>016</w:t>
      </w:r>
      <w:r w:rsidRPr="000534B6">
        <w:rPr>
          <w:rFonts w:ascii="Times New Roman" w:hAnsi="Times New Roman" w:cs="Times New Roman"/>
          <w:sz w:val="24"/>
          <w:szCs w:val="24"/>
        </w:rPr>
        <w:t>,15</w:t>
      </w:r>
      <w:r>
        <w:rPr>
          <w:rFonts w:ascii="Times New Roman" w:hAnsi="Times New Roman" w:cs="Times New Roman"/>
          <w:sz w:val="24"/>
          <w:szCs w:val="24"/>
        </w:rPr>
        <w:t>7</w:t>
      </w:r>
      <w:r w:rsidRPr="000534B6">
        <w:rPr>
          <w:rFonts w:ascii="Times New Roman" w:hAnsi="Times New Roman" w:cs="Times New Roman"/>
          <w:sz w:val="24"/>
          <w:szCs w:val="24"/>
        </w:rPr>
        <w:t xml:space="preserve"> (from $104,946,483 to $1</w:t>
      </w:r>
      <w:r>
        <w:rPr>
          <w:rFonts w:ascii="Times New Roman" w:hAnsi="Times New Roman" w:cs="Times New Roman"/>
          <w:sz w:val="24"/>
          <w:szCs w:val="24"/>
        </w:rPr>
        <w:t>40</w:t>
      </w:r>
      <w:r w:rsidRPr="000534B6">
        <w:rPr>
          <w:rFonts w:ascii="Times New Roman" w:hAnsi="Times New Roman" w:cs="Times New Roman"/>
          <w:sz w:val="24"/>
          <w:szCs w:val="24"/>
        </w:rPr>
        <w:t>,</w:t>
      </w:r>
      <w:r>
        <w:rPr>
          <w:rFonts w:ascii="Times New Roman" w:hAnsi="Times New Roman" w:cs="Times New Roman"/>
          <w:sz w:val="24"/>
          <w:szCs w:val="24"/>
        </w:rPr>
        <w:t>962</w:t>
      </w:r>
      <w:r w:rsidRPr="000534B6">
        <w:rPr>
          <w:rFonts w:ascii="Times New Roman" w:hAnsi="Times New Roman" w:cs="Times New Roman"/>
          <w:sz w:val="24"/>
          <w:szCs w:val="24"/>
        </w:rPr>
        <w:t>,</w:t>
      </w:r>
      <w:r>
        <w:rPr>
          <w:rFonts w:ascii="Times New Roman" w:hAnsi="Times New Roman" w:cs="Times New Roman"/>
          <w:sz w:val="24"/>
          <w:szCs w:val="24"/>
        </w:rPr>
        <w:t>640</w:t>
      </w:r>
      <w:r w:rsidRPr="000534B6">
        <w:rPr>
          <w:rFonts w:ascii="Times New Roman" w:hAnsi="Times New Roman" w:cs="Times New Roman"/>
          <w:sz w:val="24"/>
          <w:szCs w:val="24"/>
        </w:rPr>
        <w:t xml:space="preserve">). </w:t>
      </w:r>
    </w:p>
    <w:p w:rsidR="000534B6" w:rsidRPr="00B41FE8" w:rsidP="00432DCE" w14:paraId="0722DAD8" w14:textId="77777777">
      <w:pPr>
        <w:pStyle w:val="BodyText"/>
        <w:spacing w:after="0" w:line="240" w:lineRule="auto"/>
        <w:rPr>
          <w:rFonts w:ascii="Times New Roman" w:hAnsi="Times New Roman" w:cs="Times New Roman"/>
          <w:sz w:val="24"/>
          <w:szCs w:val="24"/>
        </w:rPr>
      </w:pPr>
    </w:p>
    <w:tbl>
      <w:tblPr>
        <w:tblW w:w="9906" w:type="dxa"/>
        <w:tblLayout w:type="fixed"/>
        <w:tblLook w:val="04A0"/>
      </w:tblPr>
      <w:tblGrid>
        <w:gridCol w:w="1426"/>
        <w:gridCol w:w="1426"/>
        <w:gridCol w:w="1501"/>
        <w:gridCol w:w="1276"/>
        <w:gridCol w:w="1426"/>
        <w:gridCol w:w="1050"/>
        <w:gridCol w:w="1801"/>
      </w:tblGrid>
      <w:tr w14:paraId="0E6D4821" w14:textId="77777777" w:rsidTr="00F90D97">
        <w:tblPrEx>
          <w:tblW w:w="9906" w:type="dxa"/>
          <w:tblLayout w:type="fixed"/>
          <w:tblLook w:val="04A0"/>
        </w:tblPrEx>
        <w:trPr>
          <w:trHeight w:val="962"/>
        </w:trPr>
        <w:tc>
          <w:tcPr>
            <w:tcW w:w="1426" w:type="dxa"/>
            <w:tcBorders>
              <w:top w:val="single" w:sz="4" w:space="0" w:color="auto"/>
              <w:left w:val="single" w:sz="4" w:space="0" w:color="auto"/>
              <w:right w:val="single" w:sz="4" w:space="0" w:color="auto"/>
            </w:tcBorders>
            <w:vAlign w:val="center"/>
          </w:tcPr>
          <w:p w:rsidR="00F90D97" w:rsidRPr="00B41FE8" w:rsidP="00432DCE" w14:paraId="0CEF525E" w14:textId="188057AE">
            <w:pPr>
              <w:spacing w:after="0" w:line="240" w:lineRule="auto"/>
              <w:jc w:val="center"/>
              <w:rPr>
                <w:rFonts w:ascii="Times New Roman" w:eastAsia="Times New Roman" w:hAnsi="Times New Roman" w:cs="Times New Roman"/>
                <w:bCs/>
                <w:color w:val="000000"/>
                <w:sz w:val="20"/>
                <w:szCs w:val="20"/>
              </w:rPr>
            </w:pPr>
          </w:p>
        </w:tc>
        <w:tc>
          <w:tcPr>
            <w:tcW w:w="1426" w:type="dxa"/>
            <w:tcBorders>
              <w:top w:val="single" w:sz="8" w:space="0" w:color="auto"/>
              <w:left w:val="single" w:sz="4" w:space="0" w:color="auto"/>
              <w:bottom w:val="single" w:sz="8" w:space="0" w:color="000000"/>
              <w:right w:val="single" w:sz="8" w:space="0" w:color="auto"/>
            </w:tcBorders>
            <w:shd w:val="clear" w:color="auto" w:fill="F2F2F2" w:themeFill="background1" w:themeFillShade="F2"/>
            <w:vAlign w:val="center"/>
            <w:hideMark/>
          </w:tcPr>
          <w:p w:rsidR="00F90D97" w:rsidRPr="00B41FE8" w:rsidP="00432DCE" w14:paraId="6116E1D1" w14:textId="0DEE6041">
            <w:pPr>
              <w:spacing w:after="0" w:line="240" w:lineRule="auto"/>
              <w:jc w:val="center"/>
              <w:rPr>
                <w:rFonts w:ascii="Times New Roman" w:eastAsia="Times New Roman" w:hAnsi="Times New Roman" w:cs="Times New Roman"/>
                <w:bCs/>
                <w:color w:val="000000"/>
                <w:sz w:val="20"/>
                <w:szCs w:val="20"/>
              </w:rPr>
            </w:pPr>
            <w:r w:rsidRPr="00B41FE8">
              <w:rPr>
                <w:rFonts w:ascii="Times New Roman" w:eastAsia="Times New Roman" w:hAnsi="Times New Roman" w:cs="Times New Roman"/>
                <w:bCs/>
                <w:color w:val="000000"/>
                <w:sz w:val="20"/>
                <w:szCs w:val="20"/>
              </w:rPr>
              <w:t>Respondents</w:t>
            </w:r>
          </w:p>
        </w:tc>
        <w:tc>
          <w:tcPr>
            <w:tcW w:w="1501"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F90D97" w:rsidRPr="00B41FE8" w:rsidP="00432DCE" w14:paraId="45E1ED09" w14:textId="77777777">
            <w:pPr>
              <w:spacing w:after="0" w:line="240" w:lineRule="auto"/>
              <w:jc w:val="center"/>
              <w:rPr>
                <w:rFonts w:ascii="Times New Roman" w:eastAsia="Times New Roman" w:hAnsi="Times New Roman" w:cs="Times New Roman"/>
                <w:bCs/>
                <w:color w:val="000000"/>
                <w:sz w:val="20"/>
                <w:szCs w:val="20"/>
              </w:rPr>
            </w:pPr>
            <w:r w:rsidRPr="00B41FE8">
              <w:rPr>
                <w:rFonts w:ascii="Times New Roman" w:eastAsia="Times New Roman" w:hAnsi="Times New Roman" w:cs="Times New Roman"/>
                <w:bCs/>
                <w:color w:val="000000"/>
                <w:sz w:val="20"/>
                <w:szCs w:val="20"/>
              </w:rPr>
              <w:t>Total Responses</w:t>
            </w:r>
          </w:p>
        </w:tc>
        <w:tc>
          <w:tcPr>
            <w:tcW w:w="1276"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F90D97" w:rsidRPr="00B41FE8" w:rsidP="00432DCE" w14:paraId="074F5182" w14:textId="77777777">
            <w:pPr>
              <w:spacing w:after="0" w:line="240" w:lineRule="auto"/>
              <w:jc w:val="center"/>
              <w:rPr>
                <w:rFonts w:ascii="Times New Roman" w:eastAsia="Times New Roman" w:hAnsi="Times New Roman" w:cs="Times New Roman"/>
                <w:bCs/>
                <w:color w:val="000000"/>
                <w:sz w:val="20"/>
                <w:szCs w:val="20"/>
              </w:rPr>
            </w:pPr>
            <w:r w:rsidRPr="00B41FE8">
              <w:rPr>
                <w:rFonts w:ascii="Times New Roman" w:eastAsia="Times New Roman" w:hAnsi="Times New Roman" w:cs="Times New Roman"/>
                <w:bCs/>
                <w:color w:val="000000"/>
                <w:sz w:val="20"/>
                <w:szCs w:val="20"/>
              </w:rPr>
              <w:t>Burden per Response (hr)</w:t>
            </w:r>
          </w:p>
        </w:tc>
        <w:tc>
          <w:tcPr>
            <w:tcW w:w="1426"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F90D97" w:rsidRPr="00B41FE8" w:rsidP="00432DCE" w14:paraId="08F69689" w14:textId="77777777">
            <w:pPr>
              <w:spacing w:after="0" w:line="240" w:lineRule="auto"/>
              <w:jc w:val="center"/>
              <w:rPr>
                <w:rFonts w:ascii="Times New Roman" w:eastAsia="Times New Roman" w:hAnsi="Times New Roman" w:cs="Times New Roman"/>
                <w:bCs/>
                <w:color w:val="000000"/>
                <w:sz w:val="20"/>
                <w:szCs w:val="20"/>
              </w:rPr>
            </w:pPr>
            <w:r w:rsidRPr="00B41FE8">
              <w:rPr>
                <w:rFonts w:ascii="Times New Roman" w:eastAsia="Times New Roman" w:hAnsi="Times New Roman" w:cs="Times New Roman"/>
                <w:bCs/>
                <w:color w:val="000000"/>
                <w:sz w:val="20"/>
                <w:szCs w:val="20"/>
              </w:rPr>
              <w:t>Total Annual Time (hr)</w:t>
            </w:r>
          </w:p>
        </w:tc>
        <w:tc>
          <w:tcPr>
            <w:tcW w:w="1050"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F90D97" w:rsidRPr="00B41FE8" w:rsidP="00432DCE" w14:paraId="76F9C2FC" w14:textId="77777777">
            <w:pPr>
              <w:spacing w:after="0" w:line="240" w:lineRule="auto"/>
              <w:jc w:val="center"/>
              <w:rPr>
                <w:rFonts w:ascii="Times New Roman" w:eastAsia="Times New Roman" w:hAnsi="Times New Roman" w:cs="Times New Roman"/>
                <w:bCs/>
                <w:color w:val="000000"/>
                <w:sz w:val="20"/>
                <w:szCs w:val="20"/>
              </w:rPr>
            </w:pPr>
            <w:r w:rsidRPr="00B41FE8">
              <w:rPr>
                <w:rFonts w:ascii="Times New Roman" w:eastAsia="Times New Roman" w:hAnsi="Times New Roman" w:cs="Times New Roman"/>
                <w:bCs/>
                <w:color w:val="000000"/>
                <w:sz w:val="20"/>
                <w:szCs w:val="20"/>
              </w:rPr>
              <w:t>Labor Rate ($/hr)</w:t>
            </w:r>
          </w:p>
        </w:tc>
        <w:tc>
          <w:tcPr>
            <w:tcW w:w="1801"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F90D97" w:rsidRPr="00B41FE8" w:rsidP="00432DCE" w14:paraId="66BA26BF" w14:textId="77777777">
            <w:pPr>
              <w:spacing w:after="0" w:line="240" w:lineRule="auto"/>
              <w:jc w:val="center"/>
              <w:rPr>
                <w:rFonts w:ascii="Times New Roman" w:eastAsia="Times New Roman" w:hAnsi="Times New Roman" w:cs="Times New Roman"/>
                <w:bCs/>
                <w:color w:val="000000"/>
                <w:sz w:val="20"/>
                <w:szCs w:val="20"/>
              </w:rPr>
            </w:pPr>
            <w:r w:rsidRPr="00B41FE8">
              <w:rPr>
                <w:rFonts w:ascii="Times New Roman" w:eastAsia="Times New Roman" w:hAnsi="Times New Roman" w:cs="Times New Roman"/>
                <w:bCs/>
                <w:color w:val="000000"/>
                <w:sz w:val="20"/>
                <w:szCs w:val="20"/>
              </w:rPr>
              <w:t>Total Annual Cost ($)</w:t>
            </w:r>
          </w:p>
        </w:tc>
      </w:tr>
      <w:tr w14:paraId="126AE9C8" w14:textId="77777777" w:rsidTr="00F90D97">
        <w:tblPrEx>
          <w:tblW w:w="9906" w:type="dxa"/>
          <w:tblLayout w:type="fixed"/>
          <w:tblLook w:val="04A0"/>
        </w:tblPrEx>
        <w:trPr>
          <w:trHeight w:val="279"/>
        </w:trPr>
        <w:tc>
          <w:tcPr>
            <w:tcW w:w="1426" w:type="dxa"/>
            <w:tcBorders>
              <w:top w:val="single" w:sz="4" w:space="0" w:color="auto"/>
              <w:left w:val="single" w:sz="4" w:space="0" w:color="auto"/>
              <w:bottom w:val="single" w:sz="4" w:space="0" w:color="auto"/>
              <w:right w:val="single" w:sz="4" w:space="0" w:color="auto"/>
            </w:tcBorders>
          </w:tcPr>
          <w:p w:rsidR="00F90D97" w:rsidRPr="00B41FE8" w:rsidP="00432DCE" w14:paraId="406410D3" w14:textId="6082ADD8">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2023</w:t>
            </w:r>
          </w:p>
        </w:tc>
        <w:tc>
          <w:tcPr>
            <w:tcW w:w="1426" w:type="dxa"/>
            <w:tcBorders>
              <w:top w:val="nil"/>
              <w:left w:val="single" w:sz="4" w:space="0" w:color="auto"/>
              <w:bottom w:val="single" w:sz="4" w:space="0" w:color="auto"/>
              <w:right w:val="single" w:sz="4" w:space="0" w:color="auto"/>
            </w:tcBorders>
            <w:shd w:val="clear" w:color="000000" w:fill="D9D9D9"/>
            <w:noWrap/>
            <w:vAlign w:val="center"/>
            <w:hideMark/>
          </w:tcPr>
          <w:p w:rsidR="00F90D97" w:rsidRPr="00B41FE8" w:rsidP="00432DCE" w14:paraId="00FF04FA" w14:textId="303A1C7F">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609</w:t>
            </w:r>
          </w:p>
        </w:tc>
        <w:tc>
          <w:tcPr>
            <w:tcW w:w="1501" w:type="dxa"/>
            <w:tcBorders>
              <w:top w:val="nil"/>
              <w:left w:val="nil"/>
              <w:bottom w:val="single" w:sz="4" w:space="0" w:color="auto"/>
              <w:right w:val="single" w:sz="4" w:space="0" w:color="auto"/>
            </w:tcBorders>
            <w:shd w:val="clear" w:color="000000" w:fill="D9D9D9"/>
            <w:noWrap/>
            <w:vAlign w:val="center"/>
            <w:hideMark/>
          </w:tcPr>
          <w:p w:rsidR="00F90D97" w:rsidRPr="00B41FE8" w:rsidP="00432DCE" w14:paraId="526E8B90"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13,743,255</w:t>
            </w:r>
          </w:p>
        </w:tc>
        <w:tc>
          <w:tcPr>
            <w:tcW w:w="1276" w:type="dxa"/>
            <w:tcBorders>
              <w:top w:val="nil"/>
              <w:left w:val="nil"/>
              <w:bottom w:val="single" w:sz="4" w:space="0" w:color="auto"/>
              <w:right w:val="single" w:sz="4" w:space="0" w:color="auto"/>
            </w:tcBorders>
            <w:shd w:val="clear" w:color="000000" w:fill="D9D9D9"/>
            <w:vAlign w:val="center"/>
            <w:hideMark/>
          </w:tcPr>
          <w:p w:rsidR="00F90D97" w:rsidRPr="00B41FE8" w:rsidP="00432DCE" w14:paraId="75ECFB9C"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Varies</w:t>
            </w:r>
          </w:p>
        </w:tc>
        <w:tc>
          <w:tcPr>
            <w:tcW w:w="1426" w:type="dxa"/>
            <w:tcBorders>
              <w:top w:val="nil"/>
              <w:left w:val="nil"/>
              <w:bottom w:val="single" w:sz="4" w:space="0" w:color="auto"/>
              <w:right w:val="single" w:sz="4" w:space="0" w:color="auto"/>
            </w:tcBorders>
            <w:shd w:val="clear" w:color="000000" w:fill="D9D9D9"/>
            <w:noWrap/>
            <w:vAlign w:val="center"/>
            <w:hideMark/>
          </w:tcPr>
          <w:p w:rsidR="00F90D97" w:rsidRPr="00B41FE8" w:rsidP="00432DCE" w14:paraId="1F7D9559"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1,682,636</w:t>
            </w:r>
          </w:p>
        </w:tc>
        <w:tc>
          <w:tcPr>
            <w:tcW w:w="1050" w:type="dxa"/>
            <w:tcBorders>
              <w:top w:val="nil"/>
              <w:left w:val="nil"/>
              <w:bottom w:val="single" w:sz="4" w:space="0" w:color="auto"/>
              <w:right w:val="single" w:sz="4" w:space="0" w:color="auto"/>
            </w:tcBorders>
            <w:shd w:val="clear" w:color="000000" w:fill="D9D9D9"/>
            <w:vAlign w:val="center"/>
            <w:hideMark/>
          </w:tcPr>
          <w:p w:rsidR="00F90D97" w:rsidRPr="00B41FE8" w:rsidP="00432DCE" w14:paraId="2FD72C9B"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Varies</w:t>
            </w:r>
          </w:p>
        </w:tc>
        <w:tc>
          <w:tcPr>
            <w:tcW w:w="1801" w:type="dxa"/>
            <w:tcBorders>
              <w:top w:val="nil"/>
              <w:left w:val="nil"/>
              <w:bottom w:val="single" w:sz="4" w:space="0" w:color="auto"/>
              <w:right w:val="single" w:sz="4" w:space="0" w:color="auto"/>
            </w:tcBorders>
            <w:shd w:val="clear" w:color="000000" w:fill="D9D9D9"/>
            <w:noWrap/>
            <w:vAlign w:val="center"/>
            <w:hideMark/>
          </w:tcPr>
          <w:p w:rsidR="00F90D97" w:rsidRPr="00B41FE8" w:rsidP="00432DCE" w14:paraId="6CD715C4"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104,946,483</w:t>
            </w:r>
          </w:p>
        </w:tc>
      </w:tr>
      <w:tr w14:paraId="154E5BD0" w14:textId="77777777" w:rsidTr="00F90D97">
        <w:tblPrEx>
          <w:tblW w:w="9906" w:type="dxa"/>
          <w:tblLayout w:type="fixed"/>
          <w:tblLook w:val="04A0"/>
        </w:tblPrEx>
        <w:trPr>
          <w:trHeight w:val="279"/>
        </w:trPr>
        <w:tc>
          <w:tcPr>
            <w:tcW w:w="1426" w:type="dxa"/>
            <w:tcBorders>
              <w:top w:val="single" w:sz="4" w:space="0" w:color="auto"/>
              <w:left w:val="single" w:sz="4" w:space="0" w:color="auto"/>
              <w:bottom w:val="single" w:sz="4" w:space="0" w:color="auto"/>
              <w:right w:val="single" w:sz="4" w:space="0" w:color="auto"/>
            </w:tcBorders>
          </w:tcPr>
          <w:p w:rsidR="00F90D97" w:rsidRPr="00B41FE8" w:rsidP="00432DCE" w14:paraId="70AED001" w14:textId="3ED760DA">
            <w:pPr>
              <w:spacing w:after="0" w:line="240" w:lineRule="auto"/>
              <w:jc w:val="center"/>
              <w:rPr>
                <w:rFonts w:ascii="Times New Roman" w:hAnsi="Times New Roman" w:cs="Times New Roman"/>
                <w:sz w:val="20"/>
                <w:szCs w:val="20"/>
              </w:rPr>
            </w:pPr>
            <w:r w:rsidRPr="00B41FE8">
              <w:rPr>
                <w:rFonts w:ascii="Times New Roman" w:hAnsi="Times New Roman" w:cs="Times New Roman"/>
                <w:sz w:val="20"/>
                <w:szCs w:val="20"/>
              </w:rPr>
              <w:t>2026</w:t>
            </w:r>
          </w:p>
        </w:tc>
        <w:tc>
          <w:tcPr>
            <w:tcW w:w="1426" w:type="dxa"/>
            <w:tcBorders>
              <w:top w:val="single" w:sz="4" w:space="0" w:color="auto"/>
              <w:left w:val="single" w:sz="4" w:space="0" w:color="auto"/>
              <w:bottom w:val="single" w:sz="4" w:space="0" w:color="auto"/>
              <w:right w:val="single" w:sz="4" w:space="0" w:color="auto"/>
            </w:tcBorders>
            <w:shd w:val="clear" w:color="000000" w:fill="D9D9D9"/>
            <w:noWrap/>
          </w:tcPr>
          <w:p w:rsidR="00F90D97" w:rsidRPr="00B41FE8" w:rsidP="00432DCE" w14:paraId="09AE9B6D" w14:textId="59E63C94">
            <w:pPr>
              <w:spacing w:after="0" w:line="240" w:lineRule="auto"/>
              <w:jc w:val="center"/>
              <w:rPr>
                <w:rFonts w:ascii="Times New Roman" w:eastAsia="Times New Roman" w:hAnsi="Times New Roman" w:cs="Times New Roman"/>
                <w:color w:val="000000"/>
                <w:sz w:val="20"/>
                <w:szCs w:val="20"/>
              </w:rPr>
            </w:pPr>
            <w:r w:rsidRPr="00B41FE8">
              <w:rPr>
                <w:rFonts w:ascii="Times New Roman" w:hAnsi="Times New Roman" w:cs="Times New Roman"/>
                <w:sz w:val="20"/>
                <w:szCs w:val="20"/>
              </w:rPr>
              <w:t>738</w:t>
            </w:r>
          </w:p>
        </w:tc>
        <w:tc>
          <w:tcPr>
            <w:tcW w:w="1501" w:type="dxa"/>
            <w:tcBorders>
              <w:top w:val="single" w:sz="4" w:space="0" w:color="auto"/>
              <w:left w:val="nil"/>
              <w:bottom w:val="single" w:sz="4" w:space="0" w:color="auto"/>
              <w:right w:val="single" w:sz="4" w:space="0" w:color="auto"/>
            </w:tcBorders>
            <w:shd w:val="clear" w:color="000000" w:fill="D9D9D9"/>
            <w:noWrap/>
          </w:tcPr>
          <w:p w:rsidR="00F90D97" w:rsidRPr="00B41FE8" w:rsidP="00432DCE" w14:paraId="0A8D4A4A"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hAnsi="Times New Roman" w:cs="Times New Roman"/>
                <w:sz w:val="20"/>
                <w:szCs w:val="20"/>
              </w:rPr>
              <w:t>15,132,343</w:t>
            </w:r>
          </w:p>
        </w:tc>
        <w:tc>
          <w:tcPr>
            <w:tcW w:w="1276" w:type="dxa"/>
            <w:tcBorders>
              <w:top w:val="single" w:sz="4" w:space="0" w:color="auto"/>
              <w:left w:val="nil"/>
              <w:bottom w:val="single" w:sz="4" w:space="0" w:color="auto"/>
              <w:right w:val="single" w:sz="4" w:space="0" w:color="auto"/>
            </w:tcBorders>
            <w:shd w:val="clear" w:color="000000" w:fill="D9D9D9"/>
          </w:tcPr>
          <w:p w:rsidR="00F90D97" w:rsidRPr="00B41FE8" w:rsidP="00432DCE" w14:paraId="6967BA5E"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hAnsi="Times New Roman" w:cs="Times New Roman"/>
                <w:sz w:val="20"/>
                <w:szCs w:val="20"/>
              </w:rPr>
              <w:t>Varies</w:t>
            </w:r>
          </w:p>
        </w:tc>
        <w:tc>
          <w:tcPr>
            <w:tcW w:w="1426" w:type="dxa"/>
            <w:tcBorders>
              <w:top w:val="single" w:sz="4" w:space="0" w:color="auto"/>
              <w:left w:val="nil"/>
              <w:bottom w:val="single" w:sz="4" w:space="0" w:color="auto"/>
              <w:right w:val="single" w:sz="4" w:space="0" w:color="auto"/>
            </w:tcBorders>
            <w:shd w:val="clear" w:color="000000" w:fill="D9D9D9"/>
            <w:noWrap/>
          </w:tcPr>
          <w:p w:rsidR="00F90D97" w:rsidRPr="00B41FE8" w:rsidP="00432DCE" w14:paraId="4B659EE9" w14:textId="17254BEE">
            <w:pPr>
              <w:spacing w:after="0" w:line="240" w:lineRule="auto"/>
              <w:jc w:val="center"/>
              <w:rPr>
                <w:rFonts w:ascii="Times New Roman" w:eastAsia="Times New Roman" w:hAnsi="Times New Roman" w:cs="Times New Roman"/>
                <w:color w:val="000000"/>
                <w:sz w:val="20"/>
                <w:szCs w:val="20"/>
              </w:rPr>
            </w:pPr>
            <w:r w:rsidRPr="00B41FE8">
              <w:rPr>
                <w:rFonts w:ascii="Times New Roman" w:hAnsi="Times New Roman" w:cs="Times New Roman"/>
                <w:sz w:val="20"/>
                <w:szCs w:val="20"/>
              </w:rPr>
              <w:t>1,850,06</w:t>
            </w:r>
            <w:r w:rsidRPr="00B41FE8" w:rsidR="00F54928">
              <w:rPr>
                <w:rFonts w:ascii="Times New Roman" w:hAnsi="Times New Roman" w:cs="Times New Roman"/>
                <w:sz w:val="20"/>
                <w:szCs w:val="20"/>
              </w:rPr>
              <w:t>8</w:t>
            </w:r>
          </w:p>
        </w:tc>
        <w:tc>
          <w:tcPr>
            <w:tcW w:w="1050" w:type="dxa"/>
            <w:tcBorders>
              <w:top w:val="single" w:sz="4" w:space="0" w:color="auto"/>
              <w:left w:val="nil"/>
              <w:bottom w:val="single" w:sz="4" w:space="0" w:color="auto"/>
              <w:right w:val="single" w:sz="4" w:space="0" w:color="auto"/>
            </w:tcBorders>
            <w:shd w:val="clear" w:color="000000" w:fill="D9D9D9"/>
          </w:tcPr>
          <w:p w:rsidR="00F90D97" w:rsidRPr="00B41FE8" w:rsidP="00432DCE" w14:paraId="148E26AA" w14:textId="77777777">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Varies</w:t>
            </w:r>
          </w:p>
        </w:tc>
        <w:tc>
          <w:tcPr>
            <w:tcW w:w="1801" w:type="dxa"/>
            <w:tcBorders>
              <w:top w:val="single" w:sz="4" w:space="0" w:color="auto"/>
              <w:left w:val="nil"/>
              <w:bottom w:val="single" w:sz="4" w:space="0" w:color="auto"/>
              <w:right w:val="single" w:sz="4" w:space="0" w:color="auto"/>
            </w:tcBorders>
            <w:shd w:val="clear" w:color="000000" w:fill="D9D9D9"/>
            <w:noWrap/>
            <w:vAlign w:val="center"/>
          </w:tcPr>
          <w:p w:rsidR="00F90D97" w:rsidRPr="00B41FE8" w:rsidP="00432DCE" w14:paraId="2C6E0F51" w14:textId="37ADF14A">
            <w:pPr>
              <w:spacing w:after="0" w:line="240" w:lineRule="auto"/>
              <w:jc w:val="center"/>
              <w:rPr>
                <w:rFonts w:ascii="Times New Roman" w:eastAsia="Times New Roman" w:hAnsi="Times New Roman" w:cs="Times New Roman"/>
                <w:color w:val="000000"/>
                <w:sz w:val="20"/>
                <w:szCs w:val="20"/>
              </w:rPr>
            </w:pPr>
            <w:r w:rsidRPr="00B41FE8">
              <w:rPr>
                <w:rFonts w:ascii="Times New Roman" w:eastAsia="Times New Roman" w:hAnsi="Times New Roman" w:cs="Times New Roman"/>
                <w:color w:val="000000"/>
                <w:sz w:val="20"/>
                <w:szCs w:val="20"/>
              </w:rPr>
              <w:t>140,962,640</w:t>
            </w:r>
          </w:p>
        </w:tc>
      </w:tr>
      <w:tr w14:paraId="524C87C0" w14:textId="77777777" w:rsidTr="00F90D97">
        <w:tblPrEx>
          <w:tblW w:w="9906" w:type="dxa"/>
          <w:tblLayout w:type="fixed"/>
          <w:tblLook w:val="04A0"/>
        </w:tblPrEx>
        <w:trPr>
          <w:trHeight w:val="279"/>
        </w:trPr>
        <w:tc>
          <w:tcPr>
            <w:tcW w:w="1426" w:type="dxa"/>
            <w:tcBorders>
              <w:top w:val="single" w:sz="4" w:space="0" w:color="auto"/>
              <w:left w:val="single" w:sz="4" w:space="0" w:color="auto"/>
              <w:bottom w:val="single" w:sz="4" w:space="0" w:color="auto"/>
              <w:right w:val="single" w:sz="4" w:space="0" w:color="auto"/>
            </w:tcBorders>
          </w:tcPr>
          <w:p w:rsidR="00F90D97" w:rsidRPr="00B41FE8" w:rsidP="00432DCE" w14:paraId="1BC345F9" w14:textId="1DD61A0C">
            <w:pPr>
              <w:spacing w:after="0" w:line="240" w:lineRule="auto"/>
              <w:jc w:val="center"/>
              <w:rPr>
                <w:rFonts w:ascii="Times New Roman" w:hAnsi="Times New Roman" w:cs="Times New Roman"/>
                <w:b/>
                <w:bCs/>
                <w:sz w:val="20"/>
                <w:szCs w:val="20"/>
              </w:rPr>
            </w:pPr>
            <w:r w:rsidRPr="00B41FE8">
              <w:rPr>
                <w:rFonts w:ascii="Times New Roman" w:hAnsi="Times New Roman" w:cs="Times New Roman"/>
                <w:b/>
                <w:bCs/>
                <w:sz w:val="20"/>
                <w:szCs w:val="20"/>
              </w:rPr>
              <w:t>Difference</w:t>
            </w:r>
          </w:p>
        </w:tc>
        <w:tc>
          <w:tcPr>
            <w:tcW w:w="1426" w:type="dxa"/>
            <w:tcBorders>
              <w:top w:val="single" w:sz="4" w:space="0" w:color="auto"/>
              <w:left w:val="single" w:sz="4" w:space="0" w:color="auto"/>
              <w:bottom w:val="single" w:sz="4" w:space="0" w:color="auto"/>
              <w:right w:val="single" w:sz="4" w:space="0" w:color="auto"/>
            </w:tcBorders>
            <w:shd w:val="clear" w:color="000000" w:fill="D9D9D9"/>
            <w:noWrap/>
          </w:tcPr>
          <w:p w:rsidR="00F90D97" w:rsidRPr="00B41FE8" w:rsidP="00432DCE" w14:paraId="76F1FA1C" w14:textId="7D6EB92F">
            <w:pPr>
              <w:spacing w:after="0" w:line="240" w:lineRule="auto"/>
              <w:jc w:val="center"/>
              <w:rPr>
                <w:rFonts w:ascii="Times New Roman" w:hAnsi="Times New Roman" w:cs="Times New Roman"/>
                <w:b/>
                <w:bCs/>
                <w:sz w:val="20"/>
                <w:szCs w:val="20"/>
              </w:rPr>
            </w:pPr>
            <w:r w:rsidRPr="00B41FE8">
              <w:rPr>
                <w:rFonts w:ascii="Times New Roman" w:hAnsi="Times New Roman" w:cs="Times New Roman"/>
                <w:b/>
                <w:bCs/>
                <w:sz w:val="20"/>
                <w:szCs w:val="20"/>
              </w:rPr>
              <w:t>+129</w:t>
            </w:r>
          </w:p>
        </w:tc>
        <w:tc>
          <w:tcPr>
            <w:tcW w:w="1501" w:type="dxa"/>
            <w:tcBorders>
              <w:top w:val="single" w:sz="4" w:space="0" w:color="auto"/>
              <w:left w:val="nil"/>
              <w:bottom w:val="single" w:sz="4" w:space="0" w:color="auto"/>
              <w:right w:val="single" w:sz="4" w:space="0" w:color="auto"/>
            </w:tcBorders>
            <w:shd w:val="clear" w:color="000000" w:fill="D9D9D9"/>
            <w:noWrap/>
          </w:tcPr>
          <w:p w:rsidR="00F90D97" w:rsidRPr="00B41FE8" w:rsidP="00432DCE" w14:paraId="3C150593" w14:textId="77777777">
            <w:pPr>
              <w:spacing w:after="0" w:line="240" w:lineRule="auto"/>
              <w:jc w:val="center"/>
              <w:rPr>
                <w:rFonts w:ascii="Times New Roman" w:hAnsi="Times New Roman" w:cs="Times New Roman"/>
                <w:b/>
                <w:bCs/>
                <w:sz w:val="20"/>
                <w:szCs w:val="20"/>
              </w:rPr>
            </w:pPr>
            <w:r w:rsidRPr="00B41FE8">
              <w:rPr>
                <w:rFonts w:ascii="Times New Roman" w:hAnsi="Times New Roman" w:cs="Times New Roman"/>
                <w:b/>
                <w:bCs/>
                <w:sz w:val="20"/>
                <w:szCs w:val="20"/>
              </w:rPr>
              <w:t>+1,389,088</w:t>
            </w:r>
          </w:p>
        </w:tc>
        <w:tc>
          <w:tcPr>
            <w:tcW w:w="1276" w:type="dxa"/>
            <w:tcBorders>
              <w:top w:val="single" w:sz="4" w:space="0" w:color="auto"/>
              <w:left w:val="nil"/>
              <w:bottom w:val="single" w:sz="4" w:space="0" w:color="auto"/>
              <w:right w:val="single" w:sz="4" w:space="0" w:color="auto"/>
            </w:tcBorders>
            <w:shd w:val="clear" w:color="000000" w:fill="D9D9D9"/>
          </w:tcPr>
          <w:p w:rsidR="00F90D97" w:rsidRPr="00B41FE8" w:rsidP="00432DCE" w14:paraId="0D83A68E" w14:textId="77777777">
            <w:pPr>
              <w:spacing w:after="0" w:line="240" w:lineRule="auto"/>
              <w:jc w:val="center"/>
              <w:rPr>
                <w:rFonts w:ascii="Times New Roman" w:hAnsi="Times New Roman" w:cs="Times New Roman"/>
                <w:b/>
                <w:bCs/>
                <w:sz w:val="20"/>
                <w:szCs w:val="20"/>
              </w:rPr>
            </w:pPr>
            <w:r w:rsidRPr="00B41FE8">
              <w:rPr>
                <w:rFonts w:ascii="Times New Roman" w:hAnsi="Times New Roman" w:cs="Times New Roman"/>
                <w:b/>
                <w:bCs/>
                <w:sz w:val="20"/>
                <w:szCs w:val="20"/>
              </w:rPr>
              <w:t>Varies</w:t>
            </w:r>
          </w:p>
        </w:tc>
        <w:tc>
          <w:tcPr>
            <w:tcW w:w="1426" w:type="dxa"/>
            <w:tcBorders>
              <w:top w:val="single" w:sz="4" w:space="0" w:color="auto"/>
              <w:left w:val="nil"/>
              <w:bottom w:val="single" w:sz="4" w:space="0" w:color="auto"/>
              <w:right w:val="single" w:sz="4" w:space="0" w:color="auto"/>
            </w:tcBorders>
            <w:shd w:val="clear" w:color="000000" w:fill="D9D9D9"/>
            <w:noWrap/>
          </w:tcPr>
          <w:p w:rsidR="00F90D97" w:rsidRPr="00B41FE8" w:rsidP="00432DCE" w14:paraId="0E995A60" w14:textId="3ACF0BA3">
            <w:pPr>
              <w:spacing w:after="0" w:line="240" w:lineRule="auto"/>
              <w:jc w:val="center"/>
              <w:rPr>
                <w:rFonts w:ascii="Times New Roman" w:hAnsi="Times New Roman" w:cs="Times New Roman"/>
                <w:b/>
                <w:bCs/>
                <w:sz w:val="20"/>
                <w:szCs w:val="20"/>
              </w:rPr>
            </w:pPr>
            <w:r w:rsidRPr="00B41FE8">
              <w:rPr>
                <w:rFonts w:ascii="Times New Roman" w:hAnsi="Times New Roman" w:cs="Times New Roman"/>
                <w:b/>
                <w:bCs/>
                <w:sz w:val="20"/>
                <w:szCs w:val="20"/>
              </w:rPr>
              <w:t>+167,43</w:t>
            </w:r>
            <w:r w:rsidRPr="00B41FE8" w:rsidR="00C87A8E">
              <w:rPr>
                <w:rFonts w:ascii="Times New Roman" w:hAnsi="Times New Roman" w:cs="Times New Roman"/>
                <w:b/>
                <w:bCs/>
                <w:sz w:val="20"/>
                <w:szCs w:val="20"/>
              </w:rPr>
              <w:t>2</w:t>
            </w:r>
          </w:p>
        </w:tc>
        <w:tc>
          <w:tcPr>
            <w:tcW w:w="1050" w:type="dxa"/>
            <w:tcBorders>
              <w:top w:val="single" w:sz="4" w:space="0" w:color="auto"/>
              <w:left w:val="nil"/>
              <w:bottom w:val="single" w:sz="4" w:space="0" w:color="auto"/>
              <w:right w:val="single" w:sz="4" w:space="0" w:color="auto"/>
            </w:tcBorders>
            <w:shd w:val="clear" w:color="000000" w:fill="D9D9D9"/>
          </w:tcPr>
          <w:p w:rsidR="00F90D97" w:rsidRPr="00B41FE8" w:rsidP="00432DCE" w14:paraId="2C2CBE9D" w14:textId="77777777">
            <w:pPr>
              <w:spacing w:after="0" w:line="240" w:lineRule="auto"/>
              <w:jc w:val="center"/>
              <w:rPr>
                <w:rFonts w:ascii="Times New Roman" w:eastAsia="Times New Roman" w:hAnsi="Times New Roman" w:cs="Times New Roman"/>
                <w:b/>
                <w:bCs/>
                <w:color w:val="000000"/>
                <w:sz w:val="20"/>
                <w:szCs w:val="20"/>
              </w:rPr>
            </w:pPr>
            <w:r w:rsidRPr="00B41FE8">
              <w:rPr>
                <w:rFonts w:ascii="Times New Roman" w:eastAsia="Times New Roman" w:hAnsi="Times New Roman" w:cs="Times New Roman"/>
                <w:b/>
                <w:bCs/>
                <w:color w:val="000000"/>
                <w:sz w:val="20"/>
                <w:szCs w:val="20"/>
              </w:rPr>
              <w:t>Varies</w:t>
            </w:r>
          </w:p>
        </w:tc>
        <w:tc>
          <w:tcPr>
            <w:tcW w:w="1801" w:type="dxa"/>
            <w:tcBorders>
              <w:top w:val="single" w:sz="4" w:space="0" w:color="auto"/>
              <w:left w:val="nil"/>
              <w:bottom w:val="single" w:sz="4" w:space="0" w:color="auto"/>
              <w:right w:val="single" w:sz="4" w:space="0" w:color="auto"/>
            </w:tcBorders>
            <w:shd w:val="clear" w:color="000000" w:fill="D9D9D9"/>
            <w:noWrap/>
            <w:vAlign w:val="center"/>
          </w:tcPr>
          <w:p w:rsidR="00F90D97" w:rsidRPr="00B41FE8" w:rsidP="00432DCE" w14:paraId="4B99472E" w14:textId="768E6021">
            <w:pPr>
              <w:spacing w:after="0" w:line="240" w:lineRule="auto"/>
              <w:jc w:val="center"/>
              <w:rPr>
                <w:rFonts w:ascii="Times New Roman" w:eastAsia="Times New Roman" w:hAnsi="Times New Roman" w:cs="Times New Roman"/>
                <w:b/>
                <w:bCs/>
                <w:color w:val="000000"/>
                <w:sz w:val="20"/>
                <w:szCs w:val="20"/>
              </w:rPr>
            </w:pPr>
            <w:r w:rsidRPr="00B41FE8">
              <w:rPr>
                <w:rFonts w:ascii="Times New Roman" w:eastAsia="Times New Roman" w:hAnsi="Times New Roman" w:cs="Times New Roman"/>
                <w:b/>
                <w:bCs/>
                <w:color w:val="000000"/>
                <w:sz w:val="20"/>
                <w:szCs w:val="20"/>
              </w:rPr>
              <w:t>+3</w:t>
            </w:r>
            <w:r w:rsidRPr="00B41FE8" w:rsidR="00652F14">
              <w:rPr>
                <w:rFonts w:ascii="Times New Roman" w:eastAsia="Times New Roman" w:hAnsi="Times New Roman" w:cs="Times New Roman"/>
                <w:b/>
                <w:bCs/>
                <w:color w:val="000000"/>
                <w:sz w:val="20"/>
                <w:szCs w:val="20"/>
              </w:rPr>
              <w:t>6</w:t>
            </w:r>
            <w:r w:rsidRPr="00B41FE8">
              <w:rPr>
                <w:rFonts w:ascii="Times New Roman" w:eastAsia="Times New Roman" w:hAnsi="Times New Roman" w:cs="Times New Roman"/>
                <w:b/>
                <w:bCs/>
                <w:color w:val="000000"/>
                <w:sz w:val="20"/>
                <w:szCs w:val="20"/>
              </w:rPr>
              <w:t>,</w:t>
            </w:r>
            <w:r w:rsidRPr="00B41FE8" w:rsidR="00652F14">
              <w:rPr>
                <w:rFonts w:ascii="Times New Roman" w:eastAsia="Times New Roman" w:hAnsi="Times New Roman" w:cs="Times New Roman"/>
                <w:b/>
                <w:bCs/>
                <w:color w:val="000000"/>
                <w:sz w:val="20"/>
                <w:szCs w:val="20"/>
              </w:rPr>
              <w:t>016</w:t>
            </w:r>
            <w:r w:rsidRPr="00B41FE8">
              <w:rPr>
                <w:rFonts w:ascii="Times New Roman" w:eastAsia="Times New Roman" w:hAnsi="Times New Roman" w:cs="Times New Roman"/>
                <w:b/>
                <w:bCs/>
                <w:color w:val="000000"/>
                <w:sz w:val="20"/>
                <w:szCs w:val="20"/>
              </w:rPr>
              <w:t>,15</w:t>
            </w:r>
            <w:r w:rsidRPr="00B41FE8" w:rsidR="00652F14">
              <w:rPr>
                <w:rFonts w:ascii="Times New Roman" w:eastAsia="Times New Roman" w:hAnsi="Times New Roman" w:cs="Times New Roman"/>
                <w:b/>
                <w:bCs/>
                <w:color w:val="000000"/>
                <w:sz w:val="20"/>
                <w:szCs w:val="20"/>
              </w:rPr>
              <w:t>7</w:t>
            </w:r>
          </w:p>
        </w:tc>
      </w:tr>
    </w:tbl>
    <w:p w:rsidR="001D0F11" w:rsidRPr="00B41FE8" w:rsidP="00432DCE" w14:paraId="187E331D" w14:textId="77777777">
      <w:pPr>
        <w:pStyle w:val="BodyText"/>
        <w:spacing w:after="0" w:line="240" w:lineRule="auto"/>
        <w:rPr>
          <w:rFonts w:ascii="Times New Roman" w:hAnsi="Times New Roman" w:cs="Times New Roman"/>
          <w:sz w:val="24"/>
          <w:szCs w:val="24"/>
        </w:rPr>
      </w:pPr>
    </w:p>
    <w:p w:rsidR="0080019B" w:rsidRPr="00B41FE8" w:rsidP="00432DCE" w14:paraId="74688E81" w14:textId="02E1225B">
      <w:pPr>
        <w:pStyle w:val="BodyText"/>
        <w:spacing w:after="0" w:line="240" w:lineRule="auto"/>
        <w:rPr>
          <w:rFonts w:ascii="Times New Roman" w:hAnsi="Times New Roman" w:cs="Times New Roman"/>
          <w:sz w:val="24"/>
          <w:szCs w:val="24"/>
        </w:rPr>
      </w:pPr>
      <w:r w:rsidRPr="00B41FE8">
        <w:rPr>
          <w:rFonts w:ascii="Times New Roman" w:hAnsi="Times New Roman" w:cs="Times New Roman"/>
          <w:sz w:val="24"/>
          <w:szCs w:val="24"/>
        </w:rPr>
        <w:t>The following table summarizes the wage adjustments that are based on using BLS’ May 202</w:t>
      </w:r>
      <w:r w:rsidRPr="00B41FE8" w:rsidR="008B3E8B">
        <w:rPr>
          <w:rFonts w:ascii="Times New Roman" w:hAnsi="Times New Roman" w:cs="Times New Roman"/>
          <w:sz w:val="24"/>
          <w:szCs w:val="24"/>
        </w:rPr>
        <w:t>1</w:t>
      </w:r>
      <w:r w:rsidRPr="00B41FE8" w:rsidR="005C1A22">
        <w:rPr>
          <w:rFonts w:ascii="Times New Roman" w:hAnsi="Times New Roman" w:cs="Times New Roman"/>
          <w:sz w:val="24"/>
          <w:szCs w:val="24"/>
        </w:rPr>
        <w:t xml:space="preserve"> </w:t>
      </w:r>
      <w:r w:rsidRPr="00B41FE8">
        <w:rPr>
          <w:rFonts w:ascii="Times New Roman" w:hAnsi="Times New Roman" w:cs="Times New Roman"/>
          <w:sz w:val="24"/>
          <w:szCs w:val="24"/>
        </w:rPr>
        <w:t>rates (to derive our active cost estimates) to using BLS’ May 20</w:t>
      </w:r>
      <w:r w:rsidRPr="00B41FE8" w:rsidR="008B6024">
        <w:rPr>
          <w:rFonts w:ascii="Times New Roman" w:hAnsi="Times New Roman" w:cs="Times New Roman"/>
          <w:sz w:val="24"/>
          <w:szCs w:val="24"/>
        </w:rPr>
        <w:t>25</w:t>
      </w:r>
      <w:r w:rsidRPr="00B41FE8">
        <w:rPr>
          <w:rFonts w:ascii="Times New Roman" w:hAnsi="Times New Roman" w:cs="Times New Roman"/>
          <w:sz w:val="24"/>
          <w:szCs w:val="24"/>
        </w:rPr>
        <w:t xml:space="preserve"> rates (to derive this iteration’s cost estimates.</w:t>
      </w:r>
    </w:p>
    <w:p w:rsidR="008560CA" w:rsidRPr="00B541B0" w:rsidP="00432DCE" w14:paraId="71A1C9EF" w14:textId="66CCC2B1">
      <w:pPr>
        <w:pStyle w:val="BodyText"/>
        <w:spacing w:after="0" w:line="240" w:lineRule="auto"/>
        <w:rPr>
          <w:rFonts w:ascii="Times New Roman" w:hAnsi="Times New Roman" w:cs="Times New Roman"/>
          <w:sz w:val="24"/>
          <w:szCs w:val="24"/>
          <w:highlight w:val="cyan"/>
        </w:rPr>
      </w:pPr>
    </w:p>
    <w:tbl>
      <w:tblPr>
        <w:tblW w:w="9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922"/>
        <w:gridCol w:w="1922"/>
        <w:gridCol w:w="1922"/>
        <w:gridCol w:w="1922"/>
        <w:gridCol w:w="1923"/>
      </w:tblGrid>
      <w:tr w14:paraId="66788B18" w14:textId="77777777" w:rsidTr="004842DE">
        <w:tblPrEx>
          <w:tblW w:w="9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375"/>
          <w:tblHeader/>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E175B6" w:rsidP="00432DCE" w14:paraId="1A069393" w14:textId="77777777">
            <w:pPr>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Occupation Title</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E175B6" w:rsidP="00432DCE" w14:paraId="09582BC6" w14:textId="77777777">
            <w:pPr>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Occupation Code</w:t>
            </w:r>
          </w:p>
        </w:tc>
        <w:tc>
          <w:tcPr>
            <w:tcW w:w="1922" w:type="dxa"/>
            <w:tcBorders>
              <w:top w:val="single" w:sz="4" w:space="0" w:color="000000"/>
              <w:left w:val="single" w:sz="4" w:space="0" w:color="000000"/>
              <w:bottom w:val="single" w:sz="4" w:space="0" w:color="000000"/>
              <w:right w:val="single" w:sz="4" w:space="0" w:color="000000"/>
            </w:tcBorders>
          </w:tcPr>
          <w:p w:rsidR="004842DE" w:rsidRPr="00E175B6" w:rsidP="00432DCE" w14:paraId="6862146C" w14:textId="50B4E75B">
            <w:pPr>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May 2021</w:t>
            </w:r>
          </w:p>
          <w:p w:rsidR="004842DE" w:rsidRPr="00E175B6" w:rsidP="00432DCE" w14:paraId="52CA51E5" w14:textId="762797EC">
            <w:pPr>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Adjusted Hourly Wage ($/hr)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E175B6" w:rsidP="00432DCE" w14:paraId="79F9F7A5" w14:textId="4B534E82">
            <w:pPr>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May 2025</w:t>
            </w:r>
          </w:p>
          <w:p w:rsidR="004842DE" w:rsidRPr="00E175B6" w:rsidP="00432DCE" w14:paraId="1693F558" w14:textId="7D614863">
            <w:pPr>
              <w:pStyle w:val="BodyText"/>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Adjusted Hourly Wage ($/hr)</w:t>
            </w:r>
          </w:p>
        </w:tc>
        <w:tc>
          <w:tcPr>
            <w:tcW w:w="1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A211B" w:rsidRPr="00E175B6" w:rsidP="00432DCE" w14:paraId="78312BBD" w14:textId="77777777">
            <w:pPr>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 xml:space="preserve">Difference </w:t>
            </w:r>
          </w:p>
          <w:p w:rsidR="004842DE" w:rsidRPr="00E175B6" w:rsidP="00432DCE" w14:paraId="0B2A07C3" w14:textId="0DDD2716">
            <w:pPr>
              <w:spacing w:after="0" w:line="240" w:lineRule="auto"/>
              <w:jc w:val="center"/>
              <w:rPr>
                <w:rFonts w:ascii="Times New Roman" w:hAnsi="Times New Roman" w:cs="Times New Roman"/>
                <w:bCs/>
                <w:sz w:val="20"/>
                <w:szCs w:val="20"/>
              </w:rPr>
            </w:pPr>
            <w:r w:rsidRPr="00E175B6">
              <w:rPr>
                <w:rFonts w:ascii="Times New Roman" w:hAnsi="Times New Roman" w:cs="Times New Roman"/>
                <w:bCs/>
                <w:sz w:val="20"/>
                <w:szCs w:val="20"/>
              </w:rPr>
              <w:t>($/hr)</w:t>
            </w:r>
          </w:p>
        </w:tc>
      </w:tr>
      <w:tr w14:paraId="050687CF" w14:textId="77777777" w:rsidTr="004842DE">
        <w:tblPrEx>
          <w:tblW w:w="9611" w:type="dxa"/>
          <w:jc w:val="center"/>
          <w:tblLayout w:type="fixed"/>
          <w:tblLook w:val="04A0"/>
        </w:tblPrEx>
        <w:trPr>
          <w:trHeight w:val="26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397D0DF5"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Accountant</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0D8D3B9C"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13-2011</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489E0390" w14:textId="3A65151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80.74</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7E348DB6" w14:textId="43C77B2D">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91.12</w:t>
            </w:r>
          </w:p>
        </w:tc>
        <w:tc>
          <w:tcPr>
            <w:tcW w:w="192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0604E65F" w14:textId="3D725A23">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w:t>
            </w:r>
            <w:r w:rsidRPr="009E39D3" w:rsidR="0001250E">
              <w:rPr>
                <w:rFonts w:ascii="Times New Roman" w:hAnsi="Times New Roman" w:cs="Times New Roman"/>
                <w:sz w:val="20"/>
                <w:szCs w:val="20"/>
              </w:rPr>
              <w:t>10.38</w:t>
            </w:r>
          </w:p>
        </w:tc>
      </w:tr>
      <w:tr w14:paraId="6A28A413" w14:textId="77777777" w:rsidTr="004842DE">
        <w:tblPrEx>
          <w:tblW w:w="9611" w:type="dxa"/>
          <w:jc w:val="center"/>
          <w:tblLayout w:type="fixed"/>
          <w:tblLook w:val="04A0"/>
        </w:tblPrEx>
        <w:trPr>
          <w:trHeight w:val="26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6694B3A3"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Actuary</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71BC7131"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15-2011</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7AF988CE" w14:textId="7E186080">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120.48</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654F641A" w14:textId="56CD5246">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136.04</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343180D8" w14:textId="23FA8060">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w:t>
            </w:r>
            <w:r w:rsidRPr="009E39D3" w:rsidR="0001250E">
              <w:rPr>
                <w:rFonts w:ascii="Times New Roman" w:hAnsi="Times New Roman" w:cs="Times New Roman"/>
                <w:sz w:val="20"/>
                <w:szCs w:val="20"/>
              </w:rPr>
              <w:t>15.56</w:t>
            </w:r>
          </w:p>
        </w:tc>
      </w:tr>
      <w:tr w14:paraId="61426209" w14:textId="77777777" w:rsidTr="004842DE">
        <w:tblPrEx>
          <w:tblW w:w="9611" w:type="dxa"/>
          <w:jc w:val="center"/>
          <w:tblLayout w:type="fixed"/>
          <w:tblLook w:val="04A0"/>
        </w:tblPrEx>
        <w:trPr>
          <w:trHeight w:val="367"/>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342B634A"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Business Operations Specialist</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7F8CE76B"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13-1000</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3A163748" w14:textId="5AA7989E">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77.28</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5B96F665" w14:textId="1DDA3AF9">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89.26</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0545C926" w14:textId="5D854010">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w:t>
            </w:r>
            <w:r w:rsidRPr="009E39D3" w:rsidR="0001250E">
              <w:rPr>
                <w:rFonts w:ascii="Times New Roman" w:hAnsi="Times New Roman" w:cs="Times New Roman"/>
                <w:sz w:val="20"/>
                <w:szCs w:val="20"/>
              </w:rPr>
              <w:t>11.98</w:t>
            </w:r>
          </w:p>
        </w:tc>
      </w:tr>
      <w:tr w14:paraId="56275849" w14:textId="77777777" w:rsidTr="004842DE">
        <w:tblPrEx>
          <w:tblW w:w="9611" w:type="dxa"/>
          <w:jc w:val="center"/>
          <w:tblLayout w:type="fixed"/>
          <w:tblLook w:val="04A0"/>
        </w:tblPrEx>
        <w:trPr>
          <w:trHeight w:val="28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4AB7EC0E"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Computer Programmer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0CE7A770"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15-1250</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7D3BAE82" w14:textId="38C54432">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109.36</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2E0F18B4" w14:textId="58151961">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134.48</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16E479F5" w14:textId="2FFB93E2">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+2</w:t>
            </w:r>
            <w:r w:rsidRPr="009E39D3" w:rsidR="0001250E">
              <w:rPr>
                <w:rFonts w:ascii="Times New Roman" w:hAnsi="Times New Roman" w:cs="Times New Roman"/>
                <w:sz w:val="20"/>
                <w:szCs w:val="20"/>
              </w:rPr>
              <w:t>5.12</w:t>
            </w:r>
          </w:p>
        </w:tc>
      </w:tr>
      <w:tr w14:paraId="0A5E47EE" w14:textId="77777777" w:rsidTr="004842DE">
        <w:tblPrEx>
          <w:tblW w:w="9611" w:type="dxa"/>
          <w:jc w:val="center"/>
          <w:tblLayout w:type="fixed"/>
          <w:tblLook w:val="04A0"/>
        </w:tblPrEx>
        <w:trPr>
          <w:trHeight w:val="367"/>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3E72CFC5"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Customer Service Rep</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55999DF2"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43-4051</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7BF997A1" w14:textId="6A212251">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37.58</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014D1D8B" w14:textId="3C7B7D8C">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44.80</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042E96DD" w14:textId="11662BA5">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w:t>
            </w:r>
            <w:r w:rsidRPr="009E39D3" w:rsidR="000E06BE">
              <w:rPr>
                <w:rFonts w:ascii="Times New Roman" w:hAnsi="Times New Roman" w:cs="Times New Roman"/>
                <w:sz w:val="20"/>
                <w:szCs w:val="20"/>
              </w:rPr>
              <w:t>7.22</w:t>
            </w:r>
          </w:p>
        </w:tc>
      </w:tr>
      <w:tr w14:paraId="6EE69399" w14:textId="77777777" w:rsidTr="004842DE">
        <w:tblPrEx>
          <w:tblW w:w="9611" w:type="dxa"/>
          <w:jc w:val="center"/>
          <w:tblLayout w:type="fixed"/>
          <w:tblLook w:val="04A0"/>
        </w:tblPrEx>
        <w:trPr>
          <w:trHeight w:val="28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5DFA2D08" w14:textId="624CE0F4">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 xml:space="preserve">General and Operations </w:t>
            </w:r>
            <w:r w:rsidRPr="009E39D3" w:rsidR="00DC567E">
              <w:rPr>
                <w:rFonts w:ascii="Times New Roman" w:hAnsi="Times New Roman" w:cs="Times New Roman"/>
                <w:sz w:val="20"/>
                <w:szCs w:val="20"/>
              </w:rPr>
              <w:t>Mgr.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619E83CA"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11-1021</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3BC2EA7C" w14:textId="5266426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110.82</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1932CE34" w14:textId="688C3F7F">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129.74</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78B911A3" w14:textId="6536125F">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+1</w:t>
            </w:r>
            <w:r w:rsidRPr="009E39D3" w:rsidR="007268FD">
              <w:rPr>
                <w:rFonts w:ascii="Times New Roman" w:hAnsi="Times New Roman" w:cs="Times New Roman"/>
                <w:sz w:val="20"/>
                <w:szCs w:val="20"/>
              </w:rPr>
              <w:t>8.92</w:t>
            </w:r>
          </w:p>
        </w:tc>
      </w:tr>
      <w:tr w14:paraId="21A69603" w14:textId="77777777" w:rsidTr="004842DE">
        <w:tblPrEx>
          <w:tblW w:w="9611" w:type="dxa"/>
          <w:jc w:val="center"/>
          <w:tblLayout w:type="fixed"/>
          <w:tblLook w:val="04A0"/>
        </w:tblPrEx>
        <w:trPr>
          <w:trHeight w:val="26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1EB93850"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Healthcare Social worker</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42B225E9"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21-1022</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06720065" w14:textId="5C681F60">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59.92</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4765351C" w14:textId="676CCA98">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69.02</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48EC05C8" w14:textId="4B2766F5">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+9.</w:t>
            </w:r>
            <w:r w:rsidRPr="009E39D3" w:rsidR="00D64765">
              <w:rPr>
                <w:rFonts w:ascii="Times New Roman" w:hAnsi="Times New Roman" w:cs="Times New Roman"/>
                <w:sz w:val="20"/>
                <w:szCs w:val="20"/>
              </w:rPr>
              <w:t>10</w:t>
            </w:r>
          </w:p>
        </w:tc>
      </w:tr>
      <w:tr w14:paraId="745413D8" w14:textId="77777777" w:rsidTr="004842DE">
        <w:tblPrEx>
          <w:tblW w:w="9611" w:type="dxa"/>
          <w:jc w:val="center"/>
          <w:tblLayout w:type="fixed"/>
          <w:tblLook w:val="04A0"/>
        </w:tblPrEx>
        <w:trPr>
          <w:trHeight w:val="263"/>
          <w:jc w:val="center"/>
        </w:trPr>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0ED5A817"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Mail Clerk</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42DE" w:rsidRPr="009E39D3" w:rsidP="00432DCE" w14:paraId="359E3A45"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43-9051</w:t>
            </w:r>
          </w:p>
        </w:tc>
        <w:tc>
          <w:tcPr>
            <w:tcW w:w="1922" w:type="dxa"/>
            <w:tcBorders>
              <w:top w:val="single" w:sz="4" w:space="0" w:color="000000"/>
              <w:left w:val="single" w:sz="4" w:space="0" w:color="000000"/>
              <w:bottom w:val="single" w:sz="4" w:space="0" w:color="000000"/>
              <w:right w:val="single" w:sz="4" w:space="0" w:color="000000"/>
            </w:tcBorders>
          </w:tcPr>
          <w:p w:rsidR="004842DE" w:rsidRPr="009E39D3" w:rsidP="00432DCE" w14:paraId="4E482EDF" w14:textId="047DA416">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33.08</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42DE" w:rsidRPr="009E39D3" w:rsidP="00432DCE" w14:paraId="122E4096" w14:textId="53A512CB">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40.06</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5C1D8A6B" w14:textId="533CD204">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w:t>
            </w:r>
            <w:r w:rsidRPr="009E39D3">
              <w:rPr>
                <w:rFonts w:ascii="Times New Roman" w:hAnsi="Times New Roman" w:cs="Times New Roman"/>
                <w:sz w:val="20"/>
                <w:szCs w:val="20"/>
              </w:rPr>
              <w:t>5.58</w:t>
            </w:r>
          </w:p>
        </w:tc>
      </w:tr>
      <w:tr w14:paraId="64C8FD38" w14:textId="77777777" w:rsidTr="009E39D3">
        <w:tblPrEx>
          <w:tblW w:w="9611" w:type="dxa"/>
          <w:jc w:val="center"/>
          <w:tblLayout w:type="fixed"/>
          <w:tblLook w:val="04A0"/>
        </w:tblPrEx>
        <w:trPr>
          <w:trHeight w:val="413"/>
          <w:jc w:val="center"/>
        </w:trPr>
        <w:tc>
          <w:tcPr>
            <w:tcW w:w="19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842DE" w:rsidRPr="009E39D3" w:rsidP="00432DCE" w14:paraId="588A31AA"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Office and Administrative Support Worker</w:t>
            </w:r>
          </w:p>
        </w:tc>
        <w:tc>
          <w:tcPr>
            <w:tcW w:w="19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4842DE" w:rsidRPr="009E39D3" w:rsidP="00432DCE" w14:paraId="48A02BB0"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43-9000</w:t>
            </w:r>
          </w:p>
        </w:tc>
        <w:tc>
          <w:tcPr>
            <w:tcW w:w="1922" w:type="dxa"/>
            <w:tcBorders>
              <w:top w:val="single" w:sz="4" w:space="0" w:color="000000"/>
              <w:left w:val="single" w:sz="4" w:space="0" w:color="000000"/>
              <w:bottom w:val="single" w:sz="4" w:space="0" w:color="auto"/>
              <w:right w:val="single" w:sz="4" w:space="0" w:color="000000"/>
            </w:tcBorders>
          </w:tcPr>
          <w:p w:rsidR="004842DE" w:rsidRPr="009E39D3" w:rsidP="00432DCE" w14:paraId="6D401D26" w14:textId="50A70CEB">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37.96</w:t>
            </w:r>
          </w:p>
        </w:tc>
        <w:tc>
          <w:tcPr>
            <w:tcW w:w="19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4842DE" w:rsidRPr="009E39D3" w:rsidP="00432DCE" w14:paraId="43B8CC1D" w14:textId="7ECECCF6">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45.06</w:t>
            </w:r>
          </w:p>
        </w:tc>
        <w:tc>
          <w:tcPr>
            <w:tcW w:w="1923" w:type="dxa"/>
            <w:tcBorders>
              <w:top w:val="nil"/>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4CFEC499" w14:textId="57698D90">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w:t>
            </w:r>
            <w:r w:rsidRPr="009E39D3" w:rsidR="007D3DAB">
              <w:rPr>
                <w:rFonts w:ascii="Times New Roman" w:hAnsi="Times New Roman" w:cs="Times New Roman"/>
                <w:sz w:val="20"/>
                <w:szCs w:val="20"/>
              </w:rPr>
              <w:t>7</w:t>
            </w:r>
            <w:r w:rsidRPr="009E39D3">
              <w:rPr>
                <w:rFonts w:ascii="Times New Roman" w:hAnsi="Times New Roman" w:cs="Times New Roman"/>
                <w:sz w:val="20"/>
                <w:szCs w:val="20"/>
              </w:rPr>
              <w:t>.</w:t>
            </w:r>
            <w:r w:rsidRPr="009E39D3" w:rsidR="007D3DAB">
              <w:rPr>
                <w:rFonts w:ascii="Times New Roman" w:hAnsi="Times New Roman" w:cs="Times New Roman"/>
                <w:sz w:val="20"/>
                <w:szCs w:val="20"/>
              </w:rPr>
              <w:t>10</w:t>
            </w:r>
          </w:p>
        </w:tc>
      </w:tr>
      <w:tr w14:paraId="08CC3960" w14:textId="77777777" w:rsidTr="009E39D3">
        <w:tblPrEx>
          <w:tblW w:w="9611" w:type="dxa"/>
          <w:jc w:val="center"/>
          <w:tblLayout w:type="fixed"/>
          <w:tblLook w:val="04A0"/>
        </w:tblPrEx>
        <w:trPr>
          <w:trHeight w:val="367"/>
          <w:jc w:val="center"/>
        </w:trPr>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4842DE" w:rsidRPr="009E39D3" w:rsidP="00432DCE" w14:paraId="0DA72CCE" w14:textId="77777777">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Registered Nurse</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4842DE" w:rsidRPr="009E39D3" w:rsidP="00432DCE" w14:paraId="616E9E0B" w14:textId="77777777">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29-1141</w:t>
            </w:r>
          </w:p>
        </w:tc>
        <w:tc>
          <w:tcPr>
            <w:tcW w:w="1922" w:type="dxa"/>
            <w:tcBorders>
              <w:top w:val="single" w:sz="4" w:space="0" w:color="auto"/>
              <w:left w:val="single" w:sz="4" w:space="0" w:color="auto"/>
              <w:bottom w:val="single" w:sz="4" w:space="0" w:color="auto"/>
              <w:right w:val="single" w:sz="4" w:space="0" w:color="auto"/>
            </w:tcBorders>
          </w:tcPr>
          <w:p w:rsidR="004842DE" w:rsidRPr="009E39D3" w:rsidP="00432DCE" w14:paraId="72D35DC9" w14:textId="7B8EDB5B">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79.56</w:t>
            </w:r>
          </w:p>
        </w:tc>
        <w:tc>
          <w:tcPr>
            <w:tcW w:w="19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6BB20993" w14:textId="5E99E3B0">
            <w:pPr>
              <w:spacing w:after="0" w:line="240" w:lineRule="auto"/>
              <w:jc w:val="center"/>
              <w:rPr>
                <w:rFonts w:ascii="Times New Roman" w:hAnsi="Times New Roman" w:cs="Times New Roman"/>
                <w:sz w:val="20"/>
                <w:szCs w:val="20"/>
              </w:rPr>
            </w:pPr>
            <w:r w:rsidRPr="009E39D3">
              <w:rPr>
                <w:rFonts w:ascii="Times New Roman" w:hAnsi="Times New Roman" w:cs="Times New Roman"/>
                <w:sz w:val="20"/>
                <w:szCs w:val="20"/>
              </w:rPr>
              <w:t>97.72</w:t>
            </w:r>
          </w:p>
        </w:tc>
        <w:tc>
          <w:tcPr>
            <w:tcW w:w="192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842DE" w:rsidRPr="009E39D3" w:rsidP="00432DCE" w14:paraId="5D0E4DD1" w14:textId="553368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9E39D3">
              <w:rPr>
                <w:rFonts w:ascii="Times New Roman" w:hAnsi="Times New Roman" w:cs="Times New Roman"/>
                <w:sz w:val="20"/>
                <w:szCs w:val="20"/>
              </w:rPr>
              <w:t>1</w:t>
            </w:r>
            <w:r w:rsidRPr="009E39D3" w:rsidR="009E39D3">
              <w:rPr>
                <w:rFonts w:ascii="Times New Roman" w:hAnsi="Times New Roman" w:cs="Times New Roman"/>
                <w:sz w:val="20"/>
                <w:szCs w:val="20"/>
              </w:rPr>
              <w:t>8.16</w:t>
            </w:r>
          </w:p>
        </w:tc>
      </w:tr>
      <w:tr w14:paraId="168359DB" w14:textId="77777777" w:rsidTr="009E39D3">
        <w:tblPrEx>
          <w:tblW w:w="9611" w:type="dxa"/>
          <w:jc w:val="center"/>
          <w:tblLayout w:type="fixed"/>
          <w:tblLook w:val="04A0"/>
        </w:tblPrEx>
        <w:trPr>
          <w:trHeight w:val="367"/>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9E39D3" w:rsidRPr="009E39D3" w:rsidP="00432DCE" w14:paraId="474597FB" w14:textId="60E913B0">
            <w:pPr>
              <w:spacing w:after="0" w:line="240" w:lineRule="auto"/>
              <w:rPr>
                <w:rFonts w:ascii="Times New Roman" w:hAnsi="Times New Roman" w:cs="Times New Roman"/>
                <w:sz w:val="20"/>
                <w:szCs w:val="20"/>
              </w:rPr>
            </w:pPr>
            <w:r w:rsidRPr="009E39D3">
              <w:rPr>
                <w:rFonts w:ascii="Times New Roman" w:hAnsi="Times New Roman" w:cs="Times New Roman"/>
                <w:sz w:val="20"/>
                <w:szCs w:val="20"/>
              </w:rPr>
              <w:t>Total</w:t>
            </w:r>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9E39D3" w:rsidRPr="009E39D3" w:rsidP="00432DCE" w14:paraId="53E44A27" w14:textId="7C59EA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E39D3" w:rsidRPr="009E39D3" w:rsidP="00432DCE" w14:paraId="77FDAF6D" w14:textId="103444B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746.78</w:t>
            </w:r>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rsidR="009E39D3" w:rsidRPr="009E39D3" w:rsidP="00432DCE" w14:paraId="5A3FF310" w14:textId="73C0A9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877.30</w:t>
            </w:r>
          </w:p>
        </w:tc>
        <w:tc>
          <w:tcPr>
            <w:tcW w:w="1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rsidR="009E39D3" w:rsidRPr="009E39D3" w:rsidP="00432DCE" w14:paraId="625CA06D" w14:textId="304A6AE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130.52</w:t>
            </w:r>
          </w:p>
        </w:tc>
      </w:tr>
    </w:tbl>
    <w:p w:rsidR="009E39D3" w:rsidP="00432DCE" w14:paraId="138E27CE" w14:textId="77777777">
      <w:pPr>
        <w:pStyle w:val="TableCaption"/>
        <w:spacing w:after="0"/>
        <w:jc w:val="left"/>
        <w:rPr>
          <w:b w:val="0"/>
        </w:rPr>
      </w:pPr>
    </w:p>
    <w:p w:rsidR="000534B6" w:rsidRPr="00BF0050" w:rsidP="000534B6" w14:paraId="5D835CFD" w14:textId="1413FFDA">
      <w:pPr>
        <w:pStyle w:val="BodyText"/>
        <w:spacing w:after="0" w:line="240" w:lineRule="auto"/>
        <w:rPr>
          <w:rFonts w:ascii="Times New Roman" w:hAnsi="Times New Roman" w:cs="Times New Roman"/>
          <w:sz w:val="24"/>
          <w:szCs w:val="24"/>
        </w:rPr>
      </w:pPr>
      <w:r w:rsidRPr="00E93BA5">
        <w:rPr>
          <w:rFonts w:ascii="Times New Roman" w:hAnsi="Times New Roman" w:cs="Times New Roman"/>
          <w:sz w:val="24"/>
          <w:szCs w:val="24"/>
        </w:rPr>
        <w:t xml:space="preserve">We are not proposing </w:t>
      </w:r>
      <w:r>
        <w:rPr>
          <w:rFonts w:ascii="Times New Roman" w:hAnsi="Times New Roman" w:cs="Times New Roman"/>
          <w:sz w:val="24"/>
          <w:szCs w:val="24"/>
        </w:rPr>
        <w:t xml:space="preserve">any </w:t>
      </w:r>
      <w:r w:rsidRPr="00E93BA5">
        <w:rPr>
          <w:rFonts w:ascii="Times New Roman" w:hAnsi="Times New Roman" w:cs="Times New Roman"/>
          <w:sz w:val="24"/>
          <w:szCs w:val="24"/>
        </w:rPr>
        <w:t>change</w:t>
      </w:r>
      <w:r>
        <w:rPr>
          <w:rFonts w:ascii="Times New Roman" w:hAnsi="Times New Roman" w:cs="Times New Roman"/>
          <w:sz w:val="24"/>
          <w:szCs w:val="24"/>
        </w:rPr>
        <w:t>s</w:t>
      </w:r>
      <w:r>
        <w:rPr>
          <w:rFonts w:ascii="Times New Roman" w:hAnsi="Times New Roman" w:cs="Times New Roman"/>
          <w:sz w:val="24"/>
          <w:szCs w:val="24"/>
        </w:rPr>
        <w:t xml:space="preserve"> </w:t>
      </w:r>
      <w:r w:rsidRPr="00E93BA5">
        <w:rPr>
          <w:rFonts w:ascii="Times New Roman" w:hAnsi="Times New Roman" w:cs="Times New Roman"/>
          <w:sz w:val="24"/>
          <w:szCs w:val="24"/>
        </w:rPr>
        <w:t>our three active templates</w:t>
      </w:r>
      <w:r>
        <w:rPr>
          <w:rFonts w:ascii="Times New Roman" w:hAnsi="Times New Roman" w:cs="Times New Roman"/>
          <w:sz w:val="24"/>
          <w:szCs w:val="24"/>
        </w:rPr>
        <w:t>.</w:t>
      </w:r>
    </w:p>
    <w:p w:rsidR="000534B6" w:rsidRPr="006872E2" w:rsidP="00432DCE" w14:paraId="1150F8F4" w14:textId="77777777">
      <w:pPr>
        <w:pStyle w:val="TableCaption"/>
        <w:spacing w:after="0"/>
        <w:jc w:val="left"/>
        <w:rPr>
          <w:b w:val="0"/>
        </w:rPr>
      </w:pPr>
    </w:p>
    <w:p w:rsidR="00FC2882" w:rsidRPr="006872E2" w:rsidP="00E05160" w14:paraId="6431E801" w14:textId="7DF5FA70">
      <w:pPr>
        <w:pStyle w:val="Heading3"/>
        <w:keepNext w:val="0"/>
        <w:keepLines w:val="0"/>
        <w:widowControl w:val="0"/>
        <w:numPr>
          <w:ilvl w:val="0"/>
          <w:numId w:val="10"/>
        </w:numPr>
        <w:spacing w:before="0" w:line="240" w:lineRule="auto"/>
        <w:ind w:left="0" w:firstLine="0"/>
        <w:rPr>
          <w:rFonts w:ascii="Times New Roman" w:hAnsi="Times New Roman" w:cs="Times New Roman"/>
          <w:i/>
          <w:color w:val="auto"/>
          <w:u w:val="single"/>
        </w:rPr>
      </w:pPr>
      <w:bookmarkStart w:id="70" w:name="_Toc528571037"/>
      <w:bookmarkStart w:id="71" w:name="_Toc528571505"/>
      <w:bookmarkStart w:id="72" w:name="_Toc528571599"/>
      <w:r w:rsidRPr="006872E2">
        <w:rPr>
          <w:rFonts w:ascii="Times New Roman" w:hAnsi="Times New Roman" w:cs="Times New Roman"/>
          <w:color w:val="auto"/>
          <w:u w:val="single"/>
        </w:rPr>
        <w:t>Publication and Tabulation Dates</w:t>
      </w:r>
      <w:r w:rsidRPr="006872E2">
        <w:rPr>
          <w:rFonts w:ascii="Times New Roman" w:hAnsi="Times New Roman" w:cs="Times New Roman"/>
          <w:i/>
          <w:color w:val="auto"/>
          <w:u w:val="single"/>
        </w:rPr>
        <w:t>:</w:t>
      </w:r>
      <w:bookmarkEnd w:id="70"/>
      <w:bookmarkEnd w:id="71"/>
      <w:bookmarkEnd w:id="72"/>
    </w:p>
    <w:p w:rsidR="00F72F65" w:rsidRPr="006872E2" w:rsidP="00432DCE" w14:paraId="60959186" w14:textId="77777777">
      <w:pPr>
        <w:spacing w:after="0" w:line="240" w:lineRule="auto"/>
        <w:rPr>
          <w:rFonts w:ascii="Times New Roman" w:hAnsi="Times New Roman" w:cs="Times New Roman"/>
          <w:i/>
          <w:u w:val="single"/>
        </w:rPr>
      </w:pPr>
    </w:p>
    <w:p w:rsidR="00615B73" w:rsidP="00432DCE" w14:paraId="699E53E4" w14:textId="312FA438">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 xml:space="preserve">The </w:t>
      </w:r>
      <w:r w:rsidRPr="006872E2" w:rsidR="004B30EE">
        <w:rPr>
          <w:rFonts w:ascii="Times New Roman" w:hAnsi="Times New Roman" w:cs="Times New Roman"/>
          <w:sz w:val="24"/>
          <w:szCs w:val="24"/>
        </w:rPr>
        <w:t>majority of</w:t>
      </w:r>
      <w:r w:rsidRPr="006872E2" w:rsidR="004B30EE">
        <w:rPr>
          <w:rFonts w:ascii="Times New Roman" w:hAnsi="Times New Roman" w:cs="Times New Roman"/>
          <w:sz w:val="24"/>
          <w:szCs w:val="24"/>
        </w:rPr>
        <w:t xml:space="preserve"> </w:t>
      </w:r>
      <w:r w:rsidRPr="006872E2">
        <w:rPr>
          <w:rFonts w:ascii="Times New Roman" w:hAnsi="Times New Roman" w:cs="Times New Roman"/>
          <w:sz w:val="24"/>
          <w:szCs w:val="24"/>
        </w:rPr>
        <w:t>information submitted to CMS will not be published</w:t>
      </w:r>
      <w:r w:rsidRPr="006872E2" w:rsidR="00F72F65">
        <w:rPr>
          <w:rFonts w:ascii="Times New Roman" w:hAnsi="Times New Roman" w:cs="Times New Roman"/>
          <w:sz w:val="24"/>
          <w:szCs w:val="24"/>
        </w:rPr>
        <w:t xml:space="preserve"> by CMS</w:t>
      </w:r>
      <w:r w:rsidRPr="006872E2">
        <w:rPr>
          <w:rFonts w:ascii="Times New Roman" w:hAnsi="Times New Roman" w:cs="Times New Roman"/>
          <w:sz w:val="24"/>
          <w:szCs w:val="24"/>
        </w:rPr>
        <w:t xml:space="preserve">.  Rather, that information is reviewed as part of the agency’s normal oversight activity of State Medicaid managed care programs.  </w:t>
      </w:r>
      <w:r w:rsidRPr="006872E2">
        <w:rPr>
          <w:rFonts w:ascii="Times New Roman" w:hAnsi="Times New Roman" w:cs="Times New Roman"/>
          <w:sz w:val="24"/>
          <w:szCs w:val="24"/>
        </w:rPr>
        <w:t>The majority of</w:t>
      </w:r>
      <w:r w:rsidRPr="006872E2">
        <w:rPr>
          <w:rFonts w:ascii="Times New Roman" w:hAnsi="Times New Roman" w:cs="Times New Roman"/>
          <w:sz w:val="24"/>
          <w:szCs w:val="24"/>
        </w:rPr>
        <w:t xml:space="preserve"> the information collection is undertaken by States.  Accordingly, States are responsible for ensuring that information collected is not manipulated and erroneously published.  Much of the information (e.g., the information requirements under § 438.10) is provided directly to beneficiaries by the States, MCOs, PIHPs, PAHPs, PCCMs, or PCCM entities.  Some information must be published on a state or managed care plan website, while the rest of the information is used by States as part of their normal contracting with, and monitoring of, their MCOs PIHPs, PAHPs, PCCMs, and PCCM entities and </w:t>
      </w:r>
      <w:r w:rsidRPr="006872E2" w:rsidR="00DB5167">
        <w:rPr>
          <w:rFonts w:ascii="Times New Roman" w:hAnsi="Times New Roman" w:cs="Times New Roman"/>
          <w:sz w:val="24"/>
          <w:szCs w:val="24"/>
        </w:rPr>
        <w:t>is not</w:t>
      </w:r>
      <w:r w:rsidRPr="006872E2">
        <w:rPr>
          <w:rFonts w:ascii="Times New Roman" w:hAnsi="Times New Roman" w:cs="Times New Roman"/>
          <w:sz w:val="24"/>
          <w:szCs w:val="24"/>
        </w:rPr>
        <w:t xml:space="preserve"> published. </w:t>
      </w:r>
    </w:p>
    <w:p w:rsidR="00B41FE8" w:rsidRPr="00B41FE8" w:rsidP="00B41FE8" w14:paraId="73B25FEA" w14:textId="77777777">
      <w:pPr>
        <w:pStyle w:val="BodyText"/>
      </w:pPr>
    </w:p>
    <w:p w:rsidR="00FC2882" w:rsidRPr="006872E2" w:rsidP="00E05160" w14:paraId="7A053062" w14:textId="77777777">
      <w:pPr>
        <w:pStyle w:val="Heading3"/>
        <w:keepNext w:val="0"/>
        <w:keepLines w:val="0"/>
        <w:widowControl w:val="0"/>
        <w:numPr>
          <w:ilvl w:val="0"/>
          <w:numId w:val="10"/>
        </w:numPr>
        <w:spacing w:before="0" w:line="240" w:lineRule="auto"/>
        <w:ind w:left="0" w:firstLine="0"/>
        <w:rPr>
          <w:rFonts w:ascii="Times New Roman" w:hAnsi="Times New Roman" w:cs="Times New Roman"/>
          <w:i/>
          <w:color w:val="auto"/>
          <w:u w:val="single"/>
        </w:rPr>
      </w:pPr>
      <w:bookmarkStart w:id="73" w:name="_Toc528571038"/>
      <w:bookmarkStart w:id="74" w:name="_Toc528571506"/>
      <w:bookmarkStart w:id="75" w:name="_Toc528571600"/>
      <w:r w:rsidRPr="006872E2">
        <w:rPr>
          <w:rFonts w:ascii="Times New Roman" w:hAnsi="Times New Roman" w:cs="Times New Roman"/>
          <w:color w:val="auto"/>
          <w:u w:val="single"/>
        </w:rPr>
        <w:t>Expiration Date</w:t>
      </w:r>
      <w:r w:rsidRPr="006872E2">
        <w:rPr>
          <w:rFonts w:ascii="Times New Roman" w:hAnsi="Times New Roman" w:cs="Times New Roman"/>
          <w:i/>
          <w:color w:val="auto"/>
          <w:u w:val="single"/>
        </w:rPr>
        <w:t>:</w:t>
      </w:r>
      <w:bookmarkEnd w:id="73"/>
      <w:bookmarkEnd w:id="74"/>
      <w:bookmarkEnd w:id="75"/>
    </w:p>
    <w:p w:rsidR="00615B73" w:rsidRPr="006872E2" w:rsidP="00432DCE" w14:paraId="040A2454" w14:textId="77777777">
      <w:pPr>
        <w:pStyle w:val="BodyText"/>
        <w:spacing w:after="0" w:line="240" w:lineRule="auto"/>
        <w:rPr>
          <w:rFonts w:ascii="Times New Roman" w:hAnsi="Times New Roman" w:cs="Times New Roman"/>
          <w:sz w:val="24"/>
          <w:szCs w:val="24"/>
        </w:rPr>
      </w:pPr>
    </w:p>
    <w:p w:rsidR="001A72FB" w:rsidRPr="006872E2" w:rsidP="00432DCE" w14:paraId="2F453423" w14:textId="1B13FFCF">
      <w:pPr>
        <w:pStyle w:val="BodyText"/>
        <w:spacing w:after="0" w:line="240" w:lineRule="auto"/>
        <w:rPr>
          <w:rFonts w:ascii="Times New Roman" w:hAnsi="Times New Roman" w:cs="Times New Roman"/>
          <w:sz w:val="24"/>
          <w:szCs w:val="24"/>
        </w:rPr>
      </w:pPr>
      <w:r w:rsidRPr="006872E2">
        <w:rPr>
          <w:rFonts w:ascii="Times New Roman" w:hAnsi="Times New Roman" w:cs="Times New Roman"/>
          <w:sz w:val="24"/>
          <w:szCs w:val="24"/>
        </w:rPr>
        <w:t>The expiration date and PRA Disclosure Statement are displayed.</w:t>
      </w:r>
    </w:p>
    <w:p w:rsidR="001A72FB" w:rsidRPr="006872E2" w:rsidP="00432DCE" w14:paraId="6E58096D" w14:textId="77777777">
      <w:pPr>
        <w:pStyle w:val="BodyText"/>
        <w:spacing w:after="0" w:line="240" w:lineRule="auto"/>
        <w:rPr>
          <w:rFonts w:ascii="Times New Roman" w:hAnsi="Times New Roman" w:cs="Times New Roman"/>
          <w:sz w:val="24"/>
          <w:szCs w:val="24"/>
        </w:rPr>
      </w:pPr>
    </w:p>
    <w:p w:rsidR="00FC2882" w:rsidRPr="006872E2" w:rsidP="00E05160" w14:paraId="14204A97" w14:textId="74BB4ADB">
      <w:pPr>
        <w:pStyle w:val="Heading3"/>
        <w:keepNext w:val="0"/>
        <w:keepLines w:val="0"/>
        <w:widowControl w:val="0"/>
        <w:numPr>
          <w:ilvl w:val="0"/>
          <w:numId w:val="10"/>
        </w:numPr>
        <w:spacing w:before="0" w:line="240" w:lineRule="auto"/>
        <w:ind w:left="0" w:firstLine="0"/>
        <w:rPr>
          <w:rFonts w:ascii="Times New Roman" w:hAnsi="Times New Roman" w:cs="Times New Roman"/>
          <w:color w:val="auto"/>
          <w:u w:val="single"/>
        </w:rPr>
      </w:pPr>
      <w:bookmarkStart w:id="76" w:name="_Toc528571039"/>
      <w:bookmarkStart w:id="77" w:name="_Toc528571507"/>
      <w:bookmarkStart w:id="78" w:name="_Toc528571601"/>
      <w:r w:rsidRPr="006872E2">
        <w:rPr>
          <w:rFonts w:ascii="Times New Roman" w:hAnsi="Times New Roman" w:cs="Times New Roman"/>
          <w:color w:val="auto"/>
          <w:u w:val="single"/>
        </w:rPr>
        <w:t>Certification Statement:</w:t>
      </w:r>
      <w:bookmarkEnd w:id="76"/>
      <w:bookmarkEnd w:id="77"/>
      <w:bookmarkEnd w:id="78"/>
    </w:p>
    <w:p w:rsidR="00F72F65" w:rsidRPr="006872E2" w:rsidP="00432DCE" w14:paraId="5033B376" w14:textId="77777777">
      <w:pPr>
        <w:spacing w:after="0" w:line="240" w:lineRule="auto"/>
      </w:pPr>
    </w:p>
    <w:p w:rsidR="00615B73" w:rsidP="00432DCE" w14:paraId="35DA2C71"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There are no exceptions to the certification statement.</w:t>
      </w:r>
    </w:p>
    <w:p w:rsidR="00B41FE8" w:rsidRPr="00B41FE8" w:rsidP="00B41FE8" w14:paraId="03105219" w14:textId="77777777">
      <w:pPr>
        <w:pStyle w:val="BodyText"/>
      </w:pPr>
    </w:p>
    <w:p w:rsidR="00FC2882" w:rsidRPr="006872E2" w:rsidP="00E05160" w14:paraId="0DE7BDA0" w14:textId="77777777">
      <w:pPr>
        <w:pStyle w:val="Heading2"/>
        <w:keepNext w:val="0"/>
        <w:keepLines w:val="0"/>
        <w:widowControl w:val="0"/>
        <w:numPr>
          <w:ilvl w:val="0"/>
          <w:numId w:val="1"/>
        </w:numPr>
        <w:spacing w:before="0" w:line="240" w:lineRule="auto"/>
        <w:ind w:left="0" w:firstLine="0"/>
        <w:rPr>
          <w:rFonts w:ascii="Times New Roman" w:hAnsi="Times New Roman" w:cs="Times New Roman"/>
          <w:b/>
          <w:color w:val="auto"/>
          <w:sz w:val="24"/>
          <w:szCs w:val="24"/>
        </w:rPr>
      </w:pPr>
      <w:bookmarkStart w:id="79" w:name="_Toc528571040"/>
      <w:bookmarkStart w:id="80" w:name="_Toc528571508"/>
      <w:bookmarkStart w:id="81" w:name="_Toc528571602"/>
      <w:r w:rsidRPr="006872E2">
        <w:rPr>
          <w:rFonts w:ascii="Times New Roman" w:hAnsi="Times New Roman" w:cs="Times New Roman"/>
          <w:b/>
          <w:color w:val="auto"/>
          <w:sz w:val="24"/>
          <w:szCs w:val="24"/>
        </w:rPr>
        <w:t xml:space="preserve">Collection of Information Employing </w:t>
      </w:r>
      <w:r w:rsidRPr="006872E2" w:rsidR="00EC2906">
        <w:rPr>
          <w:rFonts w:ascii="Times New Roman" w:hAnsi="Times New Roman" w:cs="Times New Roman"/>
          <w:b/>
          <w:color w:val="auto"/>
          <w:sz w:val="24"/>
          <w:szCs w:val="24"/>
        </w:rPr>
        <w:t>Statistical</w:t>
      </w:r>
      <w:r w:rsidRPr="006872E2">
        <w:rPr>
          <w:rFonts w:ascii="Times New Roman" w:hAnsi="Times New Roman" w:cs="Times New Roman"/>
          <w:b/>
          <w:color w:val="auto"/>
          <w:sz w:val="24"/>
          <w:szCs w:val="24"/>
        </w:rPr>
        <w:t xml:space="preserve"> Methods</w:t>
      </w:r>
      <w:bookmarkEnd w:id="79"/>
      <w:bookmarkEnd w:id="80"/>
      <w:bookmarkEnd w:id="81"/>
    </w:p>
    <w:p w:rsidR="00615B73" w:rsidRPr="006872E2" w:rsidP="00432DCE" w14:paraId="0E625D0C" w14:textId="77777777">
      <w:pPr>
        <w:spacing w:after="0" w:line="240" w:lineRule="auto"/>
        <w:rPr>
          <w:rFonts w:ascii="Times New Roman" w:hAnsi="Times New Roman" w:cs="Times New Roman"/>
          <w:sz w:val="24"/>
          <w:szCs w:val="24"/>
        </w:rPr>
      </w:pPr>
    </w:p>
    <w:p w:rsidR="00615B73" w:rsidRPr="00615B73" w:rsidP="00432DCE" w14:paraId="6E98587E" w14:textId="77777777">
      <w:pPr>
        <w:spacing w:after="0" w:line="240" w:lineRule="auto"/>
        <w:rPr>
          <w:rFonts w:ascii="Times New Roman" w:hAnsi="Times New Roman" w:cs="Times New Roman"/>
          <w:sz w:val="24"/>
          <w:szCs w:val="24"/>
        </w:rPr>
      </w:pPr>
      <w:r w:rsidRPr="006872E2">
        <w:rPr>
          <w:rFonts w:ascii="Times New Roman" w:hAnsi="Times New Roman" w:cs="Times New Roman"/>
          <w:sz w:val="24"/>
          <w:szCs w:val="24"/>
        </w:rPr>
        <w:t>There are no statistical methods.</w:t>
      </w:r>
    </w:p>
    <w:p w:rsidR="00FC2882" w:rsidRPr="007A3603" w:rsidP="00432DCE" w14:paraId="6587D062" w14:textId="77777777">
      <w:pPr>
        <w:spacing w:after="0" w:line="240" w:lineRule="auto"/>
        <w:rPr>
          <w:rFonts w:ascii="Times New Roman" w:hAnsi="Times New Roman" w:cs="Times New Roman"/>
          <w:sz w:val="24"/>
          <w:szCs w:val="24"/>
        </w:rPr>
      </w:pPr>
    </w:p>
    <w:sectPr w:rsidSect="00615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7709821"/>
      <w:docPartObj>
        <w:docPartGallery w:val="Page Numbers (Bottom of Page)"/>
        <w:docPartUnique/>
      </w:docPartObj>
    </w:sdtPr>
    <w:sdtEndPr>
      <w:rPr>
        <w:noProof/>
      </w:rPr>
    </w:sdtEndPr>
    <w:sdtContent>
      <w:p w:rsidR="00322FAC" w14:paraId="3DD054B6" w14:textId="18A3905C">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95223"/>
    <w:multiLevelType w:val="hybridMultilevel"/>
    <w:tmpl w:val="11B007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878AA"/>
    <w:multiLevelType w:val="hybridMultilevel"/>
    <w:tmpl w:val="887A5AF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56190"/>
    <w:multiLevelType w:val="hybridMultilevel"/>
    <w:tmpl w:val="3A3EB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4746B76"/>
    <w:multiLevelType w:val="hybridMultilevel"/>
    <w:tmpl w:val="A9EEB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AB1001"/>
    <w:multiLevelType w:val="multilevel"/>
    <w:tmpl w:val="8432FC96"/>
    <w:lvl w:ilvl="0">
      <w:start w:val="1"/>
      <w:numFmt w:val="decimal"/>
      <w:lvlText w:val="%1."/>
      <w:lvlJc w:val="left"/>
      <w:pPr>
        <w:ind w:left="1440" w:hanging="360"/>
      </w:pPr>
      <w:rPr>
        <w:i w:val="0"/>
      </w:rPr>
    </w:lvl>
    <w:lvl w:ilvl="1">
      <w:start w:val="1"/>
      <w:numFmt w:val="decimal"/>
      <w:isLgl/>
      <w:lvlText w:val="%1.%2"/>
      <w:lvlJc w:val="left"/>
      <w:pPr>
        <w:ind w:left="1525" w:hanging="4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nsid w:val="4B39099D"/>
    <w:multiLevelType w:val="multilevel"/>
    <w:tmpl w:val="2C2CF9C4"/>
    <w:lvl w:ilvl="0">
      <w:start w:val="16"/>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8A3344C"/>
    <w:multiLevelType w:val="hybridMultilevel"/>
    <w:tmpl w:val="F034B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8">
    <w:nsid w:val="66575178"/>
    <w:multiLevelType w:val="hybridMultilevel"/>
    <w:tmpl w:val="53E01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367EA6"/>
    <w:multiLevelType w:val="hybridMultilevel"/>
    <w:tmpl w:val="11B0071A"/>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16cid:durableId="1799373082">
    <w:abstractNumId w:val="9"/>
  </w:num>
  <w:num w:numId="2" w16cid:durableId="415326253">
    <w:abstractNumId w:val="4"/>
  </w:num>
  <w:num w:numId="3" w16cid:durableId="1684240711">
    <w:abstractNumId w:val="0"/>
  </w:num>
  <w:num w:numId="4" w16cid:durableId="871260206">
    <w:abstractNumId w:val="7"/>
  </w:num>
  <w:num w:numId="5" w16cid:durableId="260375010">
    <w:abstractNumId w:val="10"/>
  </w:num>
  <w:num w:numId="6" w16cid:durableId="1505315219">
    <w:abstractNumId w:val="3"/>
  </w:num>
  <w:num w:numId="7" w16cid:durableId="1936208719">
    <w:abstractNumId w:val="2"/>
  </w:num>
  <w:num w:numId="8" w16cid:durableId="1438523181">
    <w:abstractNumId w:val="8"/>
  </w:num>
  <w:num w:numId="9" w16cid:durableId="461313062">
    <w:abstractNumId w:val="1"/>
  </w:num>
  <w:num w:numId="10" w16cid:durableId="436604401">
    <w:abstractNumId w:val="5"/>
  </w:num>
  <w:num w:numId="11" w16cid:durableId="14921339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82"/>
    <w:rsid w:val="000000D8"/>
    <w:rsid w:val="000008EA"/>
    <w:rsid w:val="00001A5F"/>
    <w:rsid w:val="00003E99"/>
    <w:rsid w:val="000051CD"/>
    <w:rsid w:val="000101ED"/>
    <w:rsid w:val="00011EE1"/>
    <w:rsid w:val="0001250E"/>
    <w:rsid w:val="00012DD1"/>
    <w:rsid w:val="00013270"/>
    <w:rsid w:val="000152CF"/>
    <w:rsid w:val="00015E4B"/>
    <w:rsid w:val="00020ED6"/>
    <w:rsid w:val="00021D9E"/>
    <w:rsid w:val="00022268"/>
    <w:rsid w:val="00022890"/>
    <w:rsid w:val="00023556"/>
    <w:rsid w:val="00023D0F"/>
    <w:rsid w:val="0002411D"/>
    <w:rsid w:val="00024450"/>
    <w:rsid w:val="00024992"/>
    <w:rsid w:val="00025249"/>
    <w:rsid w:val="00025E93"/>
    <w:rsid w:val="00026844"/>
    <w:rsid w:val="0002688C"/>
    <w:rsid w:val="00031C03"/>
    <w:rsid w:val="000327B6"/>
    <w:rsid w:val="0003575C"/>
    <w:rsid w:val="0003686D"/>
    <w:rsid w:val="00036DCE"/>
    <w:rsid w:val="00042392"/>
    <w:rsid w:val="000423F9"/>
    <w:rsid w:val="0004359A"/>
    <w:rsid w:val="00046736"/>
    <w:rsid w:val="000467BA"/>
    <w:rsid w:val="00046945"/>
    <w:rsid w:val="00046C41"/>
    <w:rsid w:val="00046DD4"/>
    <w:rsid w:val="000472D6"/>
    <w:rsid w:val="000530D7"/>
    <w:rsid w:val="000534B6"/>
    <w:rsid w:val="0005460D"/>
    <w:rsid w:val="000609BE"/>
    <w:rsid w:val="00064A4C"/>
    <w:rsid w:val="00064CB0"/>
    <w:rsid w:val="00067C17"/>
    <w:rsid w:val="0007010E"/>
    <w:rsid w:val="00070AE0"/>
    <w:rsid w:val="00071496"/>
    <w:rsid w:val="0007366A"/>
    <w:rsid w:val="00073AE5"/>
    <w:rsid w:val="00074C4F"/>
    <w:rsid w:val="00074FE7"/>
    <w:rsid w:val="000761E1"/>
    <w:rsid w:val="00076DD2"/>
    <w:rsid w:val="00077760"/>
    <w:rsid w:val="00080979"/>
    <w:rsid w:val="000809AA"/>
    <w:rsid w:val="000820CF"/>
    <w:rsid w:val="00083889"/>
    <w:rsid w:val="000843F8"/>
    <w:rsid w:val="00086016"/>
    <w:rsid w:val="00086396"/>
    <w:rsid w:val="00087D40"/>
    <w:rsid w:val="00087ECB"/>
    <w:rsid w:val="00087FED"/>
    <w:rsid w:val="0009011D"/>
    <w:rsid w:val="000910B4"/>
    <w:rsid w:val="0009203C"/>
    <w:rsid w:val="00092321"/>
    <w:rsid w:val="00096326"/>
    <w:rsid w:val="0009717E"/>
    <w:rsid w:val="00097C7A"/>
    <w:rsid w:val="000A17C1"/>
    <w:rsid w:val="000A30F0"/>
    <w:rsid w:val="000A3955"/>
    <w:rsid w:val="000A3D24"/>
    <w:rsid w:val="000A4165"/>
    <w:rsid w:val="000A46FA"/>
    <w:rsid w:val="000A5712"/>
    <w:rsid w:val="000A7A39"/>
    <w:rsid w:val="000B12FF"/>
    <w:rsid w:val="000B4E35"/>
    <w:rsid w:val="000B6BBE"/>
    <w:rsid w:val="000C14B5"/>
    <w:rsid w:val="000C24E5"/>
    <w:rsid w:val="000C2A54"/>
    <w:rsid w:val="000C2E7F"/>
    <w:rsid w:val="000C388D"/>
    <w:rsid w:val="000C3A2C"/>
    <w:rsid w:val="000C74F7"/>
    <w:rsid w:val="000D1B0C"/>
    <w:rsid w:val="000D260F"/>
    <w:rsid w:val="000D3557"/>
    <w:rsid w:val="000D5530"/>
    <w:rsid w:val="000D5B2C"/>
    <w:rsid w:val="000D5CD4"/>
    <w:rsid w:val="000D6C0F"/>
    <w:rsid w:val="000D7105"/>
    <w:rsid w:val="000E06BE"/>
    <w:rsid w:val="000E1F54"/>
    <w:rsid w:val="000E4ED6"/>
    <w:rsid w:val="000E7B4E"/>
    <w:rsid w:val="000F1D30"/>
    <w:rsid w:val="000F449B"/>
    <w:rsid w:val="000F4BA5"/>
    <w:rsid w:val="000F6D1E"/>
    <w:rsid w:val="000F7EB3"/>
    <w:rsid w:val="00100105"/>
    <w:rsid w:val="001010E3"/>
    <w:rsid w:val="00101B57"/>
    <w:rsid w:val="001024A9"/>
    <w:rsid w:val="001036B0"/>
    <w:rsid w:val="00103B7F"/>
    <w:rsid w:val="00104256"/>
    <w:rsid w:val="00104792"/>
    <w:rsid w:val="00105452"/>
    <w:rsid w:val="0010600B"/>
    <w:rsid w:val="001065FB"/>
    <w:rsid w:val="0010680C"/>
    <w:rsid w:val="00107EE8"/>
    <w:rsid w:val="00110469"/>
    <w:rsid w:val="00110722"/>
    <w:rsid w:val="00111AC6"/>
    <w:rsid w:val="00111F02"/>
    <w:rsid w:val="00114178"/>
    <w:rsid w:val="00114942"/>
    <w:rsid w:val="0011515A"/>
    <w:rsid w:val="00115A7F"/>
    <w:rsid w:val="001171EF"/>
    <w:rsid w:val="001215BC"/>
    <w:rsid w:val="001215C7"/>
    <w:rsid w:val="001232AF"/>
    <w:rsid w:val="00123367"/>
    <w:rsid w:val="00123CB8"/>
    <w:rsid w:val="001245C0"/>
    <w:rsid w:val="001251D8"/>
    <w:rsid w:val="00125A68"/>
    <w:rsid w:val="00137BE2"/>
    <w:rsid w:val="001427E8"/>
    <w:rsid w:val="00143431"/>
    <w:rsid w:val="0014663E"/>
    <w:rsid w:val="00147769"/>
    <w:rsid w:val="001478D4"/>
    <w:rsid w:val="00156244"/>
    <w:rsid w:val="00161996"/>
    <w:rsid w:val="00161BC7"/>
    <w:rsid w:val="0016252E"/>
    <w:rsid w:val="0016374B"/>
    <w:rsid w:val="00164E64"/>
    <w:rsid w:val="00165F56"/>
    <w:rsid w:val="001711C7"/>
    <w:rsid w:val="00171CF0"/>
    <w:rsid w:val="00172AE9"/>
    <w:rsid w:val="00173333"/>
    <w:rsid w:val="001737FF"/>
    <w:rsid w:val="00174AC2"/>
    <w:rsid w:val="00174D21"/>
    <w:rsid w:val="001752F1"/>
    <w:rsid w:val="00175410"/>
    <w:rsid w:val="001760A1"/>
    <w:rsid w:val="00176171"/>
    <w:rsid w:val="001836D4"/>
    <w:rsid w:val="00183FA4"/>
    <w:rsid w:val="00185104"/>
    <w:rsid w:val="0018555E"/>
    <w:rsid w:val="00187989"/>
    <w:rsid w:val="00187BD6"/>
    <w:rsid w:val="00190C3C"/>
    <w:rsid w:val="001926E6"/>
    <w:rsid w:val="0019381D"/>
    <w:rsid w:val="00193977"/>
    <w:rsid w:val="00193B17"/>
    <w:rsid w:val="00194C4F"/>
    <w:rsid w:val="00197640"/>
    <w:rsid w:val="001A118C"/>
    <w:rsid w:val="001A11B4"/>
    <w:rsid w:val="001A1497"/>
    <w:rsid w:val="001A21E2"/>
    <w:rsid w:val="001A5632"/>
    <w:rsid w:val="001A72FB"/>
    <w:rsid w:val="001A7C81"/>
    <w:rsid w:val="001B0566"/>
    <w:rsid w:val="001B0665"/>
    <w:rsid w:val="001B0CA3"/>
    <w:rsid w:val="001B1BD0"/>
    <w:rsid w:val="001B1E8E"/>
    <w:rsid w:val="001B2A3A"/>
    <w:rsid w:val="001B2D54"/>
    <w:rsid w:val="001B3495"/>
    <w:rsid w:val="001B3D42"/>
    <w:rsid w:val="001B48F7"/>
    <w:rsid w:val="001B75AE"/>
    <w:rsid w:val="001C1668"/>
    <w:rsid w:val="001D068D"/>
    <w:rsid w:val="001D0A9E"/>
    <w:rsid w:val="001D0F11"/>
    <w:rsid w:val="001D12AA"/>
    <w:rsid w:val="001D22E2"/>
    <w:rsid w:val="001D273D"/>
    <w:rsid w:val="001D29DD"/>
    <w:rsid w:val="001D529A"/>
    <w:rsid w:val="001D58DE"/>
    <w:rsid w:val="001D6B5A"/>
    <w:rsid w:val="001D72D8"/>
    <w:rsid w:val="001E16BF"/>
    <w:rsid w:val="001E195B"/>
    <w:rsid w:val="001E2A9D"/>
    <w:rsid w:val="001E4E1C"/>
    <w:rsid w:val="001E55A6"/>
    <w:rsid w:val="001E5AD4"/>
    <w:rsid w:val="001F0068"/>
    <w:rsid w:val="001F3FD0"/>
    <w:rsid w:val="001F49D9"/>
    <w:rsid w:val="001F64CF"/>
    <w:rsid w:val="001F6B8E"/>
    <w:rsid w:val="0020025C"/>
    <w:rsid w:val="0020083E"/>
    <w:rsid w:val="0020247B"/>
    <w:rsid w:val="002026DC"/>
    <w:rsid w:val="00202718"/>
    <w:rsid w:val="00202A19"/>
    <w:rsid w:val="002034AF"/>
    <w:rsid w:val="00203B40"/>
    <w:rsid w:val="002042A2"/>
    <w:rsid w:val="00204525"/>
    <w:rsid w:val="00205799"/>
    <w:rsid w:val="00206636"/>
    <w:rsid w:val="00206C3D"/>
    <w:rsid w:val="002071CE"/>
    <w:rsid w:val="00207727"/>
    <w:rsid w:val="0021018F"/>
    <w:rsid w:val="00211BEB"/>
    <w:rsid w:val="00211EB3"/>
    <w:rsid w:val="002126D0"/>
    <w:rsid w:val="00212CAE"/>
    <w:rsid w:val="00214C24"/>
    <w:rsid w:val="0022075D"/>
    <w:rsid w:val="00224395"/>
    <w:rsid w:val="00224D11"/>
    <w:rsid w:val="00225412"/>
    <w:rsid w:val="002254EA"/>
    <w:rsid w:val="00225643"/>
    <w:rsid w:val="0022696D"/>
    <w:rsid w:val="00227FB1"/>
    <w:rsid w:val="00232147"/>
    <w:rsid w:val="002323A0"/>
    <w:rsid w:val="0023345B"/>
    <w:rsid w:val="0023426C"/>
    <w:rsid w:val="002343AF"/>
    <w:rsid w:val="00235CAB"/>
    <w:rsid w:val="00236ED8"/>
    <w:rsid w:val="002404E7"/>
    <w:rsid w:val="002416BB"/>
    <w:rsid w:val="0024243B"/>
    <w:rsid w:val="00242AD1"/>
    <w:rsid w:val="002437AA"/>
    <w:rsid w:val="002437B9"/>
    <w:rsid w:val="00243DC1"/>
    <w:rsid w:val="00244176"/>
    <w:rsid w:val="002442B0"/>
    <w:rsid w:val="00244628"/>
    <w:rsid w:val="00244F8D"/>
    <w:rsid w:val="0024674F"/>
    <w:rsid w:val="00246B59"/>
    <w:rsid w:val="00247D6A"/>
    <w:rsid w:val="00250343"/>
    <w:rsid w:val="00251E58"/>
    <w:rsid w:val="002528BD"/>
    <w:rsid w:val="0025450F"/>
    <w:rsid w:val="00257D6F"/>
    <w:rsid w:val="00257E39"/>
    <w:rsid w:val="00264A77"/>
    <w:rsid w:val="00265589"/>
    <w:rsid w:val="00266C5F"/>
    <w:rsid w:val="00266E1B"/>
    <w:rsid w:val="0026770B"/>
    <w:rsid w:val="00267F0F"/>
    <w:rsid w:val="0027146C"/>
    <w:rsid w:val="002714B4"/>
    <w:rsid w:val="00271E17"/>
    <w:rsid w:val="00273974"/>
    <w:rsid w:val="00273984"/>
    <w:rsid w:val="00275240"/>
    <w:rsid w:val="00275E14"/>
    <w:rsid w:val="0027606D"/>
    <w:rsid w:val="0027659B"/>
    <w:rsid w:val="00276B3B"/>
    <w:rsid w:val="00277B33"/>
    <w:rsid w:val="0028034B"/>
    <w:rsid w:val="0028185D"/>
    <w:rsid w:val="00281A8C"/>
    <w:rsid w:val="00281CB0"/>
    <w:rsid w:val="00282D08"/>
    <w:rsid w:val="0028320A"/>
    <w:rsid w:val="00284CD2"/>
    <w:rsid w:val="00285BD6"/>
    <w:rsid w:val="002877D0"/>
    <w:rsid w:val="00290EB8"/>
    <w:rsid w:val="002915C4"/>
    <w:rsid w:val="0029226D"/>
    <w:rsid w:val="00293362"/>
    <w:rsid w:val="00293A9B"/>
    <w:rsid w:val="0029495B"/>
    <w:rsid w:val="002950AF"/>
    <w:rsid w:val="0029556A"/>
    <w:rsid w:val="0029581A"/>
    <w:rsid w:val="00296BDD"/>
    <w:rsid w:val="0029730F"/>
    <w:rsid w:val="0029791B"/>
    <w:rsid w:val="002A0BB8"/>
    <w:rsid w:val="002A1243"/>
    <w:rsid w:val="002A2DA9"/>
    <w:rsid w:val="002A2F19"/>
    <w:rsid w:val="002A36CB"/>
    <w:rsid w:val="002A3A69"/>
    <w:rsid w:val="002A42B7"/>
    <w:rsid w:val="002A4711"/>
    <w:rsid w:val="002A52FF"/>
    <w:rsid w:val="002A61A4"/>
    <w:rsid w:val="002A786A"/>
    <w:rsid w:val="002B072F"/>
    <w:rsid w:val="002B5C27"/>
    <w:rsid w:val="002B7101"/>
    <w:rsid w:val="002C0BF1"/>
    <w:rsid w:val="002C0E66"/>
    <w:rsid w:val="002C19D6"/>
    <w:rsid w:val="002C2333"/>
    <w:rsid w:val="002C7490"/>
    <w:rsid w:val="002D2AC6"/>
    <w:rsid w:val="002D3244"/>
    <w:rsid w:val="002D4E83"/>
    <w:rsid w:val="002D5B86"/>
    <w:rsid w:val="002D705D"/>
    <w:rsid w:val="002E1FB2"/>
    <w:rsid w:val="002E3C7E"/>
    <w:rsid w:val="002E7258"/>
    <w:rsid w:val="002E760C"/>
    <w:rsid w:val="002F1104"/>
    <w:rsid w:val="002F2EC4"/>
    <w:rsid w:val="002F4EB6"/>
    <w:rsid w:val="002F64F5"/>
    <w:rsid w:val="003017A7"/>
    <w:rsid w:val="003024F2"/>
    <w:rsid w:val="00305677"/>
    <w:rsid w:val="0030577E"/>
    <w:rsid w:val="00306165"/>
    <w:rsid w:val="00306E23"/>
    <w:rsid w:val="00306E68"/>
    <w:rsid w:val="00307113"/>
    <w:rsid w:val="00310A92"/>
    <w:rsid w:val="00310C61"/>
    <w:rsid w:val="00312195"/>
    <w:rsid w:val="00315867"/>
    <w:rsid w:val="0031621E"/>
    <w:rsid w:val="003168C6"/>
    <w:rsid w:val="00317B8E"/>
    <w:rsid w:val="00317D2B"/>
    <w:rsid w:val="00317EFF"/>
    <w:rsid w:val="003200FB"/>
    <w:rsid w:val="00320C26"/>
    <w:rsid w:val="00322AC7"/>
    <w:rsid w:val="00322FAC"/>
    <w:rsid w:val="00324DA9"/>
    <w:rsid w:val="003257F7"/>
    <w:rsid w:val="0032667D"/>
    <w:rsid w:val="00326DA4"/>
    <w:rsid w:val="00327AA9"/>
    <w:rsid w:val="00327EEC"/>
    <w:rsid w:val="00330E04"/>
    <w:rsid w:val="003310A7"/>
    <w:rsid w:val="003313EF"/>
    <w:rsid w:val="003314BA"/>
    <w:rsid w:val="003328FA"/>
    <w:rsid w:val="00332A85"/>
    <w:rsid w:val="00332B7B"/>
    <w:rsid w:val="00333289"/>
    <w:rsid w:val="003341F4"/>
    <w:rsid w:val="0033516D"/>
    <w:rsid w:val="003407B5"/>
    <w:rsid w:val="00340C50"/>
    <w:rsid w:val="00341A01"/>
    <w:rsid w:val="003443F6"/>
    <w:rsid w:val="00345B83"/>
    <w:rsid w:val="0034625E"/>
    <w:rsid w:val="00346411"/>
    <w:rsid w:val="00346656"/>
    <w:rsid w:val="003506FB"/>
    <w:rsid w:val="00350B4D"/>
    <w:rsid w:val="00350E33"/>
    <w:rsid w:val="003543BC"/>
    <w:rsid w:val="0035492C"/>
    <w:rsid w:val="0035610A"/>
    <w:rsid w:val="00357EED"/>
    <w:rsid w:val="0036140B"/>
    <w:rsid w:val="003614D0"/>
    <w:rsid w:val="00361E73"/>
    <w:rsid w:val="00362AB8"/>
    <w:rsid w:val="00363B22"/>
    <w:rsid w:val="0036404F"/>
    <w:rsid w:val="00364556"/>
    <w:rsid w:val="00365237"/>
    <w:rsid w:val="003663A9"/>
    <w:rsid w:val="00366530"/>
    <w:rsid w:val="0036726F"/>
    <w:rsid w:val="00367775"/>
    <w:rsid w:val="0037031A"/>
    <w:rsid w:val="00371708"/>
    <w:rsid w:val="00371715"/>
    <w:rsid w:val="00371C1F"/>
    <w:rsid w:val="00371EC2"/>
    <w:rsid w:val="00373997"/>
    <w:rsid w:val="00374003"/>
    <w:rsid w:val="00374919"/>
    <w:rsid w:val="00376F8F"/>
    <w:rsid w:val="00377A6D"/>
    <w:rsid w:val="00377FAC"/>
    <w:rsid w:val="003800CB"/>
    <w:rsid w:val="00380807"/>
    <w:rsid w:val="003819B7"/>
    <w:rsid w:val="00381F74"/>
    <w:rsid w:val="00382B89"/>
    <w:rsid w:val="00383160"/>
    <w:rsid w:val="00383A2A"/>
    <w:rsid w:val="00383C1A"/>
    <w:rsid w:val="00384087"/>
    <w:rsid w:val="00384425"/>
    <w:rsid w:val="0038511C"/>
    <w:rsid w:val="003856B5"/>
    <w:rsid w:val="00386B51"/>
    <w:rsid w:val="00386EE0"/>
    <w:rsid w:val="003872FD"/>
    <w:rsid w:val="003902DA"/>
    <w:rsid w:val="00390EC0"/>
    <w:rsid w:val="0039217D"/>
    <w:rsid w:val="00394ADA"/>
    <w:rsid w:val="00394C67"/>
    <w:rsid w:val="00397D21"/>
    <w:rsid w:val="003A011E"/>
    <w:rsid w:val="003A0DCA"/>
    <w:rsid w:val="003A15F6"/>
    <w:rsid w:val="003A2BC7"/>
    <w:rsid w:val="003A66E6"/>
    <w:rsid w:val="003B00F4"/>
    <w:rsid w:val="003B116B"/>
    <w:rsid w:val="003B1A3A"/>
    <w:rsid w:val="003B2F12"/>
    <w:rsid w:val="003B509C"/>
    <w:rsid w:val="003C130D"/>
    <w:rsid w:val="003C4DB1"/>
    <w:rsid w:val="003C5A0A"/>
    <w:rsid w:val="003D7376"/>
    <w:rsid w:val="003D7973"/>
    <w:rsid w:val="003E048A"/>
    <w:rsid w:val="003E1C7F"/>
    <w:rsid w:val="003E1E20"/>
    <w:rsid w:val="003E22ED"/>
    <w:rsid w:val="003E58DB"/>
    <w:rsid w:val="003E64E4"/>
    <w:rsid w:val="003E6DAA"/>
    <w:rsid w:val="003E7AB6"/>
    <w:rsid w:val="003E7DEA"/>
    <w:rsid w:val="003F209F"/>
    <w:rsid w:val="003F363C"/>
    <w:rsid w:val="003F3EF2"/>
    <w:rsid w:val="003F4026"/>
    <w:rsid w:val="003F55F3"/>
    <w:rsid w:val="003F57E2"/>
    <w:rsid w:val="003F7880"/>
    <w:rsid w:val="003F7BC3"/>
    <w:rsid w:val="00400A81"/>
    <w:rsid w:val="00400FBF"/>
    <w:rsid w:val="00401282"/>
    <w:rsid w:val="00401A6F"/>
    <w:rsid w:val="00402389"/>
    <w:rsid w:val="004045D7"/>
    <w:rsid w:val="00405CA9"/>
    <w:rsid w:val="004070E1"/>
    <w:rsid w:val="004077FF"/>
    <w:rsid w:val="004118FB"/>
    <w:rsid w:val="0041208B"/>
    <w:rsid w:val="0041287A"/>
    <w:rsid w:val="00413318"/>
    <w:rsid w:val="004139D4"/>
    <w:rsid w:val="00413B20"/>
    <w:rsid w:val="00414A47"/>
    <w:rsid w:val="00416F24"/>
    <w:rsid w:val="0041700E"/>
    <w:rsid w:val="0041740F"/>
    <w:rsid w:val="00417855"/>
    <w:rsid w:val="00417EAF"/>
    <w:rsid w:val="00417EF9"/>
    <w:rsid w:val="00422121"/>
    <w:rsid w:val="00422A96"/>
    <w:rsid w:val="004275BF"/>
    <w:rsid w:val="0042789A"/>
    <w:rsid w:val="00431C07"/>
    <w:rsid w:val="00432D5E"/>
    <w:rsid w:val="00432DCE"/>
    <w:rsid w:val="00434487"/>
    <w:rsid w:val="00434F74"/>
    <w:rsid w:val="0043708C"/>
    <w:rsid w:val="00440A0A"/>
    <w:rsid w:val="004428F7"/>
    <w:rsid w:val="00442BEB"/>
    <w:rsid w:val="0044439F"/>
    <w:rsid w:val="00444BAB"/>
    <w:rsid w:val="004465C9"/>
    <w:rsid w:val="0045033D"/>
    <w:rsid w:val="00452A96"/>
    <w:rsid w:val="00452EBB"/>
    <w:rsid w:val="00452F6D"/>
    <w:rsid w:val="0045393E"/>
    <w:rsid w:val="00454038"/>
    <w:rsid w:val="00454ED7"/>
    <w:rsid w:val="00455C89"/>
    <w:rsid w:val="00456475"/>
    <w:rsid w:val="00457449"/>
    <w:rsid w:val="00460CE6"/>
    <w:rsid w:val="0046144E"/>
    <w:rsid w:val="004642A0"/>
    <w:rsid w:val="00465585"/>
    <w:rsid w:val="004655C0"/>
    <w:rsid w:val="004659EA"/>
    <w:rsid w:val="0046662F"/>
    <w:rsid w:val="00466B5F"/>
    <w:rsid w:val="00467948"/>
    <w:rsid w:val="00467FB5"/>
    <w:rsid w:val="004716AD"/>
    <w:rsid w:val="004720C1"/>
    <w:rsid w:val="00472843"/>
    <w:rsid w:val="004737E7"/>
    <w:rsid w:val="00473CA0"/>
    <w:rsid w:val="004750F8"/>
    <w:rsid w:val="00475EA7"/>
    <w:rsid w:val="00476235"/>
    <w:rsid w:val="00476385"/>
    <w:rsid w:val="004767DF"/>
    <w:rsid w:val="0047789D"/>
    <w:rsid w:val="0048164E"/>
    <w:rsid w:val="00483820"/>
    <w:rsid w:val="004842DE"/>
    <w:rsid w:val="00487F81"/>
    <w:rsid w:val="00490069"/>
    <w:rsid w:val="00490D2E"/>
    <w:rsid w:val="00490DAC"/>
    <w:rsid w:val="004921D3"/>
    <w:rsid w:val="004924DC"/>
    <w:rsid w:val="004928A5"/>
    <w:rsid w:val="00493E94"/>
    <w:rsid w:val="00495C2A"/>
    <w:rsid w:val="00495CB4"/>
    <w:rsid w:val="00496969"/>
    <w:rsid w:val="00496B8D"/>
    <w:rsid w:val="004A02B4"/>
    <w:rsid w:val="004A2739"/>
    <w:rsid w:val="004A44BA"/>
    <w:rsid w:val="004A5750"/>
    <w:rsid w:val="004A5E38"/>
    <w:rsid w:val="004A7A22"/>
    <w:rsid w:val="004B0858"/>
    <w:rsid w:val="004B0E2D"/>
    <w:rsid w:val="004B0E9D"/>
    <w:rsid w:val="004B214E"/>
    <w:rsid w:val="004B30EE"/>
    <w:rsid w:val="004B3F24"/>
    <w:rsid w:val="004B4AB1"/>
    <w:rsid w:val="004B6592"/>
    <w:rsid w:val="004B661B"/>
    <w:rsid w:val="004B6CE3"/>
    <w:rsid w:val="004B72DE"/>
    <w:rsid w:val="004C0A73"/>
    <w:rsid w:val="004C163F"/>
    <w:rsid w:val="004C1BAD"/>
    <w:rsid w:val="004C39EE"/>
    <w:rsid w:val="004C5087"/>
    <w:rsid w:val="004C650B"/>
    <w:rsid w:val="004C7E5F"/>
    <w:rsid w:val="004D0468"/>
    <w:rsid w:val="004D0C1B"/>
    <w:rsid w:val="004D11B8"/>
    <w:rsid w:val="004D2ECD"/>
    <w:rsid w:val="004D334E"/>
    <w:rsid w:val="004D502D"/>
    <w:rsid w:val="004D5856"/>
    <w:rsid w:val="004E02E1"/>
    <w:rsid w:val="004E2515"/>
    <w:rsid w:val="004E2E78"/>
    <w:rsid w:val="004E3601"/>
    <w:rsid w:val="004E3709"/>
    <w:rsid w:val="004E3A1B"/>
    <w:rsid w:val="004E5432"/>
    <w:rsid w:val="004E59DE"/>
    <w:rsid w:val="004F0CAE"/>
    <w:rsid w:val="004F0F53"/>
    <w:rsid w:val="004F16D4"/>
    <w:rsid w:val="004F4438"/>
    <w:rsid w:val="004F4687"/>
    <w:rsid w:val="004F510F"/>
    <w:rsid w:val="004F605D"/>
    <w:rsid w:val="004F7D14"/>
    <w:rsid w:val="005005B6"/>
    <w:rsid w:val="00502090"/>
    <w:rsid w:val="0050258C"/>
    <w:rsid w:val="00502B5C"/>
    <w:rsid w:val="00504D39"/>
    <w:rsid w:val="00507B07"/>
    <w:rsid w:val="00514D6A"/>
    <w:rsid w:val="00515252"/>
    <w:rsid w:val="00515FF7"/>
    <w:rsid w:val="005177A2"/>
    <w:rsid w:val="00523574"/>
    <w:rsid w:val="00525C80"/>
    <w:rsid w:val="00527B76"/>
    <w:rsid w:val="00530372"/>
    <w:rsid w:val="005306D7"/>
    <w:rsid w:val="005309CC"/>
    <w:rsid w:val="005315BE"/>
    <w:rsid w:val="00531829"/>
    <w:rsid w:val="00532BB9"/>
    <w:rsid w:val="00532EFD"/>
    <w:rsid w:val="005341CA"/>
    <w:rsid w:val="0053445D"/>
    <w:rsid w:val="0053445E"/>
    <w:rsid w:val="005376D9"/>
    <w:rsid w:val="00541BC3"/>
    <w:rsid w:val="00541FAE"/>
    <w:rsid w:val="00542A77"/>
    <w:rsid w:val="00542C82"/>
    <w:rsid w:val="00543661"/>
    <w:rsid w:val="00543B60"/>
    <w:rsid w:val="005446A6"/>
    <w:rsid w:val="00544D26"/>
    <w:rsid w:val="00546849"/>
    <w:rsid w:val="005473C7"/>
    <w:rsid w:val="00550F6C"/>
    <w:rsid w:val="0055116B"/>
    <w:rsid w:val="005524B0"/>
    <w:rsid w:val="005527BE"/>
    <w:rsid w:val="005579C1"/>
    <w:rsid w:val="005604DF"/>
    <w:rsid w:val="00560CFB"/>
    <w:rsid w:val="00560F97"/>
    <w:rsid w:val="00564C1C"/>
    <w:rsid w:val="00567015"/>
    <w:rsid w:val="0057059F"/>
    <w:rsid w:val="0057072F"/>
    <w:rsid w:val="00572FB8"/>
    <w:rsid w:val="005740FE"/>
    <w:rsid w:val="00574EB1"/>
    <w:rsid w:val="00575449"/>
    <w:rsid w:val="00575528"/>
    <w:rsid w:val="00575693"/>
    <w:rsid w:val="0057770A"/>
    <w:rsid w:val="0058194C"/>
    <w:rsid w:val="0058467E"/>
    <w:rsid w:val="00585B62"/>
    <w:rsid w:val="00586B86"/>
    <w:rsid w:val="00587341"/>
    <w:rsid w:val="00587404"/>
    <w:rsid w:val="00587D80"/>
    <w:rsid w:val="00590C98"/>
    <w:rsid w:val="005911C9"/>
    <w:rsid w:val="00591BAD"/>
    <w:rsid w:val="00593D4D"/>
    <w:rsid w:val="00594304"/>
    <w:rsid w:val="005946C4"/>
    <w:rsid w:val="00595D3C"/>
    <w:rsid w:val="0059764E"/>
    <w:rsid w:val="00597B15"/>
    <w:rsid w:val="005A04F3"/>
    <w:rsid w:val="005A0F0F"/>
    <w:rsid w:val="005A18C2"/>
    <w:rsid w:val="005A2ED4"/>
    <w:rsid w:val="005A315E"/>
    <w:rsid w:val="005A416E"/>
    <w:rsid w:val="005A5F68"/>
    <w:rsid w:val="005A6042"/>
    <w:rsid w:val="005A61EA"/>
    <w:rsid w:val="005A728C"/>
    <w:rsid w:val="005B0C42"/>
    <w:rsid w:val="005B1B46"/>
    <w:rsid w:val="005B248C"/>
    <w:rsid w:val="005B291C"/>
    <w:rsid w:val="005B3649"/>
    <w:rsid w:val="005B3F4C"/>
    <w:rsid w:val="005B67E5"/>
    <w:rsid w:val="005B6858"/>
    <w:rsid w:val="005B7643"/>
    <w:rsid w:val="005B7C71"/>
    <w:rsid w:val="005C072B"/>
    <w:rsid w:val="005C1A22"/>
    <w:rsid w:val="005C44FD"/>
    <w:rsid w:val="005C5A0F"/>
    <w:rsid w:val="005C5B29"/>
    <w:rsid w:val="005C6929"/>
    <w:rsid w:val="005C7FEB"/>
    <w:rsid w:val="005D0200"/>
    <w:rsid w:val="005D27FA"/>
    <w:rsid w:val="005D2A2A"/>
    <w:rsid w:val="005D4AFF"/>
    <w:rsid w:val="005D5F2D"/>
    <w:rsid w:val="005D697F"/>
    <w:rsid w:val="005D7B7C"/>
    <w:rsid w:val="005E1539"/>
    <w:rsid w:val="005E3D9B"/>
    <w:rsid w:val="005E4BAD"/>
    <w:rsid w:val="005E608E"/>
    <w:rsid w:val="005E7823"/>
    <w:rsid w:val="005F07BA"/>
    <w:rsid w:val="005F3B40"/>
    <w:rsid w:val="005F3ED3"/>
    <w:rsid w:val="005F4089"/>
    <w:rsid w:val="005F5165"/>
    <w:rsid w:val="005F56BF"/>
    <w:rsid w:val="005F5CB6"/>
    <w:rsid w:val="005F5F9E"/>
    <w:rsid w:val="005F685E"/>
    <w:rsid w:val="005F70B4"/>
    <w:rsid w:val="00602D1F"/>
    <w:rsid w:val="00606B6E"/>
    <w:rsid w:val="0060756B"/>
    <w:rsid w:val="00607923"/>
    <w:rsid w:val="006079D7"/>
    <w:rsid w:val="006103DB"/>
    <w:rsid w:val="00611050"/>
    <w:rsid w:val="00613D50"/>
    <w:rsid w:val="00613DBF"/>
    <w:rsid w:val="00613E2A"/>
    <w:rsid w:val="00614723"/>
    <w:rsid w:val="00615B73"/>
    <w:rsid w:val="00617750"/>
    <w:rsid w:val="006219BC"/>
    <w:rsid w:val="00621A59"/>
    <w:rsid w:val="00622C90"/>
    <w:rsid w:val="00622CF2"/>
    <w:rsid w:val="00623B8A"/>
    <w:rsid w:val="00624868"/>
    <w:rsid w:val="00624B15"/>
    <w:rsid w:val="00624D49"/>
    <w:rsid w:val="00624E95"/>
    <w:rsid w:val="0062503D"/>
    <w:rsid w:val="006250CE"/>
    <w:rsid w:val="006250D7"/>
    <w:rsid w:val="00625B22"/>
    <w:rsid w:val="006262D8"/>
    <w:rsid w:val="006263F9"/>
    <w:rsid w:val="006274D7"/>
    <w:rsid w:val="00627E20"/>
    <w:rsid w:val="00630DAA"/>
    <w:rsid w:val="006312D5"/>
    <w:rsid w:val="00631AB9"/>
    <w:rsid w:val="00632BD7"/>
    <w:rsid w:val="0063628F"/>
    <w:rsid w:val="00636E9C"/>
    <w:rsid w:val="00640C7F"/>
    <w:rsid w:val="00641785"/>
    <w:rsid w:val="00641DF6"/>
    <w:rsid w:val="00643235"/>
    <w:rsid w:val="006443F0"/>
    <w:rsid w:val="0064444F"/>
    <w:rsid w:val="006446F8"/>
    <w:rsid w:val="00644841"/>
    <w:rsid w:val="0064746F"/>
    <w:rsid w:val="00652F14"/>
    <w:rsid w:val="00653935"/>
    <w:rsid w:val="00653C67"/>
    <w:rsid w:val="00656DFB"/>
    <w:rsid w:val="006601DA"/>
    <w:rsid w:val="00660545"/>
    <w:rsid w:val="00661C6D"/>
    <w:rsid w:val="00664B75"/>
    <w:rsid w:val="00667A88"/>
    <w:rsid w:val="0067088F"/>
    <w:rsid w:val="00671068"/>
    <w:rsid w:val="0067132D"/>
    <w:rsid w:val="00672257"/>
    <w:rsid w:val="006740DB"/>
    <w:rsid w:val="00675822"/>
    <w:rsid w:val="00677557"/>
    <w:rsid w:val="00677C94"/>
    <w:rsid w:val="00680081"/>
    <w:rsid w:val="00680CC5"/>
    <w:rsid w:val="00681308"/>
    <w:rsid w:val="006813F7"/>
    <w:rsid w:val="00683299"/>
    <w:rsid w:val="0068455F"/>
    <w:rsid w:val="00685475"/>
    <w:rsid w:val="00685B13"/>
    <w:rsid w:val="00686EFF"/>
    <w:rsid w:val="006872E2"/>
    <w:rsid w:val="0069085E"/>
    <w:rsid w:val="006934CA"/>
    <w:rsid w:val="00693FD5"/>
    <w:rsid w:val="0069443C"/>
    <w:rsid w:val="00694833"/>
    <w:rsid w:val="00694847"/>
    <w:rsid w:val="006949BD"/>
    <w:rsid w:val="006971A4"/>
    <w:rsid w:val="0069729A"/>
    <w:rsid w:val="006A278D"/>
    <w:rsid w:val="006A2DB4"/>
    <w:rsid w:val="006A4DD6"/>
    <w:rsid w:val="006A67FD"/>
    <w:rsid w:val="006B035E"/>
    <w:rsid w:val="006B157E"/>
    <w:rsid w:val="006B319B"/>
    <w:rsid w:val="006B3828"/>
    <w:rsid w:val="006B427A"/>
    <w:rsid w:val="006B669B"/>
    <w:rsid w:val="006C075C"/>
    <w:rsid w:val="006C0CDF"/>
    <w:rsid w:val="006C0E7D"/>
    <w:rsid w:val="006C2B4B"/>
    <w:rsid w:val="006C372B"/>
    <w:rsid w:val="006C55C3"/>
    <w:rsid w:val="006C5625"/>
    <w:rsid w:val="006C6626"/>
    <w:rsid w:val="006C669B"/>
    <w:rsid w:val="006C72F6"/>
    <w:rsid w:val="006C75F7"/>
    <w:rsid w:val="006C7F0F"/>
    <w:rsid w:val="006C7F27"/>
    <w:rsid w:val="006D1463"/>
    <w:rsid w:val="006D19AA"/>
    <w:rsid w:val="006D4BB1"/>
    <w:rsid w:val="006D65F6"/>
    <w:rsid w:val="006D7DA6"/>
    <w:rsid w:val="006E157B"/>
    <w:rsid w:val="006E1D1C"/>
    <w:rsid w:val="006E1EA1"/>
    <w:rsid w:val="006E394E"/>
    <w:rsid w:val="006E3971"/>
    <w:rsid w:val="006E3AE6"/>
    <w:rsid w:val="006E3CD5"/>
    <w:rsid w:val="006E4708"/>
    <w:rsid w:val="006E5305"/>
    <w:rsid w:val="006F0E7F"/>
    <w:rsid w:val="006F20ED"/>
    <w:rsid w:val="006F3773"/>
    <w:rsid w:val="006F521D"/>
    <w:rsid w:val="00701815"/>
    <w:rsid w:val="00701857"/>
    <w:rsid w:val="0070333A"/>
    <w:rsid w:val="00704000"/>
    <w:rsid w:val="00705081"/>
    <w:rsid w:val="0070709F"/>
    <w:rsid w:val="007074A4"/>
    <w:rsid w:val="0071184C"/>
    <w:rsid w:val="0071363F"/>
    <w:rsid w:val="00714B50"/>
    <w:rsid w:val="00715BF0"/>
    <w:rsid w:val="007208DE"/>
    <w:rsid w:val="00721426"/>
    <w:rsid w:val="00721B5B"/>
    <w:rsid w:val="007251F8"/>
    <w:rsid w:val="00725C24"/>
    <w:rsid w:val="00725D07"/>
    <w:rsid w:val="00725D75"/>
    <w:rsid w:val="00725E5D"/>
    <w:rsid w:val="007268FD"/>
    <w:rsid w:val="00730502"/>
    <w:rsid w:val="0073076A"/>
    <w:rsid w:val="00731952"/>
    <w:rsid w:val="007324AD"/>
    <w:rsid w:val="00733A23"/>
    <w:rsid w:val="00733EA7"/>
    <w:rsid w:val="00735A20"/>
    <w:rsid w:val="007364B9"/>
    <w:rsid w:val="00736986"/>
    <w:rsid w:val="007403EA"/>
    <w:rsid w:val="0074173E"/>
    <w:rsid w:val="00741862"/>
    <w:rsid w:val="00746238"/>
    <w:rsid w:val="00750C38"/>
    <w:rsid w:val="0075282E"/>
    <w:rsid w:val="00752ED6"/>
    <w:rsid w:val="0075320F"/>
    <w:rsid w:val="007539C5"/>
    <w:rsid w:val="00753F07"/>
    <w:rsid w:val="0075527C"/>
    <w:rsid w:val="00755C59"/>
    <w:rsid w:val="00756343"/>
    <w:rsid w:val="007608CD"/>
    <w:rsid w:val="007617FE"/>
    <w:rsid w:val="00761953"/>
    <w:rsid w:val="00761F65"/>
    <w:rsid w:val="0076440E"/>
    <w:rsid w:val="0076477B"/>
    <w:rsid w:val="00764DC5"/>
    <w:rsid w:val="00766543"/>
    <w:rsid w:val="00766A00"/>
    <w:rsid w:val="007674C5"/>
    <w:rsid w:val="00772D08"/>
    <w:rsid w:val="00773C0B"/>
    <w:rsid w:val="00773E01"/>
    <w:rsid w:val="00774386"/>
    <w:rsid w:val="007751F5"/>
    <w:rsid w:val="00775AD4"/>
    <w:rsid w:val="00775F1D"/>
    <w:rsid w:val="007778E4"/>
    <w:rsid w:val="00780742"/>
    <w:rsid w:val="00784BAC"/>
    <w:rsid w:val="00785562"/>
    <w:rsid w:val="0078670E"/>
    <w:rsid w:val="00786CE2"/>
    <w:rsid w:val="007915E9"/>
    <w:rsid w:val="00792E5E"/>
    <w:rsid w:val="00794504"/>
    <w:rsid w:val="0079468E"/>
    <w:rsid w:val="0079575A"/>
    <w:rsid w:val="00796964"/>
    <w:rsid w:val="00797F30"/>
    <w:rsid w:val="007A05AB"/>
    <w:rsid w:val="007A1CD1"/>
    <w:rsid w:val="007A1E0A"/>
    <w:rsid w:val="007A253B"/>
    <w:rsid w:val="007A27D7"/>
    <w:rsid w:val="007A2B79"/>
    <w:rsid w:val="007A3603"/>
    <w:rsid w:val="007A4440"/>
    <w:rsid w:val="007A7018"/>
    <w:rsid w:val="007A723C"/>
    <w:rsid w:val="007B1841"/>
    <w:rsid w:val="007B1D56"/>
    <w:rsid w:val="007B274C"/>
    <w:rsid w:val="007B3229"/>
    <w:rsid w:val="007B36D1"/>
    <w:rsid w:val="007B5F60"/>
    <w:rsid w:val="007B691A"/>
    <w:rsid w:val="007B764B"/>
    <w:rsid w:val="007C18C9"/>
    <w:rsid w:val="007C3385"/>
    <w:rsid w:val="007C3B9C"/>
    <w:rsid w:val="007C3BD1"/>
    <w:rsid w:val="007C4332"/>
    <w:rsid w:val="007C7A5F"/>
    <w:rsid w:val="007D03ED"/>
    <w:rsid w:val="007D1E1C"/>
    <w:rsid w:val="007D27B2"/>
    <w:rsid w:val="007D3298"/>
    <w:rsid w:val="007D3DAB"/>
    <w:rsid w:val="007D4710"/>
    <w:rsid w:val="007D6562"/>
    <w:rsid w:val="007D77D7"/>
    <w:rsid w:val="007E1C9D"/>
    <w:rsid w:val="007E2270"/>
    <w:rsid w:val="007E238D"/>
    <w:rsid w:val="007E2D4C"/>
    <w:rsid w:val="007E44B2"/>
    <w:rsid w:val="007E48FE"/>
    <w:rsid w:val="007E7816"/>
    <w:rsid w:val="007F246A"/>
    <w:rsid w:val="007F7AEB"/>
    <w:rsid w:val="007F7CC0"/>
    <w:rsid w:val="0080019B"/>
    <w:rsid w:val="008012FD"/>
    <w:rsid w:val="0080151C"/>
    <w:rsid w:val="00801A82"/>
    <w:rsid w:val="00801DAE"/>
    <w:rsid w:val="00802B19"/>
    <w:rsid w:val="008035F7"/>
    <w:rsid w:val="0080386D"/>
    <w:rsid w:val="00803A31"/>
    <w:rsid w:val="00804E0D"/>
    <w:rsid w:val="008064CD"/>
    <w:rsid w:val="00807F49"/>
    <w:rsid w:val="00812B33"/>
    <w:rsid w:val="00812E84"/>
    <w:rsid w:val="008135C3"/>
    <w:rsid w:val="0081378C"/>
    <w:rsid w:val="00813DDB"/>
    <w:rsid w:val="00814CB8"/>
    <w:rsid w:val="0081508E"/>
    <w:rsid w:val="008153F6"/>
    <w:rsid w:val="00815D11"/>
    <w:rsid w:val="00816EB5"/>
    <w:rsid w:val="00820AC7"/>
    <w:rsid w:val="00821EEB"/>
    <w:rsid w:val="00822A73"/>
    <w:rsid w:val="00823C3A"/>
    <w:rsid w:val="00824294"/>
    <w:rsid w:val="008248F5"/>
    <w:rsid w:val="00825922"/>
    <w:rsid w:val="00826BAD"/>
    <w:rsid w:val="00827481"/>
    <w:rsid w:val="00827A2D"/>
    <w:rsid w:val="00830040"/>
    <w:rsid w:val="008310C3"/>
    <w:rsid w:val="008315A3"/>
    <w:rsid w:val="008318D4"/>
    <w:rsid w:val="00833733"/>
    <w:rsid w:val="0083763B"/>
    <w:rsid w:val="0084084E"/>
    <w:rsid w:val="00840860"/>
    <w:rsid w:val="0084658D"/>
    <w:rsid w:val="00847090"/>
    <w:rsid w:val="00852A4F"/>
    <w:rsid w:val="0085343E"/>
    <w:rsid w:val="00854C7C"/>
    <w:rsid w:val="00854D0D"/>
    <w:rsid w:val="008560CA"/>
    <w:rsid w:val="00856254"/>
    <w:rsid w:val="00857887"/>
    <w:rsid w:val="00860501"/>
    <w:rsid w:val="00861F75"/>
    <w:rsid w:val="008642A3"/>
    <w:rsid w:val="00864E32"/>
    <w:rsid w:val="0086719E"/>
    <w:rsid w:val="00867823"/>
    <w:rsid w:val="00871559"/>
    <w:rsid w:val="0087223A"/>
    <w:rsid w:val="00872377"/>
    <w:rsid w:val="00872BFA"/>
    <w:rsid w:val="00872E92"/>
    <w:rsid w:val="00873AC1"/>
    <w:rsid w:val="008744DF"/>
    <w:rsid w:val="0088048B"/>
    <w:rsid w:val="00881983"/>
    <w:rsid w:val="00881A07"/>
    <w:rsid w:val="00881E08"/>
    <w:rsid w:val="00882B76"/>
    <w:rsid w:val="00883D0C"/>
    <w:rsid w:val="00884693"/>
    <w:rsid w:val="00884B08"/>
    <w:rsid w:val="008857B9"/>
    <w:rsid w:val="0088762B"/>
    <w:rsid w:val="008905E5"/>
    <w:rsid w:val="0089070F"/>
    <w:rsid w:val="00891D5F"/>
    <w:rsid w:val="00892648"/>
    <w:rsid w:val="00892E83"/>
    <w:rsid w:val="00893389"/>
    <w:rsid w:val="00893DCA"/>
    <w:rsid w:val="00895A41"/>
    <w:rsid w:val="0089648C"/>
    <w:rsid w:val="00897371"/>
    <w:rsid w:val="008A164C"/>
    <w:rsid w:val="008A489B"/>
    <w:rsid w:val="008A620B"/>
    <w:rsid w:val="008A6970"/>
    <w:rsid w:val="008A75B7"/>
    <w:rsid w:val="008B2417"/>
    <w:rsid w:val="008B282A"/>
    <w:rsid w:val="008B3E8B"/>
    <w:rsid w:val="008B6024"/>
    <w:rsid w:val="008B7142"/>
    <w:rsid w:val="008C17BA"/>
    <w:rsid w:val="008C5336"/>
    <w:rsid w:val="008C5418"/>
    <w:rsid w:val="008C5A63"/>
    <w:rsid w:val="008C5C42"/>
    <w:rsid w:val="008D1C12"/>
    <w:rsid w:val="008D4FA1"/>
    <w:rsid w:val="008D6D97"/>
    <w:rsid w:val="008E0694"/>
    <w:rsid w:val="008E4778"/>
    <w:rsid w:val="008E497A"/>
    <w:rsid w:val="008E6114"/>
    <w:rsid w:val="008E734D"/>
    <w:rsid w:val="008F09F1"/>
    <w:rsid w:val="008F2F37"/>
    <w:rsid w:val="008F325F"/>
    <w:rsid w:val="008F4792"/>
    <w:rsid w:val="008F4DDC"/>
    <w:rsid w:val="008F4FB5"/>
    <w:rsid w:val="008F571F"/>
    <w:rsid w:val="008F6004"/>
    <w:rsid w:val="008F6F58"/>
    <w:rsid w:val="008F7A49"/>
    <w:rsid w:val="00900C94"/>
    <w:rsid w:val="00903721"/>
    <w:rsid w:val="009041FA"/>
    <w:rsid w:val="009056F0"/>
    <w:rsid w:val="0090639D"/>
    <w:rsid w:val="00906B61"/>
    <w:rsid w:val="00906FA2"/>
    <w:rsid w:val="00912D2C"/>
    <w:rsid w:val="00916715"/>
    <w:rsid w:val="00917497"/>
    <w:rsid w:val="00917792"/>
    <w:rsid w:val="00917B41"/>
    <w:rsid w:val="00917CBA"/>
    <w:rsid w:val="009202E8"/>
    <w:rsid w:val="0092347E"/>
    <w:rsid w:val="00923B53"/>
    <w:rsid w:val="00925B15"/>
    <w:rsid w:val="009350E5"/>
    <w:rsid w:val="009353FD"/>
    <w:rsid w:val="009355B4"/>
    <w:rsid w:val="009405D7"/>
    <w:rsid w:val="0094354D"/>
    <w:rsid w:val="00944175"/>
    <w:rsid w:val="00944A45"/>
    <w:rsid w:val="00944C72"/>
    <w:rsid w:val="0094515D"/>
    <w:rsid w:val="0094555B"/>
    <w:rsid w:val="00945B0B"/>
    <w:rsid w:val="00946F43"/>
    <w:rsid w:val="009511FD"/>
    <w:rsid w:val="009534CC"/>
    <w:rsid w:val="00953B06"/>
    <w:rsid w:val="00956037"/>
    <w:rsid w:val="00957667"/>
    <w:rsid w:val="0095771A"/>
    <w:rsid w:val="00957F3E"/>
    <w:rsid w:val="0096015F"/>
    <w:rsid w:val="009604A9"/>
    <w:rsid w:val="00960BA4"/>
    <w:rsid w:val="009627E7"/>
    <w:rsid w:val="00962F25"/>
    <w:rsid w:val="00963314"/>
    <w:rsid w:val="009645D5"/>
    <w:rsid w:val="00966A88"/>
    <w:rsid w:val="00972742"/>
    <w:rsid w:val="00972DAD"/>
    <w:rsid w:val="0097471C"/>
    <w:rsid w:val="009753BA"/>
    <w:rsid w:val="009754F3"/>
    <w:rsid w:val="0097555D"/>
    <w:rsid w:val="00976B07"/>
    <w:rsid w:val="00981ECD"/>
    <w:rsid w:val="00981FA4"/>
    <w:rsid w:val="009828EF"/>
    <w:rsid w:val="0099000A"/>
    <w:rsid w:val="00990314"/>
    <w:rsid w:val="0099034A"/>
    <w:rsid w:val="00990974"/>
    <w:rsid w:val="00991308"/>
    <w:rsid w:val="00993547"/>
    <w:rsid w:val="009945EE"/>
    <w:rsid w:val="00995D69"/>
    <w:rsid w:val="009975FB"/>
    <w:rsid w:val="00997E38"/>
    <w:rsid w:val="009A0074"/>
    <w:rsid w:val="009A1FEB"/>
    <w:rsid w:val="009A2835"/>
    <w:rsid w:val="009A5227"/>
    <w:rsid w:val="009A6683"/>
    <w:rsid w:val="009A6757"/>
    <w:rsid w:val="009B2727"/>
    <w:rsid w:val="009B34ED"/>
    <w:rsid w:val="009B5710"/>
    <w:rsid w:val="009B591D"/>
    <w:rsid w:val="009B6230"/>
    <w:rsid w:val="009B7507"/>
    <w:rsid w:val="009B7DCB"/>
    <w:rsid w:val="009C165F"/>
    <w:rsid w:val="009C3EA9"/>
    <w:rsid w:val="009C635A"/>
    <w:rsid w:val="009C682B"/>
    <w:rsid w:val="009C6CDE"/>
    <w:rsid w:val="009D111A"/>
    <w:rsid w:val="009D1DF4"/>
    <w:rsid w:val="009D311D"/>
    <w:rsid w:val="009D3F61"/>
    <w:rsid w:val="009E08A4"/>
    <w:rsid w:val="009E30A1"/>
    <w:rsid w:val="009E31E2"/>
    <w:rsid w:val="009E39D3"/>
    <w:rsid w:val="009E4B60"/>
    <w:rsid w:val="009E5906"/>
    <w:rsid w:val="009E6945"/>
    <w:rsid w:val="009E7AD7"/>
    <w:rsid w:val="009F0276"/>
    <w:rsid w:val="009F056B"/>
    <w:rsid w:val="009F6C32"/>
    <w:rsid w:val="00A00FC3"/>
    <w:rsid w:val="00A0234E"/>
    <w:rsid w:val="00A04DF7"/>
    <w:rsid w:val="00A05508"/>
    <w:rsid w:val="00A058AE"/>
    <w:rsid w:val="00A0649D"/>
    <w:rsid w:val="00A06E70"/>
    <w:rsid w:val="00A07D17"/>
    <w:rsid w:val="00A07EB5"/>
    <w:rsid w:val="00A1022A"/>
    <w:rsid w:val="00A10392"/>
    <w:rsid w:val="00A10428"/>
    <w:rsid w:val="00A10440"/>
    <w:rsid w:val="00A11D86"/>
    <w:rsid w:val="00A12458"/>
    <w:rsid w:val="00A13054"/>
    <w:rsid w:val="00A140BF"/>
    <w:rsid w:val="00A14C6D"/>
    <w:rsid w:val="00A16BAE"/>
    <w:rsid w:val="00A17B89"/>
    <w:rsid w:val="00A21A60"/>
    <w:rsid w:val="00A21DA0"/>
    <w:rsid w:val="00A23016"/>
    <w:rsid w:val="00A25E7D"/>
    <w:rsid w:val="00A30DCF"/>
    <w:rsid w:val="00A34801"/>
    <w:rsid w:val="00A35436"/>
    <w:rsid w:val="00A3607E"/>
    <w:rsid w:val="00A37706"/>
    <w:rsid w:val="00A40FA9"/>
    <w:rsid w:val="00A41291"/>
    <w:rsid w:val="00A41A24"/>
    <w:rsid w:val="00A436FB"/>
    <w:rsid w:val="00A43D60"/>
    <w:rsid w:val="00A44BF3"/>
    <w:rsid w:val="00A4539B"/>
    <w:rsid w:val="00A472F2"/>
    <w:rsid w:val="00A473D2"/>
    <w:rsid w:val="00A525B5"/>
    <w:rsid w:val="00A5337B"/>
    <w:rsid w:val="00A5378D"/>
    <w:rsid w:val="00A53A0E"/>
    <w:rsid w:val="00A557DB"/>
    <w:rsid w:val="00A572BF"/>
    <w:rsid w:val="00A57372"/>
    <w:rsid w:val="00A6004A"/>
    <w:rsid w:val="00A61DA5"/>
    <w:rsid w:val="00A620FF"/>
    <w:rsid w:val="00A63E26"/>
    <w:rsid w:val="00A6467F"/>
    <w:rsid w:val="00A669A6"/>
    <w:rsid w:val="00A66C95"/>
    <w:rsid w:val="00A7215A"/>
    <w:rsid w:val="00A72943"/>
    <w:rsid w:val="00A75F13"/>
    <w:rsid w:val="00A75FCC"/>
    <w:rsid w:val="00A7638A"/>
    <w:rsid w:val="00A7772F"/>
    <w:rsid w:val="00A823AF"/>
    <w:rsid w:val="00A83670"/>
    <w:rsid w:val="00A83869"/>
    <w:rsid w:val="00A83A3C"/>
    <w:rsid w:val="00A840E0"/>
    <w:rsid w:val="00A8644E"/>
    <w:rsid w:val="00A86C9F"/>
    <w:rsid w:val="00A86F36"/>
    <w:rsid w:val="00A904D2"/>
    <w:rsid w:val="00A907C1"/>
    <w:rsid w:val="00A90ED9"/>
    <w:rsid w:val="00A91E3B"/>
    <w:rsid w:val="00A94D3E"/>
    <w:rsid w:val="00A94E37"/>
    <w:rsid w:val="00A96897"/>
    <w:rsid w:val="00A97580"/>
    <w:rsid w:val="00AA2C2A"/>
    <w:rsid w:val="00AA7A65"/>
    <w:rsid w:val="00AA7C43"/>
    <w:rsid w:val="00AB1339"/>
    <w:rsid w:val="00AB1604"/>
    <w:rsid w:val="00AB3AA8"/>
    <w:rsid w:val="00AB5786"/>
    <w:rsid w:val="00AC41B8"/>
    <w:rsid w:val="00AC58B8"/>
    <w:rsid w:val="00AC5C62"/>
    <w:rsid w:val="00AC643F"/>
    <w:rsid w:val="00AC6E37"/>
    <w:rsid w:val="00AC6F9E"/>
    <w:rsid w:val="00AD095D"/>
    <w:rsid w:val="00AD0C38"/>
    <w:rsid w:val="00AD355F"/>
    <w:rsid w:val="00AD65DE"/>
    <w:rsid w:val="00AD6F94"/>
    <w:rsid w:val="00AE0FE5"/>
    <w:rsid w:val="00AE2A7A"/>
    <w:rsid w:val="00AE2D72"/>
    <w:rsid w:val="00AE4B5E"/>
    <w:rsid w:val="00AE4D49"/>
    <w:rsid w:val="00AE7933"/>
    <w:rsid w:val="00AF0AEE"/>
    <w:rsid w:val="00AF13D1"/>
    <w:rsid w:val="00AF14C6"/>
    <w:rsid w:val="00AF1FA5"/>
    <w:rsid w:val="00AF37F8"/>
    <w:rsid w:val="00AF4E0C"/>
    <w:rsid w:val="00AF4F7E"/>
    <w:rsid w:val="00AF518E"/>
    <w:rsid w:val="00AF6B1A"/>
    <w:rsid w:val="00B005DB"/>
    <w:rsid w:val="00B00E33"/>
    <w:rsid w:val="00B01342"/>
    <w:rsid w:val="00B01B5C"/>
    <w:rsid w:val="00B01E25"/>
    <w:rsid w:val="00B02A70"/>
    <w:rsid w:val="00B04AEC"/>
    <w:rsid w:val="00B04C8C"/>
    <w:rsid w:val="00B04DE5"/>
    <w:rsid w:val="00B05FD0"/>
    <w:rsid w:val="00B071CF"/>
    <w:rsid w:val="00B07A6A"/>
    <w:rsid w:val="00B1046E"/>
    <w:rsid w:val="00B10E4B"/>
    <w:rsid w:val="00B10E5C"/>
    <w:rsid w:val="00B11681"/>
    <w:rsid w:val="00B128ED"/>
    <w:rsid w:val="00B13026"/>
    <w:rsid w:val="00B16430"/>
    <w:rsid w:val="00B16807"/>
    <w:rsid w:val="00B16CDA"/>
    <w:rsid w:val="00B16DAA"/>
    <w:rsid w:val="00B201CC"/>
    <w:rsid w:val="00B2041F"/>
    <w:rsid w:val="00B207EF"/>
    <w:rsid w:val="00B2193F"/>
    <w:rsid w:val="00B219D2"/>
    <w:rsid w:val="00B22C1A"/>
    <w:rsid w:val="00B24A5A"/>
    <w:rsid w:val="00B276E7"/>
    <w:rsid w:val="00B27884"/>
    <w:rsid w:val="00B30A58"/>
    <w:rsid w:val="00B337D7"/>
    <w:rsid w:val="00B34EE1"/>
    <w:rsid w:val="00B37BC7"/>
    <w:rsid w:val="00B37D9E"/>
    <w:rsid w:val="00B40A90"/>
    <w:rsid w:val="00B41677"/>
    <w:rsid w:val="00B417F1"/>
    <w:rsid w:val="00B41DCC"/>
    <w:rsid w:val="00B41FE8"/>
    <w:rsid w:val="00B42991"/>
    <w:rsid w:val="00B42D37"/>
    <w:rsid w:val="00B42F91"/>
    <w:rsid w:val="00B43324"/>
    <w:rsid w:val="00B43F37"/>
    <w:rsid w:val="00B44C46"/>
    <w:rsid w:val="00B450C8"/>
    <w:rsid w:val="00B46D05"/>
    <w:rsid w:val="00B479E2"/>
    <w:rsid w:val="00B51542"/>
    <w:rsid w:val="00B52F40"/>
    <w:rsid w:val="00B5313A"/>
    <w:rsid w:val="00B540E2"/>
    <w:rsid w:val="00B541B0"/>
    <w:rsid w:val="00B54B2C"/>
    <w:rsid w:val="00B55D15"/>
    <w:rsid w:val="00B55F0D"/>
    <w:rsid w:val="00B60730"/>
    <w:rsid w:val="00B61B3A"/>
    <w:rsid w:val="00B62B12"/>
    <w:rsid w:val="00B62BB5"/>
    <w:rsid w:val="00B62F60"/>
    <w:rsid w:val="00B6485C"/>
    <w:rsid w:val="00B64ED7"/>
    <w:rsid w:val="00B665DA"/>
    <w:rsid w:val="00B71D78"/>
    <w:rsid w:val="00B72439"/>
    <w:rsid w:val="00B739E8"/>
    <w:rsid w:val="00B74364"/>
    <w:rsid w:val="00B7654D"/>
    <w:rsid w:val="00B77D4E"/>
    <w:rsid w:val="00B8093D"/>
    <w:rsid w:val="00B80AB6"/>
    <w:rsid w:val="00B84432"/>
    <w:rsid w:val="00B84938"/>
    <w:rsid w:val="00B84A04"/>
    <w:rsid w:val="00B8676D"/>
    <w:rsid w:val="00B907E3"/>
    <w:rsid w:val="00B90E12"/>
    <w:rsid w:val="00B94278"/>
    <w:rsid w:val="00B962C2"/>
    <w:rsid w:val="00B97790"/>
    <w:rsid w:val="00BA0633"/>
    <w:rsid w:val="00BA2C79"/>
    <w:rsid w:val="00BA3585"/>
    <w:rsid w:val="00BA42ED"/>
    <w:rsid w:val="00BA5056"/>
    <w:rsid w:val="00BA556D"/>
    <w:rsid w:val="00BA559C"/>
    <w:rsid w:val="00BA57C4"/>
    <w:rsid w:val="00BB01B0"/>
    <w:rsid w:val="00BB1EB1"/>
    <w:rsid w:val="00BB2FC0"/>
    <w:rsid w:val="00BB2FE8"/>
    <w:rsid w:val="00BB3662"/>
    <w:rsid w:val="00BB43DB"/>
    <w:rsid w:val="00BB4E5C"/>
    <w:rsid w:val="00BB5438"/>
    <w:rsid w:val="00BB6221"/>
    <w:rsid w:val="00BC2808"/>
    <w:rsid w:val="00BC2D68"/>
    <w:rsid w:val="00BC3AE0"/>
    <w:rsid w:val="00BC56BD"/>
    <w:rsid w:val="00BC59FF"/>
    <w:rsid w:val="00BC6D94"/>
    <w:rsid w:val="00BD0A35"/>
    <w:rsid w:val="00BD2D70"/>
    <w:rsid w:val="00BD3E31"/>
    <w:rsid w:val="00BD4C7D"/>
    <w:rsid w:val="00BD516E"/>
    <w:rsid w:val="00BD5B34"/>
    <w:rsid w:val="00BD6509"/>
    <w:rsid w:val="00BD763D"/>
    <w:rsid w:val="00BE0442"/>
    <w:rsid w:val="00BE0882"/>
    <w:rsid w:val="00BE12D9"/>
    <w:rsid w:val="00BE1559"/>
    <w:rsid w:val="00BE1E82"/>
    <w:rsid w:val="00BE41AD"/>
    <w:rsid w:val="00BE424C"/>
    <w:rsid w:val="00BE53BD"/>
    <w:rsid w:val="00BE5568"/>
    <w:rsid w:val="00BF0050"/>
    <w:rsid w:val="00BF0F45"/>
    <w:rsid w:val="00BF2419"/>
    <w:rsid w:val="00BF2819"/>
    <w:rsid w:val="00BF2BF9"/>
    <w:rsid w:val="00BF65E9"/>
    <w:rsid w:val="00BF7C18"/>
    <w:rsid w:val="00C00770"/>
    <w:rsid w:val="00C013DB"/>
    <w:rsid w:val="00C026BB"/>
    <w:rsid w:val="00C03548"/>
    <w:rsid w:val="00C0482D"/>
    <w:rsid w:val="00C04FEC"/>
    <w:rsid w:val="00C06070"/>
    <w:rsid w:val="00C06492"/>
    <w:rsid w:val="00C0721B"/>
    <w:rsid w:val="00C113DB"/>
    <w:rsid w:val="00C11CEB"/>
    <w:rsid w:val="00C204F0"/>
    <w:rsid w:val="00C22772"/>
    <w:rsid w:val="00C24DDB"/>
    <w:rsid w:val="00C25094"/>
    <w:rsid w:val="00C254A4"/>
    <w:rsid w:val="00C274F0"/>
    <w:rsid w:val="00C3017A"/>
    <w:rsid w:val="00C317BA"/>
    <w:rsid w:val="00C318DE"/>
    <w:rsid w:val="00C31F8E"/>
    <w:rsid w:val="00C322EF"/>
    <w:rsid w:val="00C32DFD"/>
    <w:rsid w:val="00C351A2"/>
    <w:rsid w:val="00C37543"/>
    <w:rsid w:val="00C375DB"/>
    <w:rsid w:val="00C37B09"/>
    <w:rsid w:val="00C40AAC"/>
    <w:rsid w:val="00C41F29"/>
    <w:rsid w:val="00C444E8"/>
    <w:rsid w:val="00C44991"/>
    <w:rsid w:val="00C457FA"/>
    <w:rsid w:val="00C46304"/>
    <w:rsid w:val="00C472DA"/>
    <w:rsid w:val="00C50C4B"/>
    <w:rsid w:val="00C54156"/>
    <w:rsid w:val="00C54E26"/>
    <w:rsid w:val="00C56763"/>
    <w:rsid w:val="00C56784"/>
    <w:rsid w:val="00C56CCB"/>
    <w:rsid w:val="00C611CD"/>
    <w:rsid w:val="00C620D7"/>
    <w:rsid w:val="00C62479"/>
    <w:rsid w:val="00C64B87"/>
    <w:rsid w:val="00C64D1B"/>
    <w:rsid w:val="00C65312"/>
    <w:rsid w:val="00C65E53"/>
    <w:rsid w:val="00C67569"/>
    <w:rsid w:val="00C70151"/>
    <w:rsid w:val="00C70716"/>
    <w:rsid w:val="00C70947"/>
    <w:rsid w:val="00C71B14"/>
    <w:rsid w:val="00C72251"/>
    <w:rsid w:val="00C73972"/>
    <w:rsid w:val="00C744E8"/>
    <w:rsid w:val="00C74597"/>
    <w:rsid w:val="00C76804"/>
    <w:rsid w:val="00C80430"/>
    <w:rsid w:val="00C80A27"/>
    <w:rsid w:val="00C81174"/>
    <w:rsid w:val="00C813CA"/>
    <w:rsid w:val="00C8257C"/>
    <w:rsid w:val="00C82C93"/>
    <w:rsid w:val="00C82E64"/>
    <w:rsid w:val="00C8349A"/>
    <w:rsid w:val="00C8403F"/>
    <w:rsid w:val="00C84427"/>
    <w:rsid w:val="00C84E08"/>
    <w:rsid w:val="00C87A8E"/>
    <w:rsid w:val="00C9108B"/>
    <w:rsid w:val="00C945E3"/>
    <w:rsid w:val="00C9511F"/>
    <w:rsid w:val="00C96F3B"/>
    <w:rsid w:val="00CA0041"/>
    <w:rsid w:val="00CA100C"/>
    <w:rsid w:val="00CA15BE"/>
    <w:rsid w:val="00CA20C3"/>
    <w:rsid w:val="00CA356A"/>
    <w:rsid w:val="00CA6A7B"/>
    <w:rsid w:val="00CB0E0E"/>
    <w:rsid w:val="00CB380F"/>
    <w:rsid w:val="00CB3AD8"/>
    <w:rsid w:val="00CB5FAD"/>
    <w:rsid w:val="00CC117F"/>
    <w:rsid w:val="00CC1F25"/>
    <w:rsid w:val="00CC2933"/>
    <w:rsid w:val="00CC3670"/>
    <w:rsid w:val="00CC3A41"/>
    <w:rsid w:val="00CC5E9D"/>
    <w:rsid w:val="00CC70D4"/>
    <w:rsid w:val="00CD4304"/>
    <w:rsid w:val="00CD689A"/>
    <w:rsid w:val="00CD6F56"/>
    <w:rsid w:val="00CD6FA8"/>
    <w:rsid w:val="00CE079E"/>
    <w:rsid w:val="00CE0882"/>
    <w:rsid w:val="00CE0CAF"/>
    <w:rsid w:val="00CE11FC"/>
    <w:rsid w:val="00CE1AA3"/>
    <w:rsid w:val="00CE47E5"/>
    <w:rsid w:val="00CE4939"/>
    <w:rsid w:val="00CE6B2E"/>
    <w:rsid w:val="00CE6F64"/>
    <w:rsid w:val="00CE6FA8"/>
    <w:rsid w:val="00CF0799"/>
    <w:rsid w:val="00CF2494"/>
    <w:rsid w:val="00CF476A"/>
    <w:rsid w:val="00CF59F9"/>
    <w:rsid w:val="00D00582"/>
    <w:rsid w:val="00D01028"/>
    <w:rsid w:val="00D01556"/>
    <w:rsid w:val="00D0525B"/>
    <w:rsid w:val="00D05E93"/>
    <w:rsid w:val="00D0634F"/>
    <w:rsid w:val="00D06C39"/>
    <w:rsid w:val="00D06CF3"/>
    <w:rsid w:val="00D07474"/>
    <w:rsid w:val="00D0777B"/>
    <w:rsid w:val="00D07C5B"/>
    <w:rsid w:val="00D07E6C"/>
    <w:rsid w:val="00D1021C"/>
    <w:rsid w:val="00D103B8"/>
    <w:rsid w:val="00D104D2"/>
    <w:rsid w:val="00D104D9"/>
    <w:rsid w:val="00D11075"/>
    <w:rsid w:val="00D11175"/>
    <w:rsid w:val="00D1367E"/>
    <w:rsid w:val="00D16954"/>
    <w:rsid w:val="00D172ED"/>
    <w:rsid w:val="00D1734C"/>
    <w:rsid w:val="00D17803"/>
    <w:rsid w:val="00D21791"/>
    <w:rsid w:val="00D22C98"/>
    <w:rsid w:val="00D23509"/>
    <w:rsid w:val="00D2489E"/>
    <w:rsid w:val="00D25FE0"/>
    <w:rsid w:val="00D2761D"/>
    <w:rsid w:val="00D27969"/>
    <w:rsid w:val="00D30129"/>
    <w:rsid w:val="00D32940"/>
    <w:rsid w:val="00D3301F"/>
    <w:rsid w:val="00D34316"/>
    <w:rsid w:val="00D36B1C"/>
    <w:rsid w:val="00D36F11"/>
    <w:rsid w:val="00D45395"/>
    <w:rsid w:val="00D45543"/>
    <w:rsid w:val="00D45F18"/>
    <w:rsid w:val="00D4630C"/>
    <w:rsid w:val="00D46CBC"/>
    <w:rsid w:val="00D47530"/>
    <w:rsid w:val="00D512FA"/>
    <w:rsid w:val="00D52AC8"/>
    <w:rsid w:val="00D53AF8"/>
    <w:rsid w:val="00D553E9"/>
    <w:rsid w:val="00D55AF0"/>
    <w:rsid w:val="00D55B1B"/>
    <w:rsid w:val="00D56CFD"/>
    <w:rsid w:val="00D60332"/>
    <w:rsid w:val="00D60761"/>
    <w:rsid w:val="00D61009"/>
    <w:rsid w:val="00D61B31"/>
    <w:rsid w:val="00D61B82"/>
    <w:rsid w:val="00D64765"/>
    <w:rsid w:val="00D66CE6"/>
    <w:rsid w:val="00D6702F"/>
    <w:rsid w:val="00D673B0"/>
    <w:rsid w:val="00D67AAE"/>
    <w:rsid w:val="00D70257"/>
    <w:rsid w:val="00D7061C"/>
    <w:rsid w:val="00D70DFE"/>
    <w:rsid w:val="00D717DE"/>
    <w:rsid w:val="00D73B4F"/>
    <w:rsid w:val="00D73D13"/>
    <w:rsid w:val="00D74375"/>
    <w:rsid w:val="00D754AA"/>
    <w:rsid w:val="00D75A7D"/>
    <w:rsid w:val="00D82BEE"/>
    <w:rsid w:val="00D8344C"/>
    <w:rsid w:val="00D91515"/>
    <w:rsid w:val="00D91AFE"/>
    <w:rsid w:val="00D94036"/>
    <w:rsid w:val="00D94F86"/>
    <w:rsid w:val="00D95139"/>
    <w:rsid w:val="00D952F7"/>
    <w:rsid w:val="00D95516"/>
    <w:rsid w:val="00D95837"/>
    <w:rsid w:val="00D96664"/>
    <w:rsid w:val="00D96C39"/>
    <w:rsid w:val="00D97788"/>
    <w:rsid w:val="00DA1F70"/>
    <w:rsid w:val="00DA2EA1"/>
    <w:rsid w:val="00DA2F00"/>
    <w:rsid w:val="00DA4781"/>
    <w:rsid w:val="00DA6475"/>
    <w:rsid w:val="00DA7594"/>
    <w:rsid w:val="00DA7DE7"/>
    <w:rsid w:val="00DB3B14"/>
    <w:rsid w:val="00DB5167"/>
    <w:rsid w:val="00DB6977"/>
    <w:rsid w:val="00DB7A2A"/>
    <w:rsid w:val="00DC0B68"/>
    <w:rsid w:val="00DC2168"/>
    <w:rsid w:val="00DC3994"/>
    <w:rsid w:val="00DC4C7A"/>
    <w:rsid w:val="00DC5302"/>
    <w:rsid w:val="00DC567E"/>
    <w:rsid w:val="00DC58A3"/>
    <w:rsid w:val="00DC5B91"/>
    <w:rsid w:val="00DC6251"/>
    <w:rsid w:val="00DC6A2E"/>
    <w:rsid w:val="00DC7800"/>
    <w:rsid w:val="00DC7CBA"/>
    <w:rsid w:val="00DC7EEA"/>
    <w:rsid w:val="00DD150F"/>
    <w:rsid w:val="00DD1934"/>
    <w:rsid w:val="00DD2168"/>
    <w:rsid w:val="00DD2B10"/>
    <w:rsid w:val="00DD2FD6"/>
    <w:rsid w:val="00DD5315"/>
    <w:rsid w:val="00DD5A64"/>
    <w:rsid w:val="00DD7D58"/>
    <w:rsid w:val="00DE2D05"/>
    <w:rsid w:val="00DE3A26"/>
    <w:rsid w:val="00DE49FA"/>
    <w:rsid w:val="00DE5C57"/>
    <w:rsid w:val="00DE6B4F"/>
    <w:rsid w:val="00DF1BF6"/>
    <w:rsid w:val="00DF1E6C"/>
    <w:rsid w:val="00DF2AF3"/>
    <w:rsid w:val="00DF40A4"/>
    <w:rsid w:val="00DF4239"/>
    <w:rsid w:val="00DF6B03"/>
    <w:rsid w:val="00DF7A17"/>
    <w:rsid w:val="00E004A4"/>
    <w:rsid w:val="00E008B4"/>
    <w:rsid w:val="00E0110A"/>
    <w:rsid w:val="00E01233"/>
    <w:rsid w:val="00E01658"/>
    <w:rsid w:val="00E017B8"/>
    <w:rsid w:val="00E02C2D"/>
    <w:rsid w:val="00E03525"/>
    <w:rsid w:val="00E05160"/>
    <w:rsid w:val="00E05B15"/>
    <w:rsid w:val="00E07075"/>
    <w:rsid w:val="00E07EF2"/>
    <w:rsid w:val="00E100AA"/>
    <w:rsid w:val="00E12925"/>
    <w:rsid w:val="00E12CC1"/>
    <w:rsid w:val="00E145C4"/>
    <w:rsid w:val="00E14F4F"/>
    <w:rsid w:val="00E16822"/>
    <w:rsid w:val="00E175B6"/>
    <w:rsid w:val="00E17CE4"/>
    <w:rsid w:val="00E21A95"/>
    <w:rsid w:val="00E23404"/>
    <w:rsid w:val="00E246DE"/>
    <w:rsid w:val="00E25C86"/>
    <w:rsid w:val="00E25F13"/>
    <w:rsid w:val="00E267A9"/>
    <w:rsid w:val="00E27B3D"/>
    <w:rsid w:val="00E31980"/>
    <w:rsid w:val="00E32062"/>
    <w:rsid w:val="00E323BE"/>
    <w:rsid w:val="00E33261"/>
    <w:rsid w:val="00E3342A"/>
    <w:rsid w:val="00E36FD9"/>
    <w:rsid w:val="00E3700F"/>
    <w:rsid w:val="00E40D01"/>
    <w:rsid w:val="00E43C53"/>
    <w:rsid w:val="00E47995"/>
    <w:rsid w:val="00E47DE9"/>
    <w:rsid w:val="00E50DE8"/>
    <w:rsid w:val="00E51420"/>
    <w:rsid w:val="00E51AB5"/>
    <w:rsid w:val="00E51BC7"/>
    <w:rsid w:val="00E547D1"/>
    <w:rsid w:val="00E56CD6"/>
    <w:rsid w:val="00E56E95"/>
    <w:rsid w:val="00E56F21"/>
    <w:rsid w:val="00E6047A"/>
    <w:rsid w:val="00E61F1A"/>
    <w:rsid w:val="00E640A3"/>
    <w:rsid w:val="00E67F57"/>
    <w:rsid w:val="00E71EE8"/>
    <w:rsid w:val="00E724DF"/>
    <w:rsid w:val="00E75905"/>
    <w:rsid w:val="00E77406"/>
    <w:rsid w:val="00E80335"/>
    <w:rsid w:val="00E808CA"/>
    <w:rsid w:val="00E80957"/>
    <w:rsid w:val="00E819F2"/>
    <w:rsid w:val="00E82006"/>
    <w:rsid w:val="00E8276A"/>
    <w:rsid w:val="00E842E5"/>
    <w:rsid w:val="00E84941"/>
    <w:rsid w:val="00E85349"/>
    <w:rsid w:val="00E90B52"/>
    <w:rsid w:val="00E91171"/>
    <w:rsid w:val="00E91BF5"/>
    <w:rsid w:val="00E91FFD"/>
    <w:rsid w:val="00E92F5B"/>
    <w:rsid w:val="00E931EA"/>
    <w:rsid w:val="00E93BA5"/>
    <w:rsid w:val="00E9466F"/>
    <w:rsid w:val="00E94DAA"/>
    <w:rsid w:val="00E95C7A"/>
    <w:rsid w:val="00E95CBF"/>
    <w:rsid w:val="00E95D15"/>
    <w:rsid w:val="00E95F76"/>
    <w:rsid w:val="00E95FCC"/>
    <w:rsid w:val="00EA0CBD"/>
    <w:rsid w:val="00EA0D75"/>
    <w:rsid w:val="00EA211B"/>
    <w:rsid w:val="00EA29AD"/>
    <w:rsid w:val="00EA3453"/>
    <w:rsid w:val="00EB0853"/>
    <w:rsid w:val="00EB1A22"/>
    <w:rsid w:val="00EB22B2"/>
    <w:rsid w:val="00EB60B7"/>
    <w:rsid w:val="00EB7195"/>
    <w:rsid w:val="00EC1599"/>
    <w:rsid w:val="00EC20A3"/>
    <w:rsid w:val="00EC2906"/>
    <w:rsid w:val="00EC2C4D"/>
    <w:rsid w:val="00EC427E"/>
    <w:rsid w:val="00EC5D6E"/>
    <w:rsid w:val="00EC6490"/>
    <w:rsid w:val="00EC6FEA"/>
    <w:rsid w:val="00EC7383"/>
    <w:rsid w:val="00EC73B8"/>
    <w:rsid w:val="00EC745B"/>
    <w:rsid w:val="00EC7942"/>
    <w:rsid w:val="00ED201C"/>
    <w:rsid w:val="00ED2D4B"/>
    <w:rsid w:val="00ED5A9F"/>
    <w:rsid w:val="00ED62B7"/>
    <w:rsid w:val="00ED6671"/>
    <w:rsid w:val="00ED76D0"/>
    <w:rsid w:val="00EE0FA1"/>
    <w:rsid w:val="00EE1A2C"/>
    <w:rsid w:val="00EE2FE1"/>
    <w:rsid w:val="00EE313E"/>
    <w:rsid w:val="00EE38C4"/>
    <w:rsid w:val="00EE4BD2"/>
    <w:rsid w:val="00EE5744"/>
    <w:rsid w:val="00EE58EC"/>
    <w:rsid w:val="00EE6124"/>
    <w:rsid w:val="00EF1F44"/>
    <w:rsid w:val="00EF2944"/>
    <w:rsid w:val="00EF2C10"/>
    <w:rsid w:val="00EF6C55"/>
    <w:rsid w:val="00EF7342"/>
    <w:rsid w:val="00EF748C"/>
    <w:rsid w:val="00EF76EE"/>
    <w:rsid w:val="00F02080"/>
    <w:rsid w:val="00F03614"/>
    <w:rsid w:val="00F0458D"/>
    <w:rsid w:val="00F04956"/>
    <w:rsid w:val="00F05296"/>
    <w:rsid w:val="00F073FF"/>
    <w:rsid w:val="00F0795A"/>
    <w:rsid w:val="00F107F8"/>
    <w:rsid w:val="00F1144F"/>
    <w:rsid w:val="00F13C06"/>
    <w:rsid w:val="00F14369"/>
    <w:rsid w:val="00F14558"/>
    <w:rsid w:val="00F145A8"/>
    <w:rsid w:val="00F1540A"/>
    <w:rsid w:val="00F1698D"/>
    <w:rsid w:val="00F175CE"/>
    <w:rsid w:val="00F17899"/>
    <w:rsid w:val="00F205DF"/>
    <w:rsid w:val="00F22894"/>
    <w:rsid w:val="00F22C4E"/>
    <w:rsid w:val="00F22F2A"/>
    <w:rsid w:val="00F234FA"/>
    <w:rsid w:val="00F23BE2"/>
    <w:rsid w:val="00F24C14"/>
    <w:rsid w:val="00F2663E"/>
    <w:rsid w:val="00F26919"/>
    <w:rsid w:val="00F27022"/>
    <w:rsid w:val="00F27AFA"/>
    <w:rsid w:val="00F30D9C"/>
    <w:rsid w:val="00F31143"/>
    <w:rsid w:val="00F313B4"/>
    <w:rsid w:val="00F317A8"/>
    <w:rsid w:val="00F31A16"/>
    <w:rsid w:val="00F31C6E"/>
    <w:rsid w:val="00F31C96"/>
    <w:rsid w:val="00F3211B"/>
    <w:rsid w:val="00F3324D"/>
    <w:rsid w:val="00F36748"/>
    <w:rsid w:val="00F423FE"/>
    <w:rsid w:val="00F429DF"/>
    <w:rsid w:val="00F445CC"/>
    <w:rsid w:val="00F45E42"/>
    <w:rsid w:val="00F46A7C"/>
    <w:rsid w:val="00F46D0F"/>
    <w:rsid w:val="00F47822"/>
    <w:rsid w:val="00F47995"/>
    <w:rsid w:val="00F47F79"/>
    <w:rsid w:val="00F50511"/>
    <w:rsid w:val="00F51276"/>
    <w:rsid w:val="00F51AD7"/>
    <w:rsid w:val="00F53384"/>
    <w:rsid w:val="00F54928"/>
    <w:rsid w:val="00F5507E"/>
    <w:rsid w:val="00F5524C"/>
    <w:rsid w:val="00F56F27"/>
    <w:rsid w:val="00F57CC7"/>
    <w:rsid w:val="00F62CBB"/>
    <w:rsid w:val="00F62CF9"/>
    <w:rsid w:val="00F64C6E"/>
    <w:rsid w:val="00F64F38"/>
    <w:rsid w:val="00F6760A"/>
    <w:rsid w:val="00F70D09"/>
    <w:rsid w:val="00F711E5"/>
    <w:rsid w:val="00F7137F"/>
    <w:rsid w:val="00F7142F"/>
    <w:rsid w:val="00F71FE1"/>
    <w:rsid w:val="00F721CA"/>
    <w:rsid w:val="00F72F65"/>
    <w:rsid w:val="00F7522D"/>
    <w:rsid w:val="00F75439"/>
    <w:rsid w:val="00F76704"/>
    <w:rsid w:val="00F77898"/>
    <w:rsid w:val="00F80EE8"/>
    <w:rsid w:val="00F85C25"/>
    <w:rsid w:val="00F86410"/>
    <w:rsid w:val="00F8783E"/>
    <w:rsid w:val="00F87F6A"/>
    <w:rsid w:val="00F90D97"/>
    <w:rsid w:val="00F91473"/>
    <w:rsid w:val="00F94023"/>
    <w:rsid w:val="00F95323"/>
    <w:rsid w:val="00F96914"/>
    <w:rsid w:val="00F97CED"/>
    <w:rsid w:val="00FA1202"/>
    <w:rsid w:val="00FA200B"/>
    <w:rsid w:val="00FA246A"/>
    <w:rsid w:val="00FA2551"/>
    <w:rsid w:val="00FA25B5"/>
    <w:rsid w:val="00FA2919"/>
    <w:rsid w:val="00FA3508"/>
    <w:rsid w:val="00FA458A"/>
    <w:rsid w:val="00FA5FB7"/>
    <w:rsid w:val="00FA78D5"/>
    <w:rsid w:val="00FB07FA"/>
    <w:rsid w:val="00FB0C9C"/>
    <w:rsid w:val="00FB41E2"/>
    <w:rsid w:val="00FB421D"/>
    <w:rsid w:val="00FB5238"/>
    <w:rsid w:val="00FB5DC9"/>
    <w:rsid w:val="00FC0260"/>
    <w:rsid w:val="00FC0699"/>
    <w:rsid w:val="00FC06AE"/>
    <w:rsid w:val="00FC1042"/>
    <w:rsid w:val="00FC2882"/>
    <w:rsid w:val="00FC47DD"/>
    <w:rsid w:val="00FC5788"/>
    <w:rsid w:val="00FC59D7"/>
    <w:rsid w:val="00FC627D"/>
    <w:rsid w:val="00FD0B1D"/>
    <w:rsid w:val="00FD1F2D"/>
    <w:rsid w:val="00FD229A"/>
    <w:rsid w:val="00FD3F92"/>
    <w:rsid w:val="00FD4002"/>
    <w:rsid w:val="00FD42F5"/>
    <w:rsid w:val="00FD47A7"/>
    <w:rsid w:val="00FD4E65"/>
    <w:rsid w:val="00FD4FE0"/>
    <w:rsid w:val="00FD5BCE"/>
    <w:rsid w:val="00FD5E15"/>
    <w:rsid w:val="00FD7521"/>
    <w:rsid w:val="00FD7540"/>
    <w:rsid w:val="00FE0C87"/>
    <w:rsid w:val="00FE10AD"/>
    <w:rsid w:val="00FE4825"/>
    <w:rsid w:val="00FE63AE"/>
    <w:rsid w:val="00FE65B4"/>
    <w:rsid w:val="00FE6E7F"/>
    <w:rsid w:val="00FE6F14"/>
    <w:rsid w:val="00FE740E"/>
    <w:rsid w:val="00FF0C1E"/>
    <w:rsid w:val="00FF116D"/>
    <w:rsid w:val="00FF3E0F"/>
    <w:rsid w:val="00FF7851"/>
    <w:rsid w:val="00FF7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58ACD"/>
  <w15:chartTrackingRefBased/>
  <w15:docId w15:val="{8E9812AA-C7B1-4954-BE44-9C4AE049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aliases w:val="Times New Roman,t"/>
    <w:basedOn w:val="Normal"/>
    <w:link w:val="CommentTextChar"/>
    <w:uiPriority w:val="99"/>
    <w:qFormat/>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aliases w:val="Times New Roman Char,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space="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right" w:leader="dot" w:pos="8630"/>
        <w:tab w:val="clear" w:pos="936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881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medicaid.gov/medicaid/downloads/mcpar-reporting-template-2025-v1.xlsx" TargetMode="External" /><Relationship Id="rId12" Type="http://schemas.openxmlformats.org/officeDocument/2006/relationships/hyperlink" Target="https://www.medicaid.gov/medicaid/managed-care/downloads/network-assurances-template-2025-v2.xlsx"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72235C4FA53B24482309DD5F448B1F1" ma:contentTypeVersion="17" ma:contentTypeDescription="Create a new document." ma:contentTypeScope="" ma:versionID="e93587687ba00e8d173ea81fd6fb39d9">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6287D-8741-4653-845B-BF813EA238D2}">
  <ds:schemaRefs>
    <ds:schemaRef ds:uri="http://schemas.openxmlformats.org/officeDocument/2006/bibliography"/>
  </ds:schemaRefs>
</ds:datastoreItem>
</file>

<file path=customXml/itemProps2.xml><?xml version="1.0" encoding="utf-8"?>
<ds:datastoreItem xmlns:ds="http://schemas.openxmlformats.org/officeDocument/2006/customXml" ds:itemID="{58E0EF9F-FE01-4CEA-8878-51D70462970A}">
  <ds:schemaRefs>
    <ds:schemaRef ds:uri="Microsoft.SharePoint.Taxonomy.ContentTypeSync"/>
  </ds:schemaRefs>
</ds:datastoreItem>
</file>

<file path=customXml/itemProps3.xml><?xml version="1.0" encoding="utf-8"?>
<ds:datastoreItem xmlns:ds="http://schemas.openxmlformats.org/officeDocument/2006/customXml" ds:itemID="{EBF838E2-ADB6-4252-80D3-49CB880FA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D8C4D-767C-4637-ACF7-E941410FCA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CEA677-ED6C-4148-843A-A4D990837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27</Pages>
  <Words>7651</Words>
  <Characters>53253</Characters>
  <Application>Microsoft Office Word</Application>
  <DocSecurity>0</DocSecurity>
  <Lines>750</Lines>
  <Paragraphs>192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60712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Amy Gentile</dc:creator>
  <cp:lastModifiedBy>Bryman, Mitch (CMS/OSORA)</cp:lastModifiedBy>
  <cp:revision>74</cp:revision>
  <cp:lastPrinted>2026-01-20T21:09:00Z</cp:lastPrinted>
  <dcterms:created xsi:type="dcterms:W3CDTF">2026-06-30T12:31:00Z</dcterms:created>
  <dcterms:modified xsi:type="dcterms:W3CDTF">2026-06-30T15:05:00Z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0x010100472235C4FA53B24482309DD5F448B1F1</vt:lpwstr>
  </property>
  <property fmtid="{D5CDD505-2E9C-101B-9397-08002B2CF9AE}" pid="3" name="_NewReviewCycle">
    <vt:lpwstr/>
  </property>
</Properties>
</file>