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4338" w:rsidRPr="00825362" w:rsidP="00C968B1" w14:paraId="0EA33FB2" w14:textId="431BD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25362">
        <w:rPr>
          <w:sz w:val="24"/>
        </w:rPr>
        <w:t xml:space="preserve">Supporting Statement </w:t>
      </w:r>
      <w:r w:rsidRPr="00825362" w:rsidR="00B37253">
        <w:rPr>
          <w:sz w:val="24"/>
        </w:rPr>
        <w:t>A</w:t>
      </w:r>
    </w:p>
    <w:p w:rsidR="00805156" w:rsidRPr="00825362" w:rsidP="00C968B1" w14:paraId="09DCFE44" w14:textId="2D5D28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highlight w:val="yellow"/>
        </w:rPr>
      </w:pPr>
      <w:r w:rsidRPr="00825362">
        <w:rPr>
          <w:sz w:val="24"/>
        </w:rPr>
        <w:t>Provider Director</w:t>
      </w:r>
      <w:r w:rsidR="0097690E">
        <w:rPr>
          <w:sz w:val="24"/>
        </w:rPr>
        <w:t>y Data</w:t>
      </w:r>
      <w:r w:rsidRPr="00825362">
        <w:rPr>
          <w:sz w:val="24"/>
        </w:rPr>
        <w:t xml:space="preserve"> for Medicare Plan Finder</w:t>
      </w:r>
    </w:p>
    <w:p w:rsidR="00C414FF" w:rsidRPr="00825362" w:rsidP="00C968B1" w14:paraId="75DF15C6" w14:textId="49DA4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25362">
        <w:rPr>
          <w:sz w:val="24"/>
        </w:rPr>
        <w:t>CMS-10906</w:t>
      </w:r>
      <w:r w:rsidRPr="00825362" w:rsidR="00805156">
        <w:rPr>
          <w:sz w:val="24"/>
        </w:rPr>
        <w:t xml:space="preserve">, OMB </w:t>
      </w:r>
      <w:r w:rsidRPr="00825362">
        <w:rPr>
          <w:sz w:val="24"/>
        </w:rPr>
        <w:t>0938-TBD</w:t>
      </w:r>
      <w:r w:rsidR="00EE2F54">
        <w:rPr>
          <w:sz w:val="24"/>
        </w:rPr>
        <w:t xml:space="preserve"> (New Collection)</w:t>
      </w:r>
    </w:p>
    <w:p w:rsidR="00C968B1" w:rsidP="00C968B1" w14:paraId="0358E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p>
    <w:p w:rsidR="00D94338" w:rsidRPr="00825362" w:rsidP="00C968B1" w14:paraId="27CF4E15" w14:textId="53793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825362">
        <w:rPr>
          <w:b/>
          <w:bCs/>
          <w:sz w:val="24"/>
        </w:rPr>
        <w:t>Background</w:t>
      </w:r>
    </w:p>
    <w:p w:rsidR="0067058A" w:rsidP="00C968B1" w14:paraId="4BE06865" w14:textId="54AA5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95D5D" w:rsidP="00C968B1" w14:paraId="197F4602" w14:textId="18536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A0D59">
        <w:rPr>
          <w:sz w:val="24"/>
        </w:rPr>
        <w:t xml:space="preserve">Consistent with </w:t>
      </w:r>
      <w:r w:rsidRPr="00BA0D59" w:rsidR="00BB0B75">
        <w:rPr>
          <w:sz w:val="24"/>
        </w:rPr>
        <w:t xml:space="preserve">our </w:t>
      </w:r>
      <w:r w:rsidRPr="00BA0D59" w:rsidR="00F57DD8">
        <w:rPr>
          <w:sz w:val="24"/>
        </w:rPr>
        <w:t xml:space="preserve">September </w:t>
      </w:r>
      <w:r w:rsidRPr="00BA0D59">
        <w:rPr>
          <w:sz w:val="24"/>
        </w:rPr>
        <w:t xml:space="preserve">19, </w:t>
      </w:r>
      <w:r w:rsidRPr="00BA0D59" w:rsidR="00F57DD8">
        <w:rPr>
          <w:sz w:val="24"/>
        </w:rPr>
        <w:t>2025</w:t>
      </w:r>
      <w:r w:rsidRPr="00BA0D59" w:rsidR="00F57DD8">
        <w:rPr>
          <w:sz w:val="24"/>
        </w:rPr>
        <w:t xml:space="preserve"> final rule</w:t>
      </w:r>
      <w:r w:rsidRPr="00BA0D59">
        <w:rPr>
          <w:sz w:val="24"/>
        </w:rPr>
        <w:t xml:space="preserve">, this collection of information request </w:t>
      </w:r>
      <w:r w:rsidRPr="00BA0D59">
        <w:rPr>
          <w:sz w:val="24"/>
        </w:rPr>
        <w:t>is</w:t>
      </w:r>
      <w:r w:rsidRPr="00095D5D">
        <w:rPr>
          <w:sz w:val="24"/>
        </w:rPr>
        <w:t xml:space="preserve"> </w:t>
      </w:r>
      <w:r>
        <w:rPr>
          <w:sz w:val="24"/>
        </w:rPr>
        <w:t xml:space="preserve">associated with </w:t>
      </w:r>
      <w:r w:rsidRPr="00095D5D">
        <w:rPr>
          <w:sz w:val="24"/>
        </w:rPr>
        <w:t>amend</w:t>
      </w:r>
      <w:r>
        <w:rPr>
          <w:sz w:val="24"/>
        </w:rPr>
        <w:t xml:space="preserve">ments </w:t>
      </w:r>
      <w:r w:rsidRPr="00095D5D">
        <w:rPr>
          <w:sz w:val="24"/>
        </w:rPr>
        <w:t xml:space="preserve">to </w:t>
      </w:r>
      <w:r>
        <w:rPr>
          <w:sz w:val="24"/>
        </w:rPr>
        <w:t xml:space="preserve">the </w:t>
      </w:r>
      <w:r w:rsidRPr="00095D5D">
        <w:rPr>
          <w:sz w:val="24"/>
        </w:rPr>
        <w:t xml:space="preserve">disclosure requirements under 42 CFR 422.111 for the Medicare Advantage (MA) (that is, Part C) program. </w:t>
      </w:r>
      <w:r>
        <w:rPr>
          <w:sz w:val="24"/>
        </w:rPr>
        <w:t xml:space="preserve">The amendment </w:t>
      </w:r>
      <w:r w:rsidRPr="00095D5D">
        <w:rPr>
          <w:sz w:val="24"/>
        </w:rPr>
        <w:t xml:space="preserve">will increase beneficiaries’ access to </w:t>
      </w:r>
      <w:r w:rsidR="00910A69">
        <w:rPr>
          <w:sz w:val="24"/>
        </w:rPr>
        <w:t>MA organization</w:t>
      </w:r>
      <w:r w:rsidR="00246EE8">
        <w:rPr>
          <w:sz w:val="24"/>
        </w:rPr>
        <w:t>s’</w:t>
      </w:r>
      <w:r w:rsidR="00910A69">
        <w:rPr>
          <w:sz w:val="24"/>
        </w:rPr>
        <w:t xml:space="preserve"> </w:t>
      </w:r>
      <w:r w:rsidRPr="00095D5D">
        <w:rPr>
          <w:sz w:val="24"/>
        </w:rPr>
        <w:t>provider data in the CMS Medicare Plan Finder (MPF) tool, which will contribute to the beneficiaries’ ability to make more informed decisions about their health care.</w:t>
      </w:r>
    </w:p>
    <w:p w:rsidR="00D15D99" w:rsidP="00C968B1" w14:paraId="2CFD5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68B1" w:rsidP="00C968B1" w14:paraId="0AA15A79" w14:textId="1FD78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15D99">
        <w:rPr>
          <w:sz w:val="24"/>
        </w:rPr>
        <w:t xml:space="preserve">MPF is an online tool that helps Medicare beneficiaries compare and shop for MA and Part D </w:t>
      </w:r>
      <w:r w:rsidRPr="00981C97">
        <w:rPr>
          <w:sz w:val="24"/>
        </w:rPr>
        <w:t xml:space="preserve">plans. However, </w:t>
      </w:r>
      <w:r w:rsidRPr="00981C97" w:rsidR="00FD19A4">
        <w:rPr>
          <w:sz w:val="24"/>
        </w:rPr>
        <w:t>prior to th</w:t>
      </w:r>
      <w:r w:rsidRPr="00981C97" w:rsidR="0067058A">
        <w:rPr>
          <w:sz w:val="24"/>
        </w:rPr>
        <w:t>e</w:t>
      </w:r>
      <w:r w:rsidRPr="00981C97" w:rsidR="00FD19A4">
        <w:rPr>
          <w:sz w:val="24"/>
        </w:rPr>
        <w:t xml:space="preserve"> </w:t>
      </w:r>
      <w:r w:rsidRPr="00981C97" w:rsidR="0067058A">
        <w:rPr>
          <w:sz w:val="24"/>
        </w:rPr>
        <w:t xml:space="preserve">September 2025 </w:t>
      </w:r>
      <w:r w:rsidRPr="00981C97" w:rsidR="00FD19A4">
        <w:rPr>
          <w:sz w:val="24"/>
        </w:rPr>
        <w:t xml:space="preserve">rulemaking, </w:t>
      </w:r>
      <w:r w:rsidRPr="00981C97">
        <w:rPr>
          <w:sz w:val="24"/>
        </w:rPr>
        <w:t xml:space="preserve">MPF </w:t>
      </w:r>
      <w:r w:rsidRPr="00981C97" w:rsidR="00FC0CE6">
        <w:rPr>
          <w:sz w:val="24"/>
        </w:rPr>
        <w:t>did not include</w:t>
      </w:r>
      <w:r w:rsidRPr="00981C97">
        <w:rPr>
          <w:sz w:val="24"/>
        </w:rPr>
        <w:t xml:space="preserve"> information on</w:t>
      </w:r>
      <w:r w:rsidRPr="00D15D99">
        <w:rPr>
          <w:sz w:val="24"/>
        </w:rPr>
        <w:t xml:space="preserve"> MA organizations contracted provider networks.</w:t>
      </w:r>
      <w:r w:rsidRPr="00095D5D">
        <w:rPr>
          <w:sz w:val="24"/>
        </w:rPr>
        <w:t xml:space="preserve"> </w:t>
      </w:r>
    </w:p>
    <w:p w:rsidR="00C968B1" w:rsidP="00C968B1" w14:paraId="27E53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68B1" w:rsidRPr="000D1840" w:rsidP="00C968B1" w14:paraId="26823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1840">
        <w:rPr>
          <w:sz w:val="24"/>
        </w:rPr>
        <w:t xml:space="preserve">For plan years beginning on or after January 1, 2026, the final rule requires that </w:t>
      </w:r>
      <w:r w:rsidRPr="000D1840" w:rsidR="003D1526">
        <w:rPr>
          <w:sz w:val="24"/>
        </w:rPr>
        <w:t>MA organizations must</w:t>
      </w:r>
      <w:r w:rsidRPr="000D1840">
        <w:rPr>
          <w:sz w:val="24"/>
        </w:rPr>
        <w:t>:</w:t>
      </w:r>
    </w:p>
    <w:p w:rsidR="00B1786D" w:rsidRPr="000D1840" w:rsidP="00C968B1" w14:paraId="7CC3B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68B1" w:rsidRPr="000D1840" w:rsidP="00B1786D" w14:paraId="4D48D7B1" w14:textId="5DBE80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rPr>
      </w:pPr>
      <w:r w:rsidRPr="000D1840">
        <w:rPr>
          <w:sz w:val="24"/>
        </w:rPr>
        <w:t xml:space="preserve">(1) make the information described in § 422.111(b)(3)(i) available to CMS/HHS for publication online in accordance with guidance from CMS/HHS; </w:t>
      </w:r>
    </w:p>
    <w:p w:rsidR="00C968B1" w:rsidRPr="000D1840" w:rsidP="00B1786D" w14:paraId="2EE7E19D" w14:textId="70599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rPr>
      </w:pPr>
      <w:r w:rsidRPr="000D1840">
        <w:rPr>
          <w:sz w:val="24"/>
        </w:rPr>
        <w:t xml:space="preserve">(2) submit, or otherwise make available, the information described in § 422.111(b)(3)(i) to CMS/HHS in a format and manner and at times determined by CMS/HHS; </w:t>
      </w:r>
    </w:p>
    <w:p w:rsidR="00C968B1" w:rsidRPr="000D1840" w:rsidP="00B1786D" w14:paraId="3F428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rPr>
      </w:pPr>
      <w:r w:rsidRPr="000D1840">
        <w:rPr>
          <w:sz w:val="24"/>
        </w:rPr>
        <w:t xml:space="preserve">(3) update the information subject to </w:t>
      </w:r>
      <w:r w:rsidRPr="000D1840" w:rsidR="00D0546B">
        <w:rPr>
          <w:sz w:val="24"/>
        </w:rPr>
        <w:t>§422.111</w:t>
      </w:r>
      <w:r w:rsidRPr="000D1840">
        <w:rPr>
          <w:sz w:val="24"/>
        </w:rPr>
        <w:t>(m) within 30 days of the date an MA organization becomes aware of a change</w:t>
      </w:r>
      <w:r w:rsidRPr="000D1840" w:rsidR="00F57DD8">
        <w:rPr>
          <w:sz w:val="24"/>
        </w:rPr>
        <w:t xml:space="preserve">; and </w:t>
      </w:r>
    </w:p>
    <w:p w:rsidR="00C968B1" w:rsidP="00B1786D" w14:paraId="69106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rPr>
      </w:pPr>
      <w:r w:rsidRPr="000D1840">
        <w:rPr>
          <w:sz w:val="24"/>
        </w:rPr>
        <w:t>(4) attest at least annually, in a format and manner and at times determined by CMS/HHS, that</w:t>
      </w:r>
      <w:r w:rsidRPr="00F57DD8">
        <w:rPr>
          <w:sz w:val="24"/>
        </w:rPr>
        <w:t xml:space="preserve"> all information submitted or otherwise made available to CMS/HHS under § 422.111(m) is accurate.</w:t>
      </w:r>
      <w:r w:rsidR="00CC5E46">
        <w:rPr>
          <w:sz w:val="24"/>
        </w:rPr>
        <w:t xml:space="preserve">  </w:t>
      </w:r>
    </w:p>
    <w:p w:rsidR="00C968B1" w:rsidP="00C968B1" w14:paraId="52CF8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68B1" w:rsidP="00C968B1" w14:paraId="65B04E3F" w14:textId="4CD53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95D5D">
        <w:rPr>
          <w:sz w:val="24"/>
        </w:rPr>
        <w:t xml:space="preserve">These changes </w:t>
      </w:r>
      <w:r>
        <w:rPr>
          <w:sz w:val="24"/>
        </w:rPr>
        <w:t xml:space="preserve">are intended to </w:t>
      </w:r>
      <w:r w:rsidRPr="00095D5D">
        <w:rPr>
          <w:sz w:val="24"/>
        </w:rPr>
        <w:t>promote informed beneficiary choice and transparency found in online resources, empowering people with Medicare to make informed choices about their coverage.</w:t>
      </w:r>
      <w:r w:rsidR="00D86504">
        <w:rPr>
          <w:sz w:val="24"/>
        </w:rPr>
        <w:t xml:space="preserve"> </w:t>
      </w:r>
    </w:p>
    <w:p w:rsidR="00D71BDB" w:rsidP="00D71BDB" w14:paraId="386F5D1A" w14:textId="160E5C6A">
      <w:pPr>
        <w:pStyle w:val="BodyText"/>
        <w:keepNext/>
      </w:pPr>
      <w:bookmarkStart w:id="0" w:name="_Hlk217891873"/>
    </w:p>
    <w:p w:rsidR="00D71BDB" w:rsidRPr="00A967FD" w:rsidP="00A60CC2" w14:paraId="3214A10E" w14:textId="556D39B7">
      <w:pPr>
        <w:pStyle w:val="BodyText"/>
        <w:keepNext/>
        <w:rPr>
          <w:b/>
          <w:bCs/>
        </w:rPr>
      </w:pPr>
      <w:r w:rsidRPr="006C4F71">
        <w:rPr>
          <w:iCs/>
        </w:rPr>
        <w:t>CMS will publish a technical specification guide that will provide operational instructions for MA organizations to meet the new requirements. Th</w:t>
      </w:r>
      <w:r>
        <w:rPr>
          <w:iCs/>
        </w:rPr>
        <w:t>e</w:t>
      </w:r>
      <w:r w:rsidRPr="006C4F71">
        <w:rPr>
          <w:iCs/>
        </w:rPr>
        <w:t xml:space="preserve"> guide will include the attestation language</w:t>
      </w:r>
      <w:r>
        <w:rPr>
          <w:iCs/>
        </w:rPr>
        <w:t xml:space="preserve"> and </w:t>
      </w:r>
      <w:r w:rsidRPr="006C4F71">
        <w:rPr>
          <w:iCs/>
        </w:rPr>
        <w:t xml:space="preserve">will exist independently of this </w:t>
      </w:r>
      <w:r>
        <w:rPr>
          <w:iCs/>
        </w:rPr>
        <w:t>collection of information request</w:t>
      </w:r>
      <w:r w:rsidRPr="006C4F71">
        <w:rPr>
          <w:iCs/>
        </w:rPr>
        <w:t>.</w:t>
      </w:r>
    </w:p>
    <w:p w:rsidR="00C968B1" w:rsidRPr="002D6F29" w:rsidP="00C968B1" w14:paraId="6E2FA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0"/>
    <w:p w:rsidR="00BA6A53" w:rsidRPr="00CB00ED" w:rsidP="00C968B1" w14:paraId="42202FEF" w14:textId="6FD74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6F29">
        <w:rPr>
          <w:sz w:val="24"/>
        </w:rPr>
        <w:t>Overall, th</w:t>
      </w:r>
      <w:r w:rsidRPr="002D6F29" w:rsidR="00C968B1">
        <w:rPr>
          <w:sz w:val="24"/>
        </w:rPr>
        <w:t xml:space="preserve">is iteration </w:t>
      </w:r>
      <w:r w:rsidRPr="002D6F29" w:rsidR="00D15D99">
        <w:rPr>
          <w:sz w:val="24"/>
        </w:rPr>
        <w:t>would a</w:t>
      </w:r>
      <w:r w:rsidRPr="002D6F29">
        <w:rPr>
          <w:sz w:val="24"/>
        </w:rPr>
        <w:t>dd 700 respondents/responses</w:t>
      </w:r>
      <w:r w:rsidRPr="002D6F29" w:rsidR="00D15D99">
        <w:rPr>
          <w:sz w:val="24"/>
        </w:rPr>
        <w:t xml:space="preserve"> </w:t>
      </w:r>
      <w:r w:rsidR="002D6F29">
        <w:rPr>
          <w:sz w:val="24"/>
        </w:rPr>
        <w:t xml:space="preserve">and </w:t>
      </w:r>
      <w:r w:rsidRPr="002D6F29" w:rsidR="002D6F29">
        <w:rPr>
          <w:sz w:val="24"/>
        </w:rPr>
        <w:t>6</w:t>
      </w:r>
      <w:r w:rsidRPr="002D6F29">
        <w:rPr>
          <w:sz w:val="24"/>
        </w:rPr>
        <w:t>,</w:t>
      </w:r>
      <w:r w:rsidRPr="002D6F29" w:rsidR="002D6F29">
        <w:rPr>
          <w:sz w:val="24"/>
        </w:rPr>
        <w:t>3</w:t>
      </w:r>
      <w:r w:rsidRPr="002D6F29">
        <w:rPr>
          <w:sz w:val="24"/>
        </w:rPr>
        <w:t>00 hours</w:t>
      </w:r>
      <w:r w:rsidR="002D6F29">
        <w:rPr>
          <w:sz w:val="24"/>
        </w:rPr>
        <w:t xml:space="preserve"> at </w:t>
      </w:r>
      <w:r w:rsidRPr="002D6F29" w:rsidR="00D15D99">
        <w:rPr>
          <w:sz w:val="24"/>
        </w:rPr>
        <w:t xml:space="preserve">a </w:t>
      </w:r>
      <w:r w:rsidRPr="002D6F29" w:rsidR="002D6F29">
        <w:rPr>
          <w:sz w:val="24"/>
        </w:rPr>
        <w:t xml:space="preserve">cost of </w:t>
      </w:r>
      <w:r w:rsidRPr="00CB00ED" w:rsidR="000727C0">
        <w:rPr>
          <w:sz w:val="24"/>
        </w:rPr>
        <w:t>$</w:t>
      </w:r>
      <w:r w:rsidRPr="00CB00ED" w:rsidR="002D6F29">
        <w:rPr>
          <w:sz w:val="24"/>
        </w:rPr>
        <w:t>735</w:t>
      </w:r>
      <w:r w:rsidRPr="00CB00ED" w:rsidR="000727C0">
        <w:rPr>
          <w:sz w:val="24"/>
        </w:rPr>
        <w:t>,</w:t>
      </w:r>
      <w:r w:rsidRPr="00CB00ED" w:rsidR="002D6F29">
        <w:rPr>
          <w:sz w:val="24"/>
        </w:rPr>
        <w:t>070</w:t>
      </w:r>
      <w:r w:rsidRPr="00CB00ED">
        <w:rPr>
          <w:sz w:val="24"/>
        </w:rPr>
        <w:t>.</w:t>
      </w:r>
    </w:p>
    <w:p w:rsidR="00C968B1" w:rsidRPr="00CB00ED" w:rsidP="00C968B1" w14:paraId="2A0316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1A31" w:rsidRPr="00F12E23" w:rsidP="00C968B1" w14:paraId="18F2CA7F" w14:textId="56EFC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00ED">
        <w:rPr>
          <w:sz w:val="24"/>
        </w:rPr>
        <w:t>Th</w:t>
      </w:r>
      <w:r w:rsidRPr="00CB00ED" w:rsidR="00F12E23">
        <w:rPr>
          <w:sz w:val="24"/>
        </w:rPr>
        <w:t xml:space="preserve">is collection of information request does not include any </w:t>
      </w:r>
      <w:r w:rsidRPr="00CB00ED">
        <w:rPr>
          <w:sz w:val="24"/>
        </w:rPr>
        <w:t>reporting instruments</w:t>
      </w:r>
      <w:r w:rsidRPr="00CB00ED" w:rsidR="00F12E23">
        <w:rPr>
          <w:sz w:val="24"/>
        </w:rPr>
        <w:t xml:space="preserve">. Reporting instructions are set out in the </w:t>
      </w:r>
      <w:r w:rsidRPr="00CB00ED" w:rsidR="002F52AF">
        <w:rPr>
          <w:sz w:val="24"/>
        </w:rPr>
        <w:t xml:space="preserve">September </w:t>
      </w:r>
      <w:r w:rsidRPr="00CB00ED" w:rsidR="00F12E23">
        <w:rPr>
          <w:sz w:val="24"/>
        </w:rPr>
        <w:t xml:space="preserve">19, </w:t>
      </w:r>
      <w:r w:rsidRPr="00CB00ED" w:rsidR="002F52AF">
        <w:rPr>
          <w:sz w:val="24"/>
        </w:rPr>
        <w:t xml:space="preserve">2025 </w:t>
      </w:r>
      <w:r w:rsidRPr="00CB00ED" w:rsidR="00CC0206">
        <w:rPr>
          <w:sz w:val="24"/>
        </w:rPr>
        <w:t>final</w:t>
      </w:r>
      <w:r w:rsidRPr="00CB00ED">
        <w:rPr>
          <w:sz w:val="24"/>
        </w:rPr>
        <w:t xml:space="preserve"> rule</w:t>
      </w:r>
      <w:r w:rsidRPr="00CB00ED" w:rsidR="008950F3">
        <w:rPr>
          <w:sz w:val="24"/>
        </w:rPr>
        <w:t xml:space="preserve"> and are codified in the CFR</w:t>
      </w:r>
      <w:r w:rsidRPr="00CB00ED">
        <w:rPr>
          <w:sz w:val="24"/>
        </w:rPr>
        <w:t>.</w:t>
      </w:r>
    </w:p>
    <w:p w:rsidR="00441A31" w:rsidRPr="00F12E23" w:rsidP="00C968B1" w14:paraId="059A9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F12E23" w:rsidP="00C968B1" w14:paraId="257DF156" w14:textId="4723F8A7">
      <w:pPr>
        <w:pStyle w:val="ListParagraph"/>
        <w:keepNext/>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F12E23">
        <w:rPr>
          <w:b/>
          <w:bCs/>
          <w:sz w:val="24"/>
        </w:rPr>
        <w:t>Justification</w:t>
      </w:r>
    </w:p>
    <w:p w:rsidR="00C968B1" w:rsidRPr="00C968B1" w:rsidP="00C968B1" w14:paraId="650EEAA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rPr>
      </w:pPr>
    </w:p>
    <w:p w:rsidR="00D94338" w:rsidP="00C968B1" w14:paraId="7C447BF5" w14:textId="4E9463A1">
      <w:pPr>
        <w:pStyle w:val="ListParagraph"/>
        <w:keepNext/>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u w:val="single"/>
        </w:rPr>
      </w:pPr>
      <w:r w:rsidRPr="00825362">
        <w:rPr>
          <w:sz w:val="24"/>
          <w:u w:val="single"/>
        </w:rPr>
        <w:t>Need and Legal Basis</w:t>
      </w:r>
    </w:p>
    <w:p w:rsidR="00C968B1" w:rsidRPr="00C968B1" w:rsidP="00C968B1" w14:paraId="073F719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8F7DAA" w:rsidRPr="00981C97" w:rsidP="00C968B1" w14:paraId="2B7625CB" w14:textId="7BD58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1C97">
        <w:rPr>
          <w:sz w:val="24"/>
        </w:rPr>
        <w:t>Based on current statutory and regulatory</w:t>
      </w:r>
      <w:r w:rsidRPr="00981C97" w:rsidR="00E916E2">
        <w:rPr>
          <w:sz w:val="24"/>
        </w:rPr>
        <w:t xml:space="preserve"> </w:t>
      </w:r>
      <w:r w:rsidRPr="00981C97">
        <w:rPr>
          <w:sz w:val="24"/>
        </w:rPr>
        <w:t xml:space="preserve">authority, CMS has implemented MPF, an online tool where current and prospective beneficiaries can explore their Medicare coverage options. On MPF, individuals can shop for Medicare coverage options and make choices based on a variety of search criteria, such as plan benefits, premiums, deductibles, and star ratings. </w:t>
      </w:r>
      <w:r w:rsidRPr="00981C97" w:rsidR="008534FF">
        <w:rPr>
          <w:sz w:val="24"/>
        </w:rPr>
        <w:t>Prior to the implementation of th</w:t>
      </w:r>
      <w:r w:rsidRPr="00981C97" w:rsidR="00C5128F">
        <w:rPr>
          <w:sz w:val="24"/>
        </w:rPr>
        <w:t>e</w:t>
      </w:r>
      <w:r w:rsidRPr="00981C97" w:rsidR="008534FF">
        <w:rPr>
          <w:sz w:val="24"/>
        </w:rPr>
        <w:t xml:space="preserve"> </w:t>
      </w:r>
      <w:r w:rsidRPr="00981C97" w:rsidR="002F52AF">
        <w:rPr>
          <w:sz w:val="24"/>
        </w:rPr>
        <w:t xml:space="preserve">September 2025 </w:t>
      </w:r>
      <w:r w:rsidRPr="00981C97" w:rsidR="008534FF">
        <w:rPr>
          <w:sz w:val="24"/>
        </w:rPr>
        <w:t xml:space="preserve">final rule, however, </w:t>
      </w:r>
      <w:r w:rsidRPr="00981C97">
        <w:rPr>
          <w:sz w:val="24"/>
        </w:rPr>
        <w:t xml:space="preserve">MPF </w:t>
      </w:r>
      <w:r w:rsidRPr="00981C97">
        <w:rPr>
          <w:sz w:val="24"/>
        </w:rPr>
        <w:t xml:space="preserve">has </w:t>
      </w:r>
      <w:r w:rsidRPr="00981C97">
        <w:rPr>
          <w:sz w:val="24"/>
        </w:rPr>
        <w:t>not include</w:t>
      </w:r>
      <w:r w:rsidRPr="00981C97">
        <w:rPr>
          <w:sz w:val="24"/>
        </w:rPr>
        <w:t>d</w:t>
      </w:r>
      <w:r w:rsidRPr="00981C97">
        <w:rPr>
          <w:sz w:val="24"/>
        </w:rPr>
        <w:t xml:space="preserve"> search capability or information on MA organizations’ contracted provider networks. </w:t>
      </w:r>
    </w:p>
    <w:p w:rsidR="00067F36" w:rsidRPr="00981C97" w:rsidP="00C968B1" w14:paraId="44DC4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7DAA" w:rsidP="00C968B1" w14:paraId="576CC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81C97">
        <w:rPr>
          <w:sz w:val="24"/>
        </w:rPr>
        <w:t>Section</w:t>
      </w:r>
      <w:r w:rsidRPr="008F7DAA">
        <w:rPr>
          <w:sz w:val="24"/>
        </w:rPr>
        <w:t xml:space="preserve"> 1851(d)(1) of the Social Security Act (the Act) states that the Secretary shall provide for activities to broadly disseminate information to current and prospective Medicare beneficiaries on MA plan coverage options to promote an active, informed selection among such options. Specifically, per section 1851(d)(2)(A)(ii) of the Act, at least 15 days before the beginning of each annual coordinated election period, the Secretary shall provide MA-eligible individuals with a list identifying the MA plans that are (or will be) available to residents of the areas in which they reside, including certain information concerning such MA plans, presented in a comparative form. This information is described in section 1851(d)(4) of the Act and includes plan benefits, premiums, service area, quality and performance indicators, and supplemental benefits. </w:t>
      </w:r>
    </w:p>
    <w:p w:rsidR="00067F36" w:rsidP="00C968B1" w14:paraId="6576B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7DAA" w:rsidP="00C968B1" w14:paraId="0D975F0A" w14:textId="36739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F7DAA">
        <w:rPr>
          <w:sz w:val="24"/>
        </w:rPr>
        <w:t xml:space="preserve">Section 1851(d)(4)(A)(vii) of the Act also sets forth that information comparing MA plan options must specifically include the extent to which an enrollee may select among </w:t>
      </w:r>
      <w:r w:rsidRPr="008F7DAA" w:rsidR="00541761">
        <w:rPr>
          <w:sz w:val="24"/>
        </w:rPr>
        <w:t>in</w:t>
      </w:r>
      <w:r w:rsidR="00541761">
        <w:rPr>
          <w:sz w:val="24"/>
        </w:rPr>
        <w:t>-</w:t>
      </w:r>
      <w:r w:rsidRPr="008F7DAA" w:rsidR="00541761">
        <w:rPr>
          <w:sz w:val="24"/>
        </w:rPr>
        <w:t>network</w:t>
      </w:r>
      <w:r w:rsidRPr="008F7DAA">
        <w:rPr>
          <w:sz w:val="24"/>
        </w:rPr>
        <w:t xml:space="preserve"> providers and the types of providers participating in the plan’s network. In addition, section 1851(d)(7) of the Act provides that MA organizations shall provide CMS with such information about the MA organization and each MA plan that it offers, as may be required for the preparation of the information for Medicare Open Enrollment described in section 1851(d)(2)(A) of the Act.</w:t>
      </w:r>
      <w:r w:rsidRPr="008F7DAA">
        <w:t xml:space="preserve"> </w:t>
      </w:r>
      <w:r w:rsidRPr="008F7DAA">
        <w:rPr>
          <w:sz w:val="24"/>
        </w:rPr>
        <w:t xml:space="preserve">Section 1852(d)(1) of the Act requires access to services for MA enrollees and states that MA organizations offering an MA plan may select the providers from whom the benefits under the plan are provided if the MA organization complies with several conditions, including access to appropriate providers (section 1852(d)(1)(D) of the Act). Specifically, network-based MA plans must demonstrate an adequate contracted provider network that is sufficient to provide access to covered services in accordance with the access standards at section 1852(d)(1) of the Act. </w:t>
      </w:r>
    </w:p>
    <w:p w:rsidR="00067F36" w:rsidP="00C968B1" w14:paraId="058AE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7DAA" w:rsidP="00C968B1" w14:paraId="6EE85284" w14:textId="16F4F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F7DAA">
        <w:rPr>
          <w:sz w:val="24"/>
        </w:rPr>
        <w:t xml:space="preserve">Section 422.116(a)(2) further clarifies this obligation by providing network adequacy access requirements for MA plans. Section 422.116(a)(2)(i) requires that MA organizations must attest that they have an adequate network for access and availability of a specific provider or facility type that CMS does not independently evaluate </w:t>
      </w:r>
      <w:r w:rsidRPr="008F7DAA">
        <w:rPr>
          <w:sz w:val="24"/>
        </w:rPr>
        <w:t>in a given year</w:t>
      </w:r>
      <w:r w:rsidRPr="008F7DAA">
        <w:rPr>
          <w:sz w:val="24"/>
        </w:rPr>
        <w:t xml:space="preserve">. </w:t>
      </w:r>
      <w:r>
        <w:rPr>
          <w:sz w:val="24"/>
        </w:rPr>
        <w:t xml:space="preserve"> </w:t>
      </w:r>
      <w:r w:rsidRPr="008F7DAA">
        <w:rPr>
          <w:sz w:val="24"/>
        </w:rPr>
        <w:t xml:space="preserve">Section 1852(c)(1)(C) of the Act further requires MA plans to disclose the number, mix, and distribution of plan providers, among other disclosures. Based on this statutory requirement, CMS has implemented regulations at § 422.111(b)(3)(i) that require MA plans to disclose the number, mix, and distribution (addresses) of providers from whom enrollees may reasonably be expected to obtain services. These regulations establish the overarching requirements for the MA provider directory content.  </w:t>
      </w:r>
    </w:p>
    <w:p w:rsidR="00067F36" w:rsidP="00C968B1" w14:paraId="0A6C1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7DAA" w:rsidP="00C968B1" w14:paraId="354368B7" w14:textId="4AA70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F7DAA">
        <w:rPr>
          <w:sz w:val="24"/>
        </w:rPr>
        <w:t xml:space="preserve">In addition to creating MPF, CMS has implemented regulations that require each MA organization to disclose or otherwise make available certain required information, including hardcopy and electronic provider directory requirements under § 422.2267(e)(11), as well as a searchable online directory as required under § 422.2265(b)(4). Through these requirements, </w:t>
      </w:r>
      <w:r w:rsidR="00F54376">
        <w:rPr>
          <w:sz w:val="24"/>
        </w:rPr>
        <w:t>MA plan</w:t>
      </w:r>
      <w:r w:rsidRPr="008F7DAA" w:rsidR="00F54376">
        <w:rPr>
          <w:sz w:val="24"/>
        </w:rPr>
        <w:t xml:space="preserve"> </w:t>
      </w:r>
      <w:r w:rsidRPr="008F7DAA">
        <w:rPr>
          <w:sz w:val="24"/>
        </w:rPr>
        <w:t>provider directory information is made available to prospective and existing MA plan enrollees so they may view MA plans’ in-network providers and other relevant information as required under § 422.111(b)(3)(i), such as the provider’s specialty and location</w:t>
      </w:r>
      <w:r w:rsidR="00F54376">
        <w:rPr>
          <w:sz w:val="24"/>
        </w:rPr>
        <w:t>,</w:t>
      </w:r>
      <w:r w:rsidRPr="008F7DAA">
        <w:rPr>
          <w:sz w:val="24"/>
        </w:rPr>
        <w:t xml:space="preserve"> in the MA organization’s online PDF or a printable copy of their provider directory (§ 422.2265(b)(3)).  However, using MPF while also searching multiple plan websites to determine a provider’s network status can be cumbersome.  Prospective and current MA plan enrollees must toggle between different MA plan websites and MPF to find and review the plans’ provider directories to determine if the providers they currently see are in the various plans’ networks, as well as review the information provided by MPF. </w:t>
      </w:r>
    </w:p>
    <w:p w:rsidR="00067F36" w:rsidP="00C968B1" w14:paraId="7D162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1761" w:rsidRPr="00C13DE6" w:rsidP="00C968B1" w14:paraId="52417AB6" w14:textId="174E1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41761">
        <w:rPr>
          <w:sz w:val="24"/>
        </w:rPr>
        <w:t xml:space="preserve">In order to simplify and streamline the Medicare beneficiary shopping experience, CMS </w:t>
      </w:r>
      <w:r>
        <w:rPr>
          <w:sz w:val="24"/>
        </w:rPr>
        <w:t>is</w:t>
      </w:r>
      <w:r w:rsidRPr="00541761">
        <w:rPr>
          <w:sz w:val="24"/>
        </w:rPr>
        <w:t xml:space="preserve"> expand</w:t>
      </w:r>
      <w:r>
        <w:rPr>
          <w:sz w:val="24"/>
        </w:rPr>
        <w:t>ing</w:t>
      </w:r>
      <w:r w:rsidRPr="00541761">
        <w:rPr>
          <w:sz w:val="24"/>
        </w:rPr>
        <w:t xml:space="preserve"> the existing requirements applicable to MA organizations regarding their provider directories at a newly established § 422.111(m) to include a new paragraph that requires MA organizations to: (1) make the information described in § 422.111(b)(3)(i) available to CMS/HHS for publication online in accordance with guidance from CMS/HHS; (2) submit or otherwise make available their plan provider directory data, that is the requirements found under § 422.111(b)(3)(i), available to CMS/HHS in ​​a format, manner, and timeframe determined by CMS/HHS; (3) update the information subject to § 422.111(m) within 30 days of the date an MA organization becomes aware of a change; and (4) attest, in a format and </w:t>
      </w:r>
      <w:r w:rsidRPr="00C13DE6">
        <w:rPr>
          <w:sz w:val="24"/>
        </w:rPr>
        <w:t>manner and at times determined by CMS/HHS, that all information submitted or otherwise made available to CMS/HHS under paragraph (m) is accurate</w:t>
      </w:r>
      <w:r w:rsidRPr="00C13DE6" w:rsidR="00490401">
        <w:rPr>
          <w:sz w:val="24"/>
        </w:rPr>
        <w:t xml:space="preserve">. </w:t>
      </w:r>
    </w:p>
    <w:p w:rsidR="00067F36" w:rsidRPr="00C13DE6" w:rsidP="00C968B1" w14:paraId="3D08D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1761" w:rsidP="00C13DE6" w14:paraId="4418132F" w14:textId="20B8C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3DE6">
        <w:rPr>
          <w:sz w:val="24"/>
        </w:rPr>
        <w:t>The combined intent of these requirements is to allow CMS</w:t>
      </w:r>
      <w:r w:rsidRPr="00C13DE6" w:rsidR="0097061B">
        <w:rPr>
          <w:sz w:val="24"/>
        </w:rPr>
        <w:t>’s MPF</w:t>
      </w:r>
      <w:r w:rsidRPr="00C13DE6">
        <w:rPr>
          <w:sz w:val="24"/>
        </w:rPr>
        <w:t xml:space="preserve"> to </w:t>
      </w:r>
      <w:r w:rsidRPr="00C13DE6" w:rsidR="00F54376">
        <w:rPr>
          <w:sz w:val="24"/>
        </w:rPr>
        <w:t xml:space="preserve">access </w:t>
      </w:r>
      <w:r w:rsidRPr="00C13DE6">
        <w:rPr>
          <w:sz w:val="24"/>
        </w:rPr>
        <w:t>the MA organization’s provider directory data</w:t>
      </w:r>
      <w:r w:rsidRPr="00C13DE6" w:rsidR="00F54376">
        <w:rPr>
          <w:sz w:val="24"/>
        </w:rPr>
        <w:t>, so that CMS may</w:t>
      </w:r>
      <w:r w:rsidRPr="00C13DE6">
        <w:rPr>
          <w:sz w:val="24"/>
        </w:rPr>
        <w:t xml:space="preserve"> integrate</w:t>
      </w:r>
      <w:r w:rsidRPr="00C13DE6" w:rsidR="00F54376">
        <w:rPr>
          <w:sz w:val="24"/>
        </w:rPr>
        <w:t xml:space="preserve"> this data</w:t>
      </w:r>
      <w:r w:rsidRPr="00C13DE6">
        <w:rPr>
          <w:sz w:val="24"/>
        </w:rPr>
        <w:t xml:space="preserve"> </w:t>
      </w:r>
      <w:r w:rsidRPr="00C13DE6" w:rsidR="00F54376">
        <w:rPr>
          <w:sz w:val="24"/>
        </w:rPr>
        <w:t xml:space="preserve">within </w:t>
      </w:r>
      <w:r w:rsidRPr="00C13DE6">
        <w:rPr>
          <w:sz w:val="24"/>
        </w:rPr>
        <w:t xml:space="preserve">MPF. CMS has also previously adopted regulations to implement requirements applicable to MA organizations for publicly accessible, accurate, and timely provider directory information through the May </w:t>
      </w:r>
      <w:r w:rsidRPr="00C13DE6" w:rsidR="009B62C6">
        <w:rPr>
          <w:sz w:val="24"/>
        </w:rPr>
        <w:t xml:space="preserve">1 </w:t>
      </w:r>
      <w:r w:rsidRPr="00C13DE6">
        <w:rPr>
          <w:sz w:val="24"/>
        </w:rPr>
        <w:t xml:space="preserve">2020 </w:t>
      </w:r>
      <w:r w:rsidRPr="00C13DE6" w:rsidR="009B62C6">
        <w:rPr>
          <w:sz w:val="24"/>
        </w:rPr>
        <w:t xml:space="preserve">(85 FR 25510) </w:t>
      </w:r>
      <w:r w:rsidRPr="00C13DE6">
        <w:rPr>
          <w:sz w:val="24"/>
        </w:rPr>
        <w:t>Interoperability and Patient Access final rule</w:t>
      </w:r>
      <w:r w:rsidRPr="00C13DE6" w:rsidR="009B62C6">
        <w:rPr>
          <w:sz w:val="24"/>
        </w:rPr>
        <w:t xml:space="preserve"> (CMS-9115-F, RIN 0938-AT79)</w:t>
      </w:r>
      <w:r w:rsidRPr="00C13DE6">
        <w:rPr>
          <w:sz w:val="24"/>
        </w:rPr>
        <w:t>. The provider directory requirements of th</w:t>
      </w:r>
      <w:r w:rsidRPr="00C13DE6" w:rsidR="009B62C6">
        <w:rPr>
          <w:sz w:val="24"/>
        </w:rPr>
        <w:t xml:space="preserve">at </w:t>
      </w:r>
      <w:r w:rsidRPr="00C13DE6">
        <w:rPr>
          <w:sz w:val="24"/>
        </w:rPr>
        <w:t xml:space="preserve">rule aid in establishing the groundwork for MA plan provider directory information to be readily accessible for MA organizations to submit to CMS for inclusion on MPF.  </w:t>
      </w:r>
      <w:r w:rsidRPr="00C13DE6" w:rsidR="00404ADE">
        <w:rPr>
          <w:sz w:val="24"/>
        </w:rPr>
        <w:t>Th</w:t>
      </w:r>
      <w:r w:rsidRPr="00C13DE6" w:rsidR="009B62C6">
        <w:rPr>
          <w:sz w:val="24"/>
        </w:rPr>
        <w:t>e</w:t>
      </w:r>
      <w:r w:rsidRPr="00C13DE6" w:rsidR="00404ADE">
        <w:rPr>
          <w:sz w:val="24"/>
        </w:rPr>
        <w:t xml:space="preserve"> requirements </w:t>
      </w:r>
      <w:r w:rsidRPr="00C13DE6" w:rsidR="009B62C6">
        <w:rPr>
          <w:sz w:val="24"/>
        </w:rPr>
        <w:t xml:space="preserve">are codified in § </w:t>
      </w:r>
      <w:r w:rsidRPr="00C13DE6" w:rsidR="00404ADE">
        <w:rPr>
          <w:sz w:val="24"/>
        </w:rPr>
        <w:t>422.120(a)</w:t>
      </w:r>
      <w:r w:rsidRPr="00C13DE6" w:rsidR="009B62C6">
        <w:rPr>
          <w:sz w:val="24"/>
        </w:rPr>
        <w:t xml:space="preserve"> </w:t>
      </w:r>
      <w:r w:rsidRPr="00C13DE6" w:rsidR="00404ADE">
        <w:rPr>
          <w:sz w:val="24"/>
        </w:rPr>
        <w:t>-</w:t>
      </w:r>
      <w:r w:rsidRPr="00C13DE6" w:rsidR="009B62C6">
        <w:rPr>
          <w:sz w:val="24"/>
        </w:rPr>
        <w:t xml:space="preserve"> </w:t>
      </w:r>
      <w:r w:rsidRPr="00C13DE6" w:rsidR="00404ADE">
        <w:rPr>
          <w:sz w:val="24"/>
        </w:rPr>
        <w:t xml:space="preserve">(c) and </w:t>
      </w:r>
      <w:r w:rsidRPr="00C13DE6" w:rsidR="009B62C6">
        <w:rPr>
          <w:sz w:val="24"/>
        </w:rPr>
        <w:t xml:space="preserve">§ </w:t>
      </w:r>
      <w:r w:rsidRPr="00C13DE6" w:rsidR="00404ADE">
        <w:rPr>
          <w:sz w:val="24"/>
        </w:rPr>
        <w:t>422.504(a)(18).</w:t>
      </w:r>
    </w:p>
    <w:p w:rsidR="00067F36" w:rsidP="00C13DE6" w14:paraId="7A119F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C13DE6" w:rsidP="00C13DE6" w14:paraId="103EF5D2" w14:textId="68272D93">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13DE6">
        <w:rPr>
          <w:sz w:val="24"/>
          <w:u w:val="single"/>
        </w:rPr>
        <w:t>Information Users</w:t>
      </w:r>
    </w:p>
    <w:p w:rsidR="00C13DE6" w:rsidRPr="00C13DE6" w:rsidP="00C13DE6" w14:paraId="48E32A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93BDB" w:rsidP="00C13DE6" w14:paraId="07BD0268" w14:textId="451F0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 xml:space="preserve">MA organizations will </w:t>
      </w:r>
      <w:r w:rsidRPr="00825362" w:rsidR="00E36E61">
        <w:rPr>
          <w:sz w:val="24"/>
        </w:rPr>
        <w:t>make</w:t>
      </w:r>
      <w:r w:rsidRPr="00825362">
        <w:rPr>
          <w:sz w:val="24"/>
        </w:rPr>
        <w:t xml:space="preserve"> their provider directory data </w:t>
      </w:r>
      <w:r w:rsidRPr="00825362" w:rsidR="00E36E61">
        <w:rPr>
          <w:sz w:val="24"/>
        </w:rPr>
        <w:t xml:space="preserve">available </w:t>
      </w:r>
      <w:r w:rsidRPr="00825362">
        <w:rPr>
          <w:sz w:val="24"/>
        </w:rPr>
        <w:t>to CMS in the required format</w:t>
      </w:r>
      <w:r w:rsidRPr="00825362" w:rsidR="00E36E61">
        <w:rPr>
          <w:sz w:val="24"/>
        </w:rPr>
        <w:t xml:space="preserve"> </w:t>
      </w:r>
      <w:r w:rsidR="003D7350">
        <w:rPr>
          <w:sz w:val="24"/>
        </w:rPr>
        <w:t xml:space="preserve">and maintain </w:t>
      </w:r>
      <w:r w:rsidR="00CD0175">
        <w:rPr>
          <w:sz w:val="24"/>
        </w:rPr>
        <w:t>the data, as required, on an ongoing basis.</w:t>
      </w:r>
      <w:r w:rsidRPr="00825362" w:rsidR="00036B55">
        <w:rPr>
          <w:sz w:val="24"/>
        </w:rPr>
        <w:t xml:space="preserve"> </w:t>
      </w:r>
      <w:r>
        <w:rPr>
          <w:sz w:val="24"/>
        </w:rPr>
        <w:t xml:space="preserve">This use has been captured in section 12 </w:t>
      </w:r>
      <w:r w:rsidR="00D458F9">
        <w:rPr>
          <w:sz w:val="24"/>
        </w:rPr>
        <w:t>of this Supporting Statement</w:t>
      </w:r>
      <w:r>
        <w:rPr>
          <w:sz w:val="24"/>
        </w:rPr>
        <w:t xml:space="preserve"> as a one-time instance of 8 hours of computer programmer work. </w:t>
      </w:r>
    </w:p>
    <w:p w:rsidR="00C13DE6" w:rsidP="00C13DE6" w14:paraId="76BA2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P="00C13DE6" w14:paraId="773E251B" w14:textId="2F819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812AC">
        <w:rPr>
          <w:sz w:val="24"/>
        </w:rPr>
        <w:t xml:space="preserve">CMS will </w:t>
      </w:r>
      <w:r>
        <w:rPr>
          <w:sz w:val="24"/>
        </w:rPr>
        <w:t>present the</w:t>
      </w:r>
      <w:r w:rsidRPr="00C812AC">
        <w:rPr>
          <w:sz w:val="24"/>
        </w:rPr>
        <w:t xml:space="preserve"> provider directory information</w:t>
      </w:r>
      <w:r>
        <w:rPr>
          <w:sz w:val="24"/>
        </w:rPr>
        <w:t xml:space="preserve"> publicly</w:t>
      </w:r>
      <w:r w:rsidRPr="00C812AC">
        <w:rPr>
          <w:sz w:val="24"/>
        </w:rPr>
        <w:t>, including</w:t>
      </w:r>
      <w:r w:rsidR="00D83F49">
        <w:rPr>
          <w:sz w:val="24"/>
        </w:rPr>
        <w:t>, but not limited to,</w:t>
      </w:r>
      <w:r>
        <w:rPr>
          <w:sz w:val="24"/>
        </w:rPr>
        <w:t xml:space="preserve"> for</w:t>
      </w:r>
      <w:r w:rsidRPr="00C812AC">
        <w:rPr>
          <w:sz w:val="24"/>
        </w:rPr>
        <w:t xml:space="preserve"> the use </w:t>
      </w:r>
      <w:r>
        <w:rPr>
          <w:sz w:val="24"/>
        </w:rPr>
        <w:t xml:space="preserve">of </w:t>
      </w:r>
      <w:r w:rsidRPr="00C812AC">
        <w:rPr>
          <w:sz w:val="24"/>
        </w:rPr>
        <w:t>the names of current health care providers as search criteria as a tool to find a Medicare insurance plan that contracts with those providers.</w:t>
      </w:r>
    </w:p>
    <w:p w:rsidR="00C13DE6" w:rsidRPr="00825362" w:rsidP="00C13DE6" w14:paraId="341F9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C13DE6" w:rsidP="00C13DE6" w14:paraId="0FFDFDA3" w14:textId="6CC0F00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13DE6">
        <w:rPr>
          <w:bCs/>
          <w:sz w:val="24"/>
          <w:u w:val="single"/>
        </w:rPr>
        <w:t>Use of</w:t>
      </w:r>
      <w:r w:rsidRPr="00C13DE6">
        <w:rPr>
          <w:b/>
          <w:bCs/>
          <w:sz w:val="24"/>
          <w:u w:val="single"/>
        </w:rPr>
        <w:t xml:space="preserve"> </w:t>
      </w:r>
      <w:r w:rsidRPr="00C13DE6">
        <w:rPr>
          <w:sz w:val="24"/>
          <w:u w:val="single"/>
        </w:rPr>
        <w:t>Information Technology</w:t>
      </w:r>
    </w:p>
    <w:p w:rsidR="00C13DE6" w:rsidRPr="00C13DE6" w:rsidP="00C13DE6" w14:paraId="63BDEF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7E01" w:rsidP="00C13DE6" w14:paraId="09725992" w14:textId="1D7F0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MA organizations</w:t>
      </w:r>
      <w:r w:rsidRPr="00825362">
        <w:rPr>
          <w:sz w:val="24"/>
        </w:rPr>
        <w:t xml:space="preserve"> will </w:t>
      </w:r>
      <w:r w:rsidRPr="0061417C" w:rsidR="0061417C">
        <w:rPr>
          <w:sz w:val="24"/>
        </w:rPr>
        <w:t>submit or otherwise make their plan provider directory data</w:t>
      </w:r>
      <w:r w:rsidR="0061417C">
        <w:rPr>
          <w:sz w:val="24"/>
        </w:rPr>
        <w:t xml:space="preserve"> </w:t>
      </w:r>
      <w:r w:rsidRPr="0061417C" w:rsidR="0061417C">
        <w:rPr>
          <w:sz w:val="24"/>
        </w:rPr>
        <w:t>available to CMS/HHS in a format, manner, and timeframe determined by CMS/HHS</w:t>
      </w:r>
      <w:r w:rsidR="006C416F">
        <w:rPr>
          <w:sz w:val="24"/>
        </w:rPr>
        <w:t xml:space="preserve"> (as specified</w:t>
      </w:r>
      <w:r>
        <w:rPr>
          <w:sz w:val="24"/>
        </w:rPr>
        <w:t xml:space="preserve"> by CMS</w:t>
      </w:r>
      <w:r w:rsidR="00CD0175">
        <w:rPr>
          <w:sz w:val="24"/>
        </w:rPr>
        <w:t xml:space="preserve"> through the </w:t>
      </w:r>
      <w:r w:rsidR="00EB0CDF">
        <w:rPr>
          <w:sz w:val="24"/>
        </w:rPr>
        <w:t>technical specifications</w:t>
      </w:r>
      <w:r>
        <w:rPr>
          <w:sz w:val="24"/>
        </w:rPr>
        <w:t>)</w:t>
      </w:r>
      <w:r w:rsidRPr="00825362">
        <w:rPr>
          <w:sz w:val="24"/>
        </w:rPr>
        <w:t xml:space="preserve"> </w:t>
      </w:r>
      <w:r w:rsidRPr="00490401" w:rsidR="00490401">
        <w:rPr>
          <w:sz w:val="24"/>
        </w:rPr>
        <w:t>for publication online</w:t>
      </w:r>
      <w:r w:rsidR="006C416F">
        <w:rPr>
          <w:sz w:val="24"/>
        </w:rPr>
        <w:t xml:space="preserve"> within</w:t>
      </w:r>
      <w:r w:rsidR="00490401">
        <w:rPr>
          <w:sz w:val="24"/>
        </w:rPr>
        <w:t xml:space="preserve"> </w:t>
      </w:r>
      <w:r w:rsidRPr="00825362">
        <w:rPr>
          <w:sz w:val="24"/>
        </w:rPr>
        <w:t xml:space="preserve">MPF. </w:t>
      </w:r>
      <w:r>
        <w:rPr>
          <w:sz w:val="24"/>
        </w:rPr>
        <w:t>MPF users</w:t>
      </w:r>
      <w:r w:rsidRPr="00825362">
        <w:rPr>
          <w:sz w:val="24"/>
        </w:rPr>
        <w:t xml:space="preserve"> will use the data</w:t>
      </w:r>
      <w:r w:rsidR="00CD0175">
        <w:rPr>
          <w:sz w:val="24"/>
        </w:rPr>
        <w:t>, including</w:t>
      </w:r>
      <w:r w:rsidR="00D83F49">
        <w:rPr>
          <w:sz w:val="24"/>
        </w:rPr>
        <w:t>, but not limited to,</w:t>
      </w:r>
      <w:r w:rsidR="00CD0175">
        <w:rPr>
          <w:sz w:val="24"/>
        </w:rPr>
        <w:t xml:space="preserve"> the</w:t>
      </w:r>
      <w:r w:rsidRPr="00825362">
        <w:rPr>
          <w:sz w:val="24"/>
        </w:rPr>
        <w:t xml:space="preserve"> names of their current doctors</w:t>
      </w:r>
      <w:r w:rsidR="00CD0175">
        <w:rPr>
          <w:sz w:val="24"/>
        </w:rPr>
        <w:t>,</w:t>
      </w:r>
      <w:r w:rsidRPr="00825362">
        <w:rPr>
          <w:sz w:val="24"/>
        </w:rPr>
        <w:t xml:space="preserve"> as search criteria when using MPF to </w:t>
      </w:r>
      <w:r w:rsidR="00CD0175">
        <w:rPr>
          <w:sz w:val="24"/>
        </w:rPr>
        <w:t>shop for and compare MA plans.</w:t>
      </w:r>
      <w:r w:rsidRPr="00825362">
        <w:rPr>
          <w:sz w:val="24"/>
        </w:rPr>
        <w:t xml:space="preserve"> </w:t>
      </w:r>
      <w:r>
        <w:rPr>
          <w:sz w:val="24"/>
        </w:rPr>
        <w:t>MPF users</w:t>
      </w:r>
      <w:r w:rsidRPr="00825362">
        <w:rPr>
          <w:sz w:val="24"/>
        </w:rPr>
        <w:t xml:space="preserve"> will access MPF via the internet.</w:t>
      </w:r>
    </w:p>
    <w:p w:rsidR="00C13DE6" w:rsidP="00C13DE6" w14:paraId="4A4BE4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18E3" w:rsidP="00C13DE6" w14:paraId="03D8D51D" w14:textId="470C3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An officer of each MA organization will </w:t>
      </w:r>
      <w:r w:rsidRPr="00490401" w:rsidR="00490401">
        <w:rPr>
          <w:sz w:val="24"/>
        </w:rPr>
        <w:t>attest, at least annually</w:t>
      </w:r>
      <w:r w:rsidR="00490401">
        <w:rPr>
          <w:sz w:val="24"/>
        </w:rPr>
        <w:t xml:space="preserve">, </w:t>
      </w:r>
      <w:r w:rsidRPr="00490401" w:rsidR="00490401">
        <w:rPr>
          <w:sz w:val="24"/>
        </w:rPr>
        <w:t>in a format and manner and at times determined by CMS/HHS, that all information submitted or otherwise made available to CMS/HHS under § 422.111(m) is accurate.</w:t>
      </w:r>
    </w:p>
    <w:p w:rsidR="00C13DE6" w:rsidRPr="00825362" w:rsidP="00C13DE6" w14:paraId="31644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C13DE6" w14:paraId="6BFD230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4.</w:t>
      </w:r>
      <w:r w:rsidRPr="00825362">
        <w:rPr>
          <w:sz w:val="24"/>
        </w:rPr>
        <w:tab/>
      </w:r>
      <w:r w:rsidRPr="00825362">
        <w:rPr>
          <w:sz w:val="24"/>
          <w:u w:val="single"/>
        </w:rPr>
        <w:t xml:space="preserve">Duplication of </w:t>
      </w:r>
      <w:r w:rsidRPr="00825362" w:rsidR="005C34CD">
        <w:rPr>
          <w:sz w:val="24"/>
          <w:u w:val="single"/>
        </w:rPr>
        <w:t>Efforts</w:t>
      </w:r>
    </w:p>
    <w:p w:rsidR="00C13DE6" w:rsidP="00C13DE6" w14:paraId="67890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P="00C13DE6" w14:paraId="60699B7C" w14:textId="7028C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While this information collection is similar in scope to an operational policy overseen by the Center for Consumer Information &amp; Insurance Oversight (CCIIO), there is no overlap between the two policies.</w:t>
      </w:r>
    </w:p>
    <w:p w:rsidR="00C13DE6" w:rsidRPr="00825362" w:rsidP="00C13DE6" w14:paraId="7D25C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EF16E7" w:rsidP="00EF16E7" w14:paraId="71050B17" w14:textId="39A12449">
      <w:pPr>
        <w:pStyle w:val="ListParagraph"/>
        <w:keepN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EF16E7">
        <w:rPr>
          <w:sz w:val="24"/>
          <w:u w:val="single"/>
        </w:rPr>
        <w:t>Small Businesses</w:t>
      </w:r>
    </w:p>
    <w:p w:rsidR="00C13DE6" w:rsidRPr="00C13DE6" w:rsidP="00C13DE6" w14:paraId="7B93666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P="00C13DE6" w14:paraId="2D761038" w14:textId="12E8E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This information collection does not impact small businesses or other small entities. The information collection only applies to Medicare</w:t>
      </w:r>
      <w:r w:rsidR="007434E7">
        <w:rPr>
          <w:sz w:val="24"/>
        </w:rPr>
        <w:t xml:space="preserve"> Advantage</w:t>
      </w:r>
      <w:r w:rsidRPr="00825362">
        <w:rPr>
          <w:sz w:val="24"/>
        </w:rPr>
        <w:t xml:space="preserve"> insurance plans.</w:t>
      </w:r>
    </w:p>
    <w:p w:rsidR="00C13DE6" w:rsidRPr="00825362" w:rsidP="00C13DE6" w14:paraId="4CF1D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C13DE6" w:rsidP="00EF16E7" w14:paraId="2558F6A8" w14:textId="75F9DA9C">
      <w:pPr>
        <w:pStyle w:val="ListParagraph"/>
        <w:keepN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13DE6">
        <w:rPr>
          <w:sz w:val="24"/>
          <w:u w:val="single"/>
        </w:rPr>
        <w:t xml:space="preserve">Less Frequent </w:t>
      </w:r>
      <w:r w:rsidRPr="00C13DE6">
        <w:rPr>
          <w:sz w:val="24"/>
          <w:u w:val="single"/>
        </w:rPr>
        <w:t>Collection</w:t>
      </w:r>
    </w:p>
    <w:p w:rsidR="00C13DE6" w:rsidRPr="00C13DE6" w:rsidP="00C13DE6" w14:paraId="06D712E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D1ADF" w:rsidP="00C13DE6" w14:paraId="7080EC3A" w14:textId="7AA2C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To be responsive to the needs of</w:t>
      </w:r>
      <w:r w:rsidR="00681A2F">
        <w:rPr>
          <w:sz w:val="24"/>
        </w:rPr>
        <w:t xml:space="preserve"> MPF users</w:t>
      </w:r>
      <w:r w:rsidRPr="00825362">
        <w:rPr>
          <w:sz w:val="24"/>
        </w:rPr>
        <w:t xml:space="preserve">, the systems that operate MPF will </w:t>
      </w:r>
      <w:r w:rsidRPr="00825362" w:rsidR="00825362">
        <w:rPr>
          <w:sz w:val="24"/>
        </w:rPr>
        <w:t xml:space="preserve">automatically </w:t>
      </w:r>
      <w:r w:rsidR="00A4459F">
        <w:rPr>
          <w:sz w:val="24"/>
        </w:rPr>
        <w:t>retrieve</w:t>
      </w:r>
      <w:r w:rsidR="00CD0175">
        <w:rPr>
          <w:sz w:val="24"/>
        </w:rPr>
        <w:t xml:space="preserve"> </w:t>
      </w:r>
      <w:r w:rsidRPr="00825362">
        <w:rPr>
          <w:sz w:val="24"/>
        </w:rPr>
        <w:t>the available data on an ongoing</w:t>
      </w:r>
      <w:r w:rsidR="00CD0175">
        <w:rPr>
          <w:sz w:val="24"/>
        </w:rPr>
        <w:t xml:space="preserve"> basis</w:t>
      </w:r>
      <w:r w:rsidRPr="00825362">
        <w:rPr>
          <w:sz w:val="24"/>
        </w:rPr>
        <w:t xml:space="preserve"> to effectuate the use of the data to assist </w:t>
      </w:r>
      <w:r w:rsidR="00B61E87">
        <w:rPr>
          <w:sz w:val="24"/>
        </w:rPr>
        <w:t>MPF users</w:t>
      </w:r>
      <w:r w:rsidRPr="00825362">
        <w:rPr>
          <w:sz w:val="24"/>
        </w:rPr>
        <w:t xml:space="preserve"> in finding a </w:t>
      </w:r>
      <w:r w:rsidR="00CD0175">
        <w:rPr>
          <w:sz w:val="24"/>
        </w:rPr>
        <w:t>MA plan</w:t>
      </w:r>
      <w:r w:rsidRPr="00825362">
        <w:rPr>
          <w:sz w:val="24"/>
        </w:rPr>
        <w:t xml:space="preserve"> that best suits their needs with regards to </w:t>
      </w:r>
      <w:r w:rsidR="00825EA7">
        <w:rPr>
          <w:sz w:val="24"/>
        </w:rPr>
        <w:t>network</w:t>
      </w:r>
      <w:r w:rsidRPr="00825362" w:rsidR="00825EA7">
        <w:rPr>
          <w:sz w:val="24"/>
        </w:rPr>
        <w:t xml:space="preserve"> </w:t>
      </w:r>
      <w:r w:rsidRPr="00825362">
        <w:rPr>
          <w:sz w:val="24"/>
        </w:rPr>
        <w:t>providers.</w:t>
      </w:r>
    </w:p>
    <w:p w:rsidR="00C13DE6" w:rsidRPr="00825362" w:rsidP="00C13DE6" w14:paraId="63168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C13DE6" w:rsidP="00EF16E7" w14:paraId="16D5A235" w14:textId="0D448790">
      <w:pPr>
        <w:pStyle w:val="ListParagraph"/>
        <w:keepN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13DE6">
        <w:rPr>
          <w:sz w:val="24"/>
          <w:u w:val="single"/>
        </w:rPr>
        <w:t>Special Circumstances</w:t>
      </w:r>
    </w:p>
    <w:p w:rsidR="00C13DE6" w:rsidRPr="00C13DE6" w:rsidP="00C13DE6" w14:paraId="1D484F4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C62C5" w:rsidP="00C13DE6" w14:paraId="06EE6FEE" w14:textId="379CCCEF">
      <w:pPr>
        <w:pStyle w:val="BodyText"/>
      </w:pPr>
      <w:r w:rsidRPr="00825362">
        <w:t>There are no special circumstances that would require an information collection to be conducted in a manner that requires respondents to:</w:t>
      </w:r>
    </w:p>
    <w:p w:rsidR="00A60643" w:rsidRPr="00825362" w:rsidP="00C13DE6" w14:paraId="4A71BB10" w14:textId="77777777">
      <w:pPr>
        <w:pStyle w:val="BodyText"/>
      </w:pPr>
    </w:p>
    <w:p w:rsidR="00BC62C5" w:rsidRPr="00825362" w:rsidP="00A60643" w14:paraId="71FE0CC6"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Report information to the agency more often than</w:t>
      </w:r>
      <w:r w:rsidRPr="00825362">
        <w:rPr>
          <w:spacing w:val="-15"/>
          <w:sz w:val="24"/>
        </w:rPr>
        <w:t xml:space="preserve"> </w:t>
      </w:r>
      <w:r w:rsidRPr="00825362">
        <w:rPr>
          <w:sz w:val="24"/>
        </w:rPr>
        <w:t>quarterly;</w:t>
      </w:r>
    </w:p>
    <w:p w:rsidR="00BC62C5" w:rsidRPr="00825362" w:rsidP="00A60643" w14:paraId="3A3CF626" w14:textId="780AC09C">
      <w:pPr>
        <w:pStyle w:val="ListParagraph"/>
        <w:numPr>
          <w:ilvl w:val="0"/>
          <w:numId w:val="8"/>
        </w:numPr>
        <w:tabs>
          <w:tab w:val="left" w:pos="555"/>
          <w:tab w:val="left" w:pos="556"/>
        </w:tabs>
        <w:adjustRightInd/>
        <w:ind w:left="576" w:hanging="576"/>
        <w:contextualSpacing w:val="0"/>
        <w:rPr>
          <w:sz w:val="24"/>
        </w:rPr>
      </w:pPr>
      <w:r w:rsidRPr="00825362">
        <w:rPr>
          <w:sz w:val="24"/>
        </w:rPr>
        <w:t>Prepare a written response to a collection of information in fewer than 30 days after receipt of</w:t>
      </w:r>
      <w:r w:rsidRPr="00825362">
        <w:rPr>
          <w:spacing w:val="-23"/>
          <w:sz w:val="24"/>
        </w:rPr>
        <w:t xml:space="preserve"> </w:t>
      </w:r>
      <w:r w:rsidRPr="00825362">
        <w:rPr>
          <w:sz w:val="24"/>
        </w:rPr>
        <w:t>it;</w:t>
      </w:r>
    </w:p>
    <w:p w:rsidR="00BC62C5" w:rsidRPr="00825362" w:rsidP="00A60643" w14:paraId="4FBBF123"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Submit more than an original and two copies of any</w:t>
      </w:r>
      <w:r w:rsidRPr="00825362">
        <w:rPr>
          <w:spacing w:val="-12"/>
          <w:sz w:val="24"/>
        </w:rPr>
        <w:t xml:space="preserve"> </w:t>
      </w:r>
      <w:r w:rsidRPr="00825362">
        <w:rPr>
          <w:sz w:val="24"/>
        </w:rPr>
        <w:t>document;</w:t>
      </w:r>
    </w:p>
    <w:p w:rsidR="00BC62C5" w:rsidRPr="00825362" w:rsidP="00A60643" w14:paraId="781EA3AD"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Retain records, other than health, medical, government contract, grant-in-aid, or tax records</w:t>
      </w:r>
      <w:r w:rsidRPr="00825362">
        <w:rPr>
          <w:spacing w:val="-21"/>
          <w:sz w:val="24"/>
        </w:rPr>
        <w:t xml:space="preserve"> </w:t>
      </w:r>
      <w:r w:rsidRPr="00825362">
        <w:rPr>
          <w:sz w:val="24"/>
        </w:rPr>
        <w:t>for more than three</w:t>
      </w:r>
      <w:r w:rsidRPr="00825362">
        <w:rPr>
          <w:spacing w:val="-7"/>
          <w:sz w:val="24"/>
        </w:rPr>
        <w:t xml:space="preserve"> </w:t>
      </w:r>
      <w:r w:rsidRPr="00825362">
        <w:rPr>
          <w:sz w:val="24"/>
        </w:rPr>
        <w:t>years;</w:t>
      </w:r>
    </w:p>
    <w:p w:rsidR="00BC62C5" w:rsidRPr="00825362" w:rsidP="00A60643" w14:paraId="4A7A2D7E"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Collect data in connection with a statistical survey that is not designed to produce valid</w:t>
      </w:r>
      <w:r w:rsidRPr="00825362">
        <w:rPr>
          <w:spacing w:val="-20"/>
          <w:sz w:val="24"/>
        </w:rPr>
        <w:t xml:space="preserve"> </w:t>
      </w:r>
      <w:r w:rsidRPr="00825362">
        <w:rPr>
          <w:sz w:val="24"/>
        </w:rPr>
        <w:t>and reliable results that can be generalized to the universe of</w:t>
      </w:r>
      <w:r w:rsidRPr="00825362">
        <w:rPr>
          <w:spacing w:val="-15"/>
          <w:sz w:val="24"/>
        </w:rPr>
        <w:t xml:space="preserve"> </w:t>
      </w:r>
      <w:r w:rsidRPr="00825362">
        <w:rPr>
          <w:sz w:val="24"/>
        </w:rPr>
        <w:t>study,</w:t>
      </w:r>
    </w:p>
    <w:p w:rsidR="00BC62C5" w:rsidRPr="00825362" w:rsidP="00A60643" w14:paraId="4C30082D"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Use a statistical data classification that has not been reviewed and approved by</w:t>
      </w:r>
      <w:r w:rsidRPr="00825362">
        <w:rPr>
          <w:spacing w:val="-19"/>
          <w:sz w:val="24"/>
        </w:rPr>
        <w:t xml:space="preserve"> </w:t>
      </w:r>
      <w:r w:rsidRPr="00825362">
        <w:rPr>
          <w:sz w:val="24"/>
        </w:rPr>
        <w:t>OMB;</w:t>
      </w:r>
    </w:p>
    <w:p w:rsidR="00BC62C5" w:rsidRPr="00825362" w:rsidP="00A60643" w14:paraId="69B6722C"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 xml:space="preserve">Include a pledge of confidentiality that is not supported by authority established in statute or regulation that is not supported by disclosure and data security policies that are </w:t>
      </w:r>
      <w:r w:rsidRPr="00825362">
        <w:rPr>
          <w:sz w:val="24"/>
        </w:rPr>
        <w:t>consistent with</w:t>
      </w:r>
      <w:r w:rsidRPr="00825362">
        <w:rPr>
          <w:spacing w:val="-23"/>
          <w:sz w:val="24"/>
        </w:rPr>
        <w:t xml:space="preserve"> </w:t>
      </w:r>
      <w:r w:rsidRPr="00825362">
        <w:rPr>
          <w:sz w:val="24"/>
        </w:rPr>
        <w:t>the pledge, or which unnecessarily impedes sharing of data with other agencies for compatible confidential use;</w:t>
      </w:r>
      <w:r w:rsidRPr="00825362">
        <w:rPr>
          <w:spacing w:val="-6"/>
          <w:sz w:val="24"/>
        </w:rPr>
        <w:t xml:space="preserve"> </w:t>
      </w:r>
      <w:r w:rsidRPr="00825362">
        <w:rPr>
          <w:sz w:val="24"/>
        </w:rPr>
        <w:t>or</w:t>
      </w:r>
    </w:p>
    <w:p w:rsidR="00BC62C5" w:rsidP="00A60643" w14:paraId="1746FB4C" w14:textId="77777777">
      <w:pPr>
        <w:pStyle w:val="ListParagraph"/>
        <w:numPr>
          <w:ilvl w:val="0"/>
          <w:numId w:val="8"/>
        </w:numPr>
        <w:tabs>
          <w:tab w:val="left" w:pos="555"/>
          <w:tab w:val="left" w:pos="556"/>
        </w:tabs>
        <w:adjustRightInd/>
        <w:ind w:left="576" w:hanging="576"/>
        <w:contextualSpacing w:val="0"/>
        <w:rPr>
          <w:sz w:val="24"/>
        </w:rPr>
      </w:pPr>
      <w:r w:rsidRPr="00825362">
        <w:rPr>
          <w:sz w:val="24"/>
        </w:rPr>
        <w:t>Submit proprietary trade secrets, or other confidential information unless the agency can demonstrate that it has instituted procedures to protect the information's confidentiality to</w:t>
      </w:r>
      <w:r w:rsidRPr="00825362">
        <w:rPr>
          <w:spacing w:val="-23"/>
          <w:sz w:val="24"/>
        </w:rPr>
        <w:t xml:space="preserve"> </w:t>
      </w:r>
      <w:r w:rsidRPr="00825362">
        <w:rPr>
          <w:sz w:val="24"/>
        </w:rPr>
        <w:t>the extent permitted by</w:t>
      </w:r>
      <w:r w:rsidRPr="00825362">
        <w:rPr>
          <w:spacing w:val="-9"/>
          <w:sz w:val="24"/>
        </w:rPr>
        <w:t xml:space="preserve"> </w:t>
      </w:r>
      <w:r w:rsidRPr="00825362">
        <w:rPr>
          <w:sz w:val="24"/>
        </w:rPr>
        <w:t>law.</w:t>
      </w:r>
    </w:p>
    <w:p w:rsidR="00954019" w:rsidRPr="00954019" w:rsidP="00954019" w14:paraId="5EB17932" w14:textId="77777777">
      <w:pPr>
        <w:tabs>
          <w:tab w:val="left" w:pos="555"/>
          <w:tab w:val="left" w:pos="556"/>
        </w:tabs>
        <w:adjustRightInd/>
        <w:rPr>
          <w:sz w:val="24"/>
        </w:rPr>
      </w:pPr>
    </w:p>
    <w:p w:rsidR="00D94338" w:rsidRPr="00B97046" w:rsidP="00EF16E7" w14:paraId="4FB5CBAB" w14:textId="19116094">
      <w:pPr>
        <w:pStyle w:val="ListParagraph"/>
        <w:keepNext/>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97046">
        <w:rPr>
          <w:sz w:val="24"/>
          <w:u w:val="single"/>
        </w:rPr>
        <w:t>Federal Register/Outside Consultation</w:t>
      </w:r>
    </w:p>
    <w:p w:rsidR="000C247E" w:rsidRPr="00134F22" w:rsidP="00954019" w14:paraId="256789CF" w14:textId="4AB2C942">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00ED" w:rsidRPr="00134F22" w:rsidP="00CB00ED" w14:paraId="30E6C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4F22">
        <w:rPr>
          <w:sz w:val="24"/>
        </w:rPr>
        <w:t xml:space="preserve">The provider directory/Medicare Plan Finder (MPF) provisions were proposed in our December 10, 2024 (89 FR 99340) proposed rule (CMS-4208-P, RIN 0938-AV40). While the proposed provisions were not finalized in our subsequent April 2025 (90 FR 15792) final rule (CMS-4208-F1, RIN 0938-AV40), the provisions were finalized in our September 19, 2025 (90 FR 45140) final rule (CMS-4208-F2, RIN 0938-AV40). </w:t>
      </w:r>
    </w:p>
    <w:p w:rsidR="00CB00ED" w:rsidRPr="00134F22" w:rsidP="00954019" w14:paraId="3C5C02DE"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573B" w:rsidRPr="00134F22" w:rsidP="005E573B" w14:paraId="1B462048" w14:textId="61730D2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4F22">
        <w:rPr>
          <w:sz w:val="24"/>
        </w:rPr>
        <w:t>T</w:t>
      </w:r>
      <w:r w:rsidRPr="00134F22" w:rsidR="00533E1F">
        <w:rPr>
          <w:sz w:val="24"/>
        </w:rPr>
        <w:t xml:space="preserve">his 60-day collection of information request is associated with the provisions </w:t>
      </w:r>
      <w:r w:rsidRPr="00134F22">
        <w:rPr>
          <w:sz w:val="24"/>
        </w:rPr>
        <w:t xml:space="preserve">that </w:t>
      </w:r>
      <w:r w:rsidRPr="00134F22" w:rsidR="00533E1F">
        <w:rPr>
          <w:sz w:val="24"/>
        </w:rPr>
        <w:t>were finalized in our September 19, 2025 (90 FR 45140) final rule (CMS-4208-F2, RIN 0938-AV40).</w:t>
      </w:r>
      <w:r w:rsidRPr="00134F22">
        <w:rPr>
          <w:sz w:val="24"/>
        </w:rPr>
        <w:t xml:space="preserve"> This iteration requests OMB’s approval of the finalized requirements using the standard non-rule PRA process which consists of the publication of 60- and 30-day Federal Register notices. </w:t>
      </w:r>
    </w:p>
    <w:p w:rsidR="00CB00ED" w:rsidRPr="00134F22" w:rsidP="005E573B" w14:paraId="1FA84473"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00ED" w:rsidP="005E573B" w14:paraId="38AA9BCF" w14:textId="68423DDA">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4F22">
        <w:rPr>
          <w:sz w:val="24"/>
        </w:rPr>
        <w:t xml:space="preserve">The 60-day notice published in the Federal </w:t>
      </w:r>
      <w:r w:rsidR="00AC73DF">
        <w:rPr>
          <w:sz w:val="24"/>
        </w:rPr>
        <w:t>R</w:t>
      </w:r>
      <w:r w:rsidRPr="00134F22">
        <w:rPr>
          <w:sz w:val="24"/>
        </w:rPr>
        <w:t xml:space="preserve">egister on November 24, 2025 (90 FR 52956). Comments </w:t>
      </w:r>
      <w:r w:rsidR="002F024D">
        <w:rPr>
          <w:sz w:val="24"/>
        </w:rPr>
        <w:t xml:space="preserve">were </w:t>
      </w:r>
      <w:r w:rsidRPr="00134F22">
        <w:rPr>
          <w:sz w:val="24"/>
        </w:rPr>
        <w:t xml:space="preserve">due </w:t>
      </w:r>
      <w:r w:rsidR="002F024D">
        <w:rPr>
          <w:sz w:val="24"/>
        </w:rPr>
        <w:t>N</w:t>
      </w:r>
      <w:r w:rsidRPr="00134F22">
        <w:rPr>
          <w:sz w:val="24"/>
        </w:rPr>
        <w:t>ovember 24, 2026</w:t>
      </w:r>
      <w:r w:rsidR="002F024D">
        <w:rPr>
          <w:sz w:val="24"/>
        </w:rPr>
        <w:t>, but none were received.</w:t>
      </w:r>
    </w:p>
    <w:p w:rsidR="00954019" w:rsidP="00C13DE6" w14:paraId="40D5F1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024D" w:rsidP="002F024D" w14:paraId="7893D116" w14:textId="259BF65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34F22">
        <w:rPr>
          <w:sz w:val="24"/>
        </w:rPr>
        <w:t xml:space="preserve">The </w:t>
      </w:r>
      <w:r>
        <w:rPr>
          <w:sz w:val="24"/>
        </w:rPr>
        <w:t>3</w:t>
      </w:r>
      <w:r w:rsidRPr="00134F22">
        <w:rPr>
          <w:sz w:val="24"/>
        </w:rPr>
        <w:t xml:space="preserve">0-day notice published on </w:t>
      </w:r>
      <w:r>
        <w:rPr>
          <w:sz w:val="24"/>
        </w:rPr>
        <w:t>January 29</w:t>
      </w:r>
      <w:r w:rsidRPr="00134F22">
        <w:rPr>
          <w:sz w:val="24"/>
        </w:rPr>
        <w:t>, 202</w:t>
      </w:r>
      <w:r>
        <w:rPr>
          <w:sz w:val="24"/>
        </w:rPr>
        <w:t>6</w:t>
      </w:r>
      <w:r w:rsidRPr="00134F22">
        <w:rPr>
          <w:sz w:val="24"/>
        </w:rPr>
        <w:t xml:space="preserve"> (9</w:t>
      </w:r>
      <w:r>
        <w:rPr>
          <w:sz w:val="24"/>
        </w:rPr>
        <w:t>1</w:t>
      </w:r>
      <w:r w:rsidRPr="00134F22">
        <w:rPr>
          <w:sz w:val="24"/>
        </w:rPr>
        <w:t xml:space="preserve"> FR </w:t>
      </w:r>
      <w:r>
        <w:rPr>
          <w:sz w:val="24"/>
        </w:rPr>
        <w:t>3889</w:t>
      </w:r>
      <w:r w:rsidRPr="00134F22">
        <w:rPr>
          <w:sz w:val="24"/>
        </w:rPr>
        <w:t>).</w:t>
      </w:r>
    </w:p>
    <w:p w:rsidR="002F024D" w:rsidRPr="000C247E" w:rsidP="00C13DE6" w14:paraId="17B264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954019" w:rsidP="00EF16E7" w14:paraId="33C07730" w14:textId="6FA75877">
      <w:pPr>
        <w:pStyle w:val="ListParagraph"/>
        <w:keepNext/>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54019">
        <w:rPr>
          <w:sz w:val="24"/>
          <w:u w:val="single"/>
        </w:rPr>
        <w:t xml:space="preserve">Payments/Gifts </w:t>
      </w:r>
      <w:r w:rsidRPr="00954019" w:rsidR="00821A35">
        <w:rPr>
          <w:sz w:val="24"/>
          <w:u w:val="single"/>
        </w:rPr>
        <w:t>t</w:t>
      </w:r>
      <w:r w:rsidRPr="00954019">
        <w:rPr>
          <w:sz w:val="24"/>
          <w:u w:val="single"/>
        </w:rPr>
        <w:t>o Respondents</w:t>
      </w:r>
    </w:p>
    <w:p w:rsidR="00954019" w:rsidRPr="00954019" w:rsidP="00954019" w14:paraId="2C1744B9"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1B52" w:rsidP="00C13DE6" w14:paraId="0373C4F6" w14:textId="6DC6EE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There are no payments/gifts to respondents.</w:t>
      </w:r>
    </w:p>
    <w:p w:rsidR="00954019" w:rsidRPr="00825362" w:rsidP="008E6A6F" w14:paraId="44410E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954019" w:rsidP="00EF16E7" w14:paraId="3AA2EB9D" w14:textId="01F9B95B">
      <w:pPr>
        <w:pStyle w:val="ListParagraph"/>
        <w:keepNext/>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u w:val="single"/>
        </w:rPr>
      </w:pPr>
      <w:r w:rsidRPr="00954019">
        <w:rPr>
          <w:sz w:val="24"/>
          <w:u w:val="single"/>
        </w:rPr>
        <w:t>Confidentiality</w:t>
      </w:r>
    </w:p>
    <w:p w:rsidR="00954019" w:rsidRPr="00954019" w:rsidP="008E6A6F" w14:paraId="640DAFC6"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1B52" w:rsidP="008E6A6F" w14:paraId="3F5E76EA" w14:textId="363825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205879699"/>
      <w:r w:rsidRPr="00825362">
        <w:rPr>
          <w:sz w:val="24"/>
        </w:rPr>
        <w:t>The information being collected is public information. There is no need or desire for confidentiality in this information collection.</w:t>
      </w:r>
    </w:p>
    <w:p w:rsidR="00954019" w:rsidRPr="00825362" w:rsidP="008E6A6F" w14:paraId="4F8667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1"/>
    <w:p w:rsidR="00D94338" w:rsidRPr="00954019" w:rsidP="00EF16E7" w14:paraId="2AFF465A" w14:textId="4EBED133">
      <w:pPr>
        <w:pStyle w:val="ListParagraph"/>
        <w:keepNext/>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sz w:val="24"/>
          <w:u w:val="single"/>
        </w:rPr>
      </w:pPr>
      <w:r w:rsidRPr="00954019">
        <w:rPr>
          <w:sz w:val="24"/>
          <w:u w:val="single"/>
        </w:rPr>
        <w:t>Sensitive Questions</w:t>
      </w:r>
    </w:p>
    <w:p w:rsidR="00954019" w:rsidRPr="00954019" w:rsidP="008E6A6F" w14:paraId="359BF47F"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P="008E6A6F" w14:paraId="4B373F9F" w14:textId="743B5C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954019" w:rsidRPr="00825362" w:rsidP="008E6A6F" w14:paraId="4CE191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401F8B9A" w14:textId="2A3B9230">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12.</w:t>
      </w:r>
      <w:r w:rsidR="00EA7B54">
        <w:rPr>
          <w:sz w:val="24"/>
        </w:rPr>
        <w:tab/>
      </w:r>
      <w:r w:rsidRPr="00825362">
        <w:rPr>
          <w:sz w:val="24"/>
          <w:u w:val="single"/>
        </w:rPr>
        <w:t>Burden Estimate</w:t>
      </w:r>
      <w:r w:rsidRPr="00825362" w:rsidR="00322FCA">
        <w:rPr>
          <w:sz w:val="24"/>
          <w:u w:val="single"/>
        </w:rPr>
        <w:t>s</w:t>
      </w:r>
    </w:p>
    <w:p w:rsidR="00954019" w:rsidP="008E6A6F" w14:paraId="5EFD7B7B" w14:textId="77777777">
      <w:pPr>
        <w:keepNext/>
        <w:tabs>
          <w:tab w:val="left" w:pos="592"/>
        </w:tabs>
        <w:rPr>
          <w:i/>
          <w:sz w:val="24"/>
        </w:rPr>
      </w:pPr>
    </w:p>
    <w:p w:rsidR="0010157C" w:rsidP="008E6A6F" w14:paraId="74BA4AAC" w14:textId="04918DE7">
      <w:pPr>
        <w:keepNext/>
        <w:tabs>
          <w:tab w:val="left" w:pos="592"/>
        </w:tabs>
        <w:rPr>
          <w:i/>
          <w:sz w:val="24"/>
        </w:rPr>
      </w:pPr>
      <w:r w:rsidRPr="00825362">
        <w:rPr>
          <w:i/>
          <w:sz w:val="24"/>
        </w:rPr>
        <w:t>Wage Estimates</w:t>
      </w:r>
    </w:p>
    <w:p w:rsidR="008E6A6F" w:rsidRPr="00825362" w:rsidP="008E6A6F" w14:paraId="4D8F1B0E" w14:textId="77777777">
      <w:pPr>
        <w:keepNext/>
        <w:tabs>
          <w:tab w:val="left" w:pos="592"/>
        </w:tabs>
        <w:rPr>
          <w:i/>
          <w:sz w:val="24"/>
        </w:rPr>
      </w:pPr>
    </w:p>
    <w:p w:rsidR="0010157C" w:rsidP="008E6A6F" w14:paraId="0FED63EE" w14:textId="69A63C09">
      <w:pPr>
        <w:pStyle w:val="BodyText"/>
      </w:pPr>
      <w:r w:rsidRPr="008B6C50">
        <w:t xml:space="preserve">To derive average costs, the U.S. Bureau of Labor Statistics’ </w:t>
      </w:r>
      <w:r w:rsidRPr="008B6C50" w:rsidR="001468A3">
        <w:t xml:space="preserve">(BLS’) </w:t>
      </w:r>
      <w:r w:rsidRPr="008B6C50">
        <w:t>May 202</w:t>
      </w:r>
      <w:r w:rsidRPr="008B6C50" w:rsidR="007432BE">
        <w:t>4</w:t>
      </w:r>
      <w:r w:rsidRPr="008B6C50">
        <w:t xml:space="preserve"> National Occupational Employment and Wage Estimates for all salary estimates </w:t>
      </w:r>
      <w:hyperlink r:id="rId8">
        <w:r w:rsidRPr="008B6C50">
          <w:t>(</w:t>
        </w:r>
      </w:hyperlink>
      <w:r w:rsidRPr="008B6C50" w:rsidR="002706EB">
        <w:t>http://www.bls.gov/oes/2024/may/oes_nat.htm</w:t>
      </w:r>
      <w:hyperlink r:id="rId8">
        <w:r w:rsidRPr="008B6C50">
          <w:t>)</w:t>
        </w:r>
      </w:hyperlink>
      <w:r w:rsidRPr="008B6C50" w:rsidR="009F2E38">
        <w:t xml:space="preserve"> provided data</w:t>
      </w:r>
      <w:r w:rsidRPr="008B6C50">
        <w:t xml:space="preserve">. In this regard, the following table presents BLS’ mean hourly wage, </w:t>
      </w:r>
      <w:r w:rsidRPr="008B6C50" w:rsidR="009F2E38">
        <w:t>the</w:t>
      </w:r>
      <w:r w:rsidRPr="008B6C50">
        <w:t xml:space="preserve"> estimated cost of fringe benefits and other indirect costs</w:t>
      </w:r>
      <w:r w:rsidRPr="00825362">
        <w:t xml:space="preserve"> (calculated at 100 percent of salary), and </w:t>
      </w:r>
      <w:r w:rsidR="0023243F">
        <w:t>the</w:t>
      </w:r>
      <w:r w:rsidRPr="00825362" w:rsidR="0023243F">
        <w:t xml:space="preserve"> </w:t>
      </w:r>
      <w:r w:rsidRPr="00825362">
        <w:t>adjusted hourly wage.</w:t>
      </w:r>
    </w:p>
    <w:p w:rsidR="008E6A6F" w:rsidP="008E6A6F" w14:paraId="587C56C7" w14:textId="77777777">
      <w:pPr>
        <w:pStyle w:val="BodyText"/>
      </w:pPr>
    </w:p>
    <w:p w:rsidR="00463D1B" w:rsidRPr="008E6A6F" w:rsidP="008E6A6F" w14:paraId="4F8C4C15" w14:textId="281DC48F">
      <w:pPr>
        <w:pStyle w:val="BodyText"/>
        <w:keepNext/>
        <w:jc w:val="center"/>
        <w:rPr>
          <w:sz w:val="22"/>
          <w:szCs w:val="22"/>
        </w:rPr>
      </w:pPr>
      <w:r w:rsidRPr="008E6A6F">
        <w:rPr>
          <w:sz w:val="22"/>
          <w:szCs w:val="22"/>
        </w:rPr>
        <w:t>National Occupational Employment and Wage Estimates</w:t>
      </w:r>
    </w:p>
    <w:tbl>
      <w:tblPr>
        <w:tblDescription w:val="This table determines the wage and benefit burden placed on respondents as $99.66 per hour for a computer programme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10"/>
        <w:gridCol w:w="1733"/>
        <w:gridCol w:w="1738"/>
        <w:gridCol w:w="1766"/>
      </w:tblGrid>
      <w:tr w14:paraId="6A8BAED9"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02"/>
        </w:trPr>
        <w:tc>
          <w:tcPr>
            <w:tcW w:w="1810" w:type="dxa"/>
          </w:tcPr>
          <w:p w:rsidR="0010157C" w:rsidRPr="00B5521B" w:rsidP="008E6A6F" w14:paraId="211F4A00" w14:textId="77777777">
            <w:pPr>
              <w:pStyle w:val="TableParagraph"/>
              <w:spacing w:line="240" w:lineRule="auto"/>
              <w:ind w:left="0"/>
              <w:rPr>
                <w:sz w:val="20"/>
                <w:szCs w:val="20"/>
              </w:rPr>
            </w:pPr>
            <w:r w:rsidRPr="00B5521B">
              <w:rPr>
                <w:sz w:val="20"/>
                <w:szCs w:val="20"/>
              </w:rPr>
              <w:t>Occupation Title</w:t>
            </w:r>
          </w:p>
        </w:tc>
        <w:tc>
          <w:tcPr>
            <w:tcW w:w="1810" w:type="dxa"/>
          </w:tcPr>
          <w:p w:rsidR="0010157C" w:rsidRPr="00B5521B" w:rsidP="008E6A6F" w14:paraId="48669FBE" w14:textId="77777777">
            <w:pPr>
              <w:pStyle w:val="TableParagraph"/>
              <w:spacing w:line="240" w:lineRule="auto"/>
              <w:ind w:left="0"/>
              <w:rPr>
                <w:sz w:val="20"/>
                <w:szCs w:val="20"/>
              </w:rPr>
            </w:pPr>
            <w:r w:rsidRPr="00B5521B">
              <w:rPr>
                <w:sz w:val="20"/>
                <w:szCs w:val="20"/>
              </w:rPr>
              <w:t>Occupation Code</w:t>
            </w:r>
          </w:p>
        </w:tc>
        <w:tc>
          <w:tcPr>
            <w:tcW w:w="1733" w:type="dxa"/>
          </w:tcPr>
          <w:p w:rsidR="0010157C" w:rsidRPr="00B5521B" w:rsidP="008E6A6F" w14:paraId="240B0947" w14:textId="77777777">
            <w:pPr>
              <w:pStyle w:val="TableParagraph"/>
              <w:spacing w:line="240" w:lineRule="auto"/>
              <w:ind w:left="0"/>
              <w:jc w:val="center"/>
              <w:rPr>
                <w:sz w:val="20"/>
                <w:szCs w:val="20"/>
              </w:rPr>
            </w:pPr>
            <w:r w:rsidRPr="00B5521B">
              <w:rPr>
                <w:sz w:val="20"/>
                <w:szCs w:val="20"/>
              </w:rPr>
              <w:t>Mean Hourly Wage ($/hr)</w:t>
            </w:r>
          </w:p>
        </w:tc>
        <w:tc>
          <w:tcPr>
            <w:tcW w:w="1738" w:type="dxa"/>
          </w:tcPr>
          <w:p w:rsidR="0010157C" w:rsidRPr="00B5521B" w:rsidP="008E6A6F" w14:paraId="566FA6AF" w14:textId="77777777">
            <w:pPr>
              <w:pStyle w:val="TableParagraph"/>
              <w:spacing w:line="240" w:lineRule="auto"/>
              <w:ind w:left="0"/>
              <w:jc w:val="center"/>
              <w:rPr>
                <w:sz w:val="20"/>
                <w:szCs w:val="20"/>
              </w:rPr>
            </w:pPr>
            <w:r w:rsidRPr="00B5521B">
              <w:rPr>
                <w:sz w:val="20"/>
                <w:szCs w:val="20"/>
              </w:rPr>
              <w:t>Fringe Benefits and Other Indirect Costs ($/hr)</w:t>
            </w:r>
          </w:p>
        </w:tc>
        <w:tc>
          <w:tcPr>
            <w:tcW w:w="1766" w:type="dxa"/>
          </w:tcPr>
          <w:p w:rsidR="0010157C" w:rsidRPr="00B5521B" w:rsidP="008E6A6F" w14:paraId="145A62C4" w14:textId="77777777">
            <w:pPr>
              <w:pStyle w:val="TableParagraph"/>
              <w:spacing w:line="240" w:lineRule="auto"/>
              <w:ind w:left="0"/>
              <w:jc w:val="center"/>
              <w:rPr>
                <w:sz w:val="20"/>
                <w:szCs w:val="20"/>
              </w:rPr>
            </w:pPr>
            <w:r w:rsidRPr="00B5521B">
              <w:rPr>
                <w:sz w:val="20"/>
                <w:szCs w:val="20"/>
              </w:rPr>
              <w:t>Adjusted Hourly Wage ($/hr)</w:t>
            </w:r>
          </w:p>
        </w:tc>
      </w:tr>
      <w:tr w14:paraId="3BDFDB9C" w14:textId="77777777" w:rsidTr="0063244A">
        <w:tblPrEx>
          <w:tblW w:w="0" w:type="auto"/>
          <w:tblInd w:w="128" w:type="dxa"/>
          <w:tblLayout w:type="fixed"/>
          <w:tblCellMar>
            <w:left w:w="0" w:type="dxa"/>
            <w:right w:w="0" w:type="dxa"/>
          </w:tblCellMar>
          <w:tblLook w:val="01E0"/>
        </w:tblPrEx>
        <w:trPr>
          <w:trHeight w:hRule="exact" w:val="576"/>
        </w:trPr>
        <w:tc>
          <w:tcPr>
            <w:tcW w:w="1810" w:type="dxa"/>
          </w:tcPr>
          <w:p w:rsidR="0010157C" w:rsidRPr="00B5521B" w:rsidP="008E6A6F" w14:paraId="6775A072" w14:textId="3DA66C9F">
            <w:pPr>
              <w:pStyle w:val="TableParagraph"/>
              <w:spacing w:line="240" w:lineRule="auto"/>
              <w:ind w:left="0"/>
              <w:rPr>
                <w:sz w:val="20"/>
                <w:szCs w:val="20"/>
              </w:rPr>
            </w:pPr>
            <w:r w:rsidRPr="00B5521B">
              <w:rPr>
                <w:sz w:val="20"/>
                <w:szCs w:val="20"/>
              </w:rPr>
              <w:t>Computer Programmer</w:t>
            </w:r>
          </w:p>
        </w:tc>
        <w:tc>
          <w:tcPr>
            <w:tcW w:w="1810" w:type="dxa"/>
          </w:tcPr>
          <w:p w:rsidR="0010157C" w:rsidRPr="00B5521B" w:rsidP="008E6A6F" w14:paraId="269935FE" w14:textId="3BBC99CC">
            <w:pPr>
              <w:pStyle w:val="TableParagraph"/>
              <w:spacing w:line="240" w:lineRule="auto"/>
              <w:ind w:left="0"/>
              <w:rPr>
                <w:sz w:val="20"/>
                <w:szCs w:val="20"/>
              </w:rPr>
            </w:pPr>
            <w:r w:rsidRPr="00B5521B">
              <w:rPr>
                <w:sz w:val="20"/>
                <w:szCs w:val="20"/>
              </w:rPr>
              <w:t>15-1251</w:t>
            </w:r>
          </w:p>
        </w:tc>
        <w:tc>
          <w:tcPr>
            <w:tcW w:w="1733" w:type="dxa"/>
          </w:tcPr>
          <w:p w:rsidR="0010157C" w:rsidRPr="00B5521B" w:rsidP="008E6A6F" w14:paraId="5EB91F6C" w14:textId="3B6EFF9D">
            <w:pPr>
              <w:pStyle w:val="TableParagraph"/>
              <w:spacing w:line="240" w:lineRule="auto"/>
              <w:ind w:left="0"/>
              <w:jc w:val="center"/>
              <w:rPr>
                <w:sz w:val="20"/>
                <w:szCs w:val="20"/>
              </w:rPr>
            </w:pPr>
            <w:r w:rsidRPr="00B5521B">
              <w:rPr>
                <w:sz w:val="20"/>
                <w:szCs w:val="20"/>
              </w:rPr>
              <w:t>49.83</w:t>
            </w:r>
          </w:p>
        </w:tc>
        <w:tc>
          <w:tcPr>
            <w:tcW w:w="1738" w:type="dxa"/>
          </w:tcPr>
          <w:p w:rsidR="0010157C" w:rsidRPr="00B5521B" w:rsidP="008E6A6F" w14:paraId="7EF75D61" w14:textId="2C510513">
            <w:pPr>
              <w:pStyle w:val="TableParagraph"/>
              <w:spacing w:line="240" w:lineRule="auto"/>
              <w:ind w:left="0"/>
              <w:jc w:val="center"/>
              <w:rPr>
                <w:sz w:val="20"/>
                <w:szCs w:val="20"/>
              </w:rPr>
            </w:pPr>
            <w:r w:rsidRPr="00B5521B">
              <w:rPr>
                <w:sz w:val="20"/>
                <w:szCs w:val="20"/>
              </w:rPr>
              <w:t>49.83</w:t>
            </w:r>
          </w:p>
        </w:tc>
        <w:tc>
          <w:tcPr>
            <w:tcW w:w="1766" w:type="dxa"/>
          </w:tcPr>
          <w:p w:rsidR="0010157C" w:rsidRPr="00B5521B" w:rsidP="008E6A6F" w14:paraId="72C648B2" w14:textId="3B3C77FA">
            <w:pPr>
              <w:pStyle w:val="TableParagraph"/>
              <w:spacing w:line="240" w:lineRule="auto"/>
              <w:ind w:left="0"/>
              <w:jc w:val="center"/>
              <w:rPr>
                <w:sz w:val="20"/>
                <w:szCs w:val="20"/>
              </w:rPr>
            </w:pPr>
            <w:r w:rsidRPr="00B5521B">
              <w:rPr>
                <w:sz w:val="20"/>
                <w:szCs w:val="20"/>
              </w:rPr>
              <w:t>9</w:t>
            </w:r>
            <w:r w:rsidRPr="00B5521B" w:rsidR="007432BE">
              <w:rPr>
                <w:sz w:val="20"/>
                <w:szCs w:val="20"/>
              </w:rPr>
              <w:t>9.66</w:t>
            </w:r>
          </w:p>
        </w:tc>
      </w:tr>
      <w:tr w14:paraId="273DA7B6" w14:textId="77777777" w:rsidTr="0063244A">
        <w:tblPrEx>
          <w:tblW w:w="0" w:type="auto"/>
          <w:tblInd w:w="128" w:type="dxa"/>
          <w:tblLayout w:type="fixed"/>
          <w:tblCellMar>
            <w:left w:w="0" w:type="dxa"/>
            <w:right w:w="0" w:type="dxa"/>
          </w:tblCellMar>
          <w:tblLook w:val="01E0"/>
        </w:tblPrEx>
        <w:trPr>
          <w:trHeight w:hRule="exact" w:val="576"/>
        </w:trPr>
        <w:tc>
          <w:tcPr>
            <w:tcW w:w="1810" w:type="dxa"/>
          </w:tcPr>
          <w:p w:rsidR="00BA73F0" w:rsidRPr="00B5521B" w:rsidP="008E6A6F" w14:paraId="5A8AC512" w14:textId="06A43CDD">
            <w:pPr>
              <w:pStyle w:val="TableParagraph"/>
              <w:spacing w:line="240" w:lineRule="auto"/>
              <w:ind w:left="0"/>
              <w:rPr>
                <w:sz w:val="20"/>
                <w:szCs w:val="20"/>
              </w:rPr>
            </w:pPr>
            <w:r w:rsidRPr="00B5521B">
              <w:rPr>
                <w:sz w:val="20"/>
                <w:szCs w:val="20"/>
              </w:rPr>
              <w:t xml:space="preserve">MA </w:t>
            </w:r>
            <w:r w:rsidRPr="00B5521B" w:rsidR="00B61E87">
              <w:rPr>
                <w:sz w:val="20"/>
                <w:szCs w:val="20"/>
              </w:rPr>
              <w:t xml:space="preserve">organization chief </w:t>
            </w:r>
            <w:r w:rsidRPr="00B5521B">
              <w:rPr>
                <w:sz w:val="20"/>
                <w:szCs w:val="20"/>
              </w:rPr>
              <w:t>officer</w:t>
            </w:r>
          </w:p>
        </w:tc>
        <w:tc>
          <w:tcPr>
            <w:tcW w:w="1810" w:type="dxa"/>
          </w:tcPr>
          <w:p w:rsidR="00BA73F0" w:rsidRPr="00B5521B" w:rsidP="008E6A6F" w14:paraId="18B72540" w14:textId="013C0C3A">
            <w:pPr>
              <w:pStyle w:val="TableParagraph"/>
              <w:spacing w:line="240" w:lineRule="auto"/>
              <w:ind w:left="0"/>
              <w:rPr>
                <w:sz w:val="20"/>
                <w:szCs w:val="20"/>
              </w:rPr>
            </w:pPr>
            <w:r w:rsidRPr="00B5521B">
              <w:rPr>
                <w:sz w:val="20"/>
                <w:szCs w:val="20"/>
              </w:rPr>
              <w:t>11-1011</w:t>
            </w:r>
          </w:p>
        </w:tc>
        <w:tc>
          <w:tcPr>
            <w:tcW w:w="1733" w:type="dxa"/>
          </w:tcPr>
          <w:p w:rsidR="00BA73F0" w:rsidRPr="00B5521B" w:rsidP="008E6A6F" w14:paraId="451CB655" w14:textId="562DB793">
            <w:pPr>
              <w:pStyle w:val="TableParagraph"/>
              <w:spacing w:line="240" w:lineRule="auto"/>
              <w:ind w:left="0"/>
              <w:jc w:val="center"/>
              <w:rPr>
                <w:sz w:val="20"/>
                <w:szCs w:val="20"/>
              </w:rPr>
            </w:pPr>
            <w:r w:rsidRPr="00B5521B">
              <w:rPr>
                <w:sz w:val="20"/>
                <w:szCs w:val="20"/>
              </w:rPr>
              <w:t>126.41</w:t>
            </w:r>
          </w:p>
        </w:tc>
        <w:tc>
          <w:tcPr>
            <w:tcW w:w="1738" w:type="dxa"/>
          </w:tcPr>
          <w:p w:rsidR="00BA73F0" w:rsidRPr="00B5521B" w:rsidP="008E6A6F" w14:paraId="798BA98D" w14:textId="50B278D1">
            <w:pPr>
              <w:pStyle w:val="TableParagraph"/>
              <w:spacing w:line="240" w:lineRule="auto"/>
              <w:ind w:left="0"/>
              <w:jc w:val="center"/>
              <w:rPr>
                <w:sz w:val="20"/>
                <w:szCs w:val="20"/>
              </w:rPr>
            </w:pPr>
            <w:r w:rsidRPr="00B5521B">
              <w:rPr>
                <w:sz w:val="20"/>
                <w:szCs w:val="20"/>
              </w:rPr>
              <w:t>126.41</w:t>
            </w:r>
          </w:p>
        </w:tc>
        <w:tc>
          <w:tcPr>
            <w:tcW w:w="1766" w:type="dxa"/>
          </w:tcPr>
          <w:p w:rsidR="00BA73F0" w:rsidRPr="00B5521B" w:rsidP="008E6A6F" w14:paraId="7DF47BC8" w14:textId="48A827C6">
            <w:pPr>
              <w:pStyle w:val="TableParagraph"/>
              <w:spacing w:line="240" w:lineRule="auto"/>
              <w:ind w:left="0"/>
              <w:jc w:val="center"/>
              <w:rPr>
                <w:sz w:val="20"/>
                <w:szCs w:val="20"/>
              </w:rPr>
            </w:pPr>
            <w:r w:rsidRPr="00B5521B">
              <w:rPr>
                <w:sz w:val="20"/>
                <w:szCs w:val="20"/>
              </w:rPr>
              <w:t>252.82</w:t>
            </w:r>
          </w:p>
        </w:tc>
      </w:tr>
    </w:tbl>
    <w:p w:rsidR="008E6A6F" w:rsidP="008E6A6F" w14:paraId="400C76F2" w14:textId="77777777">
      <w:pPr>
        <w:pStyle w:val="BodyText"/>
      </w:pPr>
    </w:p>
    <w:p w:rsidR="0010157C" w:rsidRPr="00825362" w:rsidP="008E6A6F" w14:paraId="0520AF36" w14:textId="3519F659">
      <w:pPr>
        <w:pStyle w:val="BodyText"/>
      </w:pPr>
      <w:r w:rsidRPr="00825362">
        <w:t xml:space="preserve">As indicated, </w:t>
      </w:r>
      <w:r w:rsidR="009F2E38">
        <w:t>CMS is</w:t>
      </w:r>
      <w:r w:rsidRPr="00825362">
        <w:t xml:space="preserve"> adjusting </w:t>
      </w:r>
      <w:r w:rsidR="009F2E38">
        <w:t>the</w:t>
      </w:r>
      <w:r w:rsidRPr="00825362">
        <w:t xml:space="preserve">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doubling the hourly wage to estimate total cost is a reasonably accurate estimation method.</w:t>
      </w:r>
    </w:p>
    <w:p w:rsidR="008E6A6F" w:rsidP="008E6A6F" w14:paraId="4A366F51" w14:textId="77777777">
      <w:pPr>
        <w:pStyle w:val="ListParagraph"/>
        <w:keepNext/>
        <w:tabs>
          <w:tab w:val="left" w:pos="590"/>
        </w:tabs>
        <w:ind w:left="0"/>
        <w:contextualSpacing w:val="0"/>
        <w:rPr>
          <w:i/>
          <w:sz w:val="24"/>
        </w:rPr>
      </w:pPr>
    </w:p>
    <w:p w:rsidR="0010157C" w:rsidRPr="00825362" w:rsidP="008E6A6F" w14:paraId="395475D1" w14:textId="393BE7BF">
      <w:pPr>
        <w:pStyle w:val="ListParagraph"/>
        <w:keepNext/>
        <w:tabs>
          <w:tab w:val="left" w:pos="590"/>
        </w:tabs>
        <w:ind w:left="0"/>
        <w:contextualSpacing w:val="0"/>
        <w:rPr>
          <w:i/>
          <w:sz w:val="24"/>
        </w:rPr>
      </w:pPr>
      <w:r>
        <w:rPr>
          <w:i/>
          <w:sz w:val="24"/>
        </w:rPr>
        <w:t xml:space="preserve">Collection of Information </w:t>
      </w:r>
      <w:r w:rsidRPr="00825362">
        <w:rPr>
          <w:i/>
          <w:sz w:val="24"/>
        </w:rPr>
        <w:t xml:space="preserve">Requirements and </w:t>
      </w:r>
      <w:r>
        <w:rPr>
          <w:i/>
          <w:sz w:val="24"/>
        </w:rPr>
        <w:t xml:space="preserve">Associated </w:t>
      </w:r>
      <w:r w:rsidRPr="00825362">
        <w:rPr>
          <w:i/>
          <w:sz w:val="24"/>
        </w:rPr>
        <w:t>Burden</w:t>
      </w:r>
      <w:r w:rsidRPr="00825362">
        <w:rPr>
          <w:i/>
          <w:spacing w:val="-15"/>
          <w:sz w:val="24"/>
        </w:rPr>
        <w:t xml:space="preserve"> </w:t>
      </w:r>
      <w:r w:rsidRPr="00825362">
        <w:rPr>
          <w:i/>
          <w:sz w:val="24"/>
        </w:rPr>
        <w:t>Estimates</w:t>
      </w:r>
    </w:p>
    <w:p w:rsidR="008E6A6F" w:rsidP="008E6A6F" w14:paraId="63965F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3244A" w:rsidRPr="00E416BB" w:rsidP="008E6A6F" w14:paraId="4EAAD031" w14:textId="15F965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16BB">
        <w:rPr>
          <w:i/>
          <w:iCs/>
          <w:sz w:val="24"/>
          <w:u w:val="single"/>
        </w:rPr>
        <w:t>Initial Computer System Formatting Requirement</w:t>
      </w:r>
      <w:r>
        <w:rPr>
          <w:sz w:val="24"/>
        </w:rPr>
        <w:t xml:space="preserve">  </w:t>
      </w:r>
      <w:r w:rsidR="006202BC">
        <w:rPr>
          <w:sz w:val="24"/>
        </w:rPr>
        <w:t>T</w:t>
      </w:r>
      <w:r w:rsidRPr="006202BC" w:rsidR="006202BC">
        <w:rPr>
          <w:sz w:val="24"/>
        </w:rPr>
        <w:t xml:space="preserve">he reporting of provider directory data and updated directory data by MA organizations to CMS is ongoing, </w:t>
      </w:r>
      <w:r w:rsidR="006202BC">
        <w:rPr>
          <w:sz w:val="24"/>
        </w:rPr>
        <w:t xml:space="preserve">but </w:t>
      </w:r>
      <w:r w:rsidRPr="006202BC" w:rsidR="006202BC">
        <w:rPr>
          <w:sz w:val="24"/>
        </w:rPr>
        <w:t>it is part of an automated process</w:t>
      </w:r>
      <w:r w:rsidR="005A17DA">
        <w:rPr>
          <w:sz w:val="24"/>
        </w:rPr>
        <w:t>.</w:t>
      </w:r>
      <w:r w:rsidRPr="006202BC" w:rsidR="006202BC">
        <w:rPr>
          <w:sz w:val="24"/>
        </w:rPr>
        <w:t xml:space="preserve"> </w:t>
      </w:r>
      <w:r w:rsidR="005A17DA">
        <w:rPr>
          <w:sz w:val="24"/>
        </w:rPr>
        <w:t>E</w:t>
      </w:r>
      <w:r w:rsidRPr="006202BC" w:rsidR="006202BC">
        <w:rPr>
          <w:sz w:val="24"/>
        </w:rPr>
        <w:t xml:space="preserve">ach plan </w:t>
      </w:r>
      <w:r w:rsidR="005A17DA">
        <w:rPr>
          <w:sz w:val="24"/>
        </w:rPr>
        <w:t>will</w:t>
      </w:r>
      <w:r w:rsidRPr="006202BC" w:rsidR="005A17DA">
        <w:rPr>
          <w:sz w:val="24"/>
        </w:rPr>
        <w:t xml:space="preserve"> </w:t>
      </w:r>
      <w:r w:rsidRPr="006202BC" w:rsidR="006202BC">
        <w:rPr>
          <w:sz w:val="24"/>
        </w:rPr>
        <w:t xml:space="preserve">create the </w:t>
      </w:r>
      <w:r w:rsidR="005A17DA">
        <w:rPr>
          <w:sz w:val="24"/>
        </w:rPr>
        <w:t xml:space="preserve">necessary </w:t>
      </w:r>
      <w:r w:rsidRPr="006202BC" w:rsidR="006202BC">
        <w:rPr>
          <w:sz w:val="24"/>
        </w:rPr>
        <w:t xml:space="preserve">functionality within their system.  </w:t>
      </w:r>
      <w:r w:rsidR="006202BC">
        <w:rPr>
          <w:sz w:val="24"/>
        </w:rPr>
        <w:t>This</w:t>
      </w:r>
      <w:r w:rsidRPr="00825362" w:rsidR="00805156">
        <w:rPr>
          <w:sz w:val="24"/>
        </w:rPr>
        <w:t xml:space="preserve"> is a one-time burden for a computer programmer for each plan to create the functionality within their system</w:t>
      </w:r>
      <w:r w:rsidR="006202BC">
        <w:rPr>
          <w:sz w:val="24"/>
        </w:rPr>
        <w:t>s</w:t>
      </w:r>
      <w:r w:rsidRPr="00825362" w:rsidR="00805156">
        <w:rPr>
          <w:sz w:val="24"/>
        </w:rPr>
        <w:t xml:space="preserve">. </w:t>
      </w:r>
      <w:r w:rsidR="009F2E38">
        <w:rPr>
          <w:sz w:val="24"/>
        </w:rPr>
        <w:t xml:space="preserve">CMS </w:t>
      </w:r>
      <w:r w:rsidRPr="00825362" w:rsidR="00805156">
        <w:rPr>
          <w:sz w:val="24"/>
        </w:rPr>
        <w:t>estimate</w:t>
      </w:r>
      <w:r w:rsidR="009F2E38">
        <w:rPr>
          <w:sz w:val="24"/>
        </w:rPr>
        <w:t>s</w:t>
      </w:r>
      <w:r w:rsidRPr="00825362" w:rsidR="00805156">
        <w:rPr>
          <w:sz w:val="24"/>
        </w:rPr>
        <w:t xml:space="preserve"> that for each plan a </w:t>
      </w:r>
      <w:r w:rsidRPr="00E416BB" w:rsidR="00805156">
        <w:rPr>
          <w:sz w:val="24"/>
        </w:rPr>
        <w:t>computer programmer would spend 8 hours at $</w:t>
      </w:r>
      <w:r w:rsidRPr="00E416BB" w:rsidR="002706EB">
        <w:rPr>
          <w:sz w:val="24"/>
        </w:rPr>
        <w:t>99.66</w:t>
      </w:r>
      <w:r w:rsidRPr="00E416BB" w:rsidR="00805156">
        <w:rPr>
          <w:sz w:val="24"/>
        </w:rPr>
        <w:t xml:space="preserve">/hr. </w:t>
      </w:r>
    </w:p>
    <w:p w:rsidR="008E6A6F" w:rsidP="008E6A6F" w14:paraId="4CD4C4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3244A" w:rsidRPr="00825362" w:rsidP="008E6A6F" w14:paraId="44D3CD1D" w14:textId="1AD086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 xml:space="preserve">In aggregate, </w:t>
      </w:r>
      <w:r w:rsidR="0023243F">
        <w:rPr>
          <w:sz w:val="24"/>
        </w:rPr>
        <w:t>CMS</w:t>
      </w:r>
      <w:r w:rsidRPr="00825362" w:rsidR="0023243F">
        <w:rPr>
          <w:sz w:val="24"/>
        </w:rPr>
        <w:t xml:space="preserve"> </w:t>
      </w:r>
      <w:r w:rsidRPr="00825362">
        <w:rPr>
          <w:sz w:val="24"/>
        </w:rPr>
        <w:t>estimate</w:t>
      </w:r>
      <w:r w:rsidR="0023243F">
        <w:rPr>
          <w:sz w:val="24"/>
        </w:rPr>
        <w:t>s</w:t>
      </w:r>
      <w:r w:rsidRPr="00825362">
        <w:rPr>
          <w:sz w:val="24"/>
        </w:rPr>
        <w:t xml:space="preserve"> a one</w:t>
      </w:r>
      <w:r w:rsidRPr="00825362" w:rsidR="00FE314D">
        <w:rPr>
          <w:sz w:val="24"/>
        </w:rPr>
        <w:t>-</w:t>
      </w:r>
      <w:r w:rsidRPr="00825362">
        <w:rPr>
          <w:sz w:val="24"/>
        </w:rPr>
        <w:t xml:space="preserve">time burden of </w:t>
      </w:r>
      <w:r w:rsidRPr="00323B06" w:rsidR="00323B06">
        <w:rPr>
          <w:sz w:val="24"/>
        </w:rPr>
        <w:t>5,600</w:t>
      </w:r>
      <w:r w:rsidRPr="00323B06">
        <w:rPr>
          <w:sz w:val="24"/>
        </w:rPr>
        <w:t xml:space="preserve"> hours (</w:t>
      </w:r>
      <w:r w:rsidRPr="00323B06" w:rsidR="00323B06">
        <w:rPr>
          <w:sz w:val="24"/>
        </w:rPr>
        <w:t>700</w:t>
      </w:r>
      <w:r w:rsidRPr="00323B06">
        <w:rPr>
          <w:sz w:val="24"/>
        </w:rPr>
        <w:t xml:space="preserve"> plans</w:t>
      </w:r>
      <w:r w:rsidRPr="00825362">
        <w:rPr>
          <w:sz w:val="24"/>
        </w:rPr>
        <w:t xml:space="preserve"> * 8 hr/plan) at a cost of $</w:t>
      </w:r>
      <w:r w:rsidR="00323B06">
        <w:rPr>
          <w:sz w:val="24"/>
        </w:rPr>
        <w:t>558,096</w:t>
      </w:r>
      <w:r w:rsidRPr="00825362">
        <w:rPr>
          <w:sz w:val="24"/>
        </w:rPr>
        <w:t xml:space="preserve"> (</w:t>
      </w:r>
      <w:r w:rsidR="00323B06">
        <w:rPr>
          <w:sz w:val="24"/>
        </w:rPr>
        <w:t>5,600</w:t>
      </w:r>
      <w:r w:rsidRPr="00825362">
        <w:rPr>
          <w:sz w:val="24"/>
        </w:rPr>
        <w:t xml:space="preserve"> hr * $</w:t>
      </w:r>
      <w:r w:rsidR="002706EB">
        <w:rPr>
          <w:sz w:val="24"/>
        </w:rPr>
        <w:t>99.66</w:t>
      </w:r>
      <w:r w:rsidRPr="00825362">
        <w:rPr>
          <w:sz w:val="24"/>
        </w:rPr>
        <w:t xml:space="preserve">/hr). </w:t>
      </w:r>
    </w:p>
    <w:p w:rsidR="008E6A6F" w:rsidP="008E6A6F" w14:paraId="189480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04A8AD08" w14:textId="3022D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16BB">
        <w:rPr>
          <w:i/>
          <w:iCs/>
          <w:sz w:val="24"/>
          <w:u w:val="single"/>
        </w:rPr>
        <w:t>Annual Chief Officer Attestation Requirement</w:t>
      </w:r>
      <w:r>
        <w:rPr>
          <w:sz w:val="24"/>
        </w:rPr>
        <w:t xml:space="preserve">  </w:t>
      </w:r>
      <w:r w:rsidRPr="00825362" w:rsidR="00805156">
        <w:rPr>
          <w:sz w:val="24"/>
        </w:rPr>
        <w:t xml:space="preserve">The </w:t>
      </w:r>
      <w:r w:rsidRPr="00323B06" w:rsidR="00323B06">
        <w:rPr>
          <w:sz w:val="24"/>
        </w:rPr>
        <w:t>700</w:t>
      </w:r>
      <w:r w:rsidRPr="00825362" w:rsidR="00805156">
        <w:rPr>
          <w:sz w:val="24"/>
        </w:rPr>
        <w:t xml:space="preserve"> plans include local and regional </w:t>
      </w:r>
      <w:r w:rsidR="005A17DA">
        <w:rPr>
          <w:sz w:val="24"/>
        </w:rPr>
        <w:t>Coordinated Care Plans (</w:t>
      </w:r>
      <w:r w:rsidRPr="00825362" w:rsidR="00805156">
        <w:rPr>
          <w:sz w:val="24"/>
        </w:rPr>
        <w:t>CCP</w:t>
      </w:r>
      <w:r w:rsidR="005A17DA">
        <w:rPr>
          <w:sz w:val="24"/>
        </w:rPr>
        <w:t>)</w:t>
      </w:r>
      <w:r w:rsidRPr="00825362" w:rsidR="00805156">
        <w:rPr>
          <w:sz w:val="24"/>
        </w:rPr>
        <w:t xml:space="preserve">, </w:t>
      </w:r>
      <w:r w:rsidR="00E15AE8">
        <w:rPr>
          <w:sz w:val="24"/>
        </w:rPr>
        <w:t>Medicare Savings Account (</w:t>
      </w:r>
      <w:r w:rsidRPr="00825362" w:rsidR="00805156">
        <w:rPr>
          <w:sz w:val="24"/>
        </w:rPr>
        <w:t>MSA</w:t>
      </w:r>
      <w:r w:rsidR="00E15AE8">
        <w:rPr>
          <w:sz w:val="24"/>
        </w:rPr>
        <w:t>)</w:t>
      </w:r>
      <w:r w:rsidR="005A17DA">
        <w:rPr>
          <w:sz w:val="24"/>
        </w:rPr>
        <w:t xml:space="preserve"> plans</w:t>
      </w:r>
      <w:r w:rsidRPr="00825362" w:rsidR="00805156">
        <w:rPr>
          <w:sz w:val="24"/>
        </w:rPr>
        <w:t xml:space="preserve">, and </w:t>
      </w:r>
      <w:r w:rsidR="00E15AE8">
        <w:rPr>
          <w:sz w:val="24"/>
        </w:rPr>
        <w:t>Private Fee For Service (</w:t>
      </w:r>
      <w:r w:rsidRPr="00825362" w:rsidR="00805156">
        <w:rPr>
          <w:sz w:val="24"/>
        </w:rPr>
        <w:t>PFFS</w:t>
      </w:r>
      <w:r w:rsidR="00E15AE8">
        <w:rPr>
          <w:sz w:val="24"/>
        </w:rPr>
        <w:t>)</w:t>
      </w:r>
      <w:r w:rsidRPr="00825362" w:rsidR="00805156">
        <w:rPr>
          <w:sz w:val="24"/>
        </w:rPr>
        <w:t xml:space="preserve"> plans and is based on the publicly available CMS data on plan type counts accessible at </w:t>
      </w:r>
      <w:r w:rsidRPr="00323B06" w:rsidR="00323B06">
        <w:rPr>
          <w:sz w:val="24"/>
        </w:rPr>
        <w:t>https://www.cms.gov/data-research/statistics-trends-and-reports/medicare-advantagepart-d-contract-and-enrollment-data/monthly-contract-and-enrollment-summary-report/contract-summary-2025-05</w:t>
      </w:r>
      <w:r w:rsidRPr="00825362" w:rsidR="00805156">
        <w:rPr>
          <w:sz w:val="24"/>
        </w:rPr>
        <w:t xml:space="preserve">. Medicare Cost plans have been excluded from the count since the </w:t>
      </w:r>
      <w:r w:rsidR="00D83F49">
        <w:rPr>
          <w:sz w:val="24"/>
        </w:rPr>
        <w:t>regulatory change is not relevant to Cost plans</w:t>
      </w:r>
      <w:r w:rsidRPr="00825362" w:rsidR="00805156">
        <w:rPr>
          <w:sz w:val="24"/>
        </w:rPr>
        <w:t>.</w:t>
      </w:r>
    </w:p>
    <w:p w:rsidR="008E6A6F" w:rsidP="008E6A6F" w14:paraId="54AE0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50163" w:rsidRPr="00825362" w:rsidP="008E6A6F" w14:paraId="694CE5AD" w14:textId="14171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825362">
        <w:rPr>
          <w:sz w:val="24"/>
        </w:rPr>
        <w:t xml:space="preserve">o operationalize the Format Provider Directories for Medicare Plan Finder provision at § 422.111(m), </w:t>
      </w:r>
      <w:r w:rsidR="0023243F">
        <w:rPr>
          <w:sz w:val="24"/>
        </w:rPr>
        <w:t>CMS</w:t>
      </w:r>
      <w:r w:rsidRPr="00463D1B" w:rsidR="0023243F">
        <w:rPr>
          <w:sz w:val="24"/>
        </w:rPr>
        <w:t xml:space="preserve"> </w:t>
      </w:r>
      <w:r>
        <w:rPr>
          <w:sz w:val="24"/>
        </w:rPr>
        <w:t>finalized</w:t>
      </w:r>
      <w:r w:rsidRPr="00463D1B">
        <w:rPr>
          <w:sz w:val="24"/>
        </w:rPr>
        <w:t xml:space="preserve"> </w:t>
      </w:r>
      <w:r w:rsidRPr="00463D1B">
        <w:rPr>
          <w:sz w:val="24"/>
        </w:rPr>
        <w:t xml:space="preserve">an applicability date of </w:t>
      </w:r>
      <w:r w:rsidRPr="00463D1B" w:rsidR="00C42E82">
        <w:rPr>
          <w:sz w:val="24"/>
        </w:rPr>
        <w:t>January 1</w:t>
      </w:r>
      <w:r w:rsidRPr="00463D1B">
        <w:rPr>
          <w:sz w:val="24"/>
        </w:rPr>
        <w:t>, 202</w:t>
      </w:r>
      <w:r w:rsidRPr="00463D1B" w:rsidR="00C42E82">
        <w:rPr>
          <w:sz w:val="24"/>
        </w:rPr>
        <w:t>6</w:t>
      </w:r>
      <w:r w:rsidRPr="00463D1B">
        <w:rPr>
          <w:sz w:val="24"/>
        </w:rPr>
        <w:t>,</w:t>
      </w:r>
      <w:r w:rsidRPr="00825362">
        <w:rPr>
          <w:sz w:val="24"/>
        </w:rPr>
        <w:t xml:space="preserve"> for this provision.</w:t>
      </w:r>
      <w:r>
        <w:rPr>
          <w:sz w:val="24"/>
        </w:rPr>
        <w:t xml:space="preserve"> CMS</w:t>
      </w:r>
      <w:r w:rsidRPr="00825362">
        <w:rPr>
          <w:sz w:val="24"/>
        </w:rPr>
        <w:t xml:space="preserve"> anticipate</w:t>
      </w:r>
      <w:r>
        <w:rPr>
          <w:sz w:val="24"/>
        </w:rPr>
        <w:t>s</w:t>
      </w:r>
      <w:r w:rsidRPr="00825362">
        <w:rPr>
          <w:sz w:val="24"/>
        </w:rPr>
        <w:t xml:space="preserve"> </w:t>
      </w:r>
      <w:r>
        <w:rPr>
          <w:sz w:val="24"/>
        </w:rPr>
        <w:t xml:space="preserve">the need for technical support in conjunction with the release of the </w:t>
      </w:r>
      <w:r w:rsidR="000F5AEE">
        <w:rPr>
          <w:sz w:val="24"/>
        </w:rPr>
        <w:t xml:space="preserve">functionality </w:t>
      </w:r>
      <w:r w:rsidRPr="00B106D6" w:rsidR="000F5AEE">
        <w:rPr>
          <w:sz w:val="24"/>
        </w:rPr>
        <w:t>specifications</w:t>
      </w:r>
      <w:r w:rsidRPr="00B106D6">
        <w:rPr>
          <w:sz w:val="24"/>
        </w:rPr>
        <w:t>, and later testing, which the agency estimates to take place soon after the applicability date. However, CMS notes the January 1, 2026</w:t>
      </w:r>
      <w:r w:rsidRPr="00B106D6" w:rsidR="006202BC">
        <w:rPr>
          <w:sz w:val="24"/>
        </w:rPr>
        <w:t>,</w:t>
      </w:r>
      <w:r w:rsidRPr="00B106D6">
        <w:rPr>
          <w:sz w:val="24"/>
        </w:rPr>
        <w:t xml:space="preserve"> applicability date does not refer to the date that the provider directory data </w:t>
      </w:r>
      <w:r w:rsidRPr="00B106D6" w:rsidR="00D83F49">
        <w:rPr>
          <w:sz w:val="24"/>
        </w:rPr>
        <w:t xml:space="preserve">supplied by MA organizations under this rule </w:t>
      </w:r>
      <w:r w:rsidRPr="00B106D6">
        <w:rPr>
          <w:sz w:val="24"/>
        </w:rPr>
        <w:t>will be available on MPF for use by the public.</w:t>
      </w:r>
    </w:p>
    <w:p w:rsidR="008E6A6F" w:rsidP="008E6A6F" w14:paraId="0EB01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2302E" w:rsidP="008E6A6F" w14:paraId="031F1066" w14:textId="3366ED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 xml:space="preserve">Regarding the attestation of the accuracy of the data provided by plans for use on MPF, CMS </w:t>
      </w:r>
      <w:r w:rsidR="001E341C">
        <w:rPr>
          <w:sz w:val="24"/>
        </w:rPr>
        <w:t xml:space="preserve">anticipates </w:t>
      </w:r>
      <w:r>
        <w:rPr>
          <w:sz w:val="24"/>
        </w:rPr>
        <w:t xml:space="preserve">the </w:t>
      </w:r>
      <w:r w:rsidR="00B61E87">
        <w:rPr>
          <w:sz w:val="24"/>
        </w:rPr>
        <w:t xml:space="preserve">ongoing </w:t>
      </w:r>
      <w:r>
        <w:rPr>
          <w:sz w:val="24"/>
        </w:rPr>
        <w:t>labor burden of the attestation will be an annual burden of one hour on the part of an officer of the MA organization</w:t>
      </w:r>
      <w:r w:rsidRPr="00825362">
        <w:rPr>
          <w:sz w:val="24"/>
        </w:rPr>
        <w:t>.</w:t>
      </w:r>
      <w:r w:rsidR="00B61E87">
        <w:rPr>
          <w:sz w:val="24"/>
        </w:rPr>
        <w:t xml:space="preserve"> In aggregate, </w:t>
      </w:r>
      <w:r w:rsidR="0023243F">
        <w:rPr>
          <w:sz w:val="24"/>
        </w:rPr>
        <w:t xml:space="preserve">CMS </w:t>
      </w:r>
      <w:r w:rsidR="00B61E87">
        <w:rPr>
          <w:sz w:val="24"/>
        </w:rPr>
        <w:t>estimate</w:t>
      </w:r>
      <w:r w:rsidR="0023243F">
        <w:rPr>
          <w:sz w:val="24"/>
        </w:rPr>
        <w:t>s</w:t>
      </w:r>
      <w:r w:rsidR="00B61E87">
        <w:rPr>
          <w:sz w:val="24"/>
        </w:rPr>
        <w:t xml:space="preserve"> an annual burden of </w:t>
      </w:r>
      <w:r w:rsidR="00B61E87">
        <w:rPr>
          <w:sz w:val="24"/>
        </w:rPr>
        <w:t>700 hours (700 plans * 1/hr/plan) at a cost of $176,974 (700 hr * $252.82/hr).</w:t>
      </w:r>
    </w:p>
    <w:p w:rsidR="008E6A6F" w:rsidP="008E6A6F" w14:paraId="6E596B3B" w14:textId="77777777">
      <w:pPr>
        <w:pStyle w:val="ListParagraph"/>
        <w:keepNext/>
        <w:tabs>
          <w:tab w:val="left" w:pos="566"/>
        </w:tabs>
        <w:ind w:left="0"/>
        <w:contextualSpacing w:val="0"/>
        <w:rPr>
          <w:i/>
          <w:sz w:val="24"/>
        </w:rPr>
      </w:pPr>
    </w:p>
    <w:p w:rsidR="00C376C2" w:rsidP="008E6A6F" w14:paraId="3BF2FCFC" w14:textId="15AECF75">
      <w:pPr>
        <w:pStyle w:val="ListParagraph"/>
        <w:keepNext/>
        <w:tabs>
          <w:tab w:val="left" w:pos="566"/>
        </w:tabs>
        <w:ind w:left="0"/>
        <w:contextualSpacing w:val="0"/>
        <w:rPr>
          <w:i/>
          <w:sz w:val="24"/>
        </w:rPr>
      </w:pPr>
      <w:r w:rsidRPr="00825362">
        <w:rPr>
          <w:i/>
          <w:sz w:val="24"/>
        </w:rPr>
        <w:t>Burden</w:t>
      </w:r>
      <w:r w:rsidRPr="00825362">
        <w:rPr>
          <w:i/>
          <w:spacing w:val="-3"/>
          <w:sz w:val="24"/>
        </w:rPr>
        <w:t xml:space="preserve"> </w:t>
      </w:r>
      <w:r w:rsidRPr="00825362">
        <w:rPr>
          <w:i/>
          <w:sz w:val="24"/>
        </w:rPr>
        <w:t>Summary</w:t>
      </w:r>
    </w:p>
    <w:p w:rsidR="008E6A6F" w:rsidRPr="00825362" w:rsidP="008E6A6F" w14:paraId="383D02F8" w14:textId="77777777">
      <w:pPr>
        <w:pStyle w:val="ListParagraph"/>
        <w:keepNext/>
        <w:tabs>
          <w:tab w:val="left" w:pos="566"/>
        </w:tabs>
        <w:ind w:left="0"/>
        <w:contextualSpacing w:val="0"/>
        <w:rPr>
          <w:i/>
        </w:rPr>
      </w:pPr>
    </w:p>
    <w:tbl>
      <w:tblPr>
        <w:tblDescription w:val="This table shows the breakdown of the total annual cost of the provision."/>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7"/>
        <w:gridCol w:w="1087"/>
        <w:gridCol w:w="1128"/>
        <w:gridCol w:w="1126"/>
        <w:gridCol w:w="1032"/>
        <w:gridCol w:w="1276"/>
        <w:gridCol w:w="1626"/>
        <w:gridCol w:w="1128"/>
      </w:tblGrid>
      <w:tr w14:paraId="10014116" w14:textId="77777777" w:rsidTr="0073344E">
        <w:tblPrEx>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64"/>
        </w:trPr>
        <w:tc>
          <w:tcPr>
            <w:tcW w:w="1067" w:type="dxa"/>
            <w:vAlign w:val="bottom"/>
          </w:tcPr>
          <w:p w:rsidR="0073344E" w:rsidRPr="00B5521B" w:rsidP="00A110B5" w14:paraId="5496557E" w14:textId="77777777">
            <w:pPr>
              <w:pStyle w:val="TableParagraph"/>
              <w:spacing w:line="240" w:lineRule="auto"/>
              <w:ind w:left="0"/>
              <w:rPr>
                <w:sz w:val="20"/>
                <w:szCs w:val="20"/>
              </w:rPr>
            </w:pPr>
            <w:r w:rsidRPr="00B5521B">
              <w:rPr>
                <w:sz w:val="20"/>
                <w:szCs w:val="20"/>
              </w:rPr>
              <w:t>Regulation</w:t>
            </w:r>
          </w:p>
          <w:p w:rsidR="0073344E" w:rsidRPr="00B5521B" w:rsidP="00A110B5" w14:paraId="265A9CB0" w14:textId="77777777">
            <w:pPr>
              <w:pStyle w:val="TableParagraph"/>
              <w:spacing w:line="240" w:lineRule="auto"/>
              <w:ind w:left="0"/>
              <w:rPr>
                <w:sz w:val="20"/>
                <w:szCs w:val="20"/>
              </w:rPr>
            </w:pPr>
            <w:r w:rsidRPr="00B5521B">
              <w:rPr>
                <w:sz w:val="20"/>
                <w:szCs w:val="20"/>
              </w:rPr>
              <w:t>Under Title 42 of the CFR</w:t>
            </w:r>
          </w:p>
        </w:tc>
        <w:tc>
          <w:tcPr>
            <w:tcW w:w="1087" w:type="dxa"/>
            <w:vAlign w:val="bottom"/>
          </w:tcPr>
          <w:p w:rsidR="0073344E" w:rsidRPr="00B5521B" w:rsidP="00A110B5" w14:paraId="7D39E493" w14:textId="77777777">
            <w:pPr>
              <w:pStyle w:val="TableParagraph"/>
              <w:spacing w:line="240" w:lineRule="auto"/>
              <w:ind w:left="0"/>
              <w:jc w:val="center"/>
              <w:rPr>
                <w:sz w:val="20"/>
                <w:szCs w:val="20"/>
              </w:rPr>
            </w:pPr>
            <w:r w:rsidRPr="00B5521B">
              <w:rPr>
                <w:sz w:val="20"/>
                <w:szCs w:val="20"/>
              </w:rPr>
              <w:t>Respondents</w:t>
            </w:r>
          </w:p>
        </w:tc>
        <w:tc>
          <w:tcPr>
            <w:tcW w:w="1128" w:type="dxa"/>
            <w:vAlign w:val="bottom"/>
          </w:tcPr>
          <w:p w:rsidR="0073344E" w:rsidRPr="00B5521B" w:rsidP="00A110B5" w14:paraId="3102D709" w14:textId="77777777">
            <w:pPr>
              <w:pStyle w:val="TableParagraph"/>
              <w:spacing w:line="240" w:lineRule="auto"/>
              <w:ind w:left="0"/>
              <w:jc w:val="center"/>
              <w:rPr>
                <w:sz w:val="20"/>
                <w:szCs w:val="20"/>
              </w:rPr>
            </w:pPr>
            <w:r w:rsidRPr="00B5521B">
              <w:rPr>
                <w:sz w:val="20"/>
                <w:szCs w:val="20"/>
              </w:rPr>
              <w:t>Responses</w:t>
            </w:r>
          </w:p>
          <w:p w:rsidR="0073344E" w:rsidRPr="00B5521B" w:rsidP="00A110B5" w14:paraId="55004305" w14:textId="77777777">
            <w:pPr>
              <w:pStyle w:val="TableParagraph"/>
              <w:spacing w:line="240" w:lineRule="auto"/>
              <w:ind w:left="0"/>
              <w:jc w:val="center"/>
              <w:rPr>
                <w:sz w:val="20"/>
                <w:szCs w:val="20"/>
              </w:rPr>
            </w:pPr>
            <w:r w:rsidRPr="00B5521B">
              <w:rPr>
                <w:sz w:val="20"/>
                <w:szCs w:val="20"/>
              </w:rPr>
              <w:t>(per respondent)</w:t>
            </w:r>
          </w:p>
        </w:tc>
        <w:tc>
          <w:tcPr>
            <w:tcW w:w="1126" w:type="dxa"/>
            <w:vAlign w:val="bottom"/>
          </w:tcPr>
          <w:p w:rsidR="0073344E" w:rsidRPr="00B5521B" w:rsidP="00A110B5" w14:paraId="0617ECFD" w14:textId="77777777">
            <w:pPr>
              <w:pStyle w:val="TableParagraph"/>
              <w:spacing w:line="240" w:lineRule="auto"/>
              <w:ind w:left="0"/>
              <w:jc w:val="center"/>
              <w:rPr>
                <w:sz w:val="20"/>
                <w:szCs w:val="20"/>
              </w:rPr>
            </w:pPr>
            <w:r w:rsidRPr="00B5521B">
              <w:rPr>
                <w:sz w:val="20"/>
                <w:szCs w:val="20"/>
              </w:rPr>
              <w:t>Total Responses</w:t>
            </w:r>
          </w:p>
        </w:tc>
        <w:tc>
          <w:tcPr>
            <w:tcW w:w="1032" w:type="dxa"/>
            <w:vAlign w:val="bottom"/>
          </w:tcPr>
          <w:p w:rsidR="0073344E" w:rsidRPr="00B5521B" w:rsidP="00A110B5" w14:paraId="5EEB550A" w14:textId="77777777">
            <w:pPr>
              <w:pStyle w:val="TableParagraph"/>
              <w:spacing w:line="240" w:lineRule="auto"/>
              <w:ind w:left="0"/>
              <w:jc w:val="center"/>
              <w:rPr>
                <w:sz w:val="20"/>
                <w:szCs w:val="20"/>
              </w:rPr>
            </w:pPr>
            <w:r w:rsidRPr="00B5521B">
              <w:rPr>
                <w:sz w:val="20"/>
                <w:szCs w:val="20"/>
              </w:rPr>
              <w:t>Time per Response</w:t>
            </w:r>
          </w:p>
        </w:tc>
        <w:tc>
          <w:tcPr>
            <w:tcW w:w="1276" w:type="dxa"/>
            <w:vAlign w:val="bottom"/>
          </w:tcPr>
          <w:p w:rsidR="0073344E" w:rsidRPr="00B5521B" w:rsidP="00A110B5" w14:paraId="052A4424" w14:textId="77777777">
            <w:pPr>
              <w:pStyle w:val="TableParagraph"/>
              <w:tabs>
                <w:tab w:val="left" w:pos="842"/>
              </w:tabs>
              <w:spacing w:line="240" w:lineRule="auto"/>
              <w:ind w:left="0"/>
              <w:jc w:val="center"/>
              <w:rPr>
                <w:sz w:val="20"/>
                <w:szCs w:val="20"/>
              </w:rPr>
            </w:pPr>
            <w:r w:rsidRPr="00B5521B">
              <w:rPr>
                <w:sz w:val="20"/>
                <w:szCs w:val="20"/>
              </w:rPr>
              <w:t xml:space="preserve">Total </w:t>
            </w:r>
            <w:r w:rsidRPr="00B5521B">
              <w:rPr>
                <w:spacing w:val="-1"/>
                <w:sz w:val="20"/>
                <w:szCs w:val="20"/>
              </w:rPr>
              <w:t xml:space="preserve">Annual Time </w:t>
            </w:r>
            <w:r w:rsidRPr="00B5521B">
              <w:rPr>
                <w:sz w:val="20"/>
                <w:szCs w:val="20"/>
              </w:rPr>
              <w:t>(hr)</w:t>
            </w:r>
          </w:p>
        </w:tc>
        <w:tc>
          <w:tcPr>
            <w:tcW w:w="1626" w:type="dxa"/>
            <w:vAlign w:val="bottom"/>
          </w:tcPr>
          <w:p w:rsidR="0073344E" w:rsidRPr="00B5521B" w:rsidP="00A110B5" w14:paraId="4184D4F2" w14:textId="77777777">
            <w:pPr>
              <w:pStyle w:val="TableParagraph"/>
              <w:spacing w:line="240" w:lineRule="auto"/>
              <w:ind w:left="0"/>
              <w:jc w:val="center"/>
              <w:rPr>
                <w:sz w:val="20"/>
                <w:szCs w:val="20"/>
              </w:rPr>
            </w:pPr>
            <w:r w:rsidRPr="00B5521B">
              <w:rPr>
                <w:sz w:val="20"/>
                <w:szCs w:val="20"/>
              </w:rPr>
              <w:t>Labor</w:t>
            </w:r>
          </w:p>
          <w:p w:rsidR="0073344E" w:rsidRPr="00B5521B" w:rsidP="00A110B5" w14:paraId="1FEA26C7" w14:textId="77777777">
            <w:pPr>
              <w:pStyle w:val="TableParagraph"/>
              <w:spacing w:line="240" w:lineRule="auto"/>
              <w:ind w:left="0"/>
              <w:jc w:val="center"/>
              <w:rPr>
                <w:sz w:val="20"/>
                <w:szCs w:val="20"/>
              </w:rPr>
            </w:pPr>
            <w:r w:rsidRPr="00B5521B">
              <w:rPr>
                <w:sz w:val="20"/>
                <w:szCs w:val="20"/>
              </w:rPr>
              <w:t>Rate ($/hr)</w:t>
            </w:r>
          </w:p>
        </w:tc>
        <w:tc>
          <w:tcPr>
            <w:tcW w:w="1128" w:type="dxa"/>
            <w:vAlign w:val="bottom"/>
          </w:tcPr>
          <w:p w:rsidR="0073344E" w:rsidRPr="00B5521B" w:rsidP="00A110B5" w14:paraId="74DE521E" w14:textId="77777777">
            <w:pPr>
              <w:pStyle w:val="TableParagraph"/>
              <w:spacing w:line="240" w:lineRule="auto"/>
              <w:ind w:left="0"/>
              <w:jc w:val="center"/>
              <w:rPr>
                <w:sz w:val="20"/>
                <w:szCs w:val="20"/>
              </w:rPr>
            </w:pPr>
            <w:r w:rsidRPr="00B5521B">
              <w:rPr>
                <w:sz w:val="20"/>
                <w:szCs w:val="20"/>
              </w:rPr>
              <w:t>Total Cost ($)</w:t>
            </w:r>
          </w:p>
        </w:tc>
      </w:tr>
      <w:tr w14:paraId="0703D3C7" w14:textId="77777777" w:rsidTr="00711228">
        <w:tblPrEx>
          <w:tblW w:w="9470" w:type="dxa"/>
          <w:tblLayout w:type="fixed"/>
          <w:tblCellMar>
            <w:left w:w="0" w:type="dxa"/>
            <w:right w:w="0" w:type="dxa"/>
          </w:tblCellMar>
          <w:tblLook w:val="01E0"/>
        </w:tblPrEx>
        <w:trPr>
          <w:trHeight w:hRule="exact" w:val="288"/>
        </w:trPr>
        <w:tc>
          <w:tcPr>
            <w:tcW w:w="9470" w:type="dxa"/>
            <w:gridSpan w:val="8"/>
            <w:vAlign w:val="bottom"/>
          </w:tcPr>
          <w:p w:rsidR="00E416BB" w:rsidRPr="00B5521B" w:rsidP="00A110B5" w14:paraId="74B60C53" w14:textId="2141C53B">
            <w:pPr>
              <w:pStyle w:val="TableParagraph"/>
              <w:spacing w:line="240" w:lineRule="auto"/>
              <w:ind w:left="0"/>
              <w:jc w:val="center"/>
              <w:rPr>
                <w:sz w:val="20"/>
                <w:szCs w:val="20"/>
              </w:rPr>
            </w:pPr>
            <w:r w:rsidRPr="00E416BB">
              <w:rPr>
                <w:sz w:val="20"/>
                <w:szCs w:val="20"/>
              </w:rPr>
              <w:t>Initial Computer System Formatting Requirement</w:t>
            </w:r>
          </w:p>
        </w:tc>
      </w:tr>
      <w:tr w14:paraId="5A746AA1" w14:textId="77777777" w:rsidTr="0073344E">
        <w:tblPrEx>
          <w:tblW w:w="9470" w:type="dxa"/>
          <w:tblLayout w:type="fixed"/>
          <w:tblCellMar>
            <w:left w:w="0" w:type="dxa"/>
            <w:right w:w="0" w:type="dxa"/>
          </w:tblCellMar>
          <w:tblLook w:val="01E0"/>
        </w:tblPrEx>
        <w:trPr>
          <w:trHeight w:hRule="exact" w:val="288"/>
        </w:trPr>
        <w:tc>
          <w:tcPr>
            <w:tcW w:w="1067" w:type="dxa"/>
            <w:vAlign w:val="bottom"/>
          </w:tcPr>
          <w:p w:rsidR="0073344E" w:rsidRPr="00B5521B" w:rsidP="00A110B5" w14:paraId="16A8857F" w14:textId="77777777">
            <w:pPr>
              <w:pStyle w:val="TableParagraph"/>
              <w:spacing w:line="240" w:lineRule="auto"/>
              <w:ind w:left="0"/>
              <w:rPr>
                <w:sz w:val="20"/>
                <w:szCs w:val="20"/>
              </w:rPr>
            </w:pPr>
            <w:r w:rsidRPr="00B5521B">
              <w:rPr>
                <w:sz w:val="20"/>
                <w:szCs w:val="20"/>
              </w:rPr>
              <w:t>422.111(m)</w:t>
            </w:r>
          </w:p>
        </w:tc>
        <w:tc>
          <w:tcPr>
            <w:tcW w:w="1087" w:type="dxa"/>
            <w:vAlign w:val="bottom"/>
          </w:tcPr>
          <w:p w:rsidR="0073344E" w:rsidRPr="00B5521B" w:rsidP="00A110B5" w14:paraId="5A16232B" w14:textId="77777777">
            <w:pPr>
              <w:pStyle w:val="TableParagraph"/>
              <w:spacing w:line="240" w:lineRule="auto"/>
              <w:ind w:left="0"/>
              <w:jc w:val="center"/>
              <w:rPr>
                <w:sz w:val="20"/>
                <w:szCs w:val="20"/>
              </w:rPr>
            </w:pPr>
            <w:r w:rsidRPr="00B5521B">
              <w:rPr>
                <w:sz w:val="20"/>
                <w:szCs w:val="20"/>
              </w:rPr>
              <w:t>700</w:t>
            </w:r>
          </w:p>
        </w:tc>
        <w:tc>
          <w:tcPr>
            <w:tcW w:w="1128" w:type="dxa"/>
            <w:vAlign w:val="bottom"/>
          </w:tcPr>
          <w:p w:rsidR="0073344E" w:rsidRPr="00B5521B" w:rsidP="00A110B5" w14:paraId="1E5004C9" w14:textId="77777777">
            <w:pPr>
              <w:pStyle w:val="TableParagraph"/>
              <w:spacing w:line="240" w:lineRule="auto"/>
              <w:ind w:left="0"/>
              <w:jc w:val="center"/>
              <w:rPr>
                <w:sz w:val="20"/>
                <w:szCs w:val="20"/>
              </w:rPr>
            </w:pPr>
            <w:r w:rsidRPr="00B5521B">
              <w:rPr>
                <w:sz w:val="20"/>
                <w:szCs w:val="20"/>
              </w:rPr>
              <w:t>1</w:t>
            </w:r>
          </w:p>
        </w:tc>
        <w:tc>
          <w:tcPr>
            <w:tcW w:w="1126" w:type="dxa"/>
            <w:vAlign w:val="bottom"/>
          </w:tcPr>
          <w:p w:rsidR="0073344E" w:rsidRPr="00B5521B" w:rsidP="00A110B5" w14:paraId="7ED45687" w14:textId="77777777">
            <w:pPr>
              <w:pStyle w:val="TableParagraph"/>
              <w:spacing w:line="240" w:lineRule="auto"/>
              <w:ind w:left="0"/>
              <w:jc w:val="center"/>
              <w:rPr>
                <w:sz w:val="20"/>
                <w:szCs w:val="20"/>
              </w:rPr>
            </w:pPr>
            <w:r w:rsidRPr="00B5521B">
              <w:rPr>
                <w:sz w:val="20"/>
                <w:szCs w:val="20"/>
              </w:rPr>
              <w:t>700</w:t>
            </w:r>
          </w:p>
        </w:tc>
        <w:tc>
          <w:tcPr>
            <w:tcW w:w="1032" w:type="dxa"/>
            <w:vAlign w:val="bottom"/>
          </w:tcPr>
          <w:p w:rsidR="0073344E" w:rsidRPr="00B5521B" w:rsidP="00A110B5" w14:paraId="33086C22" w14:textId="77777777">
            <w:pPr>
              <w:pStyle w:val="TableParagraph"/>
              <w:spacing w:line="240" w:lineRule="auto"/>
              <w:ind w:left="0"/>
              <w:jc w:val="center"/>
              <w:rPr>
                <w:sz w:val="20"/>
                <w:szCs w:val="20"/>
              </w:rPr>
            </w:pPr>
            <w:r w:rsidRPr="00B5521B">
              <w:rPr>
                <w:sz w:val="20"/>
                <w:szCs w:val="20"/>
              </w:rPr>
              <w:t>8 hr</w:t>
            </w:r>
          </w:p>
        </w:tc>
        <w:tc>
          <w:tcPr>
            <w:tcW w:w="1276" w:type="dxa"/>
            <w:vAlign w:val="bottom"/>
          </w:tcPr>
          <w:p w:rsidR="0073344E" w:rsidRPr="00B5521B" w:rsidP="00A110B5" w14:paraId="65292E30" w14:textId="77777777">
            <w:pPr>
              <w:pStyle w:val="TableParagraph"/>
              <w:spacing w:line="240" w:lineRule="auto"/>
              <w:ind w:left="0"/>
              <w:jc w:val="center"/>
              <w:rPr>
                <w:sz w:val="20"/>
                <w:szCs w:val="20"/>
              </w:rPr>
            </w:pPr>
            <w:r w:rsidRPr="00B5521B">
              <w:rPr>
                <w:sz w:val="20"/>
                <w:szCs w:val="20"/>
              </w:rPr>
              <w:t>5,600</w:t>
            </w:r>
          </w:p>
        </w:tc>
        <w:tc>
          <w:tcPr>
            <w:tcW w:w="1626" w:type="dxa"/>
            <w:vAlign w:val="bottom"/>
          </w:tcPr>
          <w:p w:rsidR="0073344E" w:rsidRPr="00B5521B" w:rsidP="00A110B5" w14:paraId="77DDDF78" w14:textId="77777777">
            <w:pPr>
              <w:pStyle w:val="TableParagraph"/>
              <w:spacing w:line="240" w:lineRule="auto"/>
              <w:ind w:left="0"/>
              <w:jc w:val="center"/>
              <w:rPr>
                <w:sz w:val="20"/>
                <w:szCs w:val="20"/>
              </w:rPr>
            </w:pPr>
            <w:r w:rsidRPr="00B5521B">
              <w:rPr>
                <w:sz w:val="20"/>
                <w:szCs w:val="20"/>
              </w:rPr>
              <w:t>99.66</w:t>
            </w:r>
          </w:p>
        </w:tc>
        <w:tc>
          <w:tcPr>
            <w:tcW w:w="1128" w:type="dxa"/>
            <w:vAlign w:val="bottom"/>
          </w:tcPr>
          <w:p w:rsidR="0073344E" w:rsidRPr="00B5521B" w:rsidP="00A110B5" w14:paraId="15D2FE59" w14:textId="77777777">
            <w:pPr>
              <w:pStyle w:val="TableParagraph"/>
              <w:spacing w:line="240" w:lineRule="auto"/>
              <w:ind w:left="0"/>
              <w:jc w:val="center"/>
              <w:rPr>
                <w:sz w:val="20"/>
                <w:szCs w:val="20"/>
              </w:rPr>
            </w:pPr>
            <w:r w:rsidRPr="00B5521B">
              <w:rPr>
                <w:sz w:val="20"/>
                <w:szCs w:val="20"/>
              </w:rPr>
              <w:t>558,096</w:t>
            </w:r>
          </w:p>
        </w:tc>
      </w:tr>
      <w:tr w14:paraId="1F0BD79B" w14:textId="77777777" w:rsidTr="00711228">
        <w:tblPrEx>
          <w:tblW w:w="9470" w:type="dxa"/>
          <w:tblLayout w:type="fixed"/>
          <w:tblCellMar>
            <w:left w:w="0" w:type="dxa"/>
            <w:right w:w="0" w:type="dxa"/>
          </w:tblCellMar>
          <w:tblLook w:val="01E0"/>
        </w:tblPrEx>
        <w:trPr>
          <w:trHeight w:hRule="exact" w:val="288"/>
        </w:trPr>
        <w:tc>
          <w:tcPr>
            <w:tcW w:w="9470" w:type="dxa"/>
            <w:gridSpan w:val="8"/>
            <w:vAlign w:val="bottom"/>
          </w:tcPr>
          <w:p w:rsidR="00E416BB" w:rsidRPr="00B5521B" w:rsidP="00A110B5" w14:paraId="2F9C6CEF" w14:textId="49FDDBEE">
            <w:pPr>
              <w:pStyle w:val="TableParagraph"/>
              <w:spacing w:line="240" w:lineRule="auto"/>
              <w:ind w:left="0"/>
              <w:jc w:val="center"/>
              <w:rPr>
                <w:sz w:val="20"/>
                <w:szCs w:val="20"/>
              </w:rPr>
            </w:pPr>
            <w:r w:rsidRPr="00E416BB">
              <w:rPr>
                <w:sz w:val="20"/>
                <w:szCs w:val="20"/>
              </w:rPr>
              <w:t>Annual Chief Officer Attestation Requirement</w:t>
            </w:r>
          </w:p>
        </w:tc>
      </w:tr>
      <w:tr w14:paraId="4AB27E60" w14:textId="77777777" w:rsidTr="0073344E">
        <w:tblPrEx>
          <w:tblW w:w="9470" w:type="dxa"/>
          <w:tblLayout w:type="fixed"/>
          <w:tblCellMar>
            <w:left w:w="0" w:type="dxa"/>
            <w:right w:w="0" w:type="dxa"/>
          </w:tblCellMar>
          <w:tblLook w:val="01E0"/>
        </w:tblPrEx>
        <w:trPr>
          <w:trHeight w:hRule="exact" w:val="288"/>
        </w:trPr>
        <w:tc>
          <w:tcPr>
            <w:tcW w:w="1067" w:type="dxa"/>
          </w:tcPr>
          <w:p w:rsidR="00E416BB" w:rsidRPr="00E416BB" w:rsidP="00A110B5" w14:paraId="6BA6E4E1" w14:textId="457D19C4">
            <w:pPr>
              <w:pStyle w:val="TableParagraph"/>
              <w:spacing w:line="240" w:lineRule="auto"/>
              <w:ind w:left="0"/>
              <w:rPr>
                <w:sz w:val="20"/>
                <w:szCs w:val="20"/>
              </w:rPr>
            </w:pPr>
            <w:r w:rsidRPr="00B5521B">
              <w:rPr>
                <w:sz w:val="20"/>
                <w:szCs w:val="20"/>
              </w:rPr>
              <w:t>422.111(m)</w:t>
            </w:r>
          </w:p>
        </w:tc>
        <w:tc>
          <w:tcPr>
            <w:tcW w:w="1087" w:type="dxa"/>
          </w:tcPr>
          <w:p w:rsidR="00E416BB" w:rsidRPr="00B5521B" w:rsidP="00A110B5" w14:paraId="7CA77E73" w14:textId="6B525708">
            <w:pPr>
              <w:pStyle w:val="TableParagraph"/>
              <w:spacing w:line="240" w:lineRule="auto"/>
              <w:ind w:left="0"/>
              <w:jc w:val="center"/>
              <w:rPr>
                <w:sz w:val="20"/>
                <w:szCs w:val="20"/>
              </w:rPr>
            </w:pPr>
            <w:r w:rsidRPr="00B5521B">
              <w:rPr>
                <w:iCs/>
                <w:sz w:val="20"/>
                <w:szCs w:val="20"/>
              </w:rPr>
              <w:t>700</w:t>
            </w:r>
          </w:p>
        </w:tc>
        <w:tc>
          <w:tcPr>
            <w:tcW w:w="1128" w:type="dxa"/>
          </w:tcPr>
          <w:p w:rsidR="00E416BB" w:rsidRPr="00B5521B" w:rsidP="00A110B5" w14:paraId="40AB0594" w14:textId="50E1BE26">
            <w:pPr>
              <w:pStyle w:val="TableParagraph"/>
              <w:spacing w:line="240" w:lineRule="auto"/>
              <w:ind w:left="0"/>
              <w:jc w:val="center"/>
              <w:rPr>
                <w:sz w:val="20"/>
                <w:szCs w:val="20"/>
              </w:rPr>
            </w:pPr>
            <w:r w:rsidRPr="00B5521B">
              <w:rPr>
                <w:iCs/>
                <w:sz w:val="20"/>
                <w:szCs w:val="20"/>
              </w:rPr>
              <w:t>1</w:t>
            </w:r>
          </w:p>
        </w:tc>
        <w:tc>
          <w:tcPr>
            <w:tcW w:w="1126" w:type="dxa"/>
          </w:tcPr>
          <w:p w:rsidR="00E416BB" w:rsidRPr="00B5521B" w:rsidP="00A110B5" w14:paraId="7C01C5B8" w14:textId="7F489589">
            <w:pPr>
              <w:pStyle w:val="TableParagraph"/>
              <w:spacing w:line="240" w:lineRule="auto"/>
              <w:ind w:left="0"/>
              <w:jc w:val="center"/>
              <w:rPr>
                <w:sz w:val="20"/>
                <w:szCs w:val="20"/>
              </w:rPr>
            </w:pPr>
            <w:r w:rsidRPr="00B5521B">
              <w:rPr>
                <w:iCs/>
                <w:sz w:val="20"/>
                <w:szCs w:val="20"/>
              </w:rPr>
              <w:t>700</w:t>
            </w:r>
          </w:p>
        </w:tc>
        <w:tc>
          <w:tcPr>
            <w:tcW w:w="1032" w:type="dxa"/>
          </w:tcPr>
          <w:p w:rsidR="00E416BB" w:rsidRPr="00B5521B" w:rsidP="00A110B5" w14:paraId="6B0B2491" w14:textId="1E9DB1E4">
            <w:pPr>
              <w:pStyle w:val="TableParagraph"/>
              <w:spacing w:line="240" w:lineRule="auto"/>
              <w:ind w:left="0"/>
              <w:jc w:val="center"/>
              <w:rPr>
                <w:sz w:val="20"/>
                <w:szCs w:val="20"/>
              </w:rPr>
            </w:pPr>
            <w:r w:rsidRPr="00B5521B">
              <w:rPr>
                <w:iCs/>
                <w:sz w:val="20"/>
                <w:szCs w:val="20"/>
              </w:rPr>
              <w:t>1 hr</w:t>
            </w:r>
          </w:p>
        </w:tc>
        <w:tc>
          <w:tcPr>
            <w:tcW w:w="1276" w:type="dxa"/>
          </w:tcPr>
          <w:p w:rsidR="00E416BB" w:rsidRPr="00B5521B" w:rsidP="00A110B5" w14:paraId="2586D147" w14:textId="22BE3AE4">
            <w:pPr>
              <w:pStyle w:val="TableParagraph"/>
              <w:spacing w:line="240" w:lineRule="auto"/>
              <w:ind w:left="0"/>
              <w:jc w:val="center"/>
              <w:rPr>
                <w:sz w:val="20"/>
                <w:szCs w:val="20"/>
              </w:rPr>
            </w:pPr>
            <w:r w:rsidRPr="00B5521B">
              <w:rPr>
                <w:iCs/>
                <w:sz w:val="20"/>
                <w:szCs w:val="20"/>
              </w:rPr>
              <w:t>700</w:t>
            </w:r>
          </w:p>
        </w:tc>
        <w:tc>
          <w:tcPr>
            <w:tcW w:w="1626" w:type="dxa"/>
          </w:tcPr>
          <w:p w:rsidR="00E416BB" w:rsidRPr="00B5521B" w:rsidP="00A110B5" w14:paraId="40175B59" w14:textId="76E6061B">
            <w:pPr>
              <w:pStyle w:val="TableParagraph"/>
              <w:spacing w:line="240" w:lineRule="auto"/>
              <w:ind w:left="0"/>
              <w:jc w:val="center"/>
              <w:rPr>
                <w:sz w:val="20"/>
                <w:szCs w:val="20"/>
              </w:rPr>
            </w:pPr>
            <w:r w:rsidRPr="00B5521B">
              <w:rPr>
                <w:iCs/>
                <w:sz w:val="20"/>
                <w:szCs w:val="20"/>
              </w:rPr>
              <w:t>252.82</w:t>
            </w:r>
          </w:p>
        </w:tc>
        <w:tc>
          <w:tcPr>
            <w:tcW w:w="1128" w:type="dxa"/>
          </w:tcPr>
          <w:p w:rsidR="00E416BB" w:rsidRPr="00B5521B" w:rsidP="00A110B5" w14:paraId="5B1834E8" w14:textId="71852C5F">
            <w:pPr>
              <w:pStyle w:val="TableParagraph"/>
              <w:spacing w:line="240" w:lineRule="auto"/>
              <w:ind w:left="0"/>
              <w:jc w:val="center"/>
              <w:rPr>
                <w:sz w:val="20"/>
                <w:szCs w:val="20"/>
              </w:rPr>
            </w:pPr>
            <w:r w:rsidRPr="00B5521B">
              <w:rPr>
                <w:iCs/>
                <w:sz w:val="20"/>
                <w:szCs w:val="20"/>
              </w:rPr>
              <w:t>176,974</w:t>
            </w:r>
          </w:p>
        </w:tc>
      </w:tr>
      <w:tr w14:paraId="7C9A1A74" w14:textId="77777777" w:rsidTr="0073344E">
        <w:tblPrEx>
          <w:tblW w:w="9470" w:type="dxa"/>
          <w:tblLayout w:type="fixed"/>
          <w:tblCellMar>
            <w:left w:w="0" w:type="dxa"/>
            <w:right w:w="0" w:type="dxa"/>
          </w:tblCellMar>
          <w:tblLook w:val="01E0"/>
        </w:tblPrEx>
        <w:trPr>
          <w:trHeight w:hRule="exact" w:val="288"/>
        </w:trPr>
        <w:tc>
          <w:tcPr>
            <w:tcW w:w="1067" w:type="dxa"/>
            <w:shd w:val="clear" w:color="auto" w:fill="F2F2F2" w:themeFill="background1" w:themeFillShade="F2"/>
            <w:vAlign w:val="bottom"/>
          </w:tcPr>
          <w:p w:rsidR="00E416BB" w:rsidRPr="00E416BB" w:rsidP="00A110B5" w14:paraId="41022E30" w14:textId="450A1486">
            <w:pPr>
              <w:pStyle w:val="TableParagraph"/>
              <w:spacing w:line="240" w:lineRule="auto"/>
              <w:ind w:left="0"/>
              <w:jc w:val="center"/>
              <w:rPr>
                <w:sz w:val="20"/>
                <w:szCs w:val="20"/>
              </w:rPr>
            </w:pPr>
            <w:r>
              <w:rPr>
                <w:sz w:val="20"/>
                <w:szCs w:val="20"/>
              </w:rPr>
              <w:t>TOTAL</w:t>
            </w:r>
          </w:p>
        </w:tc>
        <w:tc>
          <w:tcPr>
            <w:tcW w:w="1087" w:type="dxa"/>
            <w:shd w:val="clear" w:color="auto" w:fill="F2F2F2" w:themeFill="background1" w:themeFillShade="F2"/>
            <w:vAlign w:val="bottom"/>
          </w:tcPr>
          <w:p w:rsidR="00E416BB" w:rsidRPr="00B5521B" w:rsidP="00A110B5" w14:paraId="0BB2B751" w14:textId="3436670F">
            <w:pPr>
              <w:pStyle w:val="TableParagraph"/>
              <w:spacing w:line="240" w:lineRule="auto"/>
              <w:ind w:left="0"/>
              <w:jc w:val="center"/>
              <w:rPr>
                <w:sz w:val="20"/>
                <w:szCs w:val="20"/>
              </w:rPr>
            </w:pPr>
            <w:r>
              <w:rPr>
                <w:sz w:val="20"/>
                <w:szCs w:val="20"/>
              </w:rPr>
              <w:t>700</w:t>
            </w:r>
          </w:p>
        </w:tc>
        <w:tc>
          <w:tcPr>
            <w:tcW w:w="1128" w:type="dxa"/>
            <w:shd w:val="clear" w:color="auto" w:fill="F2F2F2" w:themeFill="background1" w:themeFillShade="F2"/>
            <w:vAlign w:val="bottom"/>
          </w:tcPr>
          <w:p w:rsidR="00E416BB" w:rsidRPr="00B5521B" w:rsidP="00A110B5" w14:paraId="622F43AA" w14:textId="261C851D">
            <w:pPr>
              <w:pStyle w:val="TableParagraph"/>
              <w:spacing w:line="240" w:lineRule="auto"/>
              <w:ind w:left="0"/>
              <w:jc w:val="center"/>
              <w:rPr>
                <w:sz w:val="20"/>
                <w:szCs w:val="20"/>
              </w:rPr>
            </w:pPr>
            <w:r>
              <w:rPr>
                <w:sz w:val="20"/>
                <w:szCs w:val="20"/>
              </w:rPr>
              <w:t>2</w:t>
            </w:r>
          </w:p>
        </w:tc>
        <w:tc>
          <w:tcPr>
            <w:tcW w:w="1126" w:type="dxa"/>
            <w:shd w:val="clear" w:color="auto" w:fill="F2F2F2" w:themeFill="background1" w:themeFillShade="F2"/>
            <w:vAlign w:val="bottom"/>
          </w:tcPr>
          <w:p w:rsidR="00E416BB" w:rsidRPr="00B5521B" w:rsidP="00A110B5" w14:paraId="4A43B529" w14:textId="017F87BF">
            <w:pPr>
              <w:pStyle w:val="TableParagraph"/>
              <w:spacing w:line="240" w:lineRule="auto"/>
              <w:ind w:left="0"/>
              <w:jc w:val="center"/>
              <w:rPr>
                <w:sz w:val="20"/>
                <w:szCs w:val="20"/>
              </w:rPr>
            </w:pPr>
            <w:r>
              <w:rPr>
                <w:sz w:val="20"/>
                <w:szCs w:val="20"/>
              </w:rPr>
              <w:t>1,400</w:t>
            </w:r>
          </w:p>
        </w:tc>
        <w:tc>
          <w:tcPr>
            <w:tcW w:w="1032" w:type="dxa"/>
            <w:shd w:val="clear" w:color="auto" w:fill="F2F2F2" w:themeFill="background1" w:themeFillShade="F2"/>
            <w:vAlign w:val="bottom"/>
          </w:tcPr>
          <w:p w:rsidR="00E416BB" w:rsidRPr="00B5521B" w:rsidP="00A110B5" w14:paraId="2289CF05" w14:textId="0BEFF6D6">
            <w:pPr>
              <w:pStyle w:val="TableParagraph"/>
              <w:spacing w:line="240" w:lineRule="auto"/>
              <w:ind w:left="0"/>
              <w:jc w:val="center"/>
              <w:rPr>
                <w:sz w:val="20"/>
                <w:szCs w:val="20"/>
              </w:rPr>
            </w:pPr>
            <w:r>
              <w:rPr>
                <w:sz w:val="20"/>
                <w:szCs w:val="20"/>
              </w:rPr>
              <w:t>varies</w:t>
            </w:r>
          </w:p>
        </w:tc>
        <w:tc>
          <w:tcPr>
            <w:tcW w:w="1276" w:type="dxa"/>
            <w:shd w:val="clear" w:color="auto" w:fill="F2F2F2" w:themeFill="background1" w:themeFillShade="F2"/>
            <w:vAlign w:val="bottom"/>
          </w:tcPr>
          <w:p w:rsidR="00E416BB" w:rsidRPr="00B5521B" w:rsidP="00A110B5" w14:paraId="1BD7C697" w14:textId="1ED9BDD7">
            <w:pPr>
              <w:pStyle w:val="TableParagraph"/>
              <w:spacing w:line="240" w:lineRule="auto"/>
              <w:ind w:left="0"/>
              <w:jc w:val="center"/>
              <w:rPr>
                <w:sz w:val="20"/>
                <w:szCs w:val="20"/>
              </w:rPr>
            </w:pPr>
            <w:r>
              <w:rPr>
                <w:sz w:val="20"/>
                <w:szCs w:val="20"/>
              </w:rPr>
              <w:t>6,300</w:t>
            </w:r>
          </w:p>
        </w:tc>
        <w:tc>
          <w:tcPr>
            <w:tcW w:w="1626" w:type="dxa"/>
            <w:shd w:val="clear" w:color="auto" w:fill="F2F2F2" w:themeFill="background1" w:themeFillShade="F2"/>
            <w:vAlign w:val="bottom"/>
          </w:tcPr>
          <w:p w:rsidR="00E416BB" w:rsidRPr="00B5521B" w:rsidP="00A110B5" w14:paraId="3FEA452E" w14:textId="3C69AAE0">
            <w:pPr>
              <w:pStyle w:val="TableParagraph"/>
              <w:spacing w:line="240" w:lineRule="auto"/>
              <w:ind w:left="0"/>
              <w:jc w:val="center"/>
              <w:rPr>
                <w:sz w:val="20"/>
                <w:szCs w:val="20"/>
              </w:rPr>
            </w:pPr>
            <w:r>
              <w:rPr>
                <w:sz w:val="20"/>
                <w:szCs w:val="20"/>
              </w:rPr>
              <w:t>varies</w:t>
            </w:r>
          </w:p>
        </w:tc>
        <w:tc>
          <w:tcPr>
            <w:tcW w:w="1128" w:type="dxa"/>
            <w:shd w:val="clear" w:color="auto" w:fill="F2F2F2" w:themeFill="background1" w:themeFillShade="F2"/>
            <w:vAlign w:val="bottom"/>
          </w:tcPr>
          <w:p w:rsidR="00E416BB" w:rsidRPr="00B5521B" w:rsidP="00A110B5" w14:paraId="196CC3A4" w14:textId="7E9E6503">
            <w:pPr>
              <w:pStyle w:val="TableParagraph"/>
              <w:spacing w:line="240" w:lineRule="auto"/>
              <w:ind w:left="0"/>
              <w:jc w:val="center"/>
              <w:rPr>
                <w:sz w:val="20"/>
                <w:szCs w:val="20"/>
              </w:rPr>
            </w:pPr>
            <w:r w:rsidRPr="00CA6AC5">
              <w:rPr>
                <w:sz w:val="20"/>
                <w:szCs w:val="20"/>
              </w:rPr>
              <w:t>735,070</w:t>
            </w:r>
          </w:p>
        </w:tc>
      </w:tr>
    </w:tbl>
    <w:p w:rsidR="00E8565C" w:rsidP="008E6A6F" w14:paraId="02A74F94" w14:textId="77777777">
      <w:pPr>
        <w:pStyle w:val="BodyText"/>
        <w:keepNext/>
        <w:rPr>
          <w:i/>
        </w:rPr>
      </w:pPr>
    </w:p>
    <w:p w:rsidR="00C376C2" w:rsidRPr="00FD175E" w:rsidP="008E6A6F" w14:paraId="24A8C87E" w14:textId="67E38109">
      <w:pPr>
        <w:pStyle w:val="BodyText"/>
        <w:keepNext/>
        <w:rPr>
          <w:i/>
        </w:rPr>
      </w:pPr>
      <w:r w:rsidRPr="00FD175E">
        <w:rPr>
          <w:i/>
        </w:rPr>
        <w:t>Information Collection Instruments and Instruction/Guidance Documents</w:t>
      </w:r>
    </w:p>
    <w:p w:rsidR="00170ABA" w:rsidP="008E6A6F" w14:paraId="40C2BB5F" w14:textId="77777777">
      <w:pPr>
        <w:pStyle w:val="BodyText"/>
        <w:keepNext/>
        <w:rPr>
          <w:i/>
        </w:rPr>
      </w:pPr>
    </w:p>
    <w:p w:rsidR="00D71BDB" w:rsidRPr="00A60CC2" w:rsidP="008E6A6F" w14:paraId="75D88EE3" w14:textId="465AD71D">
      <w:pPr>
        <w:pStyle w:val="BodyText"/>
        <w:keepNext/>
        <w:rPr>
          <w:iCs/>
        </w:rPr>
      </w:pPr>
      <w:r w:rsidRPr="00A60CC2">
        <w:rPr>
          <w:iCs/>
        </w:rPr>
        <w:t>CMS will publish a technical specification guide that will provide operational instructions for MA organizations to meet the new requirements. Th</w:t>
      </w:r>
      <w:r>
        <w:rPr>
          <w:iCs/>
        </w:rPr>
        <w:t>e</w:t>
      </w:r>
      <w:r w:rsidRPr="00A60CC2">
        <w:rPr>
          <w:iCs/>
        </w:rPr>
        <w:t xml:space="preserve"> guide will include the attestation language</w:t>
      </w:r>
      <w:r>
        <w:rPr>
          <w:iCs/>
        </w:rPr>
        <w:t xml:space="preserve"> and </w:t>
      </w:r>
      <w:r w:rsidRPr="00A60CC2">
        <w:rPr>
          <w:iCs/>
        </w:rPr>
        <w:t xml:space="preserve">will exist independently of this </w:t>
      </w:r>
      <w:r>
        <w:rPr>
          <w:iCs/>
        </w:rPr>
        <w:t>collection of information request</w:t>
      </w:r>
      <w:r w:rsidRPr="00A60CC2">
        <w:rPr>
          <w:iCs/>
        </w:rPr>
        <w:t>.</w:t>
      </w:r>
    </w:p>
    <w:p w:rsidR="00D71BDB" w:rsidRPr="00FD175E" w:rsidP="008E6A6F" w14:paraId="1AD6CE1A" w14:textId="77777777">
      <w:pPr>
        <w:pStyle w:val="BodyText"/>
        <w:keepNext/>
        <w:rPr>
          <w:i/>
        </w:rPr>
      </w:pPr>
    </w:p>
    <w:p w:rsidR="00D94338" w:rsidRPr="00825362" w:rsidP="008E6A6F" w14:paraId="470307AC" w14:textId="556EA864">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13.</w:t>
      </w:r>
      <w:r w:rsidRPr="00825362">
        <w:rPr>
          <w:sz w:val="24"/>
        </w:rPr>
        <w:tab/>
      </w:r>
      <w:r w:rsidRPr="00825362">
        <w:rPr>
          <w:b/>
          <w:bCs/>
          <w:sz w:val="24"/>
        </w:rPr>
        <w:tab/>
      </w:r>
      <w:r w:rsidRPr="00825362" w:rsidR="005C34CD">
        <w:rPr>
          <w:bCs/>
          <w:sz w:val="24"/>
          <w:u w:val="single"/>
        </w:rPr>
        <w:t>Capital Costs</w:t>
      </w:r>
      <w:r w:rsidRPr="00825362">
        <w:rPr>
          <w:sz w:val="24"/>
        </w:rPr>
        <w:tab/>
      </w:r>
    </w:p>
    <w:p w:rsidR="008E6A6F" w:rsidP="008E6A6F" w14:paraId="207165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6BE29002" w14:textId="3342B0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 xml:space="preserve">There are no anticipated </w:t>
      </w:r>
      <w:r w:rsidRPr="00825362">
        <w:rPr>
          <w:sz w:val="24"/>
        </w:rPr>
        <w:t xml:space="preserve">capital, start-up, </w:t>
      </w:r>
      <w:r w:rsidRPr="00825362" w:rsidR="00C414FF">
        <w:rPr>
          <w:sz w:val="24"/>
        </w:rPr>
        <w:t>and/</w:t>
      </w:r>
      <w:r w:rsidRPr="00825362">
        <w:rPr>
          <w:sz w:val="24"/>
        </w:rPr>
        <w:t>or operational costs resulting from the collection of this information.</w:t>
      </w:r>
      <w:r w:rsidRPr="00825362">
        <w:rPr>
          <w:sz w:val="24"/>
        </w:rPr>
        <w:tab/>
      </w:r>
    </w:p>
    <w:p w:rsidR="008E6A6F" w:rsidP="008E6A6F" w14:paraId="7CFD8EE0"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42AE2" w:rsidP="008E6A6F" w14:paraId="51A2A6A8" w14:textId="39513F7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42AE2">
        <w:rPr>
          <w:sz w:val="24"/>
        </w:rPr>
        <w:t>14.</w:t>
      </w:r>
      <w:r w:rsidRPr="00842AE2">
        <w:rPr>
          <w:sz w:val="24"/>
        </w:rPr>
        <w:tab/>
      </w:r>
      <w:r w:rsidRPr="00842AE2">
        <w:rPr>
          <w:sz w:val="24"/>
        </w:rPr>
        <w:tab/>
      </w:r>
      <w:r w:rsidRPr="00842AE2">
        <w:rPr>
          <w:sz w:val="24"/>
          <w:u w:val="single"/>
        </w:rPr>
        <w:t>Cost to the Federal Government</w:t>
      </w:r>
    </w:p>
    <w:p w:rsidR="008E6A6F" w:rsidRPr="00842AE2" w:rsidP="008E6A6F" w14:paraId="29702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42AE2" w:rsidP="008E6A6F" w14:paraId="23784872" w14:textId="265F19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42AE2">
        <w:rPr>
          <w:sz w:val="24"/>
        </w:rPr>
        <w:t>The estimated annual cost to the Federal Government</w:t>
      </w:r>
      <w:r w:rsidRPr="00842AE2" w:rsidR="00644B5B">
        <w:rPr>
          <w:sz w:val="24"/>
        </w:rPr>
        <w:t xml:space="preserve"> is not a part of this package as it is part of the maintenance cost of MPF</w:t>
      </w:r>
      <w:r w:rsidRPr="00842AE2">
        <w:rPr>
          <w:sz w:val="24"/>
        </w:rPr>
        <w:t>.</w:t>
      </w:r>
    </w:p>
    <w:p w:rsidR="008E6A6F" w:rsidRPr="00842AE2" w:rsidP="008E6A6F" w14:paraId="20634C63"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287754BD" w14:textId="4DD93216">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42AE2">
        <w:rPr>
          <w:sz w:val="24"/>
        </w:rPr>
        <w:t>15.</w:t>
      </w:r>
      <w:r w:rsidRPr="00842AE2">
        <w:rPr>
          <w:sz w:val="24"/>
        </w:rPr>
        <w:tab/>
      </w:r>
      <w:r w:rsidRPr="00842AE2">
        <w:rPr>
          <w:sz w:val="24"/>
          <w:u w:val="single"/>
        </w:rPr>
        <w:t>Program</w:t>
      </w:r>
      <w:r w:rsidRPr="00842AE2" w:rsidR="00821A35">
        <w:rPr>
          <w:sz w:val="24"/>
          <w:u w:val="single"/>
        </w:rPr>
        <w:t>/Burden</w:t>
      </w:r>
      <w:r w:rsidRPr="00842AE2">
        <w:rPr>
          <w:sz w:val="24"/>
          <w:u w:val="single"/>
        </w:rPr>
        <w:t xml:space="preserve"> Changes</w:t>
      </w:r>
      <w:r w:rsidRPr="00825362">
        <w:rPr>
          <w:sz w:val="24"/>
        </w:rPr>
        <w:tab/>
      </w:r>
    </w:p>
    <w:p w:rsidR="008E6A6F" w:rsidRPr="00DB2D5A" w:rsidP="008E6A6F" w14:paraId="7E0275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3D49B62D" w14:textId="01F4F0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B2D5A">
        <w:rPr>
          <w:sz w:val="24"/>
        </w:rPr>
        <w:t>Not applicable. There are no changes since t</w:t>
      </w:r>
      <w:r w:rsidRPr="00DB2D5A" w:rsidR="00374E5A">
        <w:rPr>
          <w:sz w:val="24"/>
        </w:rPr>
        <w:t>h</w:t>
      </w:r>
      <w:r w:rsidRPr="00DB2D5A">
        <w:rPr>
          <w:sz w:val="24"/>
        </w:rPr>
        <w:t>is is a new collection of information request.</w:t>
      </w:r>
    </w:p>
    <w:p w:rsidR="008E6A6F" w:rsidP="008E6A6F" w14:paraId="32C07BC5"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2AEC848C" w14:textId="3F54C96F">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16.</w:t>
      </w:r>
      <w:r w:rsidRPr="00825362">
        <w:rPr>
          <w:sz w:val="24"/>
        </w:rPr>
        <w:tab/>
      </w:r>
      <w:r w:rsidRPr="00825362">
        <w:rPr>
          <w:sz w:val="24"/>
          <w:u w:val="single"/>
        </w:rPr>
        <w:t>Publication and Tabulation Dates</w:t>
      </w:r>
    </w:p>
    <w:p w:rsidR="008E6A6F" w:rsidP="008E6A6F" w14:paraId="7ADE30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2FCA" w:rsidRPr="00825362" w:rsidP="008E6A6F" w14:paraId="492DCF1B" w14:textId="3CB6B7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 xml:space="preserve">In accordance with </w:t>
      </w:r>
      <w:r w:rsidR="0023243F">
        <w:rPr>
          <w:sz w:val="24"/>
        </w:rPr>
        <w:t>the</w:t>
      </w:r>
      <w:r w:rsidRPr="00825362" w:rsidR="0023243F">
        <w:rPr>
          <w:sz w:val="24"/>
        </w:rPr>
        <w:t xml:space="preserve"> </w:t>
      </w:r>
      <w:r w:rsidRPr="00825362">
        <w:rPr>
          <w:sz w:val="24"/>
        </w:rPr>
        <w:t xml:space="preserve">authority at section 1856(b) </w:t>
      </w:r>
      <w:r w:rsidRPr="004660F7" w:rsidR="004660F7">
        <w:rPr>
          <w:sz w:val="24"/>
        </w:rPr>
        <w:t xml:space="preserve">of the Act </w:t>
      </w:r>
      <w:r w:rsidRPr="00825362">
        <w:rPr>
          <w:sz w:val="24"/>
        </w:rPr>
        <w:t xml:space="preserve">to establish standards for the MA program, and the </w:t>
      </w:r>
      <w:r w:rsidR="00B410F4">
        <w:rPr>
          <w:sz w:val="24"/>
        </w:rPr>
        <w:t>provider directory requirements</w:t>
      </w:r>
      <w:r w:rsidRPr="00825362">
        <w:rPr>
          <w:sz w:val="24"/>
        </w:rPr>
        <w:t xml:space="preserve"> at </w:t>
      </w:r>
      <w:r w:rsidR="002B2FA0">
        <w:rPr>
          <w:sz w:val="24"/>
        </w:rPr>
        <w:t xml:space="preserve">section </w:t>
      </w:r>
      <w:r w:rsidR="00A4459F">
        <w:rPr>
          <w:sz w:val="24"/>
        </w:rPr>
        <w:t xml:space="preserve">1852(c)(1)(C) </w:t>
      </w:r>
      <w:r w:rsidRPr="004660F7" w:rsidR="004660F7">
        <w:rPr>
          <w:sz w:val="24"/>
        </w:rPr>
        <w:t xml:space="preserve">of the Act </w:t>
      </w:r>
      <w:r w:rsidR="00A4459F">
        <w:rPr>
          <w:sz w:val="24"/>
        </w:rPr>
        <w:t xml:space="preserve">and </w:t>
      </w:r>
      <w:r w:rsidRPr="00825362">
        <w:rPr>
          <w:sz w:val="24"/>
        </w:rPr>
        <w:t>§ 422.</w:t>
      </w:r>
      <w:r w:rsidR="00B410F4">
        <w:rPr>
          <w:sz w:val="24"/>
        </w:rPr>
        <w:t>111(b)(3)</w:t>
      </w:r>
      <w:r w:rsidRPr="00825362">
        <w:rPr>
          <w:sz w:val="24"/>
        </w:rPr>
        <w:t xml:space="preserve">, </w:t>
      </w:r>
      <w:bookmarkStart w:id="2" w:name="_Hlk210055061"/>
      <w:r w:rsidR="005A17DA">
        <w:rPr>
          <w:sz w:val="24"/>
        </w:rPr>
        <w:t xml:space="preserve">as well as the authority granted in </w:t>
      </w:r>
      <w:r w:rsidR="002B2FA0">
        <w:rPr>
          <w:sz w:val="24"/>
        </w:rPr>
        <w:t xml:space="preserve">section </w:t>
      </w:r>
      <w:r w:rsidR="005A17DA">
        <w:rPr>
          <w:sz w:val="24"/>
        </w:rPr>
        <w:t>1851(d)</w:t>
      </w:r>
      <w:r w:rsidR="004660F7">
        <w:rPr>
          <w:sz w:val="24"/>
        </w:rPr>
        <w:t xml:space="preserve"> </w:t>
      </w:r>
      <w:r w:rsidRPr="004660F7" w:rsidR="004660F7">
        <w:rPr>
          <w:sz w:val="24"/>
        </w:rPr>
        <w:t>of the Act</w:t>
      </w:r>
      <w:r w:rsidR="005A17DA">
        <w:rPr>
          <w:sz w:val="24"/>
        </w:rPr>
        <w:t xml:space="preserve">, </w:t>
      </w:r>
      <w:bookmarkEnd w:id="2"/>
      <w:r w:rsidRPr="00825362">
        <w:rPr>
          <w:sz w:val="24"/>
        </w:rPr>
        <w:t>CMS will require</w:t>
      </w:r>
      <w:r w:rsidR="00B410F4">
        <w:rPr>
          <w:sz w:val="24"/>
        </w:rPr>
        <w:t>, under a newly established 422.111(m)</w:t>
      </w:r>
      <w:r w:rsidR="006202BC">
        <w:rPr>
          <w:sz w:val="24"/>
        </w:rPr>
        <w:t>:</w:t>
      </w:r>
      <w:r w:rsidRPr="00825362">
        <w:rPr>
          <w:sz w:val="24"/>
        </w:rPr>
        <w:t xml:space="preserve"> </w:t>
      </w:r>
      <w:r w:rsidRPr="006202BC" w:rsidR="006202BC">
        <w:rPr>
          <w:sz w:val="24"/>
        </w:rPr>
        <w:t>(1) make the information described in § 422.111(b)(3)(i) available to CMS/HHS for publication online in accordance with guidance from CMS/HHS; (2) submit or otherwise make available their plan provider directory data, that is the requirements found under § 422.111(b)(3)(i), available to CMS/HHS in a format, manner, and timeframe determined by CMS/HHS; (3) update the information subject to § 422.111(m) within 30 days of the date an MA organization becomes aware of a change; and (4) attest, in a format and manner and at times determined by CMS/HHS, that all information submitted or otherwise made available to CMS/HHS under paragraph (m) is accurate.</w:t>
      </w:r>
      <w:r w:rsidR="00A75275">
        <w:rPr>
          <w:sz w:val="24"/>
        </w:rPr>
        <w:t xml:space="preserve"> </w:t>
      </w:r>
      <w:r w:rsidRPr="00825362">
        <w:rPr>
          <w:sz w:val="24"/>
        </w:rPr>
        <w:t xml:space="preserve">Updates to the provider directory data </w:t>
      </w:r>
      <w:r w:rsidRPr="00825362">
        <w:rPr>
          <w:sz w:val="24"/>
        </w:rPr>
        <w:t xml:space="preserve">made available to </w:t>
      </w:r>
      <w:r w:rsidR="006202BC">
        <w:rPr>
          <w:sz w:val="24"/>
        </w:rPr>
        <w:t>CMS</w:t>
      </w:r>
      <w:r w:rsidRPr="00825362" w:rsidR="006202BC">
        <w:rPr>
          <w:sz w:val="24"/>
        </w:rPr>
        <w:t xml:space="preserve"> </w:t>
      </w:r>
      <w:r w:rsidRPr="00825362">
        <w:rPr>
          <w:sz w:val="24"/>
        </w:rPr>
        <w:t>follow the current requirement that MA organizations must update their provider directories no later than 30 days after being notified of a change in provider information</w:t>
      </w:r>
      <w:r w:rsidR="006202BC">
        <w:rPr>
          <w:sz w:val="24"/>
        </w:rPr>
        <w:t>.</w:t>
      </w:r>
    </w:p>
    <w:p w:rsidR="008E6A6F" w:rsidP="008E6A6F" w14:paraId="5079156B"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63824313" w14:textId="390002D2">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17.</w:t>
      </w:r>
      <w:r w:rsidRPr="00825362">
        <w:rPr>
          <w:sz w:val="24"/>
        </w:rPr>
        <w:tab/>
      </w:r>
      <w:r w:rsidRPr="00825362">
        <w:rPr>
          <w:sz w:val="24"/>
          <w:u w:val="single"/>
        </w:rPr>
        <w:t>Expiration Date</w:t>
      </w:r>
    </w:p>
    <w:p w:rsidR="008E6A6F" w:rsidP="008E6A6F" w14:paraId="7E8DBA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2FCA" w:rsidRPr="00825362" w:rsidP="008E6A6F" w14:paraId="1A5FBDC3" w14:textId="50378F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The expiration date will be displayed.</w:t>
      </w:r>
    </w:p>
    <w:p w:rsidR="008E6A6F" w:rsidP="008E6A6F" w14:paraId="6990CE64"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30D8EFDA" w14:textId="1E2E1964">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18.</w:t>
      </w:r>
      <w:r w:rsidRPr="00825362">
        <w:rPr>
          <w:sz w:val="24"/>
        </w:rPr>
        <w:tab/>
      </w:r>
      <w:r w:rsidRPr="00825362">
        <w:rPr>
          <w:sz w:val="24"/>
          <w:u w:val="single"/>
        </w:rPr>
        <w:t xml:space="preserve">Certification Statement </w:t>
      </w:r>
    </w:p>
    <w:p w:rsidR="008E6A6F" w:rsidP="008E6A6F" w14:paraId="18B21A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0F082F5C" w14:textId="734AD3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No exception to item 19 on OMB Form 83-I is requested.</w:t>
      </w:r>
    </w:p>
    <w:p w:rsidR="008E6A6F" w:rsidP="008E6A6F" w14:paraId="2FE26BFB"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D94338" w:rsidRPr="00825362" w:rsidP="008E6A6F" w14:paraId="4D10E84F" w14:textId="03B41DA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825362">
        <w:rPr>
          <w:b/>
          <w:bCs/>
          <w:sz w:val="24"/>
        </w:rPr>
        <w:t>B</w:t>
      </w:r>
      <w:r w:rsidRPr="00825362">
        <w:rPr>
          <w:b/>
          <w:bCs/>
          <w:sz w:val="24"/>
        </w:rPr>
        <w:t>.</w:t>
      </w:r>
      <w:r w:rsidRPr="00825362">
        <w:rPr>
          <w:b/>
          <w:bCs/>
          <w:sz w:val="24"/>
        </w:rPr>
        <w:tab/>
        <w:t>Collection of Information Employing Statistical Methods</w:t>
      </w:r>
    </w:p>
    <w:p w:rsidR="008E6A6F" w:rsidP="008E6A6F" w14:paraId="0F9004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4338" w:rsidRPr="00825362" w:rsidP="008E6A6F" w14:paraId="3556FA52" w14:textId="1C554D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62">
        <w:rPr>
          <w:sz w:val="24"/>
        </w:rPr>
        <w:t xml:space="preserve">No formal data collection employing statistical methods will be done.  </w:t>
      </w:r>
      <w:r w:rsidRPr="00825362" w:rsidR="000C2EC9">
        <w:rPr>
          <w:sz w:val="24"/>
        </w:rPr>
        <w:t xml:space="preserve">CMS </w:t>
      </w:r>
      <w:r w:rsidRPr="00825362" w:rsidR="00134555">
        <w:rPr>
          <w:sz w:val="24"/>
        </w:rPr>
        <w:t xml:space="preserve">may </w:t>
      </w:r>
      <w:r w:rsidRPr="00825362">
        <w:rPr>
          <w:sz w:val="24"/>
        </w:rPr>
        <w:t xml:space="preserve">conduct statistical analysis of the data after it is </w:t>
      </w:r>
      <w:r w:rsidRPr="00825362" w:rsidR="00056AF1">
        <w:rPr>
          <w:sz w:val="24"/>
        </w:rPr>
        <w:t>entered</w:t>
      </w:r>
      <w:r w:rsidRPr="00825362">
        <w:rPr>
          <w:sz w:val="24"/>
        </w:rPr>
        <w:t xml:space="preserve"> into the system as needed for research purposes.</w:t>
      </w:r>
    </w:p>
    <w:p w:rsidR="00D94338" w:rsidRPr="00825362" w:rsidP="008E6A6F" w14:paraId="496F54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Sect="003B1B97">
      <w:footerReference w:type="default" r:id="rId9"/>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0045712"/>
      <w:docPartObj>
        <w:docPartGallery w:val="Page Numbers (Bottom of Page)"/>
        <w:docPartUnique/>
      </w:docPartObj>
    </w:sdtPr>
    <w:sdtEndPr>
      <w:rPr>
        <w:noProof/>
      </w:rPr>
    </w:sdtEndPr>
    <w:sdtContent>
      <w:p w:rsidR="000C7C5C" w14:paraId="18A70588" w14:textId="1500AE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75DA2"/>
    <w:multiLevelType w:val="hybridMultilevel"/>
    <w:tmpl w:val="BD04FA4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1CBF070A"/>
    <w:multiLevelType w:val="hybridMultilevel"/>
    <w:tmpl w:val="08BA23A6"/>
    <w:lvl w:ilvl="0">
      <w:start w:val="1"/>
      <w:numFmt w:val="decimal"/>
      <w:lvlText w:val="%1."/>
      <w:lvlJc w:val="left"/>
      <w:pPr>
        <w:ind w:left="720" w:hanging="72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B8C4493"/>
    <w:multiLevelType w:val="hybridMultilevel"/>
    <w:tmpl w:val="00285AE6"/>
    <w:lvl w:ilvl="0">
      <w:start w:val="0"/>
      <w:numFmt w:val="bullet"/>
      <w:lvlText w:val="•"/>
      <w:lvlJc w:val="left"/>
      <w:pPr>
        <w:ind w:left="556" w:hanging="432"/>
      </w:pPr>
      <w:rPr>
        <w:rFonts w:ascii="Arial" w:eastAsia="Arial" w:hAnsi="Arial" w:cs="Arial" w:hint="default"/>
        <w:w w:val="99"/>
        <w:sz w:val="24"/>
        <w:szCs w:val="24"/>
      </w:rPr>
    </w:lvl>
    <w:lvl w:ilvl="1">
      <w:start w:val="0"/>
      <w:numFmt w:val="bullet"/>
      <w:lvlText w:val="•"/>
      <w:lvlJc w:val="left"/>
      <w:pPr>
        <w:ind w:left="1514" w:hanging="432"/>
      </w:pPr>
      <w:rPr>
        <w:rFonts w:hint="default"/>
      </w:rPr>
    </w:lvl>
    <w:lvl w:ilvl="2">
      <w:start w:val="0"/>
      <w:numFmt w:val="bullet"/>
      <w:lvlText w:val="•"/>
      <w:lvlJc w:val="left"/>
      <w:pPr>
        <w:ind w:left="2468" w:hanging="432"/>
      </w:pPr>
      <w:rPr>
        <w:rFonts w:hint="default"/>
      </w:rPr>
    </w:lvl>
    <w:lvl w:ilvl="3">
      <w:start w:val="0"/>
      <w:numFmt w:val="bullet"/>
      <w:lvlText w:val="•"/>
      <w:lvlJc w:val="left"/>
      <w:pPr>
        <w:ind w:left="3422" w:hanging="432"/>
      </w:pPr>
      <w:rPr>
        <w:rFonts w:hint="default"/>
      </w:rPr>
    </w:lvl>
    <w:lvl w:ilvl="4">
      <w:start w:val="0"/>
      <w:numFmt w:val="bullet"/>
      <w:lvlText w:val="•"/>
      <w:lvlJc w:val="left"/>
      <w:pPr>
        <w:ind w:left="4376" w:hanging="432"/>
      </w:pPr>
      <w:rPr>
        <w:rFonts w:hint="default"/>
      </w:rPr>
    </w:lvl>
    <w:lvl w:ilvl="5">
      <w:start w:val="0"/>
      <w:numFmt w:val="bullet"/>
      <w:lvlText w:val="•"/>
      <w:lvlJc w:val="left"/>
      <w:pPr>
        <w:ind w:left="5330" w:hanging="432"/>
      </w:pPr>
      <w:rPr>
        <w:rFonts w:hint="default"/>
      </w:rPr>
    </w:lvl>
    <w:lvl w:ilvl="6">
      <w:start w:val="0"/>
      <w:numFmt w:val="bullet"/>
      <w:lvlText w:val="•"/>
      <w:lvlJc w:val="left"/>
      <w:pPr>
        <w:ind w:left="6284" w:hanging="432"/>
      </w:pPr>
      <w:rPr>
        <w:rFonts w:hint="default"/>
      </w:rPr>
    </w:lvl>
    <w:lvl w:ilvl="7">
      <w:start w:val="0"/>
      <w:numFmt w:val="bullet"/>
      <w:lvlText w:val="•"/>
      <w:lvlJc w:val="left"/>
      <w:pPr>
        <w:ind w:left="7238" w:hanging="432"/>
      </w:pPr>
      <w:rPr>
        <w:rFonts w:hint="default"/>
      </w:rPr>
    </w:lvl>
    <w:lvl w:ilvl="8">
      <w:start w:val="0"/>
      <w:numFmt w:val="bullet"/>
      <w:lvlText w:val="•"/>
      <w:lvlJc w:val="left"/>
      <w:pPr>
        <w:ind w:left="8192" w:hanging="432"/>
      </w:pPr>
      <w:rPr>
        <w:rFonts w:hint="default"/>
      </w:rPr>
    </w:lvl>
  </w:abstractNum>
  <w:abstractNum w:abstractNumId="3">
    <w:nsid w:val="2EDE3A8D"/>
    <w:multiLevelType w:val="hybridMultilevel"/>
    <w:tmpl w:val="EF341DEA"/>
    <w:lvl w:ilvl="0">
      <w:start w:val="5"/>
      <w:numFmt w:val="decimal"/>
      <w:lvlText w:val="%1."/>
      <w:lvlJc w:val="left"/>
      <w:pPr>
        <w:ind w:left="72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584576"/>
    <w:multiLevelType w:val="hybridMultilevel"/>
    <w:tmpl w:val="B3EE4122"/>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F094EC6"/>
    <w:multiLevelType w:val="hybridMultilevel"/>
    <w:tmpl w:val="72F4760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53DB49FC"/>
    <w:multiLevelType w:val="hybridMultilevel"/>
    <w:tmpl w:val="217277CC"/>
    <w:lvl w:ilvl="0">
      <w:start w:val="0"/>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58CD7F74"/>
    <w:multiLevelType w:val="hybridMultilevel"/>
    <w:tmpl w:val="B52AA0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673C53"/>
    <w:multiLevelType w:val="hybridMultilevel"/>
    <w:tmpl w:val="C8D4E918"/>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481007"/>
    <w:multiLevelType w:val="hybridMultilevel"/>
    <w:tmpl w:val="032C26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7B54252A"/>
    <w:multiLevelType w:val="hybridMultilevel"/>
    <w:tmpl w:val="A93AC360"/>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308365682">
    <w:abstractNumId w:val="5"/>
  </w:num>
  <w:num w:numId="2" w16cid:durableId="865868440">
    <w:abstractNumId w:val="10"/>
  </w:num>
  <w:num w:numId="3" w16cid:durableId="1811240708">
    <w:abstractNumId w:val="0"/>
  </w:num>
  <w:num w:numId="4" w16cid:durableId="2038040679">
    <w:abstractNumId w:val="6"/>
  </w:num>
  <w:num w:numId="5" w16cid:durableId="360209346">
    <w:abstractNumId w:val="7"/>
  </w:num>
  <w:num w:numId="6" w16cid:durableId="478688133">
    <w:abstractNumId w:val="8"/>
  </w:num>
  <w:num w:numId="7" w16cid:durableId="2144418983">
    <w:abstractNumId w:val="1"/>
  </w:num>
  <w:num w:numId="8" w16cid:durableId="1088379409">
    <w:abstractNumId w:val="2"/>
  </w:num>
  <w:num w:numId="9" w16cid:durableId="1185709669">
    <w:abstractNumId w:val="9"/>
  </w:num>
  <w:num w:numId="10" w16cid:durableId="578448872">
    <w:abstractNumId w:val="4"/>
  </w:num>
  <w:num w:numId="11" w16cid:durableId="874199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F"/>
    <w:rsid w:val="0001406B"/>
    <w:rsid w:val="000218B3"/>
    <w:rsid w:val="0002568C"/>
    <w:rsid w:val="00025800"/>
    <w:rsid w:val="000266E5"/>
    <w:rsid w:val="0003142A"/>
    <w:rsid w:val="00036B55"/>
    <w:rsid w:val="00056AF1"/>
    <w:rsid w:val="0006517E"/>
    <w:rsid w:val="00066265"/>
    <w:rsid w:val="00066B99"/>
    <w:rsid w:val="00067F36"/>
    <w:rsid w:val="000702BC"/>
    <w:rsid w:val="00070DB5"/>
    <w:rsid w:val="000727C0"/>
    <w:rsid w:val="00076C75"/>
    <w:rsid w:val="00095D5D"/>
    <w:rsid w:val="000A4CB8"/>
    <w:rsid w:val="000A4F69"/>
    <w:rsid w:val="000B66DE"/>
    <w:rsid w:val="000B6929"/>
    <w:rsid w:val="000B6A2E"/>
    <w:rsid w:val="000C247E"/>
    <w:rsid w:val="000C2EC9"/>
    <w:rsid w:val="000C306E"/>
    <w:rsid w:val="000C7C5C"/>
    <w:rsid w:val="000D1840"/>
    <w:rsid w:val="000D3A7A"/>
    <w:rsid w:val="000E04B3"/>
    <w:rsid w:val="000F424F"/>
    <w:rsid w:val="000F5AEE"/>
    <w:rsid w:val="0010157C"/>
    <w:rsid w:val="00111110"/>
    <w:rsid w:val="00111764"/>
    <w:rsid w:val="001160E6"/>
    <w:rsid w:val="00116703"/>
    <w:rsid w:val="00134534"/>
    <w:rsid w:val="00134555"/>
    <w:rsid w:val="00134F22"/>
    <w:rsid w:val="00142D48"/>
    <w:rsid w:val="001468A3"/>
    <w:rsid w:val="00150FDF"/>
    <w:rsid w:val="00161750"/>
    <w:rsid w:val="001648BD"/>
    <w:rsid w:val="00170ABA"/>
    <w:rsid w:val="00173DAD"/>
    <w:rsid w:val="001775B9"/>
    <w:rsid w:val="00177E01"/>
    <w:rsid w:val="0018088C"/>
    <w:rsid w:val="00183EFE"/>
    <w:rsid w:val="00195E28"/>
    <w:rsid w:val="001A19B9"/>
    <w:rsid w:val="001A4FB2"/>
    <w:rsid w:val="001B05F4"/>
    <w:rsid w:val="001B3ECF"/>
    <w:rsid w:val="001B57B0"/>
    <w:rsid w:val="001C28D4"/>
    <w:rsid w:val="001C2D56"/>
    <w:rsid w:val="001D1ADF"/>
    <w:rsid w:val="001D3563"/>
    <w:rsid w:val="001D6F9F"/>
    <w:rsid w:val="001D7304"/>
    <w:rsid w:val="001D790C"/>
    <w:rsid w:val="001E198A"/>
    <w:rsid w:val="001E1A6C"/>
    <w:rsid w:val="001E341C"/>
    <w:rsid w:val="001E5BF3"/>
    <w:rsid w:val="001E6B35"/>
    <w:rsid w:val="001F5713"/>
    <w:rsid w:val="00203D25"/>
    <w:rsid w:val="0020634B"/>
    <w:rsid w:val="00224DF6"/>
    <w:rsid w:val="0023243F"/>
    <w:rsid w:val="00232679"/>
    <w:rsid w:val="002371CB"/>
    <w:rsid w:val="00240472"/>
    <w:rsid w:val="00240C19"/>
    <w:rsid w:val="0024256D"/>
    <w:rsid w:val="0024450E"/>
    <w:rsid w:val="00246EE8"/>
    <w:rsid w:val="00252AE2"/>
    <w:rsid w:val="002633AE"/>
    <w:rsid w:val="00263754"/>
    <w:rsid w:val="002704F7"/>
    <w:rsid w:val="002706EB"/>
    <w:rsid w:val="0027192C"/>
    <w:rsid w:val="00271F30"/>
    <w:rsid w:val="00280122"/>
    <w:rsid w:val="00291587"/>
    <w:rsid w:val="002A2521"/>
    <w:rsid w:val="002A4442"/>
    <w:rsid w:val="002B0836"/>
    <w:rsid w:val="002B108D"/>
    <w:rsid w:val="002B2FA0"/>
    <w:rsid w:val="002B7CEE"/>
    <w:rsid w:val="002C024A"/>
    <w:rsid w:val="002C0824"/>
    <w:rsid w:val="002C2A58"/>
    <w:rsid w:val="002D1E68"/>
    <w:rsid w:val="002D60E5"/>
    <w:rsid w:val="002D6336"/>
    <w:rsid w:val="002D6F29"/>
    <w:rsid w:val="002F024D"/>
    <w:rsid w:val="002F5240"/>
    <w:rsid w:val="002F52AF"/>
    <w:rsid w:val="002F6FB7"/>
    <w:rsid w:val="002F77E0"/>
    <w:rsid w:val="00303B09"/>
    <w:rsid w:val="003055AB"/>
    <w:rsid w:val="00305D47"/>
    <w:rsid w:val="00306E3C"/>
    <w:rsid w:val="00311629"/>
    <w:rsid w:val="00311E41"/>
    <w:rsid w:val="003157A0"/>
    <w:rsid w:val="00321097"/>
    <w:rsid w:val="00322FCA"/>
    <w:rsid w:val="00323B06"/>
    <w:rsid w:val="00337C3C"/>
    <w:rsid w:val="003451EE"/>
    <w:rsid w:val="00350163"/>
    <w:rsid w:val="003513A4"/>
    <w:rsid w:val="00355A2F"/>
    <w:rsid w:val="00367687"/>
    <w:rsid w:val="00374E5A"/>
    <w:rsid w:val="0038454D"/>
    <w:rsid w:val="00386D3A"/>
    <w:rsid w:val="003A1F2E"/>
    <w:rsid w:val="003A26D8"/>
    <w:rsid w:val="003A6FF8"/>
    <w:rsid w:val="003B1B97"/>
    <w:rsid w:val="003B4CDE"/>
    <w:rsid w:val="003D0137"/>
    <w:rsid w:val="003D1526"/>
    <w:rsid w:val="003D1829"/>
    <w:rsid w:val="003D2F0B"/>
    <w:rsid w:val="003D7350"/>
    <w:rsid w:val="00404ADE"/>
    <w:rsid w:val="00416650"/>
    <w:rsid w:val="00417876"/>
    <w:rsid w:val="00431EFC"/>
    <w:rsid w:val="0043246E"/>
    <w:rsid w:val="004340EB"/>
    <w:rsid w:val="00435AB6"/>
    <w:rsid w:val="00441A31"/>
    <w:rsid w:val="00447DF0"/>
    <w:rsid w:val="00456CD1"/>
    <w:rsid w:val="00463D1B"/>
    <w:rsid w:val="00463FBD"/>
    <w:rsid w:val="004660F7"/>
    <w:rsid w:val="004725C7"/>
    <w:rsid w:val="004811B1"/>
    <w:rsid w:val="0048276F"/>
    <w:rsid w:val="004863B7"/>
    <w:rsid w:val="00486DCB"/>
    <w:rsid w:val="00486ECF"/>
    <w:rsid w:val="00490401"/>
    <w:rsid w:val="0049072F"/>
    <w:rsid w:val="0049125F"/>
    <w:rsid w:val="0049302F"/>
    <w:rsid w:val="004A0399"/>
    <w:rsid w:val="004A1DB5"/>
    <w:rsid w:val="004A2EAB"/>
    <w:rsid w:val="004A4D1B"/>
    <w:rsid w:val="004B710F"/>
    <w:rsid w:val="004E4647"/>
    <w:rsid w:val="004E6EA8"/>
    <w:rsid w:val="004F221A"/>
    <w:rsid w:val="0050439D"/>
    <w:rsid w:val="00515A80"/>
    <w:rsid w:val="0051641F"/>
    <w:rsid w:val="00520A23"/>
    <w:rsid w:val="00522B3E"/>
    <w:rsid w:val="00526F77"/>
    <w:rsid w:val="00533E1F"/>
    <w:rsid w:val="00541761"/>
    <w:rsid w:val="00551DA6"/>
    <w:rsid w:val="00566CE4"/>
    <w:rsid w:val="00570DEC"/>
    <w:rsid w:val="00570E12"/>
    <w:rsid w:val="005731D2"/>
    <w:rsid w:val="005863BA"/>
    <w:rsid w:val="00591675"/>
    <w:rsid w:val="005A17DA"/>
    <w:rsid w:val="005A1A3C"/>
    <w:rsid w:val="005A27D0"/>
    <w:rsid w:val="005A5A23"/>
    <w:rsid w:val="005B131A"/>
    <w:rsid w:val="005B3118"/>
    <w:rsid w:val="005B4E4F"/>
    <w:rsid w:val="005C0D18"/>
    <w:rsid w:val="005C34CD"/>
    <w:rsid w:val="005D44CA"/>
    <w:rsid w:val="005E573B"/>
    <w:rsid w:val="005E7FD9"/>
    <w:rsid w:val="00603249"/>
    <w:rsid w:val="00603340"/>
    <w:rsid w:val="006109CB"/>
    <w:rsid w:val="00613318"/>
    <w:rsid w:val="0061417C"/>
    <w:rsid w:val="00615EBC"/>
    <w:rsid w:val="006169D6"/>
    <w:rsid w:val="006202BC"/>
    <w:rsid w:val="0063244A"/>
    <w:rsid w:val="00633827"/>
    <w:rsid w:val="0063395F"/>
    <w:rsid w:val="00633FEC"/>
    <w:rsid w:val="00644B5B"/>
    <w:rsid w:val="00666D73"/>
    <w:rsid w:val="0067058A"/>
    <w:rsid w:val="006748D0"/>
    <w:rsid w:val="00675087"/>
    <w:rsid w:val="00681A2F"/>
    <w:rsid w:val="006A6003"/>
    <w:rsid w:val="006A735B"/>
    <w:rsid w:val="006B4871"/>
    <w:rsid w:val="006B5AC8"/>
    <w:rsid w:val="006C39EA"/>
    <w:rsid w:val="006C3EF2"/>
    <w:rsid w:val="006C416F"/>
    <w:rsid w:val="006C4F71"/>
    <w:rsid w:val="006D2102"/>
    <w:rsid w:val="006E2753"/>
    <w:rsid w:val="006E79B1"/>
    <w:rsid w:val="006F18E3"/>
    <w:rsid w:val="006F2C2C"/>
    <w:rsid w:val="006F4D9B"/>
    <w:rsid w:val="00700A7D"/>
    <w:rsid w:val="00711228"/>
    <w:rsid w:val="00712330"/>
    <w:rsid w:val="007139EE"/>
    <w:rsid w:val="0072427C"/>
    <w:rsid w:val="007275B3"/>
    <w:rsid w:val="0073344E"/>
    <w:rsid w:val="00734C98"/>
    <w:rsid w:val="00734D86"/>
    <w:rsid w:val="007432BE"/>
    <w:rsid w:val="007434E7"/>
    <w:rsid w:val="0074427D"/>
    <w:rsid w:val="0075300D"/>
    <w:rsid w:val="007550CB"/>
    <w:rsid w:val="007633DC"/>
    <w:rsid w:val="00771505"/>
    <w:rsid w:val="00774154"/>
    <w:rsid w:val="00774BBE"/>
    <w:rsid w:val="0078081E"/>
    <w:rsid w:val="00792F71"/>
    <w:rsid w:val="007A128E"/>
    <w:rsid w:val="007B3641"/>
    <w:rsid w:val="007C4B7A"/>
    <w:rsid w:val="007D256A"/>
    <w:rsid w:val="007D5B4E"/>
    <w:rsid w:val="007E46E2"/>
    <w:rsid w:val="007E4ECC"/>
    <w:rsid w:val="007F262C"/>
    <w:rsid w:val="007F659E"/>
    <w:rsid w:val="00800216"/>
    <w:rsid w:val="00800D28"/>
    <w:rsid w:val="00803CD5"/>
    <w:rsid w:val="00805156"/>
    <w:rsid w:val="008064C5"/>
    <w:rsid w:val="00810E34"/>
    <w:rsid w:val="00821A35"/>
    <w:rsid w:val="00825362"/>
    <w:rsid w:val="00825E4A"/>
    <w:rsid w:val="00825EA7"/>
    <w:rsid w:val="00831B52"/>
    <w:rsid w:val="0084244E"/>
    <w:rsid w:val="00842AE2"/>
    <w:rsid w:val="00847711"/>
    <w:rsid w:val="008534FF"/>
    <w:rsid w:val="0085450E"/>
    <w:rsid w:val="00865509"/>
    <w:rsid w:val="00872193"/>
    <w:rsid w:val="0088066B"/>
    <w:rsid w:val="00885CE7"/>
    <w:rsid w:val="0089037D"/>
    <w:rsid w:val="00891058"/>
    <w:rsid w:val="00893A62"/>
    <w:rsid w:val="008950F3"/>
    <w:rsid w:val="0089523D"/>
    <w:rsid w:val="008A289F"/>
    <w:rsid w:val="008B6C50"/>
    <w:rsid w:val="008B7A19"/>
    <w:rsid w:val="008B7AE1"/>
    <w:rsid w:val="008E2A71"/>
    <w:rsid w:val="008E37C3"/>
    <w:rsid w:val="008E6A6F"/>
    <w:rsid w:val="008F0996"/>
    <w:rsid w:val="008F76F0"/>
    <w:rsid w:val="008F798D"/>
    <w:rsid w:val="008F7DAA"/>
    <w:rsid w:val="008F7F3E"/>
    <w:rsid w:val="00910A69"/>
    <w:rsid w:val="00922C98"/>
    <w:rsid w:val="0092302E"/>
    <w:rsid w:val="00925966"/>
    <w:rsid w:val="009318A3"/>
    <w:rsid w:val="00933C3B"/>
    <w:rsid w:val="00936EA5"/>
    <w:rsid w:val="00942536"/>
    <w:rsid w:val="009425B1"/>
    <w:rsid w:val="009520F5"/>
    <w:rsid w:val="00954019"/>
    <w:rsid w:val="00960BDF"/>
    <w:rsid w:val="009616EB"/>
    <w:rsid w:val="00967C17"/>
    <w:rsid w:val="0097061B"/>
    <w:rsid w:val="00972D0F"/>
    <w:rsid w:val="00973AAA"/>
    <w:rsid w:val="009756FA"/>
    <w:rsid w:val="0097690E"/>
    <w:rsid w:val="009808DA"/>
    <w:rsid w:val="009816C8"/>
    <w:rsid w:val="00981C97"/>
    <w:rsid w:val="00991329"/>
    <w:rsid w:val="00994EC1"/>
    <w:rsid w:val="009965C5"/>
    <w:rsid w:val="009A038F"/>
    <w:rsid w:val="009A0A23"/>
    <w:rsid w:val="009A21DA"/>
    <w:rsid w:val="009A2B76"/>
    <w:rsid w:val="009A4C90"/>
    <w:rsid w:val="009B62C6"/>
    <w:rsid w:val="009C72DE"/>
    <w:rsid w:val="009D0CFC"/>
    <w:rsid w:val="009E0AAB"/>
    <w:rsid w:val="009E18F5"/>
    <w:rsid w:val="009E244E"/>
    <w:rsid w:val="009E5FC4"/>
    <w:rsid w:val="009F2E38"/>
    <w:rsid w:val="009F3991"/>
    <w:rsid w:val="009F7C83"/>
    <w:rsid w:val="00A100D8"/>
    <w:rsid w:val="00A110B5"/>
    <w:rsid w:val="00A15691"/>
    <w:rsid w:val="00A20A62"/>
    <w:rsid w:val="00A20EF0"/>
    <w:rsid w:val="00A247F3"/>
    <w:rsid w:val="00A25FCD"/>
    <w:rsid w:val="00A369C8"/>
    <w:rsid w:val="00A4459F"/>
    <w:rsid w:val="00A6012E"/>
    <w:rsid w:val="00A60643"/>
    <w:rsid w:val="00A60CC2"/>
    <w:rsid w:val="00A6129A"/>
    <w:rsid w:val="00A61CA9"/>
    <w:rsid w:val="00A63C25"/>
    <w:rsid w:val="00A75275"/>
    <w:rsid w:val="00A82CA8"/>
    <w:rsid w:val="00A848E6"/>
    <w:rsid w:val="00A86B80"/>
    <w:rsid w:val="00A87064"/>
    <w:rsid w:val="00A95D19"/>
    <w:rsid w:val="00A967FD"/>
    <w:rsid w:val="00AA5128"/>
    <w:rsid w:val="00AC365D"/>
    <w:rsid w:val="00AC73A9"/>
    <w:rsid w:val="00AC73DF"/>
    <w:rsid w:val="00AE4B6F"/>
    <w:rsid w:val="00AF0145"/>
    <w:rsid w:val="00B02E98"/>
    <w:rsid w:val="00B05BC1"/>
    <w:rsid w:val="00B106D6"/>
    <w:rsid w:val="00B10B5D"/>
    <w:rsid w:val="00B1786D"/>
    <w:rsid w:val="00B360F9"/>
    <w:rsid w:val="00B37253"/>
    <w:rsid w:val="00B410F4"/>
    <w:rsid w:val="00B4460A"/>
    <w:rsid w:val="00B44BF5"/>
    <w:rsid w:val="00B54511"/>
    <w:rsid w:val="00B5521B"/>
    <w:rsid w:val="00B61E87"/>
    <w:rsid w:val="00B628E1"/>
    <w:rsid w:val="00B769DF"/>
    <w:rsid w:val="00B80CD1"/>
    <w:rsid w:val="00B85F74"/>
    <w:rsid w:val="00B92FF1"/>
    <w:rsid w:val="00B97046"/>
    <w:rsid w:val="00BA0D59"/>
    <w:rsid w:val="00BA5DA7"/>
    <w:rsid w:val="00BA6A53"/>
    <w:rsid w:val="00BA73F0"/>
    <w:rsid w:val="00BB0B75"/>
    <w:rsid w:val="00BB5FBA"/>
    <w:rsid w:val="00BB6858"/>
    <w:rsid w:val="00BC4EA4"/>
    <w:rsid w:val="00BC62C5"/>
    <w:rsid w:val="00BD4E6A"/>
    <w:rsid w:val="00BD7FB3"/>
    <w:rsid w:val="00BE0834"/>
    <w:rsid w:val="00BE72C5"/>
    <w:rsid w:val="00BF1220"/>
    <w:rsid w:val="00BF5D0E"/>
    <w:rsid w:val="00C11825"/>
    <w:rsid w:val="00C13B08"/>
    <w:rsid w:val="00C13DE6"/>
    <w:rsid w:val="00C15830"/>
    <w:rsid w:val="00C20866"/>
    <w:rsid w:val="00C2517C"/>
    <w:rsid w:val="00C32EF8"/>
    <w:rsid w:val="00C376C2"/>
    <w:rsid w:val="00C414FF"/>
    <w:rsid w:val="00C42E82"/>
    <w:rsid w:val="00C45286"/>
    <w:rsid w:val="00C46159"/>
    <w:rsid w:val="00C472A6"/>
    <w:rsid w:val="00C5128F"/>
    <w:rsid w:val="00C53C96"/>
    <w:rsid w:val="00C55276"/>
    <w:rsid w:val="00C56E7D"/>
    <w:rsid w:val="00C628A6"/>
    <w:rsid w:val="00C66738"/>
    <w:rsid w:val="00C678E2"/>
    <w:rsid w:val="00C71014"/>
    <w:rsid w:val="00C7275C"/>
    <w:rsid w:val="00C730F3"/>
    <w:rsid w:val="00C7561D"/>
    <w:rsid w:val="00C812AC"/>
    <w:rsid w:val="00C91858"/>
    <w:rsid w:val="00C91AD2"/>
    <w:rsid w:val="00C968B1"/>
    <w:rsid w:val="00C96F65"/>
    <w:rsid w:val="00CA6AC5"/>
    <w:rsid w:val="00CB00ED"/>
    <w:rsid w:val="00CB0CF1"/>
    <w:rsid w:val="00CB563D"/>
    <w:rsid w:val="00CC0206"/>
    <w:rsid w:val="00CC5AC1"/>
    <w:rsid w:val="00CC5E46"/>
    <w:rsid w:val="00CD0175"/>
    <w:rsid w:val="00CE7EC3"/>
    <w:rsid w:val="00D0482E"/>
    <w:rsid w:val="00D0546B"/>
    <w:rsid w:val="00D15D99"/>
    <w:rsid w:val="00D248E2"/>
    <w:rsid w:val="00D31AAF"/>
    <w:rsid w:val="00D33623"/>
    <w:rsid w:val="00D41284"/>
    <w:rsid w:val="00D443C4"/>
    <w:rsid w:val="00D458F9"/>
    <w:rsid w:val="00D6008B"/>
    <w:rsid w:val="00D60FB8"/>
    <w:rsid w:val="00D71BDB"/>
    <w:rsid w:val="00D83F49"/>
    <w:rsid w:val="00D86504"/>
    <w:rsid w:val="00D94338"/>
    <w:rsid w:val="00DA4C36"/>
    <w:rsid w:val="00DA76CE"/>
    <w:rsid w:val="00DB2D5A"/>
    <w:rsid w:val="00DB5AE1"/>
    <w:rsid w:val="00DC00DB"/>
    <w:rsid w:val="00DC0F40"/>
    <w:rsid w:val="00DC76BC"/>
    <w:rsid w:val="00DD08FE"/>
    <w:rsid w:val="00DE0179"/>
    <w:rsid w:val="00DE1CE7"/>
    <w:rsid w:val="00DF19DA"/>
    <w:rsid w:val="00DF6B03"/>
    <w:rsid w:val="00E14838"/>
    <w:rsid w:val="00E15983"/>
    <w:rsid w:val="00E15AE8"/>
    <w:rsid w:val="00E21CF4"/>
    <w:rsid w:val="00E2257A"/>
    <w:rsid w:val="00E22DDF"/>
    <w:rsid w:val="00E23428"/>
    <w:rsid w:val="00E30C15"/>
    <w:rsid w:val="00E368CD"/>
    <w:rsid w:val="00E36E61"/>
    <w:rsid w:val="00E41236"/>
    <w:rsid w:val="00E416BB"/>
    <w:rsid w:val="00E43886"/>
    <w:rsid w:val="00E44276"/>
    <w:rsid w:val="00E454FE"/>
    <w:rsid w:val="00E50639"/>
    <w:rsid w:val="00E517ED"/>
    <w:rsid w:val="00E535EC"/>
    <w:rsid w:val="00E67E44"/>
    <w:rsid w:val="00E70FB5"/>
    <w:rsid w:val="00E80B6B"/>
    <w:rsid w:val="00E8489E"/>
    <w:rsid w:val="00E8565C"/>
    <w:rsid w:val="00E916E2"/>
    <w:rsid w:val="00E92C40"/>
    <w:rsid w:val="00EA3450"/>
    <w:rsid w:val="00EA7B54"/>
    <w:rsid w:val="00EB0CDF"/>
    <w:rsid w:val="00EC5ADA"/>
    <w:rsid w:val="00EE1C0D"/>
    <w:rsid w:val="00EE1E03"/>
    <w:rsid w:val="00EE2F54"/>
    <w:rsid w:val="00EF16E7"/>
    <w:rsid w:val="00EF5DE6"/>
    <w:rsid w:val="00EF771E"/>
    <w:rsid w:val="00F02315"/>
    <w:rsid w:val="00F02EB9"/>
    <w:rsid w:val="00F0449E"/>
    <w:rsid w:val="00F12AAF"/>
    <w:rsid w:val="00F12E23"/>
    <w:rsid w:val="00F15EE1"/>
    <w:rsid w:val="00F16E09"/>
    <w:rsid w:val="00F23100"/>
    <w:rsid w:val="00F31932"/>
    <w:rsid w:val="00F41BEC"/>
    <w:rsid w:val="00F441EE"/>
    <w:rsid w:val="00F44297"/>
    <w:rsid w:val="00F5316C"/>
    <w:rsid w:val="00F53177"/>
    <w:rsid w:val="00F539BE"/>
    <w:rsid w:val="00F54376"/>
    <w:rsid w:val="00F57DD8"/>
    <w:rsid w:val="00F632BA"/>
    <w:rsid w:val="00F74267"/>
    <w:rsid w:val="00F923BE"/>
    <w:rsid w:val="00F93BDB"/>
    <w:rsid w:val="00F94D0E"/>
    <w:rsid w:val="00F96B66"/>
    <w:rsid w:val="00FA4211"/>
    <w:rsid w:val="00FA4B33"/>
    <w:rsid w:val="00FB2F69"/>
    <w:rsid w:val="00FB664C"/>
    <w:rsid w:val="00FB689F"/>
    <w:rsid w:val="00FC0CE6"/>
    <w:rsid w:val="00FD1620"/>
    <w:rsid w:val="00FD175E"/>
    <w:rsid w:val="00FD19A4"/>
    <w:rsid w:val="00FD4D3C"/>
    <w:rsid w:val="00FE0DCC"/>
    <w:rsid w:val="00FE314D"/>
    <w:rsid w:val="00FE5478"/>
    <w:rsid w:val="00FF10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9294D1"/>
  <w15:chartTrackingRefBased/>
  <w15:docId w15:val="{43388A17-67DF-452E-9B8B-BBC08268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sid w:val="00C2517C"/>
    <w:rPr>
      <w:sz w:val="16"/>
      <w:szCs w:val="16"/>
    </w:rPr>
  </w:style>
  <w:style w:type="paragraph" w:styleId="CommentText">
    <w:name w:val="annotation text"/>
    <w:basedOn w:val="Normal"/>
    <w:semiHidden/>
    <w:rsid w:val="00C2517C"/>
    <w:rPr>
      <w:szCs w:val="20"/>
    </w:rPr>
  </w:style>
  <w:style w:type="paragraph" w:styleId="CommentSubject">
    <w:name w:val="annotation subject"/>
    <w:basedOn w:val="CommentText"/>
    <w:next w:val="CommentText"/>
    <w:semiHidden/>
    <w:rsid w:val="00C2517C"/>
    <w:rPr>
      <w:b/>
      <w:bCs/>
    </w:rPr>
  </w:style>
  <w:style w:type="paragraph" w:styleId="BalloonText">
    <w:name w:val="Balloon Text"/>
    <w:basedOn w:val="Normal"/>
    <w:semiHidden/>
    <w:rsid w:val="00C2517C"/>
    <w:rPr>
      <w:rFonts w:ascii="Tahoma" w:hAnsi="Tahoma" w:cs="Tahoma"/>
      <w:sz w:val="16"/>
      <w:szCs w:val="16"/>
    </w:rPr>
  </w:style>
  <w:style w:type="paragraph" w:styleId="Header">
    <w:name w:val="header"/>
    <w:basedOn w:val="Normal"/>
    <w:rsid w:val="00416650"/>
    <w:pPr>
      <w:tabs>
        <w:tab w:val="center" w:pos="4320"/>
        <w:tab w:val="right" w:pos="8640"/>
      </w:tabs>
    </w:pPr>
  </w:style>
  <w:style w:type="paragraph" w:styleId="Footer">
    <w:name w:val="footer"/>
    <w:basedOn w:val="Normal"/>
    <w:link w:val="FooterChar"/>
    <w:uiPriority w:val="99"/>
    <w:rsid w:val="00416650"/>
    <w:pPr>
      <w:tabs>
        <w:tab w:val="center" w:pos="4320"/>
        <w:tab w:val="right" w:pos="8640"/>
      </w:tabs>
    </w:pPr>
  </w:style>
  <w:style w:type="paragraph" w:styleId="ListParagraph">
    <w:name w:val="List Paragraph"/>
    <w:basedOn w:val="Normal"/>
    <w:uiPriority w:val="1"/>
    <w:qFormat/>
    <w:rsid w:val="00DC00DB"/>
    <w:pPr>
      <w:ind w:left="720"/>
      <w:contextualSpacing/>
    </w:pPr>
  </w:style>
  <w:style w:type="character" w:customStyle="1" w:styleId="FooterChar">
    <w:name w:val="Footer Char"/>
    <w:basedOn w:val="DefaultParagraphFont"/>
    <w:link w:val="Footer"/>
    <w:uiPriority w:val="99"/>
    <w:rsid w:val="000C7C5C"/>
    <w:rPr>
      <w:szCs w:val="24"/>
    </w:rPr>
  </w:style>
  <w:style w:type="paragraph" w:styleId="BodyText">
    <w:name w:val="Body Text"/>
    <w:basedOn w:val="Normal"/>
    <w:link w:val="BodyTextChar"/>
    <w:uiPriority w:val="1"/>
    <w:qFormat/>
    <w:rsid w:val="00BC62C5"/>
    <w:pPr>
      <w:adjustRightInd/>
    </w:pPr>
    <w:rPr>
      <w:sz w:val="24"/>
    </w:rPr>
  </w:style>
  <w:style w:type="character" w:customStyle="1" w:styleId="BodyTextChar">
    <w:name w:val="Body Text Char"/>
    <w:basedOn w:val="DefaultParagraphFont"/>
    <w:link w:val="BodyText"/>
    <w:uiPriority w:val="1"/>
    <w:rsid w:val="00BC62C5"/>
    <w:rPr>
      <w:sz w:val="24"/>
      <w:szCs w:val="24"/>
    </w:rPr>
  </w:style>
  <w:style w:type="paragraph" w:customStyle="1" w:styleId="TableParagraph">
    <w:name w:val="Table Paragraph"/>
    <w:basedOn w:val="Normal"/>
    <w:uiPriority w:val="1"/>
    <w:qFormat/>
    <w:rsid w:val="0010157C"/>
    <w:pPr>
      <w:adjustRightInd/>
      <w:spacing w:line="202" w:lineRule="exact"/>
      <w:ind w:left="103"/>
    </w:pPr>
    <w:rPr>
      <w:sz w:val="22"/>
      <w:szCs w:val="22"/>
    </w:rPr>
  </w:style>
  <w:style w:type="character" w:styleId="Hyperlink">
    <w:name w:val="Hyperlink"/>
    <w:basedOn w:val="DefaultParagraphFont"/>
    <w:uiPriority w:val="99"/>
    <w:unhideWhenUsed/>
    <w:rsid w:val="0010157C"/>
    <w:rPr>
      <w:color w:val="467886" w:themeColor="hyperlink"/>
      <w:u w:val="single"/>
    </w:rPr>
  </w:style>
  <w:style w:type="paragraph" w:styleId="Revision">
    <w:name w:val="Revision"/>
    <w:hidden/>
    <w:uiPriority w:val="99"/>
    <w:semiHidden/>
    <w:rsid w:val="00173DAD"/>
    <w:rPr>
      <w:szCs w:val="24"/>
    </w:rPr>
  </w:style>
  <w:style w:type="character" w:styleId="FollowedHyperlink">
    <w:name w:val="FollowedHyperlink"/>
    <w:basedOn w:val="DefaultParagraphFont"/>
    <w:rsid w:val="007432BE"/>
    <w:rPr>
      <w:color w:val="96607D" w:themeColor="followedHyperlink"/>
      <w:u w:val="single"/>
    </w:rPr>
  </w:style>
  <w:style w:type="character" w:styleId="UnresolvedMention">
    <w:name w:val="Unresolved Mention"/>
    <w:basedOn w:val="DefaultParagraphFont"/>
    <w:uiPriority w:val="99"/>
    <w:semiHidden/>
    <w:unhideWhenUsed/>
    <w:rsid w:val="002706EB"/>
    <w:rPr>
      <w:color w:val="605E5C"/>
      <w:shd w:val="clear" w:color="auto" w:fill="E1DFDD"/>
    </w:rPr>
  </w:style>
  <w:style w:type="table" w:styleId="TableGrid">
    <w:name w:val="Table Grid"/>
    <w:basedOn w:val="TableNormal"/>
    <w:uiPriority w:val="39"/>
    <w:rsid w:val="00CC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10" ma:contentTypeDescription="Create a new document." ma:contentTypeScope="" ma:versionID="e91c8097325bf51ffbfd62f54e524be1">
  <xsd:schema xmlns:xsd="http://www.w3.org/2001/XMLSchema" xmlns:xs="http://www.w3.org/2001/XMLSchema" xmlns:p="http://schemas.microsoft.com/office/2006/metadata/properties" xmlns:ns3="d02b7574-298d-4180-bdb3-baf93262dc8f" targetNamespace="http://schemas.microsoft.com/office/2006/metadata/properties" ma:root="true" ma:fieldsID="d0e6ea390ac006ad6ce0bb3b891b1659"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C9EA2-2857-40D5-98A7-79B6067B6CB8}">
  <ds:schemaRefs>
    <ds:schemaRef ds:uri="http://schemas.microsoft.com/office/2006/metadata/properties"/>
    <ds:schemaRef ds:uri="http://schemas.microsoft.com/office/infopath/2007/PartnerControls"/>
    <ds:schemaRef ds:uri="d02b7574-298d-4180-bdb3-baf93262dc8f"/>
  </ds:schemaRefs>
</ds:datastoreItem>
</file>

<file path=customXml/itemProps2.xml><?xml version="1.0" encoding="utf-8"?>
<ds:datastoreItem xmlns:ds="http://schemas.openxmlformats.org/officeDocument/2006/customXml" ds:itemID="{5C1B2491-B475-494F-B10C-AC63B238DE7F}">
  <ds:schemaRefs>
    <ds:schemaRef ds:uri="http://schemas.openxmlformats.org/officeDocument/2006/bibliography"/>
  </ds:schemaRefs>
</ds:datastoreItem>
</file>

<file path=customXml/itemProps3.xml><?xml version="1.0" encoding="utf-8"?>
<ds:datastoreItem xmlns:ds="http://schemas.openxmlformats.org/officeDocument/2006/customXml" ds:itemID="{8ABD4AED-7EDC-4C80-AD92-DC778B44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35CE-7DFF-49E3-ADB5-E73284717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2934</Words>
  <Characters>16792</Characters>
  <Application>Microsoft Office Word</Application>
  <DocSecurity>0</DocSecurity>
  <Lines>399</Lines>
  <Paragraphs>161</Paragraphs>
  <ScaleCrop>false</ScaleCrop>
  <HeadingPairs>
    <vt:vector size="2" baseType="variant">
      <vt:variant>
        <vt:lpstr>Title</vt:lpstr>
      </vt:variant>
      <vt:variant>
        <vt:i4>1</vt:i4>
      </vt:variant>
    </vt:vector>
  </HeadingPairs>
  <TitlesOfParts>
    <vt:vector size="1" baseType="lpstr">
      <vt:lpstr>Supporting Statement for CMS-R-257</vt:lpstr>
    </vt:vector>
  </TitlesOfParts>
  <Company>CMS</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CMS-R-257</dc:title>
  <dc:creator>CMS</dc:creator>
  <cp:lastModifiedBy>Bryman, Mitch (CMS/OSORA)</cp:lastModifiedBy>
  <cp:revision>19</cp:revision>
  <cp:lastPrinted>2008-07-10T14:03:00Z</cp:lastPrinted>
  <dcterms:created xsi:type="dcterms:W3CDTF">2026-01-16T14:36:00Z</dcterms:created>
  <dcterms:modified xsi:type="dcterms:W3CDTF">2026-01-29T18:31:00Z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_NewReviewCycle">
    <vt:lpwstr/>
  </property>
</Properties>
</file>