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67C8A" w:rsidRPr="006224F3" w:rsidP="00A67C8A" w14:paraId="10DD659E" w14:textId="085DCA7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224F3">
        <w:rPr>
          <w:rFonts w:ascii="Times New Roman" w:hAnsi="Times New Roman"/>
          <w:b/>
          <w:bCs/>
        </w:rPr>
        <w:t xml:space="preserve">Addendum to the </w:t>
      </w:r>
      <w:r w:rsidRPr="006224F3">
        <w:rPr>
          <w:rFonts w:ascii="Times New Roman" w:hAnsi="Times New Roman"/>
          <w:b/>
        </w:rPr>
        <w:t>Supporting Statement for Form SSA-</w:t>
      </w:r>
      <w:r>
        <w:rPr>
          <w:rFonts w:ascii="Times New Roman" w:hAnsi="Times New Roman"/>
          <w:b/>
        </w:rPr>
        <w:t xml:space="preserve"> 7004</w:t>
      </w:r>
    </w:p>
    <w:p w:rsidR="00A67C8A" w:rsidRPr="006224F3" w:rsidP="00A67C8A" w14:paraId="18901CE4" w14:textId="37C23FD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Request for Social Security Statement</w:t>
      </w:r>
    </w:p>
    <w:p w:rsidR="00A67C8A" w:rsidRPr="006224F3" w:rsidP="00A67C8A" w14:paraId="6BB11D09" w14:textId="21E21A51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224F3">
        <w:rPr>
          <w:rFonts w:ascii="Times New Roman" w:hAnsi="Times New Roman"/>
          <w:b/>
        </w:rPr>
        <w:t>20 CFR 404.</w:t>
      </w:r>
      <w:r>
        <w:rPr>
          <w:rFonts w:ascii="Times New Roman" w:hAnsi="Times New Roman"/>
          <w:b/>
        </w:rPr>
        <w:t>810</w:t>
      </w:r>
    </w:p>
    <w:p w:rsidR="00A67C8A" w:rsidP="00A67C8A" w14:paraId="04B3C3AE" w14:textId="13D47932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224F3">
        <w:rPr>
          <w:rFonts w:ascii="Times New Roman" w:hAnsi="Times New Roman"/>
          <w:b/>
        </w:rPr>
        <w:t>OMB No. 0960-</w:t>
      </w:r>
      <w:r>
        <w:rPr>
          <w:rFonts w:ascii="Times New Roman" w:hAnsi="Times New Roman"/>
          <w:b/>
        </w:rPr>
        <w:t>0466</w:t>
      </w:r>
    </w:p>
    <w:p w:rsidR="00DB29E0" w14:paraId="1094F0EE" w14:textId="77777777"/>
    <w:p w:rsidR="00A67C8A" w:rsidRPr="006224F3" w:rsidP="00A67C8A" w14:paraId="501C30FF" w14:textId="77777777">
      <w:pPr>
        <w:rPr>
          <w:rFonts w:ascii="Times New Roman" w:hAnsi="Times New Roman"/>
          <w:b/>
          <w:bCs/>
          <w:u w:val="single"/>
        </w:rPr>
      </w:pPr>
      <w:r w:rsidRPr="006224F3">
        <w:rPr>
          <w:rFonts w:ascii="Times New Roman" w:hAnsi="Times New Roman"/>
          <w:b/>
          <w:bCs/>
          <w:u w:val="single"/>
        </w:rPr>
        <w:t>Background</w:t>
      </w:r>
    </w:p>
    <w:p w:rsidR="00A67C8A" w14:paraId="5B9E31DA" w14:textId="77777777"/>
    <w:p w:rsidR="003E1E09" w:rsidRPr="003E1E09" w:rsidP="003E1E09" w14:paraId="2685AC2D" w14:textId="4FAC8A7D">
      <w:pPr>
        <w:autoSpaceDE w:val="0"/>
        <w:autoSpaceDN w:val="0"/>
        <w:adjustRightInd w:val="0"/>
        <w:rPr>
          <w:rFonts w:ascii="Times New Roman" w:hAnsi="Times New Roman"/>
          <w:iCs/>
        </w:rPr>
      </w:pPr>
      <w:r w:rsidRPr="003E1E09">
        <w:rPr>
          <w:rFonts w:ascii="Times New Roman" w:hAnsi="Times New Roman"/>
        </w:rPr>
        <w:t>SSA uses the information from Form SSA-7004 to identify a respondent’s Social Security earnings records; extract posted earnings information; calculate potential benefit estimates; produce the resulting Social Security statements; and mail them to the requesters.  The respondents are Social Security number (SSN) holders requesting information about their Social Security earnings records and estimates of their potential benefits.</w:t>
      </w:r>
      <w:r>
        <w:rPr>
          <w:rFonts w:ascii="Times New Roman" w:hAnsi="Times New Roman"/>
        </w:rPr>
        <w:t xml:space="preserve">  </w:t>
      </w:r>
      <w:r w:rsidRPr="003E1E09">
        <w:rPr>
          <w:rFonts w:ascii="Times New Roman" w:hAnsi="Times New Roman"/>
        </w:rPr>
        <w:t>An individual may complete and mail Form SSA-7004 to SSA to obtain a Statement of Earnings or Quarters of Coverage, or they may access their statement online using</w:t>
      </w:r>
      <w:r>
        <w:t xml:space="preserve"> </w:t>
      </w:r>
      <w:bookmarkStart w:id="0" w:name="_Hlk219177963"/>
      <w:r w:rsidRPr="00B91FAB">
        <w:rPr>
          <w:rFonts w:ascii="Georgia" w:hAnsi="Georgia"/>
          <w:i/>
          <w:iCs/>
          <w:color w:val="FF0000"/>
          <w:szCs w:val="20"/>
        </w:rPr>
        <w:t>my</w:t>
      </w:r>
      <w:r w:rsidRPr="00B91FAB">
        <w:rPr>
          <w:rFonts w:ascii="Calibri" w:hAnsi="Calibri"/>
          <w:szCs w:val="20"/>
        </w:rPr>
        <w:t> </w:t>
      </w:r>
      <w:r w:rsidRPr="00B91FAB">
        <w:rPr>
          <w:rFonts w:ascii="Georgia" w:hAnsi="Georgia"/>
          <w:color w:val="0054A6"/>
          <w:szCs w:val="20"/>
        </w:rPr>
        <w:t>Social Security</w:t>
      </w:r>
      <w:r>
        <w:rPr>
          <w:rFonts w:ascii="Georgia" w:hAnsi="Georgia"/>
          <w:color w:val="0054A6"/>
          <w:szCs w:val="20"/>
        </w:rPr>
        <w:t>.</w:t>
      </w:r>
      <w:bookmarkEnd w:id="0"/>
    </w:p>
    <w:p w:rsidR="003E1E09" w14:paraId="6A99BA1C" w14:textId="77777777"/>
    <w:p w:rsidR="00BF403C" w:rsidRPr="00BF403C" w:rsidP="00BF403C" w14:paraId="2FBD3F80" w14:textId="77777777">
      <w:pPr>
        <w:keepNext/>
        <w:keepLines/>
        <w:widowControl/>
        <w:snapToGrid/>
        <w:spacing w:before="360" w:after="80" w:line="259" w:lineRule="auto"/>
        <w:outlineLvl w:val="0"/>
        <w:rPr>
          <w:rFonts w:ascii="Times New Roman" w:hAnsi="Times New Roman" w:eastAsiaTheme="majorEastAsia"/>
          <w:b/>
          <w:bCs/>
          <w:color w:val="0F4761" w:themeColor="accent1" w:themeShade="BF"/>
          <w:kern w:val="2"/>
          <w:u w:val="single"/>
          <w14:ligatures w14:val="standardContextual"/>
        </w:rPr>
      </w:pPr>
      <w:bookmarkStart w:id="1" w:name="_Ref110000230"/>
      <w:r w:rsidRPr="00BF403C">
        <w:rPr>
          <w:rFonts w:ascii="Times New Roman" w:hAnsi="Times New Roman" w:eastAsiaTheme="majorEastAsia"/>
          <w:b/>
          <w:bCs/>
          <w:color w:val="000000" w:themeColor="text1"/>
          <w:kern w:val="2"/>
          <w:u w:val="single"/>
          <w14:ligatures w14:val="standardContextual"/>
        </w:rPr>
        <w:t>Terms of Clearance</w:t>
      </w:r>
      <w:bookmarkEnd w:id="1"/>
      <w:r w:rsidRPr="00BF403C">
        <w:rPr>
          <w:rFonts w:ascii="Times New Roman" w:hAnsi="Times New Roman" w:eastAsiaTheme="majorEastAsia"/>
          <w:b/>
          <w:bCs/>
          <w:color w:val="000000" w:themeColor="text1"/>
          <w:kern w:val="2"/>
          <w:u w:val="single"/>
          <w14:ligatures w14:val="standardContextual"/>
        </w:rPr>
        <w:t xml:space="preserve"> </w:t>
      </w:r>
    </w:p>
    <w:p w:rsidR="00BF403C" w14:paraId="0BC04CE6" w14:textId="77777777">
      <w:pPr>
        <w:rPr>
          <w:rFonts w:ascii="Times New Roman" w:hAnsi="Times New Roman"/>
          <w:b/>
          <w:bCs/>
          <w:u w:val="single"/>
        </w:rPr>
      </w:pPr>
    </w:p>
    <w:p w:rsidR="00BF403C" w:rsidP="00BF403C" w14:paraId="77AC720D" w14:textId="289F6935">
      <w:pPr>
        <w:widowControl/>
        <w:snapToGrid/>
        <w:rPr>
          <w:rFonts w:ascii="Times New Roman" w:hAnsi="Times New Roman"/>
        </w:rPr>
      </w:pPr>
      <w:r>
        <w:rPr>
          <w:rFonts w:ascii="Times New Roman" w:hAnsi="Times New Roman"/>
        </w:rPr>
        <w:t>OMB placed the following Terms of Clearance on this Information Collection when they last approved it on 4/25/23:</w:t>
      </w:r>
    </w:p>
    <w:p w:rsidR="00AF25BD" w14:paraId="7DB1ACFD" w14:textId="77777777">
      <w:pPr>
        <w:rPr>
          <w:rFonts w:ascii="Times New Roman" w:hAnsi="Times New Roman"/>
          <w:b/>
          <w:bCs/>
          <w:u w:val="single"/>
        </w:rPr>
      </w:pPr>
    </w:p>
    <w:p w:rsidR="00AF25BD" w:rsidP="00AF25BD" w14:paraId="3A55690A" w14:textId="688642FC">
      <w:pPr>
        <w:widowControl/>
        <w:autoSpaceDE w:val="0"/>
        <w:autoSpaceDN w:val="0"/>
        <w:adjustRightInd w:val="0"/>
        <w:snapToGrid/>
        <w:rPr>
          <w:rFonts w:ascii="Times New Roman" w:hAnsi="Times New Roman" w:eastAsiaTheme="minorHAnsi"/>
          <w14:ligatures w14:val="standardContextual"/>
        </w:rPr>
      </w:pPr>
      <w:r w:rsidRPr="00AF25BD">
        <w:rPr>
          <w:rFonts w:ascii="Times New Roman" w:hAnsi="Times New Roman" w:eastAsiaTheme="minorHAnsi"/>
          <w14:ligatures w14:val="standardContextual"/>
        </w:rPr>
        <w:t xml:space="preserve">Upon seeking triannual renewal, the agency will ensure that the service of requesting an earnings statement from </w:t>
      </w:r>
      <w:r w:rsidRPr="00B91FAB">
        <w:rPr>
          <w:rFonts w:ascii="Georgia" w:hAnsi="Georgia"/>
          <w:i/>
          <w:iCs/>
          <w:color w:val="FF0000"/>
          <w:szCs w:val="20"/>
        </w:rPr>
        <w:t>my</w:t>
      </w:r>
      <w:r w:rsidRPr="00B91FAB">
        <w:rPr>
          <w:rFonts w:ascii="Calibri" w:hAnsi="Calibri"/>
          <w:szCs w:val="20"/>
        </w:rPr>
        <w:t> </w:t>
      </w:r>
      <w:r w:rsidRPr="00B91FAB">
        <w:rPr>
          <w:rFonts w:ascii="Georgia" w:hAnsi="Georgia"/>
          <w:color w:val="0054A6"/>
          <w:szCs w:val="20"/>
        </w:rPr>
        <w:t>Social Security</w:t>
      </w:r>
      <w:r w:rsidR="004F6217">
        <w:rPr>
          <w:rFonts w:ascii="Georgia" w:hAnsi="Georgia"/>
          <w:color w:val="0054A6"/>
          <w:szCs w:val="20"/>
        </w:rPr>
        <w:t xml:space="preserve"> </w:t>
      </w:r>
      <w:r w:rsidRPr="00AF25BD">
        <w:rPr>
          <w:rFonts w:ascii="Times New Roman" w:hAnsi="Times New Roman" w:eastAsiaTheme="minorHAnsi"/>
          <w14:ligatures w14:val="standardContextual"/>
        </w:rPr>
        <w:t xml:space="preserve">is recorded as a separate instrument in ROCIS. </w:t>
      </w:r>
      <w:r w:rsidR="004F6217">
        <w:rPr>
          <w:rFonts w:ascii="Times New Roman" w:hAnsi="Times New Roman" w:eastAsiaTheme="minorHAnsi"/>
          <w14:ligatures w14:val="standardContextual"/>
        </w:rPr>
        <w:t xml:space="preserve"> </w:t>
      </w:r>
      <w:r w:rsidRPr="00AF25BD">
        <w:rPr>
          <w:rFonts w:ascii="Times New Roman" w:hAnsi="Times New Roman" w:eastAsiaTheme="minorHAnsi"/>
          <w14:ligatures w14:val="standardContextual"/>
        </w:rPr>
        <w:t>The purpose of this is to ensure that the agency is accurately capturing the fact that the Request for Earnings Statement can be completed fully electronically.</w:t>
      </w:r>
      <w:r w:rsidR="004F6217">
        <w:rPr>
          <w:rFonts w:ascii="Times New Roman" w:hAnsi="Times New Roman" w:eastAsiaTheme="minorHAnsi"/>
          <w14:ligatures w14:val="standardContextual"/>
        </w:rPr>
        <w:t xml:space="preserve">  </w:t>
      </w:r>
      <w:r w:rsidRPr="00AF25BD">
        <w:rPr>
          <w:rFonts w:ascii="Times New Roman" w:hAnsi="Times New Roman" w:eastAsiaTheme="minorHAnsi"/>
          <w14:ligatures w14:val="standardContextual"/>
        </w:rPr>
        <w:t>OMB suggests the burden for</w:t>
      </w:r>
      <w:r>
        <w:rPr>
          <w:rFonts w:ascii="Times New Roman" w:hAnsi="Times New Roman" w:eastAsiaTheme="minorHAnsi"/>
          <w14:ligatures w14:val="standardContextual"/>
        </w:rPr>
        <w:t xml:space="preserve"> </w:t>
      </w:r>
      <w:r w:rsidRPr="00AF25BD">
        <w:rPr>
          <w:rFonts w:ascii="Times New Roman" w:hAnsi="Times New Roman" w:eastAsiaTheme="minorHAnsi"/>
          <w14:ligatures w14:val="standardContextual"/>
        </w:rPr>
        <w:t xml:space="preserve">accessing earnings statements through </w:t>
      </w:r>
      <w:r w:rsidRPr="00B91FAB">
        <w:rPr>
          <w:rFonts w:ascii="Georgia" w:hAnsi="Georgia"/>
          <w:i/>
          <w:iCs/>
          <w:color w:val="FF0000"/>
          <w:szCs w:val="20"/>
        </w:rPr>
        <w:t>my</w:t>
      </w:r>
      <w:r w:rsidRPr="00B91FAB">
        <w:rPr>
          <w:rFonts w:ascii="Calibri" w:hAnsi="Calibri"/>
          <w:szCs w:val="20"/>
        </w:rPr>
        <w:t> </w:t>
      </w:r>
      <w:r w:rsidRPr="00B91FAB">
        <w:rPr>
          <w:rFonts w:ascii="Georgia" w:hAnsi="Georgia"/>
          <w:color w:val="0054A6"/>
          <w:szCs w:val="20"/>
        </w:rPr>
        <w:t>Social Security</w:t>
      </w:r>
      <w:r>
        <w:rPr>
          <w:rFonts w:ascii="Georgia" w:hAnsi="Georgia"/>
          <w:color w:val="0054A6"/>
          <w:szCs w:val="20"/>
        </w:rPr>
        <w:t xml:space="preserve"> </w:t>
      </w:r>
      <w:r w:rsidRPr="00AF25BD">
        <w:rPr>
          <w:rFonts w:ascii="Times New Roman" w:hAnsi="Times New Roman" w:eastAsiaTheme="minorHAnsi"/>
          <w14:ligatures w14:val="standardContextual"/>
        </w:rPr>
        <w:t>would be zero minutes as the burden</w:t>
      </w:r>
      <w:r>
        <w:rPr>
          <w:rFonts w:ascii="Times New Roman" w:hAnsi="Times New Roman" w:eastAsiaTheme="minorHAnsi"/>
          <w14:ligatures w14:val="standardContextual"/>
        </w:rPr>
        <w:t xml:space="preserve"> </w:t>
      </w:r>
      <w:r w:rsidRPr="00AF25BD">
        <w:rPr>
          <w:rFonts w:ascii="Times New Roman" w:hAnsi="Times New Roman" w:eastAsiaTheme="minorHAnsi"/>
          <w14:ligatures w14:val="standardContextual"/>
        </w:rPr>
        <w:t xml:space="preserve">associated with navigating </w:t>
      </w:r>
      <w:r w:rsidRPr="00B91FAB">
        <w:rPr>
          <w:rFonts w:ascii="Georgia" w:hAnsi="Georgia"/>
          <w:i/>
          <w:iCs/>
          <w:color w:val="FF0000"/>
          <w:szCs w:val="20"/>
        </w:rPr>
        <w:t>my</w:t>
      </w:r>
      <w:r w:rsidRPr="00B91FAB">
        <w:rPr>
          <w:rFonts w:ascii="Calibri" w:hAnsi="Calibri"/>
          <w:szCs w:val="20"/>
        </w:rPr>
        <w:t> </w:t>
      </w:r>
      <w:r w:rsidRPr="00B91FAB">
        <w:rPr>
          <w:rFonts w:ascii="Georgia" w:hAnsi="Georgia"/>
          <w:color w:val="0054A6"/>
          <w:szCs w:val="20"/>
        </w:rPr>
        <w:t>Social Security</w:t>
      </w:r>
      <w:r>
        <w:rPr>
          <w:rFonts w:ascii="Georgia" w:hAnsi="Georgia"/>
          <w:color w:val="0054A6"/>
          <w:szCs w:val="20"/>
        </w:rPr>
        <w:t xml:space="preserve"> </w:t>
      </w:r>
      <w:r w:rsidRPr="00AF25BD">
        <w:rPr>
          <w:rFonts w:ascii="Times New Roman" w:hAnsi="Times New Roman" w:eastAsiaTheme="minorHAnsi"/>
          <w14:ligatures w14:val="standardContextual"/>
        </w:rPr>
        <w:t>is already captured under separate OMB control numbers.</w:t>
      </w:r>
    </w:p>
    <w:p w:rsidR="00BF403C" w:rsidP="00AF25BD" w14:paraId="14BFFA4D" w14:textId="77777777">
      <w:pPr>
        <w:widowControl/>
        <w:autoSpaceDE w:val="0"/>
        <w:autoSpaceDN w:val="0"/>
        <w:adjustRightInd w:val="0"/>
        <w:snapToGrid/>
        <w:rPr>
          <w:rFonts w:ascii="Times New Roman" w:hAnsi="Times New Roman" w:eastAsiaTheme="minorHAnsi"/>
          <w14:ligatures w14:val="standardContextual"/>
        </w:rPr>
      </w:pPr>
    </w:p>
    <w:p w:rsidR="00BF403C" w:rsidP="00AF25BD" w14:paraId="19DCCE38" w14:textId="1915E39B">
      <w:pPr>
        <w:widowControl/>
        <w:autoSpaceDE w:val="0"/>
        <w:autoSpaceDN w:val="0"/>
        <w:adjustRightInd w:val="0"/>
        <w:snapToGrid/>
        <w:rPr>
          <w:rFonts w:ascii="Times New Roman" w:hAnsi="Times New Roman"/>
          <w:color w:val="0000FF"/>
        </w:rPr>
      </w:pPr>
      <w:r w:rsidRPr="00521A2B">
        <w:rPr>
          <w:rFonts w:ascii="Times New Roman" w:hAnsi="Times New Roman"/>
          <w:b/>
          <w:bCs/>
          <w:color w:val="0000FF"/>
        </w:rPr>
        <w:t>SSA Response:</w:t>
      </w:r>
      <w:r w:rsidR="004F6217">
        <w:rPr>
          <w:rFonts w:ascii="Times New Roman" w:hAnsi="Times New Roman"/>
          <w:b/>
          <w:bCs/>
          <w:color w:val="0000FF"/>
        </w:rPr>
        <w:t xml:space="preserve">  </w:t>
      </w:r>
      <w:r w:rsidRPr="004F6217" w:rsidR="004F6217">
        <w:rPr>
          <w:rFonts w:ascii="Times New Roman" w:hAnsi="Times New Roman"/>
          <w:color w:val="0000FF"/>
        </w:rPr>
        <w:t>Since</w:t>
      </w:r>
      <w:r w:rsidR="004F6217">
        <w:rPr>
          <w:rFonts w:ascii="Times New Roman" w:hAnsi="Times New Roman"/>
          <w:color w:val="0000FF"/>
        </w:rPr>
        <w:t xml:space="preserve"> OMB’s approval on April 25, 2023, SSA has removed the burden for electronic clearance as respondents can access their Earnings Statement through </w:t>
      </w:r>
      <w:r w:rsidRPr="00B91FAB" w:rsidR="004F6217">
        <w:rPr>
          <w:rFonts w:ascii="Georgia" w:hAnsi="Georgia"/>
          <w:i/>
          <w:iCs/>
          <w:color w:val="FF0000"/>
          <w:szCs w:val="20"/>
        </w:rPr>
        <w:t>my</w:t>
      </w:r>
      <w:r w:rsidRPr="00B91FAB" w:rsidR="004F6217">
        <w:rPr>
          <w:rFonts w:ascii="Calibri" w:hAnsi="Calibri"/>
          <w:szCs w:val="20"/>
        </w:rPr>
        <w:t> </w:t>
      </w:r>
      <w:r w:rsidRPr="00B91FAB" w:rsidR="004F6217">
        <w:rPr>
          <w:rFonts w:ascii="Georgia" w:hAnsi="Georgia"/>
          <w:color w:val="0054A6"/>
          <w:szCs w:val="20"/>
        </w:rPr>
        <w:t>Social Security</w:t>
      </w:r>
      <w:r w:rsidR="004F6217">
        <w:rPr>
          <w:rFonts w:ascii="Georgia" w:hAnsi="Georgia"/>
          <w:color w:val="0054A6"/>
          <w:szCs w:val="20"/>
        </w:rPr>
        <w:t xml:space="preserve"> </w:t>
      </w:r>
      <w:r w:rsidR="004F6217">
        <w:rPr>
          <w:rFonts w:ascii="Times New Roman" w:hAnsi="Times New Roman"/>
          <w:color w:val="0000FF"/>
        </w:rPr>
        <w:t>account without completing any forms.  There</w:t>
      </w:r>
      <w:r w:rsidR="00E42C26">
        <w:rPr>
          <w:rFonts w:ascii="Times New Roman" w:hAnsi="Times New Roman"/>
          <w:color w:val="0000FF"/>
        </w:rPr>
        <w:t xml:space="preserve">fore, we have removed that line from our </w:t>
      </w:r>
      <w:r w:rsidR="000D34D8">
        <w:rPr>
          <w:rFonts w:ascii="Times New Roman" w:hAnsi="Times New Roman"/>
          <w:color w:val="0000FF"/>
        </w:rPr>
        <w:t>chart,</w:t>
      </w:r>
      <w:r w:rsidR="00E42C26">
        <w:rPr>
          <w:rFonts w:ascii="Times New Roman" w:hAnsi="Times New Roman"/>
          <w:color w:val="0000FF"/>
        </w:rPr>
        <w:t xml:space="preserve"> and we only include the burden for only the paper copy of the Earnings Statement</w:t>
      </w:r>
      <w:r w:rsidR="00D73853">
        <w:rPr>
          <w:rFonts w:ascii="Times New Roman" w:hAnsi="Times New Roman"/>
          <w:color w:val="0000FF"/>
        </w:rPr>
        <w:t>.  In addition, we account for the burden for logging in and accessing the Socials Security Statement under our OMB approval for 0960-0789 (</w:t>
      </w:r>
      <w:r w:rsidR="00D73853">
        <w:rPr>
          <w:rFonts w:ascii="Times New Roman" w:hAnsi="Times New Roman"/>
          <w:color w:val="0000FF"/>
        </w:rPr>
        <w:t>eAccess</w:t>
      </w:r>
      <w:r w:rsidR="00D73853">
        <w:rPr>
          <w:rFonts w:ascii="Times New Roman" w:hAnsi="Times New Roman"/>
          <w:color w:val="0000FF"/>
        </w:rPr>
        <w:t>).  To avoid double</w:t>
      </w:r>
      <w:r w:rsidR="000D34D8">
        <w:rPr>
          <w:rFonts w:ascii="Times New Roman" w:hAnsi="Times New Roman"/>
          <w:color w:val="0000FF"/>
        </w:rPr>
        <w:noBreakHyphen/>
      </w:r>
      <w:r w:rsidR="00D73853">
        <w:rPr>
          <w:rFonts w:ascii="Times New Roman" w:hAnsi="Times New Roman"/>
          <w:color w:val="0000FF"/>
        </w:rPr>
        <w:t>counting of the process, we do not account for it here.</w:t>
      </w:r>
    </w:p>
    <w:p w:rsidR="00B51836" w:rsidP="00AF25BD" w14:paraId="786DDADD" w14:textId="77777777">
      <w:pPr>
        <w:widowControl/>
        <w:autoSpaceDE w:val="0"/>
        <w:autoSpaceDN w:val="0"/>
        <w:adjustRightInd w:val="0"/>
        <w:snapToGrid/>
        <w:rPr>
          <w:rFonts w:ascii="Times New Roman" w:hAnsi="Times New Roman"/>
          <w:color w:val="0000FF"/>
        </w:rPr>
      </w:pPr>
    </w:p>
    <w:p w:rsidR="00B51836" w:rsidP="00B51836" w14:paraId="61EA2AAE" w14:textId="2D054BD4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 to the Collection</w:t>
      </w:r>
      <w:r>
        <w:rPr>
          <w:rFonts w:ascii="Times New Roman" w:hAnsi="Times New Roman"/>
          <w:b/>
          <w:bCs/>
          <w:u w:val="single"/>
        </w:rPr>
        <w:t xml:space="preserve"> Instrument</w:t>
      </w:r>
    </w:p>
    <w:p w:rsidR="00B51836" w:rsidP="00B51836" w14:paraId="6F7430B2" w14:textId="77777777">
      <w:pPr>
        <w:rPr>
          <w:rFonts w:ascii="Times New Roman" w:hAnsi="Times New Roman"/>
          <w:b/>
          <w:bCs/>
          <w:u w:val="single"/>
        </w:rPr>
      </w:pPr>
    </w:p>
    <w:p w:rsidR="00B51836" w:rsidRPr="001F7AEC" w:rsidP="00B51836" w14:paraId="577D148C" w14:textId="22E7ADDA">
      <w:pPr>
        <w:rPr>
          <w:rFonts w:ascii="Times New Roman" w:hAnsi="Times New Roman"/>
          <w:bCs/>
        </w:rPr>
      </w:pPr>
      <w:r w:rsidRPr="001F7AEC">
        <w:rPr>
          <w:rFonts w:ascii="Times New Roman" w:hAnsi="Times New Roman"/>
          <w:bCs/>
        </w:rPr>
        <w:t>SSA is making the following revision:</w:t>
      </w:r>
    </w:p>
    <w:p w:rsidR="00B51836" w:rsidP="00AF25BD" w14:paraId="225AB824" w14:textId="77777777">
      <w:pPr>
        <w:widowControl/>
        <w:autoSpaceDE w:val="0"/>
        <w:autoSpaceDN w:val="0"/>
        <w:adjustRightInd w:val="0"/>
        <w:snapToGrid/>
        <w:rPr>
          <w:rFonts w:ascii="Times New Roman" w:hAnsi="Times New Roman"/>
          <w:color w:val="0000FF"/>
        </w:rPr>
      </w:pPr>
    </w:p>
    <w:p w:rsidR="00B51836" w:rsidP="00B51836" w14:paraId="39DB9162" w14:textId="33A55785">
      <w:pPr>
        <w:widowControl/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B51836" w:rsidP="00B51836" w14:paraId="37653937" w14:textId="77777777">
      <w:pPr>
        <w:widowControl/>
        <w:snapToGrid/>
        <w:ind w:left="360"/>
        <w:rPr>
          <w:rFonts w:ascii="Times New Roman" w:hAnsi="Times New Roman"/>
        </w:rPr>
      </w:pPr>
    </w:p>
    <w:p w:rsidR="00B51836" w:rsidRPr="00ED5E9D" w:rsidP="00B51836" w14:paraId="4150B9F0" w14:textId="59FFCF7B">
      <w:pPr>
        <w:widowControl/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 xml:space="preserve">Justification 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</w:t>
      </w:r>
      <w:r>
        <w:rPr>
          <w:rFonts w:ascii="Times New Roman" w:hAnsi="Times New Roman"/>
        </w:rPr>
        <w:t>is</w:t>
      </w:r>
      <w:r w:rsidRPr="00ED5E9D">
        <w:rPr>
          <w:rFonts w:ascii="Times New Roman" w:hAnsi="Times New Roman"/>
        </w:rPr>
        <w:t xml:space="preserve"> form.</w:t>
      </w:r>
    </w:p>
    <w:p w:rsidR="00B51836" w:rsidRPr="004F6217" w:rsidP="00AF25BD" w14:paraId="605F0F51" w14:textId="77777777">
      <w:pPr>
        <w:widowControl/>
        <w:autoSpaceDE w:val="0"/>
        <w:autoSpaceDN w:val="0"/>
        <w:adjustRightInd w:val="0"/>
        <w:snapToGrid/>
        <w:rPr>
          <w:rFonts w:ascii="Times New Roman" w:hAnsi="Times New Roman" w:eastAsiaTheme="minorHAnsi"/>
          <w14:ligatures w14:val="standardContextual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253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8A"/>
    <w:rsid w:val="000D34D8"/>
    <w:rsid w:val="000F5FCA"/>
    <w:rsid w:val="00185F60"/>
    <w:rsid w:val="001A5C19"/>
    <w:rsid w:val="001F7AEC"/>
    <w:rsid w:val="003E1E09"/>
    <w:rsid w:val="00444529"/>
    <w:rsid w:val="00457B68"/>
    <w:rsid w:val="004F6169"/>
    <w:rsid w:val="004F6217"/>
    <w:rsid w:val="00521A2B"/>
    <w:rsid w:val="006224F3"/>
    <w:rsid w:val="007B2DC4"/>
    <w:rsid w:val="00807D18"/>
    <w:rsid w:val="00865E56"/>
    <w:rsid w:val="00871415"/>
    <w:rsid w:val="009775DF"/>
    <w:rsid w:val="009B5521"/>
    <w:rsid w:val="009D177C"/>
    <w:rsid w:val="00A37A35"/>
    <w:rsid w:val="00A67C8A"/>
    <w:rsid w:val="00AB0C46"/>
    <w:rsid w:val="00AF25BD"/>
    <w:rsid w:val="00B40438"/>
    <w:rsid w:val="00B51836"/>
    <w:rsid w:val="00B85DBD"/>
    <w:rsid w:val="00B91FAB"/>
    <w:rsid w:val="00BF403C"/>
    <w:rsid w:val="00D73853"/>
    <w:rsid w:val="00DB29E0"/>
    <w:rsid w:val="00E1351C"/>
    <w:rsid w:val="00E42C26"/>
    <w:rsid w:val="00E77293"/>
    <w:rsid w:val="00ED5E9D"/>
    <w:rsid w:val="00F602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F05381"/>
  <w15:chartTrackingRefBased/>
  <w15:docId w15:val="{4FD24FC9-A870-4288-8CFC-98704CDF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C8A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8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73853"/>
    <w:pPr>
      <w:spacing w:after="0" w:line="240" w:lineRule="auto"/>
    </w:pPr>
    <w:rPr>
      <w:rFonts w:ascii="Courier" w:eastAsia="Times New Roman" w:hAnsi="Courier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Terms of Clearance 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OC/EOT</dc:creator>
  <cp:lastModifiedBy>LP/RRC</cp:lastModifiedBy>
  <cp:revision>2</cp:revision>
  <dcterms:created xsi:type="dcterms:W3CDTF">2026-04-29T10:35:00Z</dcterms:created>
  <dcterms:modified xsi:type="dcterms:W3CDTF">2026-04-29T10:35:00Z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119247532</vt:i4>
  </property>
  <property fmtid="{D5CDD505-2E9C-101B-9397-08002B2CF9AE}" pid="3" name="_AuthorEmail">
    <vt:lpwstr>Punita.Gupta@ssa.gov</vt:lpwstr>
  </property>
  <property fmtid="{D5CDD505-2E9C-101B-9397-08002B2CF9AE}" pid="4" name="_AuthorEmailDisplayName">
    <vt:lpwstr>Gupta, Punita   LP</vt:lpwstr>
  </property>
  <property fmtid="{D5CDD505-2E9C-101B-9397-08002B2CF9AE}" pid="5" name="_EmailSubject">
    <vt:lpwstr>FOR Your Review - OMB Clearance Package 0960-0466 - SSA-7004 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