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8D5B50" w14:paraId="406F2BAB" w14:textId="77777777">
      <w:pPr>
        <w:spacing w:after="0" w:line="240" w:lineRule="auto"/>
        <w:jc w:val="center"/>
        <w:rPr>
          <w:b/>
          <w:sz w:val="40"/>
        </w:rPr>
      </w:pPr>
    </w:p>
    <w:p w:rsidR="001D1C73" w:rsidRPr="009139B3" w:rsidP="008D5B50" w14:paraId="23B3F2E9" w14:textId="50A61240">
      <w:pPr>
        <w:pStyle w:val="ReportCover-Title"/>
        <w:spacing w:line="240" w:lineRule="auto"/>
        <w:jc w:val="center"/>
        <w:rPr>
          <w:rFonts w:ascii="Arial" w:hAnsi="Arial" w:cs="Arial"/>
          <w:color w:val="auto"/>
        </w:rPr>
      </w:pPr>
      <w:r w:rsidRPr="003A27ED">
        <w:rPr>
          <w:rFonts w:ascii="Arial" w:eastAsia="Arial Unicode MS" w:hAnsi="Arial" w:cs="Arial"/>
          <w:noProof/>
          <w:color w:val="auto"/>
        </w:rPr>
        <w:t>Evaluation</w:t>
      </w:r>
      <w:r>
        <w:rPr>
          <w:rFonts w:ascii="Arial" w:eastAsia="Arial Unicode MS" w:hAnsi="Arial" w:cs="Arial"/>
          <w:noProof/>
          <w:color w:val="auto"/>
        </w:rPr>
        <w:t xml:space="preserve"> of the</w:t>
      </w:r>
      <w:r w:rsidRPr="003A27ED">
        <w:rPr>
          <w:rFonts w:ascii="Arial" w:eastAsia="Arial Unicode MS" w:hAnsi="Arial" w:cs="Arial"/>
          <w:noProof/>
          <w:color w:val="auto"/>
        </w:rPr>
        <w:t xml:space="preserve"> </w:t>
      </w:r>
      <w:r w:rsidRPr="003A27ED" w:rsidR="003A27ED">
        <w:rPr>
          <w:rFonts w:ascii="Arial" w:eastAsia="Arial Unicode MS" w:hAnsi="Arial" w:cs="Arial"/>
          <w:noProof/>
          <w:color w:val="auto"/>
        </w:rPr>
        <w:t xml:space="preserve">Trafficking Victim Assistance Program (TVAP) and </w:t>
      </w:r>
      <w:r w:rsidR="00743845">
        <w:rPr>
          <w:rFonts w:ascii="Arial" w:eastAsia="Arial Unicode MS" w:hAnsi="Arial" w:cs="Arial"/>
          <w:noProof/>
          <w:color w:val="auto"/>
        </w:rPr>
        <w:t xml:space="preserve">Aspire: </w:t>
      </w:r>
      <w:r w:rsidRPr="003A27ED" w:rsidR="003A27ED">
        <w:rPr>
          <w:rFonts w:ascii="Arial" w:eastAsia="Arial Unicode MS" w:hAnsi="Arial" w:cs="Arial"/>
          <w:noProof/>
          <w:color w:val="auto"/>
        </w:rPr>
        <w:t>Child Trafficking Victim Assistance Program (Aspire)</w:t>
      </w:r>
    </w:p>
    <w:p w:rsidR="001D1C73" w:rsidRPr="009139B3" w:rsidP="008D5B50" w14:paraId="497A9C33" w14:textId="77777777">
      <w:pPr>
        <w:pStyle w:val="ReportCover-Title"/>
        <w:spacing w:line="240" w:lineRule="auto"/>
        <w:rPr>
          <w:rFonts w:ascii="Arial" w:hAnsi="Arial" w:cs="Arial"/>
          <w:color w:val="auto"/>
        </w:rPr>
      </w:pPr>
    </w:p>
    <w:p w:rsidR="001D1C73" w:rsidRPr="009139B3" w:rsidP="008D5B50" w14:paraId="7FC73C45" w14:textId="77777777">
      <w:pPr>
        <w:pStyle w:val="ReportCover-Title"/>
        <w:spacing w:line="240" w:lineRule="auto"/>
        <w:rPr>
          <w:rFonts w:ascii="Arial" w:hAnsi="Arial" w:cs="Arial"/>
          <w:color w:val="auto"/>
        </w:rPr>
      </w:pPr>
    </w:p>
    <w:p w:rsidR="001D1C73" w:rsidRPr="009139B3" w:rsidP="008D5B50" w14:paraId="19602AEA" w14:textId="77777777">
      <w:pPr>
        <w:pStyle w:val="ReportCover-Title"/>
        <w:spacing w:line="240" w:lineRule="auto"/>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8D5B50" w14:paraId="195B12A0" w14:textId="4A6BB8FC">
      <w:pPr>
        <w:pStyle w:val="ReportCover-Title"/>
        <w:spacing w:line="240" w:lineRule="auto"/>
        <w:jc w:val="center"/>
        <w:rPr>
          <w:rFonts w:ascii="Arial" w:hAnsi="Arial" w:cs="Arial"/>
          <w:color w:val="auto"/>
          <w:sz w:val="32"/>
          <w:szCs w:val="32"/>
        </w:rPr>
      </w:pPr>
      <w:r>
        <w:rPr>
          <w:rFonts w:ascii="Arial" w:hAnsi="Arial" w:cs="Arial"/>
          <w:color w:val="auto"/>
          <w:sz w:val="32"/>
          <w:szCs w:val="32"/>
        </w:rPr>
        <w:t>New Collection</w:t>
      </w:r>
    </w:p>
    <w:p w:rsidR="001D1C73" w:rsidRPr="009139B3" w:rsidP="008D5B50" w14:paraId="55E63FC4" w14:textId="77777777">
      <w:pPr>
        <w:spacing w:after="0" w:line="240" w:lineRule="auto"/>
        <w:rPr>
          <w:rFonts w:ascii="Arial" w:hAnsi="Arial" w:cs="Arial"/>
        </w:rPr>
      </w:pPr>
    </w:p>
    <w:p w:rsidR="001D1C73" w:rsidRPr="009139B3" w:rsidP="008D5B50" w14:paraId="7D293284" w14:textId="77777777">
      <w:pPr>
        <w:spacing w:after="0" w:line="240" w:lineRule="auto"/>
        <w:rPr>
          <w:rFonts w:ascii="Arial" w:hAnsi="Arial" w:cs="Arial"/>
        </w:rPr>
      </w:pPr>
    </w:p>
    <w:p w:rsidR="001D1C73" w:rsidRPr="009139B3" w:rsidP="008D5B50" w14:paraId="3083FCDF" w14:textId="77777777">
      <w:pPr>
        <w:spacing w:after="0" w:line="240" w:lineRule="auto"/>
        <w:rPr>
          <w:rFonts w:ascii="Arial" w:hAnsi="Arial" w:cs="Arial"/>
        </w:rPr>
      </w:pPr>
    </w:p>
    <w:p w:rsidR="001D1C73" w:rsidRPr="009139B3" w:rsidP="008D5B50" w14:paraId="5288C7DC" w14:textId="77777777">
      <w:pPr>
        <w:pStyle w:val="ReportCover-Date"/>
        <w:spacing w:after="0" w:line="240" w:lineRule="auto"/>
        <w:jc w:val="center"/>
        <w:rPr>
          <w:rFonts w:ascii="Arial" w:hAnsi="Arial" w:cs="Arial"/>
          <w:color w:val="auto"/>
        </w:rPr>
      </w:pPr>
    </w:p>
    <w:p w:rsidR="001D1C73" w:rsidRPr="009139B3" w:rsidP="008D5B50"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8D5B50"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8D5B50" w14:paraId="64DC89CC" w14:textId="77777777">
      <w:pPr>
        <w:pStyle w:val="ReportCover-Date"/>
        <w:spacing w:after="0" w:line="240" w:lineRule="auto"/>
        <w:rPr>
          <w:rFonts w:ascii="Arial" w:hAnsi="Arial" w:cs="Arial"/>
          <w:color w:val="auto"/>
        </w:rPr>
      </w:pPr>
    </w:p>
    <w:p w:rsidR="00A93035" w:rsidRPr="009139B3" w:rsidP="008D5B50" w14:paraId="77445DBC" w14:textId="77777777">
      <w:pPr>
        <w:pStyle w:val="ReportCover-Date"/>
        <w:spacing w:after="0" w:line="240" w:lineRule="auto"/>
        <w:jc w:val="center"/>
        <w:rPr>
          <w:rFonts w:ascii="Arial" w:hAnsi="Arial" w:cs="Arial"/>
          <w:color w:val="auto"/>
        </w:rPr>
      </w:pPr>
    </w:p>
    <w:p w:rsidR="00A93035" w:rsidRPr="009139B3" w:rsidP="008D5B50" w14:paraId="241FC0EC" w14:textId="77777777">
      <w:pPr>
        <w:pStyle w:val="ReportCover-Date"/>
        <w:spacing w:after="0" w:line="240" w:lineRule="auto"/>
        <w:jc w:val="center"/>
        <w:rPr>
          <w:rFonts w:ascii="Arial" w:hAnsi="Arial" w:cs="Arial"/>
          <w:color w:val="auto"/>
        </w:rPr>
      </w:pPr>
    </w:p>
    <w:p w:rsidR="001D1C73" w:rsidRPr="009139B3" w:rsidP="008D5B50" w14:paraId="25EC0787" w14:textId="79CA82D7">
      <w:pPr>
        <w:pStyle w:val="ReportCover-Date"/>
        <w:spacing w:after="0" w:line="240" w:lineRule="auto"/>
        <w:jc w:val="center"/>
        <w:rPr>
          <w:rFonts w:ascii="Arial" w:hAnsi="Arial" w:cs="Arial"/>
          <w:color w:val="auto"/>
        </w:rPr>
      </w:pPr>
      <w:bookmarkStart w:id="0" w:name="_Hlk205277148"/>
      <w:r>
        <w:rPr>
          <w:rFonts w:ascii="Arial" w:hAnsi="Arial" w:cs="Arial"/>
          <w:color w:val="auto"/>
        </w:rPr>
        <w:t xml:space="preserve">December </w:t>
      </w:r>
      <w:r w:rsidR="00E50A16">
        <w:rPr>
          <w:rFonts w:ascii="Arial" w:hAnsi="Arial" w:cs="Arial"/>
          <w:color w:val="auto"/>
        </w:rPr>
        <w:t>202</w:t>
      </w:r>
      <w:r w:rsidR="008A40E3">
        <w:rPr>
          <w:rFonts w:ascii="Arial" w:hAnsi="Arial" w:cs="Arial"/>
          <w:color w:val="auto"/>
        </w:rPr>
        <w:t>5</w:t>
      </w:r>
    </w:p>
    <w:bookmarkEnd w:id="0"/>
    <w:p w:rsidR="001D1C73" w:rsidRPr="009139B3" w:rsidP="008D5B50" w14:paraId="6AE99265" w14:textId="77777777">
      <w:pPr>
        <w:spacing w:after="0" w:line="240" w:lineRule="auto"/>
        <w:jc w:val="center"/>
        <w:rPr>
          <w:rFonts w:ascii="Arial" w:hAnsi="Arial" w:cs="Arial"/>
        </w:rPr>
      </w:pPr>
    </w:p>
    <w:p w:rsidR="001D1C73" w:rsidRPr="009139B3" w:rsidP="008D5B50" w14:paraId="1DA20A0E" w14:textId="77777777">
      <w:pPr>
        <w:spacing w:after="0" w:line="240" w:lineRule="auto"/>
        <w:jc w:val="center"/>
        <w:rPr>
          <w:rFonts w:ascii="Arial" w:hAnsi="Arial" w:cs="Arial"/>
        </w:rPr>
      </w:pPr>
    </w:p>
    <w:p w:rsidR="008A40E3" w:rsidP="008D5B50" w14:paraId="794C54F7" w14:textId="77777777">
      <w:pPr>
        <w:spacing w:line="240" w:lineRule="auto"/>
        <w:jc w:val="center"/>
        <w:rPr>
          <w:rFonts w:ascii="Arial" w:eastAsia="Arial" w:hAnsi="Arial" w:cs="Arial"/>
          <w:sz w:val="32"/>
          <w:szCs w:val="32"/>
        </w:rPr>
      </w:pPr>
      <w:r w:rsidRPr="071209E9">
        <w:rPr>
          <w:rFonts w:ascii="Arial" w:eastAsia="Arial" w:hAnsi="Arial" w:cs="Arial"/>
          <w:b/>
          <w:bCs/>
          <w:sz w:val="32"/>
          <w:szCs w:val="32"/>
        </w:rPr>
        <w:t xml:space="preserve">Type of Request: </w:t>
      </w:r>
      <w:r>
        <w:rPr>
          <w:rFonts w:ascii="Arial" w:eastAsia="Arial" w:hAnsi="Arial" w:cs="Arial"/>
          <w:sz w:val="32"/>
          <w:szCs w:val="32"/>
        </w:rPr>
        <w:t>New</w:t>
      </w:r>
    </w:p>
    <w:p w:rsidR="001D1C73" w:rsidRPr="009139B3" w:rsidP="008D5B50" w14:paraId="6C687B26" w14:textId="77777777">
      <w:pPr>
        <w:spacing w:after="0" w:line="240" w:lineRule="auto"/>
        <w:jc w:val="center"/>
        <w:rPr>
          <w:rFonts w:ascii="Arial" w:hAnsi="Arial" w:cs="Arial"/>
        </w:rPr>
      </w:pPr>
    </w:p>
    <w:p w:rsidR="001D1C73" w:rsidRPr="009139B3" w:rsidP="008D5B50" w14:paraId="7F494641" w14:textId="77777777">
      <w:pPr>
        <w:spacing w:after="0" w:line="240" w:lineRule="auto"/>
        <w:rPr>
          <w:rFonts w:ascii="Arial" w:hAnsi="Arial" w:cs="Arial"/>
        </w:rPr>
      </w:pPr>
    </w:p>
    <w:p w:rsidR="001D1C73" w:rsidRPr="009139B3" w:rsidP="008D5B50" w14:paraId="77B06B0F" w14:textId="77777777">
      <w:pPr>
        <w:spacing w:after="0" w:line="240" w:lineRule="auto"/>
        <w:rPr>
          <w:rFonts w:ascii="Arial" w:hAnsi="Arial" w:cs="Arial"/>
        </w:rPr>
      </w:pPr>
    </w:p>
    <w:p w:rsidR="001D1C73" w:rsidRPr="009139B3" w:rsidP="008D5B50" w14:paraId="46080CD2" w14:textId="77777777">
      <w:pPr>
        <w:spacing w:after="0" w:line="240" w:lineRule="auto"/>
        <w:jc w:val="center"/>
        <w:rPr>
          <w:rFonts w:ascii="Arial" w:hAnsi="Arial" w:cs="Arial"/>
        </w:rPr>
      </w:pPr>
      <w:bookmarkStart w:id="1" w:name="_Hlk205277195"/>
      <w:r w:rsidRPr="009139B3">
        <w:rPr>
          <w:rFonts w:ascii="Arial" w:hAnsi="Arial" w:cs="Arial"/>
        </w:rPr>
        <w:t>Submitted By:</w:t>
      </w:r>
    </w:p>
    <w:p w:rsidR="001D1C73" w:rsidRPr="009139B3" w:rsidP="008D5B50"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8D5B50"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8D5B50"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8D5B50" w14:paraId="3B6E9C7F" w14:textId="77777777">
      <w:pPr>
        <w:spacing w:after="0" w:line="240" w:lineRule="auto"/>
        <w:jc w:val="center"/>
        <w:rPr>
          <w:rFonts w:ascii="Arial" w:hAnsi="Arial" w:cs="Arial"/>
        </w:rPr>
      </w:pPr>
    </w:p>
    <w:p w:rsidR="001D1C73" w:rsidRPr="009139B3" w:rsidP="008D5B50"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8D5B50"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8D5B50"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8D5B50" w14:paraId="477A1D22" w14:textId="77777777">
      <w:pPr>
        <w:spacing w:after="0" w:line="240" w:lineRule="auto"/>
        <w:jc w:val="center"/>
        <w:rPr>
          <w:rFonts w:ascii="Arial" w:hAnsi="Arial" w:cs="Arial"/>
        </w:rPr>
      </w:pPr>
    </w:p>
    <w:p w:rsidR="001D1C73" w:rsidRPr="00F26D9C" w:rsidP="008D5B50" w14:paraId="32BC72CD" w14:textId="77777777">
      <w:pPr>
        <w:spacing w:after="0" w:line="240" w:lineRule="auto"/>
        <w:jc w:val="center"/>
        <w:rPr>
          <w:rFonts w:ascii="Arial" w:hAnsi="Arial" w:cs="Arial"/>
        </w:rPr>
      </w:pPr>
      <w:r w:rsidRPr="00F26D9C">
        <w:rPr>
          <w:rFonts w:ascii="Arial" w:hAnsi="Arial" w:cs="Arial"/>
        </w:rPr>
        <w:t>Project Officers:</w:t>
      </w:r>
    </w:p>
    <w:p w:rsidR="00F26D9C" w:rsidRPr="004F2EAB" w:rsidP="008D5B50" w14:paraId="783E3935" w14:textId="77777777">
      <w:pPr>
        <w:spacing w:after="0" w:line="240" w:lineRule="auto"/>
        <w:jc w:val="center"/>
        <w:rPr>
          <w:rFonts w:ascii="Arial" w:hAnsi="Arial" w:cs="Arial"/>
          <w:bCs/>
        </w:rPr>
      </w:pPr>
      <w:r w:rsidRPr="004F2EAB">
        <w:rPr>
          <w:rFonts w:ascii="Arial" w:hAnsi="Arial" w:cs="Arial"/>
          <w:bCs/>
        </w:rPr>
        <w:t>Mary G. Mueggenborg</w:t>
      </w:r>
    </w:p>
    <w:p w:rsidR="001D1C73" w:rsidRPr="00F26D9C" w:rsidP="008D5B50" w14:paraId="028CE6F6" w14:textId="06258D82">
      <w:pPr>
        <w:spacing w:after="0" w:line="240" w:lineRule="auto"/>
        <w:jc w:val="center"/>
        <w:rPr>
          <w:rFonts w:ascii="Arial" w:hAnsi="Arial" w:cs="Arial"/>
          <w:bCs/>
        </w:rPr>
      </w:pPr>
      <w:r w:rsidRPr="004F2EAB">
        <w:rPr>
          <w:rFonts w:ascii="Arial" w:hAnsi="Arial" w:cs="Arial"/>
          <w:bCs/>
        </w:rPr>
        <w:t>Kelly Jedd McKenzie</w:t>
      </w:r>
    </w:p>
    <w:bookmarkEnd w:id="1"/>
    <w:p w:rsidR="001D1C73" w:rsidRPr="009139B3" w:rsidP="008D5B50" w14:paraId="72851F97" w14:textId="77777777">
      <w:pPr>
        <w:spacing w:after="0" w:line="240" w:lineRule="auto"/>
        <w:jc w:val="center"/>
        <w:rPr>
          <w:b/>
        </w:rPr>
      </w:pPr>
    </w:p>
    <w:p w:rsidR="001D1C73" w:rsidRPr="009139B3" w:rsidP="008D5B50" w14:paraId="7819D4D9" w14:textId="77777777">
      <w:pPr>
        <w:spacing w:after="0" w:line="240" w:lineRule="auto"/>
        <w:jc w:val="center"/>
        <w:rPr>
          <w:b/>
        </w:rPr>
      </w:pPr>
    </w:p>
    <w:p w:rsidR="001D1C73" w:rsidRPr="009139B3" w:rsidP="008D5B50" w14:paraId="12077675" w14:textId="77777777">
      <w:pPr>
        <w:spacing w:after="0" w:line="240" w:lineRule="auto"/>
        <w:rPr>
          <w:b/>
        </w:rPr>
      </w:pPr>
    </w:p>
    <w:p w:rsidR="00614196" w:rsidP="008D5B50" w14:paraId="66EFDBCC" w14:textId="77777777">
      <w:pPr>
        <w:spacing w:after="0" w:line="240" w:lineRule="auto"/>
        <w:jc w:val="center"/>
        <w:rPr>
          <w:b/>
          <w:sz w:val="32"/>
          <w:szCs w:val="32"/>
        </w:rPr>
      </w:pPr>
    </w:p>
    <w:p w:rsidR="001D1C73" w:rsidRPr="009139B3" w:rsidP="008D5B50" w14:paraId="43581017" w14:textId="43F9F319">
      <w:pPr>
        <w:spacing w:after="0" w:line="240" w:lineRule="auto"/>
        <w:jc w:val="center"/>
        <w:rPr>
          <w:b/>
          <w:sz w:val="32"/>
          <w:szCs w:val="32"/>
        </w:rPr>
      </w:pPr>
      <w:r w:rsidRPr="009139B3">
        <w:rPr>
          <w:b/>
          <w:sz w:val="32"/>
          <w:szCs w:val="32"/>
        </w:rPr>
        <w:t>Part A</w:t>
      </w:r>
    </w:p>
    <w:p w:rsidR="001D1C73" w:rsidRPr="009139B3" w:rsidP="008D5B50" w14:paraId="246E14EE" w14:textId="77777777">
      <w:pPr>
        <w:spacing w:after="0" w:line="240" w:lineRule="auto"/>
        <w:jc w:val="center"/>
        <w:rPr>
          <w:b/>
        </w:rPr>
      </w:pPr>
    </w:p>
    <w:p w:rsidR="001D1C73" w:rsidRPr="009139B3" w:rsidP="008D5B50" w14:paraId="2E25A862" w14:textId="77777777">
      <w:pPr>
        <w:spacing w:after="0" w:line="240" w:lineRule="auto"/>
        <w:rPr>
          <w:b/>
          <w:u w:val="single"/>
        </w:rPr>
      </w:pPr>
    </w:p>
    <w:p w:rsidR="001D1C73" w:rsidRPr="009139B3" w:rsidP="008D5B50" w14:paraId="75B97ABC" w14:textId="77777777">
      <w:pPr>
        <w:spacing w:after="0" w:line="240" w:lineRule="auto"/>
        <w:rPr>
          <w:b/>
          <w:u w:val="single"/>
        </w:rPr>
      </w:pPr>
    </w:p>
    <w:p w:rsidR="001D1C73" w:rsidRPr="009139B3" w:rsidP="008D5B50" w14:paraId="67A674E8" w14:textId="77777777">
      <w:pPr>
        <w:spacing w:after="0" w:line="240" w:lineRule="auto"/>
        <w:rPr>
          <w:b/>
          <w:sz w:val="28"/>
        </w:rPr>
      </w:pPr>
      <w:r w:rsidRPr="009139B3">
        <w:rPr>
          <w:b/>
          <w:sz w:val="28"/>
          <w:u w:val="single"/>
        </w:rPr>
        <w:t>Executive Summary</w:t>
      </w:r>
    </w:p>
    <w:p w:rsidR="001D1C73" w:rsidRPr="009139B3" w:rsidP="008D5B50" w14:paraId="77DFD6CC" w14:textId="77777777">
      <w:pPr>
        <w:spacing w:after="0" w:line="240" w:lineRule="auto"/>
        <w:rPr>
          <w:b/>
        </w:rPr>
      </w:pPr>
    </w:p>
    <w:p w:rsidR="009A686F" w:rsidRPr="009A686F" w:rsidP="008D5B50" w14:paraId="7F90F6A1" w14:textId="77777777">
      <w:pPr>
        <w:pStyle w:val="ListParagraph"/>
        <w:numPr>
          <w:ilvl w:val="0"/>
          <w:numId w:val="3"/>
        </w:numPr>
        <w:spacing w:after="0" w:line="240" w:lineRule="auto"/>
      </w:pPr>
      <w:r w:rsidRPr="009139B3">
        <w:rPr>
          <w:b/>
        </w:rPr>
        <w:t xml:space="preserve">Type of Request: </w:t>
      </w:r>
    </w:p>
    <w:p w:rsidR="001D1C73" w:rsidRPr="009139B3" w:rsidP="008D5B50" w14:paraId="7AE0042F" w14:textId="533A530D">
      <w:pPr>
        <w:pStyle w:val="ListParagraph"/>
        <w:spacing w:after="0" w:line="240" w:lineRule="auto"/>
      </w:pPr>
      <w:r w:rsidRPr="009139B3">
        <w:t xml:space="preserve">This Information Collection Request is for </w:t>
      </w:r>
      <w:r w:rsidRPr="009139B3">
        <w:t xml:space="preserve">a </w:t>
      </w:r>
      <w:r>
        <w:t>new</w:t>
      </w:r>
      <w:r>
        <w:t xml:space="preserve"> data collection. </w:t>
      </w:r>
      <w:r w:rsidRPr="009139B3">
        <w:t>We are requesting</w:t>
      </w:r>
      <w:r>
        <w:t xml:space="preserve"> 1</w:t>
      </w:r>
      <w:r w:rsidRPr="009139B3">
        <w:t xml:space="preserve"> year of approval.</w:t>
      </w:r>
    </w:p>
    <w:p w:rsidR="001D1C73" w:rsidRPr="009139B3" w:rsidP="008D5B50" w14:paraId="3D729D59" w14:textId="77777777">
      <w:pPr>
        <w:spacing w:after="0" w:line="240" w:lineRule="auto"/>
      </w:pPr>
    </w:p>
    <w:p w:rsidR="009A686F" w:rsidP="008D5B50" w14:paraId="342C0E88" w14:textId="77777777">
      <w:pPr>
        <w:pStyle w:val="ListParagraph"/>
        <w:numPr>
          <w:ilvl w:val="0"/>
          <w:numId w:val="3"/>
        </w:numPr>
        <w:spacing w:after="0" w:line="240" w:lineRule="auto"/>
        <w:rPr>
          <w:b/>
        </w:rPr>
      </w:pPr>
      <w:r w:rsidRPr="00247B0A">
        <w:rPr>
          <w:b/>
        </w:rPr>
        <w:t>Time</w:t>
      </w:r>
      <w:r>
        <w:rPr>
          <w:b/>
        </w:rPr>
        <w:t>line</w:t>
      </w:r>
      <w:r w:rsidRPr="00247B0A">
        <w:rPr>
          <w:b/>
        </w:rPr>
        <w:t xml:space="preserve">:  </w:t>
      </w:r>
    </w:p>
    <w:p w:rsidR="008A40E3" w:rsidRPr="00247B0A" w:rsidP="008D5B50" w14:paraId="3301CA6F" w14:textId="7DE01667">
      <w:pPr>
        <w:pStyle w:val="ListParagraph"/>
        <w:spacing w:after="0" w:line="240" w:lineRule="auto"/>
        <w:rPr>
          <w:b/>
        </w:rPr>
      </w:pPr>
      <w:r w:rsidRPr="00247B0A">
        <w:rPr>
          <w:bCs/>
        </w:rPr>
        <w:t xml:space="preserve">We </w:t>
      </w:r>
      <w:r w:rsidR="00211D6B">
        <w:rPr>
          <w:bCs/>
        </w:rPr>
        <w:t>aim to begin</w:t>
      </w:r>
      <w:r w:rsidRPr="00247B0A">
        <w:rPr>
          <w:bCs/>
        </w:rPr>
        <w:t xml:space="preserve"> data collection </w:t>
      </w:r>
      <w:r w:rsidR="00211D6B">
        <w:rPr>
          <w:bCs/>
        </w:rPr>
        <w:t>by</w:t>
      </w:r>
      <w:r>
        <w:rPr>
          <w:bCs/>
        </w:rPr>
        <w:t xml:space="preserve"> </w:t>
      </w:r>
      <w:r w:rsidR="009A686F">
        <w:rPr>
          <w:bCs/>
        </w:rPr>
        <w:t>May 2026</w:t>
      </w:r>
      <w:r>
        <w:rPr>
          <w:bCs/>
        </w:rPr>
        <w:t xml:space="preserve">. </w:t>
      </w:r>
    </w:p>
    <w:p w:rsidR="008A40E3" w:rsidRPr="009139B3" w:rsidP="008D5B50" w14:paraId="66BFCA3B" w14:textId="77777777">
      <w:pPr>
        <w:spacing w:after="0" w:line="240" w:lineRule="auto"/>
        <w:rPr>
          <w:b/>
        </w:rPr>
      </w:pPr>
    </w:p>
    <w:p w:rsidR="009A686F" w:rsidRPr="009A686F" w:rsidP="008D5B50" w14:paraId="4FB5DF26" w14:textId="77777777">
      <w:pPr>
        <w:pStyle w:val="ListParagraph"/>
        <w:numPr>
          <w:ilvl w:val="0"/>
          <w:numId w:val="3"/>
        </w:numPr>
        <w:spacing w:after="0" w:line="240" w:lineRule="auto"/>
      </w:pPr>
      <w:r w:rsidRPr="009139B3">
        <w:rPr>
          <w:b/>
        </w:rPr>
        <w:t xml:space="preserve">Description of Request: </w:t>
      </w:r>
      <w:r w:rsidRPr="002136E7" w:rsidR="00F26D9C">
        <w:rPr>
          <w:rFonts w:cstheme="minorHAnsi"/>
        </w:rPr>
        <w:t xml:space="preserve"> </w:t>
      </w:r>
    </w:p>
    <w:p w:rsidR="00F26D9C" w:rsidP="008D5B50" w14:paraId="56CB3679" w14:textId="6B854593">
      <w:pPr>
        <w:pStyle w:val="ListParagraph"/>
        <w:spacing w:after="0" w:line="240" w:lineRule="auto"/>
      </w:pPr>
      <w:r w:rsidRPr="002136E7">
        <w:rPr>
          <w:rFonts w:cstheme="minorHAnsi"/>
        </w:rPr>
        <w:t xml:space="preserve">This request supports the Administration for Children and Families’ </w:t>
      </w:r>
      <w:r w:rsidR="009A686F">
        <w:rPr>
          <w:rFonts w:cstheme="minorHAnsi"/>
        </w:rPr>
        <w:t xml:space="preserve">Evaluation of the </w:t>
      </w:r>
      <w:r w:rsidRPr="003A27ED" w:rsidR="003A27ED">
        <w:rPr>
          <w:rFonts w:cstheme="minorHAnsi"/>
        </w:rPr>
        <w:t xml:space="preserve">Trafficking Victim Assistance Program (TVAP) and </w:t>
      </w:r>
      <w:r w:rsidR="009A686F">
        <w:rPr>
          <w:rFonts w:cstheme="minorHAnsi"/>
        </w:rPr>
        <w:t xml:space="preserve">Aspire: </w:t>
      </w:r>
      <w:r w:rsidRPr="003A27ED" w:rsidR="003A27ED">
        <w:rPr>
          <w:rFonts w:cstheme="minorHAnsi"/>
        </w:rPr>
        <w:t>Child Trafficking Victim Assistance Program (Aspire)</w:t>
      </w:r>
      <w:r w:rsidRPr="002E3E54" w:rsidR="002E3E54">
        <w:rPr>
          <w:rFonts w:cstheme="minorHAnsi"/>
        </w:rPr>
        <w:t>.</w:t>
      </w:r>
      <w:r w:rsidR="002E3E54">
        <w:rPr>
          <w:rFonts w:cstheme="minorHAnsi"/>
        </w:rPr>
        <w:t xml:space="preserve"> </w:t>
      </w:r>
      <w:r w:rsidRPr="000A507B" w:rsidR="002E3E54">
        <w:rPr>
          <w:rFonts w:cs="Calibri"/>
          <w:iCs/>
        </w:rPr>
        <w:t xml:space="preserve">The proposed data collection </w:t>
      </w:r>
      <w:r w:rsidR="002E3E54">
        <w:rPr>
          <w:rFonts w:cs="Calibri"/>
          <w:iCs/>
        </w:rPr>
        <w:t>includes</w:t>
      </w:r>
      <w:r w:rsidRPr="002136E7">
        <w:rPr>
          <w:rFonts w:cstheme="minorHAnsi"/>
        </w:rPr>
        <w:t xml:space="preserve"> interviews </w:t>
      </w:r>
      <w:r w:rsidR="004F2EAB">
        <w:rPr>
          <w:rFonts w:cstheme="minorHAnsi"/>
        </w:rPr>
        <w:t>and</w:t>
      </w:r>
      <w:r w:rsidR="00F179CE">
        <w:rPr>
          <w:rFonts w:cstheme="minorHAnsi"/>
        </w:rPr>
        <w:t xml:space="preserve"> </w:t>
      </w:r>
      <w:r w:rsidR="009A686F">
        <w:rPr>
          <w:rFonts w:cstheme="minorHAnsi"/>
        </w:rPr>
        <w:t xml:space="preserve">a </w:t>
      </w:r>
      <w:r w:rsidRPr="002136E7">
        <w:rPr>
          <w:rFonts w:cstheme="minorHAnsi"/>
        </w:rPr>
        <w:t xml:space="preserve">survey to document </w:t>
      </w:r>
      <w:r w:rsidR="0000220D">
        <w:rPr>
          <w:rFonts w:cstheme="minorHAnsi"/>
        </w:rPr>
        <w:t xml:space="preserve">and </w:t>
      </w:r>
      <w:r w:rsidRPr="0000220D" w:rsidR="0000220D">
        <w:rPr>
          <w:rFonts w:cstheme="minorHAnsi"/>
          <w:iCs/>
        </w:rPr>
        <w:t>examine the key characteristics and implementation of the programs, including the challenges, strengths, and successes</w:t>
      </w:r>
      <w:r w:rsidRPr="002136E7">
        <w:rPr>
          <w:rFonts w:cstheme="minorHAnsi"/>
        </w:rPr>
        <w:t xml:space="preserve">. </w:t>
      </w:r>
      <w:r>
        <w:t xml:space="preserve">This study is </w:t>
      </w:r>
      <w:r w:rsidRPr="002136E7">
        <w:rPr>
          <w:iCs/>
        </w:rPr>
        <w:t xml:space="preserve">not intended to promote statistical generalization to other sites or industries. </w:t>
      </w:r>
      <w:r w:rsidRPr="002136E7">
        <w:rPr>
          <w:rFonts w:cs="Calibri"/>
        </w:rPr>
        <w:t xml:space="preserve">We do not </w:t>
      </w:r>
      <w:r w:rsidRPr="002136E7">
        <w:rPr>
          <w:rFonts w:cs="Calibri"/>
        </w:rPr>
        <w:t>intend for</w:t>
      </w:r>
      <w:r w:rsidRPr="002136E7">
        <w:rPr>
          <w:rFonts w:cs="Calibri"/>
        </w:rPr>
        <w:t xml:space="preserve"> this information to be used as the principal basis for public policy decisions</w:t>
      </w:r>
      <w:r w:rsidR="003A27ED">
        <w:rPr>
          <w:rFonts w:cs="Calibri"/>
        </w:rPr>
        <w:t>.</w:t>
      </w:r>
    </w:p>
    <w:p w:rsidR="001D1C73" w:rsidRPr="009139B3" w:rsidP="008D5B50" w14:paraId="44585B10" w14:textId="77777777">
      <w:pPr>
        <w:spacing w:after="0" w:line="240" w:lineRule="auto"/>
        <w:rPr>
          <w:b/>
        </w:rPr>
      </w:pPr>
    </w:p>
    <w:p w:rsidR="001D1C73" w:rsidRPr="009139B3" w:rsidP="008D5B50" w14:paraId="0CAA5121" w14:textId="77777777">
      <w:pPr>
        <w:spacing w:after="0" w:line="240" w:lineRule="auto"/>
        <w:rPr>
          <w:b/>
        </w:rPr>
      </w:pPr>
    </w:p>
    <w:p w:rsidR="001D1C73" w:rsidRPr="009139B3" w:rsidP="008D5B50" w14:paraId="7CF70A12" w14:textId="77777777">
      <w:pPr>
        <w:spacing w:after="0" w:line="240" w:lineRule="auto"/>
      </w:pPr>
      <w:r w:rsidRPr="009139B3">
        <w:br w:type="page"/>
      </w:r>
    </w:p>
    <w:p w:rsidR="002E3E54" w:rsidP="008D5B50" w14:paraId="4947F133" w14:textId="10567760">
      <w:pPr>
        <w:spacing w:after="120" w:line="240" w:lineRule="auto"/>
      </w:pPr>
      <w:r w:rsidRPr="009139B3">
        <w:rPr>
          <w:b/>
        </w:rPr>
        <w:t>A1</w:t>
      </w:r>
      <w:r w:rsidRPr="009139B3">
        <w:t>.</w:t>
      </w:r>
      <w:r w:rsidRPr="009139B3">
        <w:tab/>
      </w:r>
      <w:r w:rsidRPr="009139B3">
        <w:rPr>
          <w:b/>
        </w:rPr>
        <w:t>Necessity for Collection</w:t>
      </w:r>
      <w:r w:rsidRPr="009139B3">
        <w:t xml:space="preserve"> </w:t>
      </w:r>
    </w:p>
    <w:p w:rsidR="0099791A" w:rsidP="008D5B50" w14:paraId="217F157D" w14:textId="635868D6">
      <w:pPr>
        <w:spacing w:after="0" w:line="240" w:lineRule="auto"/>
        <w:rPr>
          <w:rFonts w:cstheme="minorHAnsi"/>
        </w:rPr>
      </w:pPr>
      <w:r w:rsidRPr="002136E7">
        <w:rPr>
          <w:rFonts w:cstheme="minorHAnsi"/>
        </w:rPr>
        <w:t>This request supports the Administration for Children and Families’</w:t>
      </w:r>
      <w:r w:rsidR="00763A99">
        <w:rPr>
          <w:rFonts w:cstheme="minorHAnsi"/>
        </w:rPr>
        <w:t xml:space="preserve"> (ACF)</w:t>
      </w:r>
      <w:r w:rsidRPr="002136E7">
        <w:rPr>
          <w:rFonts w:cstheme="minorHAnsi"/>
        </w:rPr>
        <w:t xml:space="preserve"> </w:t>
      </w:r>
      <w:r w:rsidRPr="0099791A">
        <w:rPr>
          <w:rFonts w:cstheme="minorHAnsi"/>
          <w:i/>
          <w:iCs/>
        </w:rPr>
        <w:t>Evaluation of the Trafficking Victim Assistance Program (TVAP) and Aspire: Child Trafficking Victim Assistance Program (Aspire)</w:t>
      </w:r>
      <w:r w:rsidRPr="002E3E54">
        <w:rPr>
          <w:rFonts w:cstheme="minorHAnsi"/>
        </w:rPr>
        <w:t>.</w:t>
      </w:r>
      <w:r>
        <w:rPr>
          <w:rFonts w:cstheme="minorHAnsi"/>
        </w:rPr>
        <w:t xml:space="preserve"> </w:t>
      </w:r>
    </w:p>
    <w:p w:rsidR="0099791A" w:rsidP="008D5B50" w14:paraId="3648404E" w14:textId="011EE827">
      <w:pPr>
        <w:spacing w:after="0" w:line="240" w:lineRule="auto"/>
        <w:rPr>
          <w:rFonts w:cstheme="minorHAnsi"/>
        </w:rPr>
      </w:pPr>
    </w:p>
    <w:p w:rsidR="008D5B50" w:rsidP="008D5B50" w14:paraId="572F016B" w14:textId="0A12C6EF">
      <w:pPr>
        <w:spacing w:after="0" w:line="240" w:lineRule="auto"/>
        <w:rPr>
          <w:rFonts w:cstheme="minorHAnsi"/>
        </w:rPr>
      </w:pPr>
      <w:r w:rsidRPr="008D5B50">
        <w:rPr>
          <w:rFonts w:cstheme="minorHAnsi"/>
        </w:rPr>
        <w:t xml:space="preserve">TVAP and Aspire are funded by the Office on Trafficking in Persons (OTIP) to provide time-limited comprehensive case management services to individuals who have experienced severe forms of human trafficking, including adults (TVAP) and children (Aspire). The programs also aim to (1) develop and maintain a nationwide network of providers to conduct human trafficking outreach and provide direct services and community referrals, and (2) establish local regional presence within each of the ACF geographic regions to coordinate project activities and direct services.  </w:t>
      </w:r>
    </w:p>
    <w:p w:rsidR="008D5B50" w:rsidP="008D5B50" w14:paraId="2C4B2015" w14:textId="77777777">
      <w:pPr>
        <w:spacing w:after="0" w:line="240" w:lineRule="auto"/>
        <w:rPr>
          <w:rFonts w:cstheme="minorHAnsi"/>
        </w:rPr>
      </w:pPr>
    </w:p>
    <w:p w:rsidR="0099791A" w:rsidRPr="008D5B50" w:rsidP="008D5B50" w14:paraId="5BA9B479" w14:textId="0C373D11">
      <w:pPr>
        <w:spacing w:after="0" w:line="240" w:lineRule="auto"/>
        <w:rPr>
          <w:rFonts w:cstheme="minorHAnsi"/>
        </w:rPr>
      </w:pPr>
      <w:r w:rsidRPr="008D5B50">
        <w:rPr>
          <w:rFonts w:cstheme="minorHAnsi"/>
        </w:rPr>
        <w:t xml:space="preserve">TVAP has undergone several changes in the past few years, shifting to a regional administration model and separating services for minors into a separate program called Aspire. </w:t>
      </w:r>
      <w:r w:rsidR="0036322E">
        <w:rPr>
          <w:bCs/>
        </w:rPr>
        <w:t xml:space="preserve">The Office of Planning, Research, and Evaluation (OPRE), in collaboration with OTIP, is overseeing a process evaluation of the TVAP and Aspire programs. </w:t>
      </w:r>
      <w:r>
        <w:rPr>
          <w:rFonts w:cstheme="minorHAnsi"/>
        </w:rPr>
        <w:t>This proposed data collection will be the</w:t>
      </w:r>
      <w:r w:rsidRPr="008D5B50">
        <w:rPr>
          <w:rFonts w:cstheme="minorHAnsi"/>
        </w:rPr>
        <w:t xml:space="preserve"> first evaluation of the TVAP and Aspire programs to understand its administration and implementation and its impact on thousands of individuals.</w:t>
      </w:r>
      <w:r>
        <w:rPr>
          <w:rFonts w:cstheme="minorHAnsi"/>
        </w:rPr>
        <w:t xml:space="preserve"> </w:t>
      </w:r>
      <w:r w:rsidRPr="000A507B">
        <w:rPr>
          <w:rFonts w:cs="Calibri"/>
          <w:iCs/>
        </w:rPr>
        <w:t xml:space="preserve">The proposed data collection </w:t>
      </w:r>
      <w:r>
        <w:rPr>
          <w:rFonts w:cs="Calibri"/>
          <w:iCs/>
        </w:rPr>
        <w:t>includes</w:t>
      </w:r>
      <w:r w:rsidRPr="002136E7">
        <w:rPr>
          <w:rFonts w:cstheme="minorHAnsi"/>
        </w:rPr>
        <w:t xml:space="preserve"> interviews </w:t>
      </w:r>
      <w:r>
        <w:rPr>
          <w:rFonts w:cstheme="minorHAnsi"/>
        </w:rPr>
        <w:t xml:space="preserve">and a </w:t>
      </w:r>
      <w:r w:rsidRPr="002136E7">
        <w:rPr>
          <w:rFonts w:cstheme="minorHAnsi"/>
        </w:rPr>
        <w:t xml:space="preserve">survey to document </w:t>
      </w:r>
      <w:r>
        <w:rPr>
          <w:rFonts w:cstheme="minorHAnsi"/>
        </w:rPr>
        <w:t xml:space="preserve">and </w:t>
      </w:r>
      <w:r w:rsidRPr="0000220D">
        <w:rPr>
          <w:rFonts w:cstheme="minorHAnsi"/>
          <w:iCs/>
        </w:rPr>
        <w:t>examine the key characteristics and implementation of the programs, including the challenges, strengths, and successes</w:t>
      </w:r>
      <w:r w:rsidRPr="002136E7">
        <w:rPr>
          <w:rFonts w:cstheme="minorHAnsi"/>
        </w:rPr>
        <w:t xml:space="preserve">. </w:t>
      </w:r>
      <w:r>
        <w:t xml:space="preserve">This study is </w:t>
      </w:r>
      <w:r w:rsidRPr="002136E7">
        <w:rPr>
          <w:iCs/>
        </w:rPr>
        <w:t xml:space="preserve">not intended to promote statistical generalization to other sites or industries. </w:t>
      </w:r>
      <w:r w:rsidRPr="002136E7">
        <w:rPr>
          <w:rFonts w:cs="Calibri"/>
        </w:rPr>
        <w:t xml:space="preserve">We do not </w:t>
      </w:r>
      <w:r w:rsidRPr="002136E7">
        <w:rPr>
          <w:rFonts w:cs="Calibri"/>
        </w:rPr>
        <w:t>intend for</w:t>
      </w:r>
      <w:r w:rsidRPr="002136E7">
        <w:rPr>
          <w:rFonts w:cs="Calibri"/>
        </w:rPr>
        <w:t xml:space="preserve"> this information to be used as the principal basis for public policy decisions</w:t>
      </w:r>
      <w:r>
        <w:rPr>
          <w:rFonts w:cs="Calibri"/>
        </w:rPr>
        <w:t>.</w:t>
      </w:r>
    </w:p>
    <w:p w:rsidR="0099791A" w:rsidP="008D5B50" w14:paraId="13A8C475" w14:textId="77777777">
      <w:pPr>
        <w:spacing w:after="0" w:line="240" w:lineRule="auto"/>
        <w:rPr>
          <w:bCs/>
        </w:rPr>
      </w:pPr>
    </w:p>
    <w:p w:rsidR="002E3E54" w:rsidRPr="0099791A" w:rsidP="00AF093C" w14:paraId="788405FA" w14:textId="2440CAB9">
      <w:pPr>
        <w:spacing w:after="0" w:line="240" w:lineRule="auto"/>
        <w:rPr>
          <w:rFonts w:cs="Calibri"/>
        </w:rPr>
      </w:pPr>
      <w:r w:rsidRPr="00C63DE3">
        <w:rPr>
          <w:bCs/>
        </w:rPr>
        <w:t xml:space="preserve">There are no legal or administrative requirements that necessitate this collection. </w:t>
      </w:r>
      <w:r w:rsidRPr="00EB05EC" w:rsidR="00EB05EC">
        <w:rPr>
          <w:bCs/>
        </w:rPr>
        <w:t>ACF</w:t>
      </w:r>
      <w:r w:rsidRPr="00C63DE3">
        <w:rPr>
          <w:bCs/>
        </w:rPr>
        <w:t xml:space="preserve"> is undertaking the collection at the discretion of the agency.</w:t>
      </w:r>
      <w:r w:rsidR="0099791A">
        <w:rPr>
          <w:bCs/>
        </w:rPr>
        <w:t xml:space="preserve"> </w:t>
      </w:r>
      <w:r w:rsidRPr="00E21BE7" w:rsidR="0099791A">
        <w:rPr>
          <w:rFonts w:cs="Calibri"/>
        </w:rPr>
        <w:t>ACF has contracted with RTI</w:t>
      </w:r>
      <w:r w:rsidR="00FB249E">
        <w:rPr>
          <w:rFonts w:cs="Calibri"/>
        </w:rPr>
        <w:t xml:space="preserve"> International</w:t>
      </w:r>
      <w:r w:rsidRPr="00E21BE7" w:rsidR="0099791A">
        <w:rPr>
          <w:rFonts w:cs="Calibri"/>
        </w:rPr>
        <w:t xml:space="preserve"> to complete this work.</w:t>
      </w:r>
    </w:p>
    <w:p w:rsidR="001D1C73" w:rsidRPr="009139B3" w:rsidP="008D5B50" w14:paraId="3706DD4E" w14:textId="77777777">
      <w:pPr>
        <w:pStyle w:val="ListParagraph"/>
        <w:spacing w:after="0" w:line="240" w:lineRule="auto"/>
        <w:ind w:left="360"/>
      </w:pPr>
    </w:p>
    <w:p w:rsidR="003A293B" w:rsidRPr="009139B3" w:rsidP="008D5B50" w14:paraId="6BE0B1A7" w14:textId="5625A4B8">
      <w:pPr>
        <w:spacing w:after="120" w:line="240" w:lineRule="auto"/>
        <w:rPr>
          <w:b/>
        </w:rPr>
      </w:pPr>
      <w:r w:rsidRPr="009139B3">
        <w:rPr>
          <w:b/>
        </w:rPr>
        <w:t>A2</w:t>
      </w:r>
      <w:r w:rsidRPr="009139B3">
        <w:t>.</w:t>
      </w:r>
      <w:r w:rsidRPr="009139B3">
        <w:tab/>
      </w:r>
      <w:r w:rsidRPr="009139B3">
        <w:rPr>
          <w:b/>
        </w:rPr>
        <w:t>Purpose</w:t>
      </w:r>
    </w:p>
    <w:p w:rsidR="008D5B50" w:rsidRPr="008D5B50" w:rsidP="008D5B50" w14:paraId="2ECD63B6" w14:textId="1F2F6738">
      <w:pPr>
        <w:spacing w:after="60" w:line="240" w:lineRule="auto"/>
        <w:rPr>
          <w:i/>
        </w:rPr>
      </w:pPr>
      <w:r w:rsidRPr="009139B3">
        <w:rPr>
          <w:i/>
        </w:rPr>
        <w:t xml:space="preserve">Purpose and Use </w:t>
      </w:r>
    </w:p>
    <w:p w:rsidR="008D5B50" w:rsidP="008D5B50" w14:paraId="095CA95F" w14:textId="73DB611F">
      <w:pPr>
        <w:spacing w:after="0" w:line="240" w:lineRule="auto"/>
        <w:rPr>
          <w:bCs/>
        </w:rPr>
      </w:pPr>
      <w:r w:rsidRPr="004D6995">
        <w:rPr>
          <w:bCs/>
        </w:rPr>
        <w:t xml:space="preserve">The proposed information collection </w:t>
      </w:r>
      <w:r>
        <w:rPr>
          <w:bCs/>
        </w:rPr>
        <w:t>supports the process evaluation, which aims</w:t>
      </w:r>
      <w:r w:rsidRPr="004D6995">
        <w:rPr>
          <w:bCs/>
        </w:rPr>
        <w:t xml:space="preserve"> to document and </w:t>
      </w:r>
      <w:r w:rsidR="00323E26">
        <w:rPr>
          <w:bCs/>
        </w:rPr>
        <w:t>assess</w:t>
      </w:r>
      <w:r w:rsidR="00170698">
        <w:rPr>
          <w:bCs/>
        </w:rPr>
        <w:t xml:space="preserve"> </w:t>
      </w:r>
      <w:r w:rsidR="00323E26">
        <w:rPr>
          <w:bCs/>
        </w:rPr>
        <w:t>the impact of the 2022</w:t>
      </w:r>
      <w:r>
        <w:rPr>
          <w:bCs/>
        </w:rPr>
        <w:t xml:space="preserve"> </w:t>
      </w:r>
      <w:r w:rsidR="00323E26">
        <w:rPr>
          <w:bCs/>
        </w:rPr>
        <w:t xml:space="preserve">program </w:t>
      </w:r>
      <w:r w:rsidRPr="004D6995">
        <w:rPr>
          <w:bCs/>
        </w:rPr>
        <w:t>redesign</w:t>
      </w:r>
      <w:r w:rsidR="00323E26">
        <w:rPr>
          <w:bCs/>
        </w:rPr>
        <w:t>. The evaluation will examine</w:t>
      </w:r>
      <w:r w:rsidR="00170698">
        <w:rPr>
          <w:bCs/>
        </w:rPr>
        <w:t xml:space="preserve"> </w:t>
      </w:r>
      <w:r w:rsidRPr="004D6995">
        <w:rPr>
          <w:bCs/>
        </w:rPr>
        <w:t xml:space="preserve">how the </w:t>
      </w:r>
      <w:r w:rsidR="00323E26">
        <w:rPr>
          <w:bCs/>
        </w:rPr>
        <w:t xml:space="preserve">redesigned </w:t>
      </w:r>
      <w:r w:rsidRPr="004D6995">
        <w:rPr>
          <w:bCs/>
        </w:rPr>
        <w:t xml:space="preserve">programs are structured and administered, how partnerships are developed and maintained, </w:t>
      </w:r>
      <w:r w:rsidR="00323E26">
        <w:rPr>
          <w:bCs/>
        </w:rPr>
        <w:t>client referral pathways</w:t>
      </w:r>
      <w:r w:rsidRPr="004D6995">
        <w:rPr>
          <w:bCs/>
        </w:rPr>
        <w:t xml:space="preserve">, </w:t>
      </w:r>
      <w:r w:rsidR="00323E26">
        <w:rPr>
          <w:bCs/>
        </w:rPr>
        <w:t xml:space="preserve">case </w:t>
      </w:r>
      <w:r w:rsidRPr="004D6995">
        <w:rPr>
          <w:bCs/>
        </w:rPr>
        <w:t xml:space="preserve">management </w:t>
      </w:r>
      <w:r w:rsidR="00323E26">
        <w:rPr>
          <w:bCs/>
        </w:rPr>
        <w:t>service provision</w:t>
      </w:r>
      <w:r w:rsidR="00332B1F">
        <w:rPr>
          <w:bCs/>
        </w:rPr>
        <w:t>,</w:t>
      </w:r>
      <w:r w:rsidRPr="004D6995">
        <w:rPr>
          <w:bCs/>
        </w:rPr>
        <w:t xml:space="preserve"> and</w:t>
      </w:r>
      <w:r w:rsidR="00170698">
        <w:rPr>
          <w:bCs/>
        </w:rPr>
        <w:t xml:space="preserve"> </w:t>
      </w:r>
      <w:r w:rsidRPr="004D6995">
        <w:rPr>
          <w:bCs/>
        </w:rPr>
        <w:t>factors that affect program implementation.</w:t>
      </w:r>
      <w:r w:rsidR="00170698">
        <w:rPr>
          <w:bCs/>
        </w:rPr>
        <w:t xml:space="preserve"> </w:t>
      </w:r>
      <w:bookmarkStart w:id="2" w:name="_Hlk209611373"/>
      <w:r w:rsidR="004C0378">
        <w:rPr>
          <w:bCs/>
        </w:rPr>
        <w:t xml:space="preserve">The proposed information collection will compare and assess </w:t>
      </w:r>
      <w:r w:rsidR="009C175F">
        <w:rPr>
          <w:bCs/>
        </w:rPr>
        <w:t xml:space="preserve">variation in </w:t>
      </w:r>
      <w:r w:rsidR="004C0378">
        <w:rPr>
          <w:bCs/>
        </w:rPr>
        <w:t xml:space="preserve">these aspects of implementation across the regions under the regional administration model. </w:t>
      </w:r>
    </w:p>
    <w:bookmarkEnd w:id="2"/>
    <w:p w:rsidR="008D5B50" w:rsidP="008D5B50" w14:paraId="4C20C969" w14:textId="77777777">
      <w:pPr>
        <w:spacing w:after="0" w:line="240" w:lineRule="auto"/>
        <w:rPr>
          <w:bCs/>
        </w:rPr>
      </w:pPr>
    </w:p>
    <w:p w:rsidR="00F64A49" w:rsidRPr="00E07FC2" w:rsidP="008D5B50" w14:paraId="28C67C53" w14:textId="384AA2E3">
      <w:pPr>
        <w:spacing w:after="0" w:line="240" w:lineRule="auto"/>
        <w:rPr>
          <w:rFonts w:cstheme="minorHAnsi"/>
        </w:rPr>
      </w:pPr>
      <w:r>
        <w:rPr>
          <w:rFonts w:cstheme="minorHAnsi"/>
          <w:bCs/>
        </w:rPr>
        <w:t>Findings</w:t>
      </w:r>
      <w:r w:rsidRPr="00B06EC9" w:rsidR="001E56D0">
        <w:rPr>
          <w:rFonts w:cstheme="minorHAnsi"/>
          <w:bCs/>
        </w:rPr>
        <w:t xml:space="preserve"> will be used </w:t>
      </w:r>
      <w:r w:rsidR="00A25661">
        <w:rPr>
          <w:rFonts w:cstheme="minorHAnsi"/>
          <w:bCs/>
        </w:rPr>
        <w:t xml:space="preserve">by ACF </w:t>
      </w:r>
      <w:r w:rsidRPr="00B06EC9" w:rsidR="001E56D0">
        <w:rPr>
          <w:rFonts w:cstheme="minorHAnsi"/>
          <w:bCs/>
        </w:rPr>
        <w:t>to</w:t>
      </w:r>
      <w:r w:rsidRPr="00B06EC9" w:rsidR="000D6847">
        <w:rPr>
          <w:rFonts w:cstheme="minorHAnsi"/>
          <w:bCs/>
        </w:rPr>
        <w:t xml:space="preserve"> inform </w:t>
      </w:r>
      <w:r w:rsidR="00A25661">
        <w:rPr>
          <w:rFonts w:cstheme="minorHAnsi"/>
          <w:bCs/>
        </w:rPr>
        <w:t>their</w:t>
      </w:r>
      <w:r w:rsidRPr="00B06EC9" w:rsidR="000D6847">
        <w:rPr>
          <w:rFonts w:cstheme="minorHAnsi"/>
          <w:bCs/>
        </w:rPr>
        <w:t xml:space="preserve"> efforts to support human trafficking </w:t>
      </w:r>
      <w:r w:rsidR="007E7A3C">
        <w:rPr>
          <w:rFonts w:cstheme="minorHAnsi"/>
          <w:bCs/>
        </w:rPr>
        <w:t>survivors</w:t>
      </w:r>
      <w:r w:rsidRPr="00B06EC9">
        <w:rPr>
          <w:rFonts w:cstheme="minorHAnsi"/>
        </w:rPr>
        <w:t>.</w:t>
      </w:r>
      <w:r w:rsidR="008D5B50">
        <w:rPr>
          <w:rFonts w:cstheme="minorHAnsi"/>
        </w:rPr>
        <w:t xml:space="preserve"> </w:t>
      </w:r>
      <w:r w:rsidR="00E07FC2">
        <w:rPr>
          <w:iCs/>
        </w:rPr>
        <w:t xml:space="preserve">For example, if the evaluation </w:t>
      </w:r>
      <w:r w:rsidR="00C65358">
        <w:rPr>
          <w:iCs/>
        </w:rPr>
        <w:t xml:space="preserve">findings </w:t>
      </w:r>
      <w:r w:rsidR="00E07FC2">
        <w:rPr>
          <w:iCs/>
        </w:rPr>
        <w:t>suggest</w:t>
      </w:r>
      <w:r w:rsidR="00D175F1">
        <w:rPr>
          <w:iCs/>
        </w:rPr>
        <w:t xml:space="preserve"> that</w:t>
      </w:r>
      <w:r w:rsidR="00E07FC2">
        <w:rPr>
          <w:iCs/>
        </w:rPr>
        <w:t xml:space="preserve"> </w:t>
      </w:r>
      <w:r w:rsidR="00E07FC2">
        <w:rPr>
          <w:iCs/>
        </w:rPr>
        <w:t>particular approaches</w:t>
      </w:r>
      <w:r w:rsidR="00E07FC2">
        <w:rPr>
          <w:iCs/>
        </w:rPr>
        <w:t xml:space="preserve"> to program implementation may increase efficacy or efficiency</w:t>
      </w:r>
      <w:r w:rsidR="009C175F">
        <w:rPr>
          <w:iCs/>
        </w:rPr>
        <w:t xml:space="preserve"> or identify potential shifts to the regional </w:t>
      </w:r>
      <w:r w:rsidR="007F0246">
        <w:rPr>
          <w:iCs/>
        </w:rPr>
        <w:t>approach,</w:t>
      </w:r>
      <w:r w:rsidR="00E07FC2">
        <w:rPr>
          <w:iCs/>
        </w:rPr>
        <w:t xml:space="preserve"> OTIP may use this information when writing Notices of Funding </w:t>
      </w:r>
      <w:r w:rsidR="00D1022C">
        <w:rPr>
          <w:iCs/>
        </w:rPr>
        <w:t xml:space="preserve">Opportunity or considering future </w:t>
      </w:r>
      <w:r w:rsidR="005D7B90">
        <w:rPr>
          <w:iCs/>
        </w:rPr>
        <w:t>research and evaluation efforts</w:t>
      </w:r>
      <w:r w:rsidR="00E07FC2">
        <w:rPr>
          <w:iCs/>
        </w:rPr>
        <w:t>.</w:t>
      </w:r>
      <w:r w:rsidR="00E07FC2">
        <w:rPr>
          <w:rFonts w:cstheme="minorHAnsi"/>
        </w:rPr>
        <w:t xml:space="preserve"> </w:t>
      </w:r>
      <w:r w:rsidR="00997BAA">
        <w:rPr>
          <w:rFonts w:cstheme="minorHAnsi"/>
        </w:rPr>
        <w:t>Findings will also be shared</w:t>
      </w:r>
      <w:r w:rsidR="00F16112">
        <w:rPr>
          <w:rFonts w:cstheme="minorHAnsi"/>
        </w:rPr>
        <w:t xml:space="preserve"> with the TVAP and Aspire prime award recipient and subrecipients to ensure they benefit from the evaluation and </w:t>
      </w:r>
      <w:r w:rsidR="00E07FC2">
        <w:rPr>
          <w:rFonts w:cstheme="minorHAnsi"/>
        </w:rPr>
        <w:t xml:space="preserve">can </w:t>
      </w:r>
      <w:r w:rsidR="00E07FC2">
        <w:rPr>
          <w:iCs/>
        </w:rPr>
        <w:t>engage in continual process improvement</w:t>
      </w:r>
      <w:r w:rsidR="00F16112">
        <w:rPr>
          <w:rFonts w:cstheme="minorHAnsi"/>
        </w:rPr>
        <w:t xml:space="preserve">. </w:t>
      </w:r>
      <w:r w:rsidR="009A7016">
        <w:rPr>
          <w:rFonts w:cstheme="minorHAnsi"/>
        </w:rPr>
        <w:t>Findings may also be useful to other</w:t>
      </w:r>
      <w:r w:rsidR="00F16112">
        <w:rPr>
          <w:rFonts w:cstheme="minorHAnsi"/>
        </w:rPr>
        <w:t xml:space="preserve"> anti-trafficking</w:t>
      </w:r>
      <w:r w:rsidR="009A7016">
        <w:rPr>
          <w:rFonts w:cstheme="minorHAnsi"/>
        </w:rPr>
        <w:t xml:space="preserve"> organizations and professionals</w:t>
      </w:r>
      <w:r w:rsidR="00F16112">
        <w:rPr>
          <w:rFonts w:cstheme="minorHAnsi"/>
        </w:rPr>
        <w:t xml:space="preserve"> </w:t>
      </w:r>
      <w:r w:rsidR="009A7016">
        <w:rPr>
          <w:rFonts w:cstheme="minorHAnsi"/>
        </w:rPr>
        <w:t>who provide case management services to similar client populations.</w:t>
      </w:r>
      <w:r w:rsidR="00997BAA">
        <w:rPr>
          <w:rFonts w:cstheme="minorHAnsi"/>
        </w:rPr>
        <w:t xml:space="preserve"> </w:t>
      </w:r>
      <w:r w:rsidRPr="00516C53" w:rsidR="00516C53">
        <w:rPr>
          <w:rFonts w:cstheme="minorHAnsi"/>
          <w:iCs/>
        </w:rPr>
        <w:t>Activities for this</w:t>
      </w:r>
      <w:r w:rsidR="00516C53">
        <w:rPr>
          <w:rFonts w:cstheme="minorHAnsi"/>
          <w:iCs/>
        </w:rPr>
        <w:t xml:space="preserve"> information collection </w:t>
      </w:r>
      <w:r w:rsidRPr="00516C53" w:rsidR="00516C53">
        <w:rPr>
          <w:rFonts w:cstheme="minorHAnsi"/>
          <w:iCs/>
        </w:rPr>
        <w:t xml:space="preserve">request will answer </w:t>
      </w:r>
      <w:r w:rsidR="00516C53">
        <w:rPr>
          <w:rFonts w:cstheme="minorHAnsi"/>
          <w:iCs/>
        </w:rPr>
        <w:t>the e</w:t>
      </w:r>
      <w:r w:rsidRPr="00516C53" w:rsidR="00516C53">
        <w:rPr>
          <w:rFonts w:cstheme="minorHAnsi"/>
          <w:iCs/>
        </w:rPr>
        <w:t xml:space="preserve">valuation </w:t>
      </w:r>
      <w:r w:rsidR="00516C53">
        <w:rPr>
          <w:rFonts w:cstheme="minorHAnsi"/>
          <w:iCs/>
        </w:rPr>
        <w:t>q</w:t>
      </w:r>
      <w:r w:rsidRPr="00516C53" w:rsidR="00516C53">
        <w:rPr>
          <w:rFonts w:cstheme="minorHAnsi"/>
          <w:iCs/>
        </w:rPr>
        <w:t>uestions</w:t>
      </w:r>
      <w:r w:rsidR="006C387C">
        <w:rPr>
          <w:rFonts w:cstheme="minorHAnsi"/>
          <w:iCs/>
        </w:rPr>
        <w:t xml:space="preserve"> listed</w:t>
      </w:r>
      <w:r w:rsidR="00516C53">
        <w:rPr>
          <w:rFonts w:cstheme="minorHAnsi"/>
          <w:iCs/>
        </w:rPr>
        <w:t xml:space="preserve"> in </w:t>
      </w:r>
      <w:r w:rsidRPr="00516C53" w:rsidR="00516C53">
        <w:rPr>
          <w:rFonts w:cstheme="minorHAnsi"/>
          <w:b/>
          <w:bCs/>
          <w:iCs/>
        </w:rPr>
        <w:t xml:space="preserve">Exhibit </w:t>
      </w:r>
      <w:r w:rsidR="00CE22C8">
        <w:rPr>
          <w:rFonts w:cstheme="minorHAnsi"/>
          <w:b/>
          <w:bCs/>
          <w:iCs/>
        </w:rPr>
        <w:t>A</w:t>
      </w:r>
      <w:r w:rsidRPr="00516C53" w:rsidR="00516C53">
        <w:rPr>
          <w:rFonts w:cstheme="minorHAnsi"/>
          <w:b/>
          <w:bCs/>
          <w:iCs/>
        </w:rPr>
        <w:t>1</w:t>
      </w:r>
      <w:r w:rsidRPr="00516C53" w:rsidR="00516C53">
        <w:rPr>
          <w:rFonts w:cstheme="minorHAnsi"/>
          <w:iCs/>
        </w:rPr>
        <w:t>.</w:t>
      </w:r>
    </w:p>
    <w:p w:rsidR="00A25661" w:rsidRPr="00B06EC9" w:rsidP="008D5B50" w14:paraId="3C906056" w14:textId="77777777">
      <w:pPr>
        <w:pStyle w:val="BodyText2"/>
        <w:spacing w:line="240" w:lineRule="auto"/>
        <w:ind w:firstLine="0"/>
        <w:rPr>
          <w:rFonts w:asciiTheme="minorHAnsi" w:hAnsiTheme="minorHAnsi" w:cstheme="minorHAnsi"/>
        </w:rPr>
      </w:pPr>
    </w:p>
    <w:p w:rsidR="001D1C73" w:rsidRPr="00B06EC9" w:rsidP="008D5B50" w14:paraId="5D584897" w14:textId="7FAE5CFB">
      <w:pPr>
        <w:spacing w:after="0" w:line="240" w:lineRule="auto"/>
        <w:rPr>
          <w:rFonts w:cstheme="minorHAnsi"/>
        </w:rPr>
      </w:pPr>
      <w:r w:rsidRPr="00B06EC9">
        <w:rPr>
          <w:rFonts w:cstheme="minorHAnsi"/>
        </w:rPr>
        <w:t>The information collected is meant to contribute to the body of knowledge on ACF programs. It is not intended to be used as the principal basis for a decision by a federal decision-</w:t>
      </w:r>
      <w:r w:rsidRPr="00B06EC9" w:rsidR="00DA45D8">
        <w:rPr>
          <w:rFonts w:cstheme="minorHAnsi"/>
        </w:rPr>
        <w:t>maker and</w:t>
      </w:r>
      <w:r w:rsidRPr="00B06EC9">
        <w:rPr>
          <w:rFonts w:cstheme="minorHAnsi"/>
        </w:rPr>
        <w:t xml:space="preserve"> is not expected to meet the threshold of influential or highly influential scientific information.  </w:t>
      </w:r>
    </w:p>
    <w:p w:rsidR="001D1C73" w:rsidRPr="009139B3" w:rsidP="008D5B50" w14:paraId="1EE5C038" w14:textId="77777777">
      <w:pPr>
        <w:spacing w:after="0" w:line="240" w:lineRule="auto"/>
        <w:rPr>
          <w:i/>
        </w:rPr>
      </w:pPr>
    </w:p>
    <w:p w:rsidR="001D1C73" w:rsidP="008D5B50" w14:paraId="6F0BE561" w14:textId="2ED96389">
      <w:pPr>
        <w:spacing w:after="60" w:line="240" w:lineRule="auto"/>
        <w:rPr>
          <w:i/>
        </w:rPr>
      </w:pPr>
      <w:r w:rsidRPr="009139B3">
        <w:rPr>
          <w:i/>
        </w:rPr>
        <w:t>Research Questions</w:t>
      </w:r>
      <w:r w:rsidR="006C387C">
        <w:rPr>
          <w:i/>
        </w:rPr>
        <w:t xml:space="preserve"> </w:t>
      </w:r>
    </w:p>
    <w:p w:rsidR="00503E42" w:rsidP="008D5B50" w14:paraId="5A82E85B" w14:textId="4A83C70A">
      <w:pPr>
        <w:spacing w:after="120" w:line="240" w:lineRule="auto"/>
        <w:rPr>
          <w:b/>
          <w:i/>
        </w:rPr>
      </w:pPr>
      <w:r w:rsidRPr="00516C53">
        <w:rPr>
          <w:bCs/>
        </w:rPr>
        <w:t>The following are evaluation questions that will be addressed through this information collection.</w:t>
      </w:r>
    </w:p>
    <w:p w:rsidR="00E00451" w:rsidRPr="00E00451" w:rsidP="008D5B50" w14:paraId="022D2891" w14:textId="1303EA8F">
      <w:pPr>
        <w:spacing w:after="120" w:line="240" w:lineRule="auto"/>
        <w:rPr>
          <w:i/>
        </w:rPr>
      </w:pPr>
      <w:bookmarkStart w:id="3" w:name="_Hlk209611451"/>
      <w:r w:rsidRPr="00516C53">
        <w:rPr>
          <w:b/>
          <w:iCs/>
        </w:rPr>
        <w:t xml:space="preserve">Exhibit </w:t>
      </w:r>
      <w:r w:rsidR="00CE22C8">
        <w:rPr>
          <w:b/>
          <w:iCs/>
        </w:rPr>
        <w:t>A</w:t>
      </w:r>
      <w:r w:rsidRPr="00516C53">
        <w:rPr>
          <w:b/>
          <w:iCs/>
        </w:rPr>
        <w:t>1</w:t>
      </w:r>
      <w:bookmarkEnd w:id="3"/>
      <w:r w:rsidRPr="00516C53">
        <w:rPr>
          <w:b/>
          <w:iCs/>
        </w:rPr>
        <w:t xml:space="preserve">. </w:t>
      </w:r>
      <w:r>
        <w:rPr>
          <w:b/>
          <w:iCs/>
        </w:rPr>
        <w:t>TVAP and Aspire Process Evaluation</w:t>
      </w:r>
      <w:r w:rsidRPr="00516C53">
        <w:rPr>
          <w:b/>
          <w:iCs/>
        </w:rPr>
        <w:t xml:space="preserve"> Que</w:t>
      </w:r>
      <w:r w:rsidRPr="00E00451">
        <w:rPr>
          <w:b/>
          <w:iCs/>
        </w:rPr>
        <w:t>stions</w:t>
      </w:r>
    </w:p>
    <w:tbl>
      <w:tblPr>
        <w:tblStyle w:val="TableGrid1"/>
        <w:tblW w:w="5000" w:type="pct"/>
        <w:tblLayout w:type="fixed"/>
        <w:tblCellMar>
          <w:top w:w="14" w:type="dxa"/>
          <w:left w:w="72" w:type="dxa"/>
          <w:bottom w:w="14" w:type="dxa"/>
          <w:right w:w="72" w:type="dxa"/>
        </w:tblCellMar>
        <w:tblLook w:val="04A0"/>
      </w:tblPr>
      <w:tblGrid>
        <w:gridCol w:w="9355"/>
      </w:tblGrid>
      <w:tr w14:paraId="64D9F0FE" w14:textId="77777777" w:rsidTr="006C387C">
        <w:tblPrEx>
          <w:tblW w:w="5000" w:type="pct"/>
          <w:tblLayout w:type="fixed"/>
          <w:tblCellMar>
            <w:top w:w="14" w:type="dxa"/>
            <w:left w:w="72" w:type="dxa"/>
            <w:bottom w:w="14" w:type="dxa"/>
            <w:right w:w="72" w:type="dxa"/>
          </w:tblCellMar>
          <w:tblLook w:val="04A0"/>
        </w:tblPrEx>
        <w:trPr>
          <w:tblHeader/>
        </w:trPr>
        <w:tc>
          <w:tcPr>
            <w:tcW w:w="5000" w:type="pct"/>
            <w:tcBorders>
              <w:right w:val="nil"/>
            </w:tcBorders>
            <w:shd w:val="clear" w:color="auto" w:fill="1F3864"/>
          </w:tcPr>
          <w:p w:rsidR="00516C53" w:rsidRPr="00516C53" w:rsidP="008D5B50" w14:paraId="00B2C270" w14:textId="11FC5D20">
            <w:pPr>
              <w:rPr>
                <w:rFonts w:ascii="Calibri" w:eastAsia="Calibri" w:hAnsi="Calibri" w:cs="Calibri"/>
                <w:b/>
                <w:bCs/>
                <w:sz w:val="20"/>
                <w:szCs w:val="20"/>
              </w:rPr>
            </w:pPr>
            <w:r w:rsidRPr="006C387C">
              <w:rPr>
                <w:rFonts w:ascii="Calibri" w:eastAsia="Calibri" w:hAnsi="Calibri" w:cs="Calibri"/>
                <w:b/>
                <w:bCs/>
                <w:sz w:val="20"/>
                <w:szCs w:val="20"/>
              </w:rPr>
              <w:t>Evaluation Questions</w:t>
            </w:r>
          </w:p>
        </w:tc>
      </w:tr>
      <w:tr w14:paraId="114C69CD" w14:textId="77777777" w:rsidTr="006C387C">
        <w:tblPrEx>
          <w:tblW w:w="5000" w:type="pct"/>
          <w:tblLayout w:type="fixed"/>
          <w:tblCellMar>
            <w:top w:w="14" w:type="dxa"/>
            <w:left w:w="72" w:type="dxa"/>
            <w:bottom w:w="14" w:type="dxa"/>
            <w:right w:w="72" w:type="dxa"/>
          </w:tblCellMar>
          <w:tblLook w:val="04A0"/>
        </w:tblPrEx>
        <w:tc>
          <w:tcPr>
            <w:tcW w:w="5000" w:type="pct"/>
          </w:tcPr>
          <w:p w:rsidR="00516C53" w:rsidRPr="00516C53" w:rsidP="008D5B50" w14:paraId="17FF23DB"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What are the goals and objectives of the new TVAP and Aspire programs?</w:t>
            </w:r>
          </w:p>
          <w:p w:rsidR="00516C53" w:rsidRPr="00516C53" w:rsidP="008D5B50" w14:paraId="118408A5" w14:textId="144A9757">
            <w:pPr>
              <w:numPr>
                <w:ilvl w:val="1"/>
                <w:numId w:val="45"/>
              </w:numPr>
              <w:ind w:left="1094"/>
              <w:contextualSpacing/>
              <w:rPr>
                <w:rFonts w:ascii="Calibri" w:eastAsia="Calibri" w:hAnsi="Calibri" w:cs="Calibri"/>
                <w:sz w:val="20"/>
                <w:szCs w:val="20"/>
              </w:rPr>
            </w:pPr>
            <w:r w:rsidRPr="009654EF">
              <w:rPr>
                <w:rFonts w:ascii="Calibri" w:eastAsia="Calibri" w:hAnsi="Calibri" w:cs="Calibri"/>
                <w:sz w:val="20"/>
                <w:szCs w:val="20"/>
              </w:rPr>
              <w:t>How did the prime recipient, subrecipient, service providers, and clients experience the transition between the former TVAP model and the new programs (e.g. what were challenges, facilitators)?</w:t>
            </w:r>
          </w:p>
        </w:tc>
      </w:tr>
      <w:tr w14:paraId="1D92C183" w14:textId="77777777" w:rsidTr="006C387C">
        <w:tblPrEx>
          <w:tblW w:w="5000" w:type="pct"/>
          <w:tblLayout w:type="fixed"/>
          <w:tblCellMar>
            <w:top w:w="14" w:type="dxa"/>
            <w:left w:w="72" w:type="dxa"/>
            <w:bottom w:w="14" w:type="dxa"/>
            <w:right w:w="72" w:type="dxa"/>
          </w:tblCellMar>
          <w:tblLook w:val="04A0"/>
        </w:tblPrEx>
        <w:tc>
          <w:tcPr>
            <w:tcW w:w="5000" w:type="pct"/>
            <w:tcBorders>
              <w:bottom w:val="single" w:sz="4" w:space="0" w:color="auto"/>
            </w:tcBorders>
            <w:shd w:val="clear" w:color="auto" w:fill="F2F2F2" w:themeFill="background1" w:themeFillShade="F2"/>
          </w:tcPr>
          <w:p w:rsidR="00516C53" w:rsidRPr="00516C53" w:rsidP="008D5B50" w14:paraId="3BACB5D8" w14:textId="77777777">
            <w:pPr>
              <w:keepNext/>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How are the TVAP and Aspire programs structured and administered?</w:t>
            </w:r>
          </w:p>
          <w:p w:rsidR="00516C53" w:rsidRPr="00E07FC2" w:rsidP="00E07FC2" w14:paraId="6CBCAF02" w14:textId="5EBFD658">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challenges and facilitators to implementing the regional approach, the tiered case management model, and other program administration components?</w:t>
            </w:r>
          </w:p>
        </w:tc>
      </w:tr>
      <w:tr w14:paraId="66731B53" w14:textId="77777777" w:rsidTr="006C387C">
        <w:tblPrEx>
          <w:tblW w:w="5000" w:type="pct"/>
          <w:tblLayout w:type="fixed"/>
          <w:tblCellMar>
            <w:top w:w="14" w:type="dxa"/>
            <w:left w:w="72" w:type="dxa"/>
            <w:bottom w:w="14" w:type="dxa"/>
            <w:right w:w="72" w:type="dxa"/>
          </w:tblCellMar>
          <w:tblLook w:val="04A0"/>
        </w:tblPrEx>
        <w:tc>
          <w:tcPr>
            <w:tcW w:w="5000" w:type="pct"/>
          </w:tcPr>
          <w:p w:rsidR="00516C53" w:rsidRPr="00516C53" w:rsidP="008D5B50" w14:paraId="1566C2D2"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How does the prime recipient develop and maintain partnerships?</w:t>
            </w:r>
          </w:p>
          <w:p w:rsidR="00516C53" w:rsidRPr="00516C53" w:rsidP="008D5B50" w14:paraId="70FEC7B1" w14:textId="77777777">
            <w:pPr>
              <w:numPr>
                <w:ilvl w:val="1"/>
                <w:numId w:val="45"/>
              </w:numPr>
              <w:ind w:left="1094"/>
              <w:rPr>
                <w:rFonts w:ascii="Calibri" w:eastAsia="Calibri" w:hAnsi="Calibri" w:cs="Times New Roman"/>
                <w:sz w:val="20"/>
                <w:szCs w:val="20"/>
              </w:rPr>
            </w:pPr>
            <w:r w:rsidRPr="00516C53">
              <w:rPr>
                <w:rFonts w:ascii="Calibri" w:eastAsia="Calibri" w:hAnsi="Calibri" w:cs="Times New Roman"/>
                <w:sz w:val="20"/>
                <w:szCs w:val="20"/>
              </w:rPr>
              <w:t>How do formal TVAP and Aspire actors (OTIP, prime recipient personnel, subrecipients) collaborate?</w:t>
            </w:r>
          </w:p>
          <w:p w:rsidR="00516C53" w:rsidRPr="00516C53" w:rsidP="008D5B50" w14:paraId="793FCAAE"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other actors collaborate with TVAP and Aspire actors? How do they collaborate?</w:t>
            </w:r>
          </w:p>
          <w:p w:rsidR="00516C53" w:rsidRPr="00516C53" w:rsidP="008D5B50" w14:paraId="1F4F7F4E"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do partners and the prime recipient provide feedback to one another?</w:t>
            </w:r>
          </w:p>
          <w:p w:rsidR="00516C53" w:rsidRPr="00516C53" w:rsidP="008D5B50" w14:paraId="47D3A42F"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partnership and collaboration challenges do TVAP and Aspire actors face? How do they respond to these challenges?</w:t>
            </w:r>
          </w:p>
          <w:p w:rsidR="00516C53" w:rsidRPr="00516C53" w:rsidP="008D5B50" w14:paraId="1D4E788B" w14:textId="77777777">
            <w:pPr>
              <w:numPr>
                <w:ilvl w:val="1"/>
                <w:numId w:val="45"/>
              </w:numPr>
              <w:ind w:left="1094"/>
              <w:rPr>
                <w:rFonts w:ascii="Calibri" w:eastAsia="Calibri" w:hAnsi="Calibri" w:cs="Times New Roman"/>
                <w:sz w:val="20"/>
                <w:szCs w:val="20"/>
              </w:rPr>
            </w:pPr>
            <w:r w:rsidRPr="00516C53">
              <w:rPr>
                <w:rFonts w:ascii="Calibri" w:eastAsia="Calibri" w:hAnsi="Calibri" w:cs="Times New Roman"/>
                <w:sz w:val="20"/>
                <w:szCs w:val="20"/>
              </w:rPr>
              <w:t>What are the facilitators to and successes of TVAP and Aspire partnerships and collaboration?</w:t>
            </w:r>
          </w:p>
        </w:tc>
      </w:tr>
      <w:tr w14:paraId="0A0735CE" w14:textId="77777777" w:rsidTr="006C387C">
        <w:tblPrEx>
          <w:tblW w:w="5000" w:type="pct"/>
          <w:tblLayout w:type="fixed"/>
          <w:tblCellMar>
            <w:top w:w="14" w:type="dxa"/>
            <w:left w:w="72" w:type="dxa"/>
            <w:bottom w:w="14" w:type="dxa"/>
            <w:right w:w="72" w:type="dxa"/>
          </w:tblCellMar>
          <w:tblLook w:val="04A0"/>
        </w:tblPrEx>
        <w:tc>
          <w:tcPr>
            <w:tcW w:w="5000" w:type="pct"/>
            <w:shd w:val="clear" w:color="auto" w:fill="F2F2F2" w:themeFill="background1" w:themeFillShade="F2"/>
          </w:tcPr>
          <w:p w:rsidR="00516C53" w:rsidRPr="00516C53" w:rsidP="008D5B50" w14:paraId="0126F6E5"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What are the pathways for clients to TVAP and Aspire?</w:t>
            </w:r>
          </w:p>
          <w:p w:rsidR="00516C53" w:rsidRPr="00516C53" w:rsidP="008D5B50" w14:paraId="4EDA6F1B"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are clients referred to TVAP and Aspire?</w:t>
            </w:r>
          </w:p>
          <w:p w:rsidR="00516C53" w:rsidRPr="00516C53" w:rsidP="008D5B50" w14:paraId="2CE53654"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are targeted outreach and other approaches used to identify and refer clients?</w:t>
            </w:r>
          </w:p>
          <w:p w:rsidR="00516C53" w:rsidRPr="00516C53" w:rsidP="008D5B50" w14:paraId="7061F972"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TVAP and Aspire enrollment procedures and protocols?</w:t>
            </w:r>
          </w:p>
          <w:p w:rsidR="00516C53" w:rsidRPr="00516C53" w:rsidP="008D5B50" w14:paraId="459299E7"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challenges to client identification, referral, enrollment, and re-enrollment? How are they addressed?</w:t>
            </w:r>
          </w:p>
          <w:p w:rsidR="00516C53" w:rsidRPr="00516C53" w:rsidP="008D5B50" w14:paraId="242712C1" w14:textId="77777777">
            <w:pPr>
              <w:numPr>
                <w:ilvl w:val="1"/>
                <w:numId w:val="45"/>
              </w:numPr>
              <w:ind w:left="1094"/>
              <w:rPr>
                <w:rFonts w:ascii="Calibri" w:eastAsia="Calibri" w:hAnsi="Calibri" w:cs="Times New Roman"/>
                <w:sz w:val="20"/>
                <w:szCs w:val="20"/>
              </w:rPr>
            </w:pPr>
            <w:r w:rsidRPr="00516C53">
              <w:rPr>
                <w:rFonts w:ascii="Calibri" w:eastAsia="Calibri" w:hAnsi="Calibri" w:cs="Times New Roman"/>
                <w:sz w:val="20"/>
                <w:szCs w:val="20"/>
              </w:rPr>
              <w:t>What are the facilitators to and successes of client identification, referral, enrollment, and re-enrollment?</w:t>
            </w:r>
          </w:p>
        </w:tc>
      </w:tr>
      <w:tr w14:paraId="0D6FF1B5" w14:textId="77777777" w:rsidTr="006C387C">
        <w:tblPrEx>
          <w:tblW w:w="5000" w:type="pct"/>
          <w:tblLayout w:type="fixed"/>
          <w:tblCellMar>
            <w:top w:w="14" w:type="dxa"/>
            <w:left w:w="72" w:type="dxa"/>
            <w:bottom w:w="14" w:type="dxa"/>
            <w:right w:w="72" w:type="dxa"/>
          </w:tblCellMar>
          <w:tblLook w:val="04A0"/>
        </w:tblPrEx>
        <w:tc>
          <w:tcPr>
            <w:tcW w:w="5000" w:type="pct"/>
          </w:tcPr>
          <w:p w:rsidR="00516C53" w:rsidRPr="00516C53" w:rsidP="008D5B50" w14:paraId="15DB149A"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How are TVAP and Aspire comprehensive case management services conducted for clients?</w:t>
            </w:r>
          </w:p>
          <w:p w:rsidR="00516C53" w:rsidRPr="00516C53" w:rsidP="008D5B50" w14:paraId="10B22520"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key elements of TVAP and Aspire case management approaches?</w:t>
            </w:r>
          </w:p>
          <w:p w:rsidR="00516C53" w:rsidRPr="00516C53" w:rsidP="008D5B50" w14:paraId="1D46F38D"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client assessment and service planning approaches do TVAP and Aspire use?</w:t>
            </w:r>
          </w:p>
          <w:p w:rsidR="00516C53" w:rsidRPr="00516C53" w:rsidP="008D5B50" w14:paraId="45FA212B"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TVAP and Aspire clients’ primary service and assistance needs?</w:t>
            </w:r>
          </w:p>
          <w:p w:rsidR="00516C53" w:rsidRPr="00516C53" w:rsidP="008D5B50" w14:paraId="27D74A43"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services and assistance are provided to TVAP and Aspire clients?</w:t>
            </w:r>
          </w:p>
          <w:p w:rsidR="00516C53" w:rsidRPr="00516C53" w:rsidP="008D5B50" w14:paraId="0948A570"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Who provides what services to clients and why? How are services and assistance provided?</w:t>
            </w:r>
          </w:p>
          <w:p w:rsidR="00516C53" w:rsidRPr="00516C53" w:rsidP="008D5B50" w14:paraId="5E675AC5"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 xml:space="preserve">What are clients’ experiences of and perspectives about participating in TVAP and/or Aspire? </w:t>
            </w:r>
          </w:p>
          <w:p w:rsidR="00516C53" w:rsidRPr="00516C53" w:rsidP="008D5B50" w14:paraId="3E1221E4"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components of the TVAP and/or Aspire programs are perceived to help clients achieve their articulated goals?</w:t>
            </w:r>
          </w:p>
          <w:p w:rsidR="00516C53" w:rsidRPr="00516C53" w:rsidP="008D5B50" w14:paraId="58AAF800"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do clients provide feedback regarding their experiences in the programs?</w:t>
            </w:r>
          </w:p>
          <w:p w:rsidR="00516C53" w:rsidRPr="00516C53" w:rsidP="008D5B50" w14:paraId="31F8FF7A"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 xml:space="preserve">How do clients transition out of TVAP and Aspire? </w:t>
            </w:r>
          </w:p>
          <w:p w:rsidR="00516C53" w:rsidRPr="00516C53" w:rsidP="008D5B50" w14:paraId="386DBF3E" w14:textId="7520A80D">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 xml:space="preserve">What challenges do subrecipients’ experience when delivering services to clients? How do they address these challenges? </w:t>
            </w:r>
          </w:p>
          <w:p w:rsidR="00516C53" w:rsidRPr="00516C53" w:rsidP="008D5B50" w14:paraId="654E71C8"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facilitators to and successes of case management services delivery?</w:t>
            </w:r>
          </w:p>
        </w:tc>
      </w:tr>
      <w:tr w14:paraId="07047142" w14:textId="77777777" w:rsidTr="006C387C">
        <w:tblPrEx>
          <w:tblW w:w="5000" w:type="pct"/>
          <w:tblLayout w:type="fixed"/>
          <w:tblCellMar>
            <w:top w:w="14" w:type="dxa"/>
            <w:left w:w="72" w:type="dxa"/>
            <w:bottom w:w="14" w:type="dxa"/>
            <w:right w:w="72" w:type="dxa"/>
          </w:tblCellMar>
          <w:tblLook w:val="04A0"/>
        </w:tblPrEx>
        <w:tc>
          <w:tcPr>
            <w:tcW w:w="5000" w:type="pct"/>
            <w:shd w:val="clear" w:color="auto" w:fill="F2F2F2" w:themeFill="background1" w:themeFillShade="F2"/>
          </w:tcPr>
          <w:p w:rsidR="00516C53" w:rsidRPr="00516C53" w:rsidP="008D5B50" w14:paraId="4B14F25A"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How do external contextual factors affect the TVAP and Aspire programs?</w:t>
            </w:r>
          </w:p>
          <w:p w:rsidR="00516C53" w:rsidRPr="00516C53" w:rsidP="008D5B50" w14:paraId="7DA24D0B" w14:textId="4700E73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external factors affect TVAP and Aspire program implementation (e.g., child protection policies and practices)?</w:t>
            </w:r>
          </w:p>
          <w:p w:rsidR="00516C53" w:rsidRPr="00516C53" w:rsidP="008D5B50" w14:paraId="5672A3D8"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do identified external factors affect TVAP and Aspire program implementation?</w:t>
            </w:r>
          </w:p>
        </w:tc>
      </w:tr>
    </w:tbl>
    <w:p w:rsidR="0051125C" w:rsidRPr="009139B3" w:rsidP="008D5B50" w14:paraId="284A1368" w14:textId="77777777">
      <w:pPr>
        <w:spacing w:after="0" w:line="240" w:lineRule="auto"/>
        <w:rPr>
          <w:i/>
        </w:rPr>
      </w:pPr>
    </w:p>
    <w:p w:rsidR="001D1C73" w:rsidRPr="00CE7161" w:rsidP="008D5B50" w14:paraId="51121746" w14:textId="77777777">
      <w:pPr>
        <w:keepNext/>
        <w:spacing w:after="60" w:line="240" w:lineRule="auto"/>
        <w:rPr>
          <w:i/>
        </w:rPr>
      </w:pPr>
      <w:r w:rsidRPr="00CE7161">
        <w:rPr>
          <w:i/>
        </w:rPr>
        <w:t>Study Design</w:t>
      </w:r>
    </w:p>
    <w:p w:rsidR="00394330" w:rsidP="00157DC0" w14:paraId="018B81D0" w14:textId="7DDB349D">
      <w:pPr>
        <w:spacing w:after="120" w:line="240" w:lineRule="auto"/>
        <w:rPr>
          <w:bCs/>
        </w:rPr>
      </w:pPr>
      <w:r w:rsidRPr="00CE7161">
        <w:rPr>
          <w:bCs/>
        </w:rPr>
        <w:t xml:space="preserve">With oversight from ACF’s OPRE and OTIP, RTI International is conducting a </w:t>
      </w:r>
      <w:r w:rsidRPr="00CE7161" w:rsidR="00793812">
        <w:rPr>
          <w:bCs/>
        </w:rPr>
        <w:t>regionally focused process evaluation</w:t>
      </w:r>
      <w:r w:rsidRPr="00CE7161">
        <w:rPr>
          <w:bCs/>
        </w:rPr>
        <w:t xml:space="preserve">.  </w:t>
      </w:r>
      <w:r>
        <w:rPr>
          <w:bCs/>
        </w:rPr>
        <w:t xml:space="preserve">This will include the following: </w:t>
      </w:r>
    </w:p>
    <w:p w:rsidR="007578AE" w:rsidP="00394330" w14:paraId="0B1FABF1" w14:textId="4BC5F8D8">
      <w:pPr>
        <w:pStyle w:val="ListParagraph"/>
        <w:numPr>
          <w:ilvl w:val="0"/>
          <w:numId w:val="47"/>
        </w:numPr>
        <w:spacing w:line="240" w:lineRule="auto"/>
      </w:pPr>
      <w:r>
        <w:t>S</w:t>
      </w:r>
      <w:r w:rsidRPr="00394330">
        <w:rPr>
          <w:iCs/>
        </w:rPr>
        <w:t xml:space="preserve">emi-structured virtual interviews focused </w:t>
      </w:r>
      <w:r w:rsidRPr="00394330">
        <w:rPr>
          <w:iCs/>
        </w:rPr>
        <w:t>in</w:t>
      </w:r>
      <w:r w:rsidRPr="00394330">
        <w:rPr>
          <w:iCs/>
        </w:rPr>
        <w:t xml:space="preserve"> two</w:t>
      </w:r>
      <w:r w:rsidRPr="00394330">
        <w:rPr>
          <w:iCs/>
        </w:rPr>
        <w:t xml:space="preserve"> or </w:t>
      </w:r>
      <w:r w:rsidRPr="00394330">
        <w:rPr>
          <w:iCs/>
        </w:rPr>
        <w:t xml:space="preserve">three </w:t>
      </w:r>
      <w:r>
        <w:rPr>
          <w:iCs/>
        </w:rPr>
        <w:t>select regions within the</w:t>
      </w:r>
      <w:r w:rsidRPr="00394330">
        <w:rPr>
          <w:iCs/>
        </w:rPr>
        <w:t xml:space="preserve"> ACF geographic regions</w:t>
      </w:r>
      <w:r w:rsidR="007F0246">
        <w:t xml:space="preserve"> (see </w:t>
      </w:r>
      <w:r w:rsidRPr="003A293B" w:rsidR="007F0246">
        <w:rPr>
          <w:i/>
          <w:iCs/>
        </w:rPr>
        <w:t>Section B2 of Supporting Statement B</w:t>
      </w:r>
      <w:r w:rsidR="00230FCD">
        <w:rPr>
          <w:i/>
          <w:iCs/>
        </w:rPr>
        <w:t xml:space="preserve"> (SSB)</w:t>
      </w:r>
      <w:r w:rsidR="007F0246">
        <w:t xml:space="preserve"> for regional site selection criteria) </w:t>
      </w:r>
    </w:p>
    <w:p w:rsidR="00394330" w:rsidP="00157DC0" w14:paraId="1958FED7" w14:textId="77777777">
      <w:pPr>
        <w:pStyle w:val="ListParagraph"/>
        <w:numPr>
          <w:ilvl w:val="0"/>
          <w:numId w:val="47"/>
        </w:numPr>
        <w:tabs>
          <w:tab w:val="left" w:pos="1750"/>
        </w:tabs>
        <w:spacing w:after="0" w:line="240" w:lineRule="auto"/>
        <w:rPr>
          <w:rFonts w:cstheme="minorHAnsi"/>
          <w:iCs/>
        </w:rPr>
      </w:pPr>
      <w:r w:rsidRPr="00845304">
        <w:rPr>
          <w:rFonts w:cstheme="minorHAnsi"/>
          <w:iCs/>
        </w:rPr>
        <w:t>A survey of all past and current TVAP and Aspire subrecipient</w:t>
      </w:r>
      <w:r>
        <w:rPr>
          <w:rFonts w:cstheme="minorHAnsi"/>
          <w:iCs/>
        </w:rPr>
        <w:t xml:space="preserve"> service providers</w:t>
      </w:r>
      <w:r w:rsidRPr="00845304">
        <w:rPr>
          <w:rFonts w:cstheme="minorHAnsi"/>
          <w:iCs/>
        </w:rPr>
        <w:t xml:space="preserve">.  </w:t>
      </w:r>
    </w:p>
    <w:p w:rsidR="00394330" w:rsidP="00AF093C" w14:paraId="38EFB562" w14:textId="77777777">
      <w:pPr>
        <w:tabs>
          <w:tab w:val="left" w:pos="1750"/>
        </w:tabs>
        <w:spacing w:after="0" w:line="240" w:lineRule="auto"/>
        <w:rPr>
          <w:rFonts w:cstheme="minorHAnsi"/>
          <w:iCs/>
        </w:rPr>
      </w:pPr>
    </w:p>
    <w:p w:rsidR="00394330" w:rsidP="00157DC0" w14:paraId="48E8A2D4" w14:textId="05BD4B86">
      <w:pPr>
        <w:tabs>
          <w:tab w:val="left" w:pos="1750"/>
        </w:tabs>
        <w:spacing w:after="0" w:line="240" w:lineRule="auto"/>
        <w:rPr>
          <w:rFonts w:cstheme="minorHAnsi"/>
          <w:iCs/>
        </w:rPr>
      </w:pPr>
      <w:r w:rsidRPr="00845304">
        <w:rPr>
          <w:rFonts w:cstheme="minorHAnsi"/>
          <w:iCs/>
        </w:rPr>
        <w:t xml:space="preserve">The primary purpose of the interviews and survey is to describe demonstration grant program administration, including understanding program implementation approaches, timelines, facilitators, and barriers, from the perspectives of regional and local service provider staff, other local partner agencies, and adult program participants. </w:t>
      </w:r>
      <w:bookmarkStart w:id="4" w:name="_Hlk209612576"/>
      <w:r w:rsidRPr="00963095" w:rsidR="003A293B">
        <w:rPr>
          <w:rFonts w:cstheme="minorHAnsi"/>
        </w:rPr>
        <w:t xml:space="preserve">The study design selected is </w:t>
      </w:r>
      <w:r w:rsidR="003A293B">
        <w:rPr>
          <w:rFonts w:cstheme="minorHAnsi"/>
        </w:rPr>
        <w:t xml:space="preserve">intended </w:t>
      </w:r>
      <w:r w:rsidR="00723FE8">
        <w:rPr>
          <w:rFonts w:cstheme="minorHAnsi"/>
        </w:rPr>
        <w:t xml:space="preserve">to </w:t>
      </w:r>
      <w:r w:rsidR="003A293B">
        <w:rPr>
          <w:rFonts w:cstheme="minorHAnsi"/>
        </w:rPr>
        <w:t xml:space="preserve">be the least burdensome while </w:t>
      </w:r>
      <w:r w:rsidRPr="00963095" w:rsidR="003A293B">
        <w:rPr>
          <w:rFonts w:cstheme="minorHAnsi"/>
        </w:rPr>
        <w:t>allow</w:t>
      </w:r>
      <w:r w:rsidR="003A293B">
        <w:rPr>
          <w:rFonts w:cstheme="minorHAnsi"/>
        </w:rPr>
        <w:t>ing for both</w:t>
      </w:r>
      <w:r w:rsidRPr="00963095" w:rsidR="003A293B">
        <w:rPr>
          <w:rFonts w:cstheme="minorHAnsi"/>
        </w:rPr>
        <w:t xml:space="preserve"> a deep understanding of implementation experiences </w:t>
      </w:r>
      <w:r w:rsidR="003A293B">
        <w:rPr>
          <w:rFonts w:cstheme="minorHAnsi"/>
        </w:rPr>
        <w:t>and</w:t>
      </w:r>
      <w:r w:rsidRPr="00963095" w:rsidR="003A293B">
        <w:rPr>
          <w:rFonts w:cstheme="minorHAnsi"/>
        </w:rPr>
        <w:t xml:space="preserve"> comparative analysis across regions. </w:t>
      </w:r>
      <w:r w:rsidRPr="00B67B23">
        <w:rPr>
          <w:rFonts w:cstheme="minorHAnsi"/>
        </w:rPr>
        <w:t xml:space="preserve">Qualitative interviews will </w:t>
      </w:r>
      <w:r w:rsidR="003A74DA">
        <w:rPr>
          <w:rFonts w:cstheme="minorHAnsi"/>
        </w:rPr>
        <w:t>bring</w:t>
      </w:r>
      <w:r w:rsidRPr="00B67B23">
        <w:rPr>
          <w:rFonts w:cstheme="minorHAnsi"/>
        </w:rPr>
        <w:t xml:space="preserve"> nuanced </w:t>
      </w:r>
      <w:r>
        <w:rPr>
          <w:rFonts w:cstheme="minorHAnsi"/>
        </w:rPr>
        <w:t>perspective</w:t>
      </w:r>
      <w:r w:rsidR="003A74DA">
        <w:rPr>
          <w:rFonts w:cstheme="minorHAnsi"/>
        </w:rPr>
        <w:t>s</w:t>
      </w:r>
      <w:r w:rsidRPr="00B67B23">
        <w:rPr>
          <w:rFonts w:cstheme="minorHAnsi"/>
        </w:rPr>
        <w:t xml:space="preserve"> to this complex </w:t>
      </w:r>
      <w:r>
        <w:rPr>
          <w:rFonts w:cstheme="minorHAnsi"/>
        </w:rPr>
        <w:t>program</w:t>
      </w:r>
      <w:r w:rsidRPr="00B67B23">
        <w:rPr>
          <w:rFonts w:cstheme="minorHAnsi"/>
        </w:rPr>
        <w:t xml:space="preserve">. </w:t>
      </w:r>
      <w:r w:rsidR="003A74DA">
        <w:rPr>
          <w:rFonts w:cstheme="minorHAnsi"/>
        </w:rPr>
        <w:t>This approach uses a</w:t>
      </w:r>
      <w:r w:rsidRPr="00D33D8C" w:rsidR="003A74DA">
        <w:rPr>
          <w:rFonts w:cstheme="minorHAnsi"/>
        </w:rPr>
        <w:t xml:space="preserve"> small, purposive sample to gain in-depth understanding</w:t>
      </w:r>
      <w:r w:rsidR="003A74DA">
        <w:rPr>
          <w:rFonts w:cstheme="minorHAnsi"/>
        </w:rPr>
        <w:t xml:space="preserve">. However, </w:t>
      </w:r>
      <w:r w:rsidR="00E56C62">
        <w:rPr>
          <w:rFonts w:cstheme="minorHAnsi"/>
        </w:rPr>
        <w:t xml:space="preserve">these </w:t>
      </w:r>
      <w:r w:rsidR="003A74DA">
        <w:rPr>
          <w:rFonts w:cstheme="minorHAnsi"/>
        </w:rPr>
        <w:t xml:space="preserve">findings cannot be </w:t>
      </w:r>
      <w:r w:rsidRPr="00D33D8C" w:rsidR="003A74DA">
        <w:rPr>
          <w:rFonts w:cstheme="minorHAnsi"/>
        </w:rPr>
        <w:t>generalize</w:t>
      </w:r>
      <w:r w:rsidR="003A74DA">
        <w:rPr>
          <w:rFonts w:cstheme="minorHAnsi"/>
        </w:rPr>
        <w:t xml:space="preserve">d across all regions.  </w:t>
      </w:r>
      <w:bookmarkStart w:id="5" w:name="_Hlk209611872"/>
      <w:r w:rsidR="003A74DA">
        <w:rPr>
          <w:rFonts w:cstheme="minorHAnsi"/>
        </w:rPr>
        <w:t>The q</w:t>
      </w:r>
      <w:r w:rsidRPr="00B67B23">
        <w:rPr>
          <w:rFonts w:cstheme="minorHAnsi"/>
        </w:rPr>
        <w:t xml:space="preserve">uantitative surveys will allow for </w:t>
      </w:r>
      <w:r w:rsidRPr="00B67B23">
        <w:rPr>
          <w:rFonts w:cstheme="minorHAnsi"/>
        </w:rPr>
        <w:t>inputs</w:t>
      </w:r>
      <w:r w:rsidRPr="00B67B23">
        <w:rPr>
          <w:rFonts w:cstheme="minorHAnsi"/>
        </w:rPr>
        <w:t xml:space="preserve"> from a broader set of </w:t>
      </w:r>
      <w:r>
        <w:rPr>
          <w:rFonts w:cstheme="minorHAnsi"/>
        </w:rPr>
        <w:t>service providers</w:t>
      </w:r>
      <w:r w:rsidR="003A293B">
        <w:rPr>
          <w:rFonts w:cstheme="minorHAnsi"/>
        </w:rPr>
        <w:t xml:space="preserve"> with lower burden</w:t>
      </w:r>
      <w:r w:rsidRPr="00B67B23">
        <w:rPr>
          <w:rFonts w:cstheme="minorHAnsi"/>
        </w:rPr>
        <w:t>.</w:t>
      </w:r>
      <w:bookmarkEnd w:id="5"/>
      <w:r w:rsidRPr="00B67B23">
        <w:rPr>
          <w:rFonts w:cstheme="minorHAnsi"/>
        </w:rPr>
        <w:t xml:space="preserve"> </w:t>
      </w:r>
      <w:r w:rsidRPr="00B67B23">
        <w:t>Together, the qualitative and quantitative methods will assist in answering the evaluation questions.</w:t>
      </w:r>
      <w:r w:rsidRPr="00B67B23">
        <w:rPr>
          <w:rFonts w:cstheme="minorHAnsi"/>
        </w:rPr>
        <w:t xml:space="preserve"> </w:t>
      </w:r>
      <w:r w:rsidR="00230FCD">
        <w:rPr>
          <w:rFonts w:cstheme="minorHAnsi"/>
          <w:i/>
          <w:iCs/>
        </w:rPr>
        <w:t>SSB</w:t>
      </w:r>
      <w:r w:rsidRPr="00B67B23">
        <w:rPr>
          <w:rFonts w:cstheme="minorHAnsi"/>
        </w:rPr>
        <w:t xml:space="preserve"> provides more detail on the appropriateness of the design (</w:t>
      </w:r>
      <w:r w:rsidRPr="003A293B">
        <w:rPr>
          <w:rFonts w:cstheme="minorHAnsi"/>
          <w:i/>
          <w:iCs/>
        </w:rPr>
        <w:t>section B1</w:t>
      </w:r>
      <w:r w:rsidRPr="00B67B23">
        <w:rPr>
          <w:rFonts w:cstheme="minorHAnsi"/>
        </w:rPr>
        <w:t>) and the study design (</w:t>
      </w:r>
      <w:r w:rsidRPr="003A293B" w:rsidR="003A293B">
        <w:rPr>
          <w:rFonts w:cstheme="minorHAnsi"/>
          <w:i/>
          <w:iCs/>
        </w:rPr>
        <w:t xml:space="preserve">section </w:t>
      </w:r>
      <w:r w:rsidRPr="003A293B">
        <w:rPr>
          <w:rFonts w:cstheme="minorHAnsi"/>
          <w:i/>
          <w:iCs/>
        </w:rPr>
        <w:t>B2</w:t>
      </w:r>
      <w:r w:rsidRPr="00B67B23">
        <w:rPr>
          <w:rFonts w:cstheme="minorHAnsi"/>
        </w:rPr>
        <w:t xml:space="preserve">). </w:t>
      </w:r>
      <w:r w:rsidRPr="00B67B23">
        <w:rPr>
          <w:rFonts w:cstheme="minorHAnsi"/>
          <w:b/>
          <w:bCs/>
          <w:iCs/>
        </w:rPr>
        <w:t>Exhibit A2</w:t>
      </w:r>
      <w:r w:rsidRPr="00B67B23">
        <w:rPr>
          <w:rFonts w:cstheme="minorHAnsi"/>
          <w:iCs/>
        </w:rPr>
        <w:t xml:space="preserve"> provides an overview of the data collection efforts.</w:t>
      </w:r>
    </w:p>
    <w:bookmarkEnd w:id="4"/>
    <w:p w:rsidR="003A74DA" w:rsidP="00157DC0" w14:paraId="006D899C" w14:textId="77777777">
      <w:pPr>
        <w:tabs>
          <w:tab w:val="left" w:pos="1750"/>
        </w:tabs>
        <w:spacing w:after="0" w:line="240" w:lineRule="auto"/>
        <w:rPr>
          <w:rFonts w:cstheme="minorHAnsi"/>
          <w:iCs/>
        </w:rPr>
      </w:pPr>
    </w:p>
    <w:p w:rsidR="007578AE" w:rsidP="00F249A1" w14:paraId="7C27FACB" w14:textId="5B701841">
      <w:pPr>
        <w:pStyle w:val="NormalWeb"/>
        <w:spacing w:before="0" w:beforeAutospacing="0" w:after="0" w:afterAutospacing="0"/>
        <w:rPr>
          <w:rFonts w:asciiTheme="minorHAnsi" w:hAnsiTheme="minorHAnsi" w:cstheme="minorHAnsi"/>
          <w:sz w:val="22"/>
          <w:szCs w:val="22"/>
        </w:rPr>
      </w:pPr>
      <w:bookmarkStart w:id="6" w:name="_Hlk209611944"/>
      <w:r>
        <w:rPr>
          <w:rFonts w:asciiTheme="minorHAnsi" w:hAnsiTheme="minorHAnsi" w:cstheme="minorHAnsi"/>
          <w:sz w:val="22"/>
          <w:szCs w:val="22"/>
        </w:rPr>
        <w:t>I</w:t>
      </w:r>
      <w:r w:rsidR="00394330">
        <w:rPr>
          <w:rFonts w:asciiTheme="minorHAnsi" w:hAnsiTheme="minorHAnsi" w:cstheme="minorHAnsi"/>
          <w:sz w:val="22"/>
          <w:szCs w:val="22"/>
        </w:rPr>
        <w:t xml:space="preserve">n alignment with the research questions, the </w:t>
      </w:r>
      <w:r w:rsidRPr="00447B26" w:rsidR="00394330">
        <w:rPr>
          <w:rFonts w:asciiTheme="minorHAnsi" w:hAnsiTheme="minorHAnsi" w:cstheme="minorHAnsi"/>
          <w:sz w:val="22"/>
          <w:szCs w:val="22"/>
        </w:rPr>
        <w:t>results are</w:t>
      </w:r>
      <w:r w:rsidR="00394330">
        <w:rPr>
          <w:rFonts w:asciiTheme="minorHAnsi" w:hAnsiTheme="minorHAnsi" w:cstheme="minorHAnsi"/>
          <w:sz w:val="22"/>
          <w:szCs w:val="22"/>
        </w:rPr>
        <w:t xml:space="preserve"> context specific in nature and are not</w:t>
      </w:r>
      <w:r w:rsidRPr="00447B26" w:rsidR="00394330">
        <w:rPr>
          <w:rFonts w:asciiTheme="minorHAnsi" w:hAnsiTheme="minorHAnsi" w:cstheme="minorHAnsi"/>
          <w:sz w:val="22"/>
          <w:szCs w:val="22"/>
        </w:rPr>
        <w:t xml:space="preserve"> designed to be representative of or generalizable to a given subpopulation.</w:t>
      </w:r>
      <w:r>
        <w:rPr>
          <w:rFonts w:asciiTheme="minorHAnsi" w:hAnsiTheme="minorHAnsi" w:cstheme="minorHAnsi"/>
          <w:sz w:val="22"/>
          <w:szCs w:val="22"/>
        </w:rPr>
        <w:t xml:space="preserve"> L</w:t>
      </w:r>
      <w:r w:rsidR="00394330">
        <w:rPr>
          <w:rFonts w:asciiTheme="minorHAnsi" w:hAnsiTheme="minorHAnsi" w:cstheme="minorHAnsi"/>
          <w:sz w:val="22"/>
          <w:szCs w:val="22"/>
        </w:rPr>
        <w:t xml:space="preserve">imitations will be </w:t>
      </w:r>
      <w:r w:rsidRPr="00447B26" w:rsidR="00394330">
        <w:rPr>
          <w:rFonts w:asciiTheme="minorHAnsi" w:hAnsiTheme="minorHAnsi" w:cstheme="minorHAnsi"/>
          <w:sz w:val="22"/>
          <w:szCs w:val="22"/>
        </w:rPr>
        <w:t>noted in any publications resulting from the information collection.</w:t>
      </w:r>
      <w:bookmarkEnd w:id="6"/>
    </w:p>
    <w:p w:rsidR="00F249A1" w:rsidRPr="00F249A1" w:rsidP="00F249A1" w14:paraId="7B092690" w14:textId="77777777">
      <w:pPr>
        <w:pStyle w:val="NormalWeb"/>
        <w:spacing w:before="0" w:beforeAutospacing="0" w:after="0" w:afterAutospacing="0"/>
        <w:rPr>
          <w:rFonts w:asciiTheme="minorHAnsi" w:hAnsiTheme="minorHAnsi" w:cstheme="minorHAnsi"/>
          <w:sz w:val="22"/>
          <w:szCs w:val="22"/>
        </w:rPr>
      </w:pPr>
    </w:p>
    <w:p w:rsidR="001D1C73" w:rsidRPr="000A2085" w:rsidP="00AF093C" w14:paraId="3E13AED3" w14:textId="38AD2101">
      <w:pPr>
        <w:pStyle w:val="TableTitle"/>
        <w:spacing w:before="0" w:after="120"/>
        <w:rPr>
          <w:rFonts w:asciiTheme="minorHAnsi" w:hAnsiTheme="minorHAnsi" w:cstheme="minorHAnsi"/>
        </w:rPr>
      </w:pPr>
      <w:bookmarkStart w:id="7" w:name="_Toc503267171"/>
      <w:r>
        <w:rPr>
          <w:rFonts w:asciiTheme="minorHAnsi" w:hAnsiTheme="minorHAnsi" w:cstheme="minorHAnsi"/>
        </w:rPr>
        <w:t>Exhibit</w:t>
      </w:r>
      <w:r w:rsidRPr="00CE22C8" w:rsidR="00BB5F2F">
        <w:rPr>
          <w:rFonts w:asciiTheme="minorHAnsi" w:hAnsiTheme="minorHAnsi" w:cstheme="minorHAnsi"/>
        </w:rPr>
        <w:t xml:space="preserve"> </w:t>
      </w:r>
      <w:r>
        <w:rPr>
          <w:rFonts w:asciiTheme="minorHAnsi" w:hAnsiTheme="minorHAnsi" w:cstheme="minorHAnsi"/>
        </w:rPr>
        <w:t>A</w:t>
      </w:r>
      <w:r w:rsidRPr="00CE22C8" w:rsidR="00BB5F2F">
        <w:rPr>
          <w:rFonts w:asciiTheme="minorHAnsi" w:hAnsiTheme="minorHAnsi" w:cstheme="minorHAnsi"/>
        </w:rPr>
        <w:t>2.</w:t>
      </w:r>
      <w:r w:rsidR="003B7846">
        <w:rPr>
          <w:rFonts w:asciiTheme="minorHAnsi" w:hAnsiTheme="minorHAnsi" w:cstheme="minorHAnsi"/>
        </w:rPr>
        <w:t xml:space="preserve"> </w:t>
      </w:r>
      <w:r w:rsidRPr="000A2085" w:rsidR="00BB5F2F">
        <w:rPr>
          <w:rFonts w:asciiTheme="minorHAnsi" w:hAnsiTheme="minorHAnsi" w:cstheme="minorHAnsi"/>
        </w:rPr>
        <w:t>Data Collection Instruments</w:t>
      </w:r>
      <w:bookmarkEnd w:id="7"/>
    </w:p>
    <w:tbl>
      <w:tblPr>
        <w:tblStyle w:val="TableGrid"/>
        <w:tblW w:w="9715" w:type="dxa"/>
        <w:tblInd w:w="0" w:type="dxa"/>
        <w:tblLook w:val="04A0"/>
      </w:tblPr>
      <w:tblGrid>
        <w:gridCol w:w="1923"/>
        <w:gridCol w:w="1676"/>
        <w:gridCol w:w="4226"/>
        <w:gridCol w:w="1890"/>
      </w:tblGrid>
      <w:tr w14:paraId="7A08A530" w14:textId="77777777" w:rsidTr="00F52FD6">
        <w:tblPrEx>
          <w:tblW w:w="9715" w:type="dxa"/>
          <w:tblInd w:w="0" w:type="dxa"/>
          <w:tblLook w:val="04A0"/>
        </w:tblPrEx>
        <w:tc>
          <w:tcPr>
            <w:tcW w:w="1923" w:type="dxa"/>
            <w:shd w:val="clear" w:color="auto" w:fill="D9D9D9" w:themeFill="background1" w:themeFillShade="D9"/>
          </w:tcPr>
          <w:p w:rsidR="001D1C73" w:rsidRPr="00B67B23" w:rsidP="008D5B50" w14:paraId="142698B1" w14:textId="77777777">
            <w:pPr>
              <w:rPr>
                <w:rFonts w:asciiTheme="minorHAnsi" w:hAnsiTheme="minorHAnsi" w:cstheme="minorHAnsi"/>
                <w:i/>
              </w:rPr>
            </w:pPr>
            <w:r w:rsidRPr="00B67B23">
              <w:rPr>
                <w:rFonts w:asciiTheme="minorHAnsi" w:hAnsiTheme="minorHAnsi" w:cstheme="minorHAnsi"/>
                <w:i/>
              </w:rPr>
              <w:t>Data Collection Activity</w:t>
            </w:r>
          </w:p>
        </w:tc>
        <w:tc>
          <w:tcPr>
            <w:tcW w:w="1676" w:type="dxa"/>
            <w:shd w:val="clear" w:color="auto" w:fill="D9D9D9" w:themeFill="background1" w:themeFillShade="D9"/>
          </w:tcPr>
          <w:p w:rsidR="001D1C73" w:rsidRPr="00B67B23" w:rsidP="008D5B50" w14:paraId="27BC6F15" w14:textId="6138FB5B">
            <w:pPr>
              <w:rPr>
                <w:rFonts w:asciiTheme="minorHAnsi" w:hAnsiTheme="minorHAnsi" w:cstheme="minorHAnsi"/>
                <w:i/>
              </w:rPr>
            </w:pPr>
            <w:r w:rsidRPr="00B67B23">
              <w:rPr>
                <w:rFonts w:asciiTheme="minorHAnsi" w:hAnsiTheme="minorHAnsi" w:cstheme="minorHAnsi"/>
                <w:i/>
              </w:rPr>
              <w:t>Instruments</w:t>
            </w:r>
          </w:p>
        </w:tc>
        <w:tc>
          <w:tcPr>
            <w:tcW w:w="4226" w:type="dxa"/>
            <w:shd w:val="clear" w:color="auto" w:fill="D9D9D9" w:themeFill="background1" w:themeFillShade="D9"/>
          </w:tcPr>
          <w:p w:rsidR="001D1C73" w:rsidRPr="00B67B23" w:rsidP="008D5B50" w14:paraId="02FE35A0" w14:textId="5F31F3BB">
            <w:pPr>
              <w:rPr>
                <w:rFonts w:asciiTheme="minorHAnsi" w:hAnsiTheme="minorHAnsi" w:cstheme="minorHAnsi"/>
                <w:i/>
              </w:rPr>
            </w:pPr>
            <w:r w:rsidRPr="00B67B23">
              <w:rPr>
                <w:rFonts w:asciiTheme="minorHAnsi" w:hAnsiTheme="minorHAnsi" w:cstheme="minorHAnsi"/>
                <w:i/>
              </w:rPr>
              <w:t>Responden</w:t>
            </w:r>
            <w:r w:rsidRPr="00B67B23" w:rsidR="00F52FD6">
              <w:rPr>
                <w:rFonts w:asciiTheme="minorHAnsi" w:hAnsiTheme="minorHAnsi" w:cstheme="minorHAnsi"/>
                <w:i/>
              </w:rPr>
              <w:t>t and</w:t>
            </w:r>
            <w:r w:rsidRPr="00B67B23">
              <w:rPr>
                <w:rFonts w:asciiTheme="minorHAnsi" w:hAnsiTheme="minorHAnsi" w:cstheme="minorHAnsi"/>
                <w:i/>
              </w:rPr>
              <w:t xml:space="preserve"> Content</w:t>
            </w:r>
            <w:r w:rsidRPr="00B67B23" w:rsidR="00F52FD6">
              <w:rPr>
                <w:rFonts w:asciiTheme="minorHAnsi" w:hAnsiTheme="minorHAnsi" w:cstheme="minorHAnsi"/>
                <w:i/>
              </w:rPr>
              <w:t xml:space="preserve"> </w:t>
            </w:r>
            <w:r w:rsidRPr="00B67B23">
              <w:rPr>
                <w:rFonts w:asciiTheme="minorHAnsi" w:hAnsiTheme="minorHAnsi" w:cstheme="minorHAnsi"/>
                <w:i/>
              </w:rPr>
              <w:t>of Collection</w:t>
            </w:r>
          </w:p>
        </w:tc>
        <w:tc>
          <w:tcPr>
            <w:tcW w:w="1890" w:type="dxa"/>
            <w:shd w:val="clear" w:color="auto" w:fill="D9D9D9" w:themeFill="background1" w:themeFillShade="D9"/>
          </w:tcPr>
          <w:p w:rsidR="001D1C73" w:rsidRPr="00B67B23" w:rsidP="008D5B50" w14:paraId="6D5BE90E" w14:textId="77777777">
            <w:pPr>
              <w:rPr>
                <w:rFonts w:asciiTheme="minorHAnsi" w:hAnsiTheme="minorHAnsi" w:cstheme="minorHAnsi"/>
                <w:i/>
              </w:rPr>
            </w:pPr>
            <w:r w:rsidRPr="00B67B23">
              <w:rPr>
                <w:rFonts w:asciiTheme="minorHAnsi" w:hAnsiTheme="minorHAnsi" w:cstheme="minorHAnsi"/>
                <w:i/>
              </w:rPr>
              <w:t>Mode and Duration</w:t>
            </w:r>
          </w:p>
        </w:tc>
      </w:tr>
      <w:tr w14:paraId="200BE810" w14:textId="77777777" w:rsidTr="00F52FD6">
        <w:tblPrEx>
          <w:tblW w:w="9715" w:type="dxa"/>
          <w:tblInd w:w="0" w:type="dxa"/>
          <w:tblLook w:val="04A0"/>
        </w:tblPrEx>
        <w:tc>
          <w:tcPr>
            <w:tcW w:w="1923" w:type="dxa"/>
          </w:tcPr>
          <w:p w:rsidR="00A827AE" w:rsidRPr="00B67B23" w:rsidP="008D5B50" w14:paraId="3DC4D1C0" w14:textId="3BB6CA79">
            <w:pPr>
              <w:rPr>
                <w:rFonts w:asciiTheme="minorHAnsi" w:hAnsiTheme="minorHAnsi" w:cstheme="minorHAnsi"/>
              </w:rPr>
            </w:pPr>
            <w:r w:rsidRPr="00B67B23">
              <w:rPr>
                <w:rFonts w:asciiTheme="minorHAnsi" w:hAnsiTheme="minorHAnsi" w:cstheme="minorHAnsi"/>
              </w:rPr>
              <w:t>Interviews</w:t>
            </w:r>
            <w:r w:rsidR="00872345">
              <w:rPr>
                <w:rFonts w:asciiTheme="minorHAnsi" w:hAnsiTheme="minorHAnsi" w:cstheme="minorHAnsi"/>
              </w:rPr>
              <w:t xml:space="preserve"> with</w:t>
            </w:r>
            <w:r w:rsidRPr="00B67B23">
              <w:rPr>
                <w:rFonts w:asciiTheme="minorHAnsi" w:hAnsiTheme="minorHAnsi" w:cstheme="minorHAnsi"/>
              </w:rPr>
              <w:t xml:space="preserve"> </w:t>
            </w:r>
            <w:r w:rsidRPr="00B67B23" w:rsidR="00200883">
              <w:rPr>
                <w:rFonts w:asciiTheme="minorHAnsi" w:hAnsiTheme="minorHAnsi" w:cstheme="minorHAnsi"/>
              </w:rPr>
              <w:t>key subrecipients in the select</w:t>
            </w:r>
            <w:r w:rsidR="00872345">
              <w:rPr>
                <w:rFonts w:asciiTheme="minorHAnsi" w:hAnsiTheme="minorHAnsi" w:cstheme="minorHAnsi"/>
              </w:rPr>
              <w:t>ed</w:t>
            </w:r>
            <w:r w:rsidRPr="00B67B23" w:rsidR="00200883">
              <w:rPr>
                <w:rFonts w:asciiTheme="minorHAnsi" w:hAnsiTheme="minorHAnsi" w:cstheme="minorHAnsi"/>
              </w:rPr>
              <w:t xml:space="preserve"> regions</w:t>
            </w:r>
          </w:p>
        </w:tc>
        <w:tc>
          <w:tcPr>
            <w:tcW w:w="1676" w:type="dxa"/>
          </w:tcPr>
          <w:p w:rsidR="00A827AE" w:rsidRPr="00B67B23" w:rsidP="008D5B50" w14:paraId="42AF9A73" w14:textId="343329A7">
            <w:pPr>
              <w:rPr>
                <w:rFonts w:asciiTheme="minorHAnsi" w:hAnsiTheme="minorHAnsi" w:cstheme="minorHAnsi"/>
              </w:rPr>
            </w:pPr>
            <w:r w:rsidRPr="00872345">
              <w:rPr>
                <w:rFonts w:asciiTheme="minorHAnsi" w:hAnsiTheme="minorHAnsi" w:cstheme="minorHAnsi"/>
                <w:bCs/>
              </w:rPr>
              <w:t>Subrecipient Interview</w:t>
            </w:r>
            <w:r w:rsidR="00F06328">
              <w:rPr>
                <w:rFonts w:asciiTheme="minorHAnsi" w:hAnsiTheme="minorHAnsi" w:cstheme="minorHAnsi"/>
                <w:bCs/>
              </w:rPr>
              <w:t xml:space="preserve"> Guide</w:t>
            </w:r>
          </w:p>
        </w:tc>
        <w:tc>
          <w:tcPr>
            <w:tcW w:w="4226" w:type="dxa"/>
          </w:tcPr>
          <w:p w:rsidR="00A827AE" w:rsidRPr="00B67B23" w:rsidP="008D5B50" w14:paraId="3612D1A6" w14:textId="22DD0458">
            <w:pPr>
              <w:rPr>
                <w:rFonts w:asciiTheme="minorHAnsi" w:hAnsiTheme="minorHAnsi" w:cstheme="minorHAnsi"/>
              </w:rPr>
            </w:pPr>
            <w:r w:rsidRPr="00B67B23">
              <w:rPr>
                <w:rFonts w:asciiTheme="minorHAnsi" w:hAnsiTheme="minorHAnsi" w:cstheme="minorHAnsi"/>
                <w:b/>
              </w:rPr>
              <w:t>Respondents</w:t>
            </w:r>
            <w:r w:rsidRPr="00B67B23">
              <w:rPr>
                <w:rFonts w:asciiTheme="minorHAnsi" w:hAnsiTheme="minorHAnsi" w:cstheme="minorHAnsi"/>
              </w:rPr>
              <w:t xml:space="preserve">: </w:t>
            </w:r>
            <w:r w:rsidRPr="00B67B23" w:rsidR="009C7745">
              <w:rPr>
                <w:rFonts w:asciiTheme="minorHAnsi" w:hAnsiTheme="minorHAnsi" w:cstheme="minorHAnsi"/>
              </w:rPr>
              <w:t xml:space="preserve">TVAP and Aspire </w:t>
            </w:r>
            <w:r w:rsidR="00872345">
              <w:rPr>
                <w:rFonts w:asciiTheme="minorHAnsi" w:hAnsiTheme="minorHAnsi" w:cstheme="minorHAnsi"/>
              </w:rPr>
              <w:t>subrecipient program</w:t>
            </w:r>
            <w:r w:rsidRPr="00B67B23" w:rsidR="009C7745">
              <w:rPr>
                <w:rFonts w:asciiTheme="minorHAnsi" w:hAnsiTheme="minorHAnsi" w:cstheme="minorHAnsi"/>
              </w:rPr>
              <w:t xml:space="preserve"> staff</w:t>
            </w:r>
          </w:p>
          <w:p w:rsidR="00A827AE" w:rsidRPr="00B67B23" w:rsidP="008D5B50" w14:paraId="0B01ADD1" w14:textId="77777777">
            <w:pPr>
              <w:rPr>
                <w:rFonts w:asciiTheme="minorHAnsi" w:hAnsiTheme="minorHAnsi" w:cstheme="minorHAnsi"/>
              </w:rPr>
            </w:pPr>
          </w:p>
          <w:p w:rsidR="00A827AE" w:rsidRPr="00B67B23" w:rsidP="008D5B50" w14:paraId="65C5169A" w14:textId="27F68502">
            <w:pPr>
              <w:rPr>
                <w:rFonts w:asciiTheme="minorHAnsi" w:hAnsiTheme="minorHAnsi" w:cstheme="minorHAnsi"/>
                <w:b/>
              </w:rPr>
            </w:pPr>
            <w:r w:rsidRPr="00B67B23">
              <w:rPr>
                <w:rFonts w:asciiTheme="minorHAnsi" w:hAnsiTheme="minorHAnsi" w:cstheme="minorHAnsi"/>
                <w:b/>
              </w:rPr>
              <w:t>Content</w:t>
            </w:r>
            <w:r w:rsidRPr="00B67B23">
              <w:rPr>
                <w:rFonts w:asciiTheme="minorHAnsi" w:hAnsiTheme="minorHAnsi" w:cstheme="minorHAnsi"/>
              </w:rPr>
              <w:t xml:space="preserve">: </w:t>
            </w:r>
            <w:r w:rsidRPr="00B67B23" w:rsidR="00DC05AB">
              <w:rPr>
                <w:rFonts w:asciiTheme="minorHAnsi" w:hAnsiTheme="minorHAnsi" w:cstheme="minorHAnsi"/>
              </w:rPr>
              <w:t>I</w:t>
            </w:r>
            <w:r w:rsidRPr="00B67B23" w:rsidR="00F52FD6">
              <w:rPr>
                <w:rFonts w:asciiTheme="minorHAnsi" w:hAnsiTheme="minorHAnsi" w:cstheme="minorHAnsi"/>
              </w:rPr>
              <w:t>mplementation models, participant and implementer engagement, and implementation facilitators and barriers.</w:t>
            </w:r>
          </w:p>
        </w:tc>
        <w:tc>
          <w:tcPr>
            <w:tcW w:w="1890" w:type="dxa"/>
          </w:tcPr>
          <w:p w:rsidR="00A827AE" w:rsidRPr="00B67B23" w:rsidP="008D5B50" w14:paraId="705900E0" w14:textId="18B73438">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sidR="00E105EE">
              <w:rPr>
                <w:rFonts w:asciiTheme="minorHAnsi" w:hAnsiTheme="minorHAnsi" w:cstheme="minorHAnsi"/>
              </w:rPr>
              <w:t>V</w:t>
            </w:r>
            <w:r w:rsidRPr="00B67B23" w:rsidR="00F40AD2">
              <w:rPr>
                <w:rFonts w:asciiTheme="minorHAnsi" w:hAnsiTheme="minorHAnsi" w:cstheme="minorHAnsi"/>
              </w:rPr>
              <w:t>irtual</w:t>
            </w:r>
          </w:p>
          <w:p w:rsidR="00A827AE" w:rsidRPr="00B67B23" w:rsidP="008D5B50" w14:paraId="2183825E" w14:textId="77777777">
            <w:pPr>
              <w:rPr>
                <w:rFonts w:asciiTheme="minorHAnsi" w:hAnsiTheme="minorHAnsi" w:cstheme="minorHAnsi"/>
              </w:rPr>
            </w:pPr>
          </w:p>
          <w:p w:rsidR="00A827AE" w:rsidRPr="00B67B23" w:rsidP="008D5B50" w14:paraId="4D2D26B1" w14:textId="50894826">
            <w:pPr>
              <w:rPr>
                <w:rFonts w:asciiTheme="minorHAnsi" w:hAnsiTheme="minorHAnsi" w:cstheme="minorHAnsi"/>
              </w:rPr>
            </w:pPr>
            <w:r w:rsidRPr="00B67B23">
              <w:rPr>
                <w:rFonts w:asciiTheme="minorHAnsi" w:hAnsiTheme="minorHAnsi" w:cstheme="minorHAnsi"/>
                <w:b/>
              </w:rPr>
              <w:t>Duration</w:t>
            </w:r>
            <w:r w:rsidRPr="00B67B23">
              <w:rPr>
                <w:rFonts w:asciiTheme="minorHAnsi" w:hAnsiTheme="minorHAnsi" w:cstheme="minorHAnsi"/>
              </w:rPr>
              <w:t xml:space="preserve">: </w:t>
            </w:r>
            <w:r w:rsidRPr="00B67B23" w:rsidR="009C7745">
              <w:rPr>
                <w:rFonts w:asciiTheme="minorHAnsi" w:hAnsiTheme="minorHAnsi" w:cstheme="minorHAnsi"/>
              </w:rPr>
              <w:t>1</w:t>
            </w:r>
            <w:r w:rsidRPr="00B67B23">
              <w:rPr>
                <w:rFonts w:asciiTheme="minorHAnsi" w:hAnsiTheme="minorHAnsi" w:cstheme="minorHAnsi"/>
              </w:rPr>
              <w:t>.5 hours</w:t>
            </w:r>
          </w:p>
          <w:p w:rsidR="00A827AE" w:rsidRPr="00B67B23" w:rsidP="008D5B50" w14:paraId="5500F034" w14:textId="77777777">
            <w:pPr>
              <w:rPr>
                <w:rFonts w:asciiTheme="minorHAnsi" w:hAnsiTheme="minorHAnsi" w:cstheme="minorHAnsi"/>
                <w:b/>
              </w:rPr>
            </w:pPr>
          </w:p>
        </w:tc>
      </w:tr>
      <w:tr w14:paraId="7B812EFC" w14:textId="77777777" w:rsidTr="00F52FD6">
        <w:tblPrEx>
          <w:tblW w:w="9715" w:type="dxa"/>
          <w:tblInd w:w="0" w:type="dxa"/>
          <w:tblLook w:val="04A0"/>
        </w:tblPrEx>
        <w:tc>
          <w:tcPr>
            <w:tcW w:w="1923" w:type="dxa"/>
          </w:tcPr>
          <w:p w:rsidR="00A827AE" w:rsidRPr="00B67B23" w:rsidP="008D5B50" w14:paraId="4F041875" w14:textId="533C9A28">
            <w:pPr>
              <w:rPr>
                <w:rFonts w:asciiTheme="minorHAnsi" w:hAnsiTheme="minorHAnsi" w:cstheme="minorHAnsi"/>
              </w:rPr>
            </w:pPr>
            <w:r w:rsidRPr="00B67B23">
              <w:rPr>
                <w:rFonts w:asciiTheme="minorHAnsi" w:hAnsiTheme="minorHAnsi" w:cstheme="minorHAnsi"/>
              </w:rPr>
              <w:t>Interviews</w:t>
            </w:r>
            <w:r>
              <w:rPr>
                <w:rFonts w:asciiTheme="minorHAnsi" w:hAnsiTheme="minorHAnsi" w:cstheme="minorHAnsi"/>
              </w:rPr>
              <w:t xml:space="preserve"> with</w:t>
            </w:r>
            <w:r w:rsidRPr="00B67B23">
              <w:rPr>
                <w:rFonts w:asciiTheme="minorHAnsi" w:hAnsiTheme="minorHAnsi" w:cstheme="minorHAnsi"/>
              </w:rPr>
              <w:t xml:space="preserve"> </w:t>
            </w:r>
            <w:r>
              <w:rPr>
                <w:rFonts w:asciiTheme="minorHAnsi" w:hAnsiTheme="minorHAnsi" w:cstheme="minorHAnsi"/>
              </w:rPr>
              <w:t xml:space="preserve">other </w:t>
            </w:r>
            <w:r w:rsidR="000437CC">
              <w:rPr>
                <w:rFonts w:asciiTheme="minorHAnsi" w:hAnsiTheme="minorHAnsi" w:cstheme="minorHAnsi"/>
              </w:rPr>
              <w:t xml:space="preserve">service </w:t>
            </w:r>
            <w:r>
              <w:rPr>
                <w:rFonts w:asciiTheme="minorHAnsi" w:hAnsiTheme="minorHAnsi" w:cstheme="minorHAnsi"/>
              </w:rPr>
              <w:t>providers</w:t>
            </w:r>
            <w:r w:rsidRPr="00B67B23">
              <w:rPr>
                <w:rFonts w:asciiTheme="minorHAnsi" w:hAnsiTheme="minorHAnsi" w:cstheme="minorHAnsi"/>
              </w:rPr>
              <w:t xml:space="preserve"> in the select</w:t>
            </w:r>
            <w:r>
              <w:rPr>
                <w:rFonts w:asciiTheme="minorHAnsi" w:hAnsiTheme="minorHAnsi" w:cstheme="minorHAnsi"/>
              </w:rPr>
              <w:t>ed</w:t>
            </w:r>
            <w:r w:rsidRPr="00B67B23">
              <w:rPr>
                <w:rFonts w:asciiTheme="minorHAnsi" w:hAnsiTheme="minorHAnsi" w:cstheme="minorHAnsi"/>
              </w:rPr>
              <w:t xml:space="preserve"> regions</w:t>
            </w:r>
          </w:p>
        </w:tc>
        <w:tc>
          <w:tcPr>
            <w:tcW w:w="1676" w:type="dxa"/>
          </w:tcPr>
          <w:p w:rsidR="00A827AE" w:rsidP="008D5B50" w14:paraId="6D3BC2CF" w14:textId="49FC7307">
            <w:pPr>
              <w:rPr>
                <w:rFonts w:asciiTheme="minorHAnsi" w:hAnsiTheme="minorHAnsi" w:cstheme="minorHAnsi"/>
                <w:bCs/>
              </w:rPr>
            </w:pPr>
            <w:r w:rsidRPr="00872345">
              <w:rPr>
                <w:rFonts w:asciiTheme="minorHAnsi" w:hAnsiTheme="minorHAnsi" w:cstheme="minorHAnsi"/>
                <w:bCs/>
              </w:rPr>
              <w:t xml:space="preserve">Other Service Provider Interview </w:t>
            </w:r>
            <w:r w:rsidRPr="00872345">
              <w:rPr>
                <w:rFonts w:asciiTheme="minorHAnsi" w:hAnsiTheme="minorHAnsi" w:cstheme="minorHAnsi"/>
                <w:bCs/>
              </w:rPr>
              <w:t>Guide</w:t>
            </w:r>
            <w:r w:rsidR="00C86C35">
              <w:rPr>
                <w:rFonts w:asciiTheme="minorHAnsi" w:hAnsiTheme="minorHAnsi" w:cstheme="minorHAnsi"/>
                <w:bCs/>
              </w:rPr>
              <w:t>;</w:t>
            </w:r>
          </w:p>
          <w:p w:rsidR="00872345" w:rsidRPr="00B67B23" w:rsidP="008D5B50" w14:paraId="6B2B2C06" w14:textId="1C6A0290">
            <w:pPr>
              <w:rPr>
                <w:rFonts w:asciiTheme="minorHAnsi" w:hAnsiTheme="minorHAnsi" w:cstheme="minorHAnsi"/>
              </w:rPr>
            </w:pPr>
          </w:p>
        </w:tc>
        <w:tc>
          <w:tcPr>
            <w:tcW w:w="4226" w:type="dxa"/>
          </w:tcPr>
          <w:p w:rsidR="00A827AE" w:rsidRPr="00B67B23" w:rsidP="008D5B50" w14:paraId="50642058" w14:textId="47704DFF">
            <w:pPr>
              <w:rPr>
                <w:rFonts w:asciiTheme="minorHAnsi" w:hAnsiTheme="minorHAnsi" w:cstheme="minorHAnsi"/>
              </w:rPr>
            </w:pPr>
            <w:r w:rsidRPr="00B67B23">
              <w:rPr>
                <w:rFonts w:asciiTheme="minorHAnsi" w:hAnsiTheme="minorHAnsi" w:cstheme="minorHAnsi"/>
                <w:b/>
              </w:rPr>
              <w:t>Respondents</w:t>
            </w:r>
            <w:r w:rsidRPr="00B67B23">
              <w:rPr>
                <w:rFonts w:asciiTheme="minorHAnsi" w:hAnsiTheme="minorHAnsi" w:cstheme="minorHAnsi"/>
              </w:rPr>
              <w:t xml:space="preserve">: </w:t>
            </w:r>
            <w:r w:rsidRPr="00B67B23" w:rsidR="009C7745">
              <w:rPr>
                <w:rFonts w:asciiTheme="minorHAnsi" w:hAnsiTheme="minorHAnsi" w:cstheme="minorHAnsi"/>
              </w:rPr>
              <w:t>Non TVAP/Aspire service providers (e.g., OVC grantees, community referrals</w:t>
            </w:r>
          </w:p>
          <w:p w:rsidR="00A827AE" w:rsidRPr="00B67B23" w:rsidP="008D5B50" w14:paraId="2C39AB28" w14:textId="77777777">
            <w:pPr>
              <w:rPr>
                <w:rFonts w:asciiTheme="minorHAnsi" w:hAnsiTheme="minorHAnsi" w:cstheme="minorHAnsi"/>
              </w:rPr>
            </w:pPr>
          </w:p>
          <w:p w:rsidR="00A827AE" w:rsidRPr="00B67B23" w:rsidP="008D5B50" w14:paraId="7244D51E" w14:textId="32183507">
            <w:pPr>
              <w:rPr>
                <w:rFonts w:asciiTheme="minorHAnsi" w:hAnsiTheme="minorHAnsi" w:cstheme="minorHAnsi"/>
                <w:b/>
              </w:rPr>
            </w:pPr>
            <w:r w:rsidRPr="00B67B23">
              <w:rPr>
                <w:rFonts w:asciiTheme="minorHAnsi" w:hAnsiTheme="minorHAnsi" w:cstheme="minorHAnsi"/>
                <w:b/>
              </w:rPr>
              <w:t>Content</w:t>
            </w:r>
            <w:r w:rsidRPr="00B67B23">
              <w:rPr>
                <w:rFonts w:asciiTheme="minorHAnsi" w:hAnsiTheme="minorHAnsi" w:cstheme="minorHAnsi"/>
              </w:rPr>
              <w:t xml:space="preserve">: </w:t>
            </w:r>
            <w:r w:rsidRPr="00B67B23" w:rsidR="00DC05AB">
              <w:rPr>
                <w:rFonts w:asciiTheme="minorHAnsi" w:hAnsiTheme="minorHAnsi" w:cstheme="minorHAnsi"/>
              </w:rPr>
              <w:t xml:space="preserve">Experience </w:t>
            </w:r>
            <w:r w:rsidRPr="00B67B23" w:rsidR="00155D30">
              <w:rPr>
                <w:rFonts w:asciiTheme="minorHAnsi" w:hAnsiTheme="minorHAnsi" w:cstheme="minorHAnsi"/>
              </w:rPr>
              <w:t xml:space="preserve">providing services to human trafficking </w:t>
            </w:r>
            <w:r w:rsidR="000437CC">
              <w:rPr>
                <w:rFonts w:asciiTheme="minorHAnsi" w:hAnsiTheme="minorHAnsi" w:cstheme="minorHAnsi"/>
              </w:rPr>
              <w:t>survivors</w:t>
            </w:r>
            <w:r w:rsidRPr="00B67B23" w:rsidR="00155D30">
              <w:rPr>
                <w:rFonts w:asciiTheme="minorHAnsi" w:hAnsiTheme="minorHAnsi" w:cstheme="minorHAnsi"/>
              </w:rPr>
              <w:t xml:space="preserve">, challenges, </w:t>
            </w:r>
            <w:r w:rsidRPr="00B67B23" w:rsidR="00DC05AB">
              <w:rPr>
                <w:rFonts w:asciiTheme="minorHAnsi" w:hAnsiTheme="minorHAnsi" w:cstheme="minorHAnsi"/>
              </w:rPr>
              <w:t>lessons learned</w:t>
            </w:r>
            <w:r w:rsidRPr="00B67B23" w:rsidR="00155D30">
              <w:rPr>
                <w:rFonts w:asciiTheme="minorHAnsi" w:hAnsiTheme="minorHAnsi" w:cstheme="minorHAnsi"/>
              </w:rPr>
              <w:t>.</w:t>
            </w:r>
          </w:p>
        </w:tc>
        <w:tc>
          <w:tcPr>
            <w:tcW w:w="1890" w:type="dxa"/>
          </w:tcPr>
          <w:p w:rsidR="00A827AE" w:rsidRPr="00B67B23" w:rsidP="008D5B50" w14:paraId="6F695E55" w14:textId="6B2DD9B3">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sidR="00E105EE">
              <w:rPr>
                <w:rFonts w:asciiTheme="minorHAnsi" w:hAnsiTheme="minorHAnsi" w:cstheme="minorHAnsi"/>
              </w:rPr>
              <w:t>V</w:t>
            </w:r>
            <w:r w:rsidRPr="00B67B23" w:rsidR="00F40AD2">
              <w:rPr>
                <w:rFonts w:asciiTheme="minorHAnsi" w:hAnsiTheme="minorHAnsi" w:cstheme="minorHAnsi"/>
              </w:rPr>
              <w:t>irtual</w:t>
            </w:r>
          </w:p>
          <w:p w:rsidR="00A827AE" w:rsidRPr="00B67B23" w:rsidP="008D5B50" w14:paraId="3854E1F5" w14:textId="77777777">
            <w:pPr>
              <w:rPr>
                <w:rFonts w:asciiTheme="minorHAnsi" w:hAnsiTheme="minorHAnsi" w:cstheme="minorHAnsi"/>
              </w:rPr>
            </w:pPr>
          </w:p>
          <w:p w:rsidR="00A827AE" w:rsidRPr="00B67B23" w:rsidP="008D5B50" w14:paraId="55B0D250" w14:textId="7E3950EF">
            <w:pPr>
              <w:rPr>
                <w:rFonts w:asciiTheme="minorHAnsi" w:hAnsiTheme="minorHAnsi" w:cstheme="minorHAnsi"/>
                <w:b/>
              </w:rPr>
            </w:pPr>
            <w:r w:rsidRPr="00B67B23">
              <w:rPr>
                <w:rFonts w:asciiTheme="minorHAnsi" w:hAnsiTheme="minorHAnsi" w:cstheme="minorHAnsi"/>
                <w:b/>
              </w:rPr>
              <w:t>Duration</w:t>
            </w:r>
            <w:r w:rsidRPr="00B67B23">
              <w:rPr>
                <w:rFonts w:asciiTheme="minorHAnsi" w:hAnsiTheme="minorHAnsi" w:cstheme="minorHAnsi"/>
              </w:rPr>
              <w:t xml:space="preserve">: </w:t>
            </w:r>
            <w:r w:rsidRPr="00B67B23" w:rsidR="00155D30">
              <w:rPr>
                <w:rFonts w:asciiTheme="minorHAnsi" w:hAnsiTheme="minorHAnsi" w:cstheme="minorHAnsi"/>
              </w:rPr>
              <w:t>1 hour</w:t>
            </w:r>
          </w:p>
        </w:tc>
      </w:tr>
      <w:tr w14:paraId="61E01828" w14:textId="77777777" w:rsidTr="00F52FD6">
        <w:tblPrEx>
          <w:tblW w:w="9715" w:type="dxa"/>
          <w:tblInd w:w="0" w:type="dxa"/>
          <w:tblLook w:val="04A0"/>
        </w:tblPrEx>
        <w:tc>
          <w:tcPr>
            <w:tcW w:w="1923" w:type="dxa"/>
          </w:tcPr>
          <w:p w:rsidR="000437CC" w:rsidP="008D5B50" w14:paraId="440559B0" w14:textId="2A6AB925">
            <w:pPr>
              <w:rPr>
                <w:rFonts w:cstheme="minorHAnsi"/>
              </w:rPr>
            </w:pPr>
            <w:r w:rsidRPr="00B67B23">
              <w:rPr>
                <w:rFonts w:asciiTheme="minorHAnsi" w:hAnsiTheme="minorHAnsi" w:cstheme="minorHAnsi"/>
              </w:rPr>
              <w:t>Interviews</w:t>
            </w:r>
            <w:r>
              <w:rPr>
                <w:rFonts w:asciiTheme="minorHAnsi" w:hAnsiTheme="minorHAnsi" w:cstheme="minorHAnsi"/>
              </w:rPr>
              <w:t xml:space="preserve"> with</w:t>
            </w:r>
            <w:r w:rsidRPr="00B67B23">
              <w:rPr>
                <w:rFonts w:asciiTheme="minorHAnsi" w:hAnsiTheme="minorHAnsi" w:cstheme="minorHAnsi"/>
              </w:rPr>
              <w:t xml:space="preserve"> </w:t>
            </w:r>
            <w:r>
              <w:rPr>
                <w:rFonts w:asciiTheme="minorHAnsi" w:hAnsiTheme="minorHAnsi" w:cstheme="minorHAnsi"/>
              </w:rPr>
              <w:t>local government systems</w:t>
            </w:r>
            <w:r w:rsidRPr="00B67B23">
              <w:rPr>
                <w:rFonts w:asciiTheme="minorHAnsi" w:hAnsiTheme="minorHAnsi" w:cstheme="minorHAnsi"/>
              </w:rPr>
              <w:t xml:space="preserve"> in the select</w:t>
            </w:r>
            <w:r>
              <w:rPr>
                <w:rFonts w:asciiTheme="minorHAnsi" w:hAnsiTheme="minorHAnsi" w:cstheme="minorHAnsi"/>
              </w:rPr>
              <w:t>ed</w:t>
            </w:r>
            <w:r w:rsidRPr="00B67B23">
              <w:rPr>
                <w:rFonts w:asciiTheme="minorHAnsi" w:hAnsiTheme="minorHAnsi" w:cstheme="minorHAnsi"/>
              </w:rPr>
              <w:t xml:space="preserve"> regions</w:t>
            </w:r>
          </w:p>
        </w:tc>
        <w:tc>
          <w:tcPr>
            <w:tcW w:w="1676" w:type="dxa"/>
          </w:tcPr>
          <w:p w:rsidR="000437CC" w:rsidRPr="00B67B23" w:rsidP="008D5B50" w14:paraId="1C4E7B13" w14:textId="599CDD12">
            <w:pPr>
              <w:rPr>
                <w:rFonts w:cstheme="minorHAnsi"/>
              </w:rPr>
            </w:pPr>
            <w:r>
              <w:rPr>
                <w:rFonts w:asciiTheme="minorHAnsi" w:hAnsiTheme="minorHAnsi" w:cstheme="minorHAnsi"/>
              </w:rPr>
              <w:t xml:space="preserve">Local </w:t>
            </w:r>
            <w:r w:rsidRPr="00872345">
              <w:rPr>
                <w:rFonts w:asciiTheme="minorHAnsi" w:hAnsiTheme="minorHAnsi" w:cstheme="minorHAnsi"/>
              </w:rPr>
              <w:t>Government Systems Interview Guide</w:t>
            </w:r>
          </w:p>
        </w:tc>
        <w:tc>
          <w:tcPr>
            <w:tcW w:w="4226" w:type="dxa"/>
          </w:tcPr>
          <w:p w:rsidR="000437CC" w:rsidRPr="00B67B23" w:rsidP="000437CC" w14:paraId="13092244" w14:textId="1FC650CB">
            <w:pPr>
              <w:rPr>
                <w:rFonts w:asciiTheme="minorHAnsi" w:hAnsiTheme="minorHAnsi" w:cstheme="minorHAnsi"/>
              </w:rPr>
            </w:pPr>
            <w:r w:rsidRPr="00B67B23">
              <w:rPr>
                <w:rFonts w:asciiTheme="minorHAnsi" w:hAnsiTheme="minorHAnsi" w:cstheme="minorHAnsi"/>
                <w:b/>
              </w:rPr>
              <w:t>Respondents</w:t>
            </w:r>
            <w:r w:rsidRPr="00B67B23">
              <w:rPr>
                <w:rFonts w:asciiTheme="minorHAnsi" w:hAnsiTheme="minorHAnsi" w:cstheme="minorHAnsi"/>
              </w:rPr>
              <w:t>: Child welfare/protective services; Law enforcement</w:t>
            </w:r>
          </w:p>
          <w:p w:rsidR="000437CC" w:rsidRPr="00B67B23" w:rsidP="000437CC" w14:paraId="60743B41" w14:textId="77777777">
            <w:pPr>
              <w:rPr>
                <w:rFonts w:asciiTheme="minorHAnsi" w:hAnsiTheme="minorHAnsi" w:cstheme="minorHAnsi"/>
              </w:rPr>
            </w:pPr>
          </w:p>
          <w:p w:rsidR="000437CC" w:rsidRPr="00B67B23" w:rsidP="000437CC" w14:paraId="09D43BFB" w14:textId="4775A41B">
            <w:pPr>
              <w:rPr>
                <w:rFonts w:cstheme="minorHAnsi"/>
                <w:b/>
              </w:rPr>
            </w:pPr>
            <w:r w:rsidRPr="00B67B23">
              <w:rPr>
                <w:rFonts w:asciiTheme="minorHAnsi" w:hAnsiTheme="minorHAnsi" w:cstheme="minorHAnsi"/>
                <w:b/>
              </w:rPr>
              <w:t>Content</w:t>
            </w:r>
            <w:r w:rsidRPr="00B67B23">
              <w:rPr>
                <w:rFonts w:asciiTheme="minorHAnsi" w:hAnsiTheme="minorHAnsi" w:cstheme="minorHAnsi"/>
              </w:rPr>
              <w:t xml:space="preserve">: Experience </w:t>
            </w:r>
            <w:r>
              <w:rPr>
                <w:rFonts w:asciiTheme="minorHAnsi" w:hAnsiTheme="minorHAnsi" w:cstheme="minorHAnsi"/>
              </w:rPr>
              <w:t>working with</w:t>
            </w:r>
            <w:r w:rsidRPr="00B67B23">
              <w:rPr>
                <w:rFonts w:asciiTheme="minorHAnsi" w:hAnsiTheme="minorHAnsi" w:cstheme="minorHAnsi"/>
              </w:rPr>
              <w:t xml:space="preserve"> </w:t>
            </w:r>
            <w:r>
              <w:rPr>
                <w:rFonts w:asciiTheme="minorHAnsi" w:hAnsiTheme="minorHAnsi" w:cstheme="minorHAnsi"/>
              </w:rPr>
              <w:t>service providers and program clients</w:t>
            </w:r>
            <w:r w:rsidRPr="00B67B23">
              <w:rPr>
                <w:rFonts w:asciiTheme="minorHAnsi" w:hAnsiTheme="minorHAnsi" w:cstheme="minorHAnsi"/>
              </w:rPr>
              <w:t>, challenges, lessons learned.</w:t>
            </w:r>
          </w:p>
        </w:tc>
        <w:tc>
          <w:tcPr>
            <w:tcW w:w="1890" w:type="dxa"/>
          </w:tcPr>
          <w:p w:rsidR="00284602" w:rsidRPr="00B67B23" w:rsidP="00284602" w14:paraId="008FDAAD" w14:textId="77777777">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Pr>
                <w:rFonts w:asciiTheme="minorHAnsi" w:hAnsiTheme="minorHAnsi" w:cstheme="minorHAnsi"/>
              </w:rPr>
              <w:t>V</w:t>
            </w:r>
            <w:r w:rsidRPr="00B67B23">
              <w:rPr>
                <w:rFonts w:asciiTheme="minorHAnsi" w:hAnsiTheme="minorHAnsi" w:cstheme="minorHAnsi"/>
              </w:rPr>
              <w:t>irtual</w:t>
            </w:r>
          </w:p>
          <w:p w:rsidR="00284602" w:rsidRPr="00B67B23" w:rsidP="00284602" w14:paraId="29C4BD0C" w14:textId="77777777">
            <w:pPr>
              <w:rPr>
                <w:rFonts w:asciiTheme="minorHAnsi" w:hAnsiTheme="minorHAnsi" w:cstheme="minorHAnsi"/>
              </w:rPr>
            </w:pPr>
          </w:p>
          <w:p w:rsidR="000437CC" w:rsidRPr="00B67B23" w:rsidP="00284602" w14:paraId="2E0DC8E0" w14:textId="7B95308D">
            <w:pPr>
              <w:rPr>
                <w:rFonts w:cstheme="minorHAnsi"/>
                <w:b/>
              </w:rPr>
            </w:pPr>
            <w:r w:rsidRPr="00B67B23">
              <w:rPr>
                <w:rFonts w:asciiTheme="minorHAnsi" w:hAnsiTheme="minorHAnsi" w:cstheme="minorHAnsi"/>
                <w:b/>
              </w:rPr>
              <w:t>Duration</w:t>
            </w:r>
            <w:r w:rsidRPr="00B67B23">
              <w:rPr>
                <w:rFonts w:asciiTheme="minorHAnsi" w:hAnsiTheme="minorHAnsi" w:cstheme="minorHAnsi"/>
              </w:rPr>
              <w:t>: 1 hour</w:t>
            </w:r>
          </w:p>
        </w:tc>
      </w:tr>
      <w:tr w14:paraId="0816837B" w14:textId="77777777" w:rsidTr="00F52FD6">
        <w:tblPrEx>
          <w:tblW w:w="9715" w:type="dxa"/>
          <w:tblInd w:w="0" w:type="dxa"/>
          <w:tblLook w:val="04A0"/>
        </w:tblPrEx>
        <w:tc>
          <w:tcPr>
            <w:tcW w:w="1923" w:type="dxa"/>
          </w:tcPr>
          <w:p w:rsidR="00232960" w:rsidRPr="00B67B23" w:rsidP="008D5B50" w14:paraId="0CCE094D" w14:textId="5DEFA251">
            <w:pPr>
              <w:rPr>
                <w:rFonts w:asciiTheme="minorHAnsi" w:hAnsiTheme="minorHAnsi" w:cstheme="minorHAnsi"/>
              </w:rPr>
            </w:pPr>
            <w:r>
              <w:rPr>
                <w:rFonts w:asciiTheme="minorHAnsi" w:hAnsiTheme="minorHAnsi" w:cstheme="minorHAnsi"/>
              </w:rPr>
              <w:t xml:space="preserve">Interviews with current and former clients </w:t>
            </w:r>
            <w:r w:rsidRPr="00B67B23">
              <w:rPr>
                <w:rFonts w:asciiTheme="minorHAnsi" w:hAnsiTheme="minorHAnsi" w:cstheme="minorHAnsi"/>
              </w:rPr>
              <w:t>in the select</w:t>
            </w:r>
            <w:r>
              <w:rPr>
                <w:rFonts w:asciiTheme="minorHAnsi" w:hAnsiTheme="minorHAnsi" w:cstheme="minorHAnsi"/>
              </w:rPr>
              <w:t>ed</w:t>
            </w:r>
            <w:r w:rsidRPr="00B67B23">
              <w:rPr>
                <w:rFonts w:asciiTheme="minorHAnsi" w:hAnsiTheme="minorHAnsi" w:cstheme="minorHAnsi"/>
              </w:rPr>
              <w:t xml:space="preserve"> regions</w:t>
            </w:r>
          </w:p>
        </w:tc>
        <w:tc>
          <w:tcPr>
            <w:tcW w:w="1676" w:type="dxa"/>
          </w:tcPr>
          <w:p w:rsidR="00232960" w:rsidRPr="00B67B23" w:rsidP="008D5B50" w14:paraId="57477DE0" w14:textId="5B800C56">
            <w:pPr>
              <w:rPr>
                <w:rFonts w:asciiTheme="minorHAnsi" w:hAnsiTheme="minorHAnsi" w:cstheme="minorHAnsi"/>
              </w:rPr>
            </w:pPr>
            <w:r w:rsidRPr="00B67B23">
              <w:rPr>
                <w:rFonts w:asciiTheme="minorHAnsi" w:hAnsiTheme="minorHAnsi" w:cstheme="minorHAnsi"/>
              </w:rPr>
              <w:t>Client Interview Guide</w:t>
            </w:r>
          </w:p>
        </w:tc>
        <w:tc>
          <w:tcPr>
            <w:tcW w:w="4226" w:type="dxa"/>
          </w:tcPr>
          <w:p w:rsidR="00232960" w:rsidRPr="00B67B23" w:rsidP="008D5B50" w14:paraId="1F20E43E" w14:textId="10405010">
            <w:pPr>
              <w:rPr>
                <w:rFonts w:asciiTheme="minorHAnsi" w:hAnsiTheme="minorHAnsi" w:cstheme="minorHAnsi"/>
              </w:rPr>
            </w:pPr>
            <w:r w:rsidRPr="00B67B23">
              <w:rPr>
                <w:rFonts w:asciiTheme="minorHAnsi" w:hAnsiTheme="minorHAnsi" w:cstheme="minorHAnsi"/>
                <w:b/>
              </w:rPr>
              <w:t>Respondents</w:t>
            </w:r>
            <w:r w:rsidRPr="00B67B23">
              <w:rPr>
                <w:rFonts w:asciiTheme="minorHAnsi" w:hAnsiTheme="minorHAnsi" w:cstheme="minorHAnsi"/>
              </w:rPr>
              <w:t>: Current and former clients of TVAP and Aspire</w:t>
            </w:r>
          </w:p>
          <w:p w:rsidR="00232960" w:rsidRPr="00B67B23" w:rsidP="008D5B50" w14:paraId="4BE0EF72" w14:textId="77777777">
            <w:pPr>
              <w:rPr>
                <w:rFonts w:asciiTheme="minorHAnsi" w:hAnsiTheme="minorHAnsi" w:cstheme="minorHAnsi"/>
              </w:rPr>
            </w:pPr>
          </w:p>
          <w:p w:rsidR="00232960" w:rsidRPr="00B67B23" w:rsidP="008D5B50" w14:paraId="6CB4EF56" w14:textId="17E3019D">
            <w:pPr>
              <w:rPr>
                <w:rFonts w:asciiTheme="minorHAnsi" w:hAnsiTheme="minorHAnsi" w:cstheme="minorHAnsi"/>
              </w:rPr>
            </w:pPr>
            <w:r w:rsidRPr="00B67B23">
              <w:rPr>
                <w:rFonts w:asciiTheme="minorHAnsi" w:hAnsiTheme="minorHAnsi" w:cstheme="minorHAnsi"/>
                <w:b/>
              </w:rPr>
              <w:t>Content</w:t>
            </w:r>
            <w:r w:rsidRPr="00B67B23">
              <w:rPr>
                <w:rFonts w:asciiTheme="minorHAnsi" w:hAnsiTheme="minorHAnsi" w:cstheme="minorHAnsi"/>
              </w:rPr>
              <w:t>: Clients desired outcomes from the program, aspects of the program that helped client</w:t>
            </w:r>
            <w:r w:rsidR="00531713">
              <w:rPr>
                <w:rFonts w:asciiTheme="minorHAnsi" w:hAnsiTheme="minorHAnsi" w:cstheme="minorHAnsi"/>
              </w:rPr>
              <w:t>s</w:t>
            </w:r>
            <w:r w:rsidRPr="00B67B23">
              <w:rPr>
                <w:rFonts w:asciiTheme="minorHAnsi" w:hAnsiTheme="minorHAnsi" w:cstheme="minorHAnsi"/>
              </w:rPr>
              <w:t xml:space="preserve"> reach their goals, short term outcome after program involvement.</w:t>
            </w:r>
          </w:p>
        </w:tc>
        <w:tc>
          <w:tcPr>
            <w:tcW w:w="1890" w:type="dxa"/>
          </w:tcPr>
          <w:p w:rsidR="00232960" w:rsidRPr="00B67B23" w:rsidP="008D5B50" w14:paraId="17B3153D" w14:textId="0F0AC5AC">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sidR="00E105EE">
              <w:rPr>
                <w:rFonts w:asciiTheme="minorHAnsi" w:hAnsiTheme="minorHAnsi" w:cstheme="minorHAnsi"/>
              </w:rPr>
              <w:t>V</w:t>
            </w:r>
            <w:r w:rsidRPr="00B67B23">
              <w:rPr>
                <w:rFonts w:asciiTheme="minorHAnsi" w:hAnsiTheme="minorHAnsi" w:cstheme="minorHAnsi"/>
              </w:rPr>
              <w:t>irtual</w:t>
            </w:r>
          </w:p>
          <w:p w:rsidR="00232960" w:rsidRPr="00B67B23" w:rsidP="008D5B50" w14:paraId="4C428706" w14:textId="77777777">
            <w:pPr>
              <w:rPr>
                <w:rFonts w:asciiTheme="minorHAnsi" w:hAnsiTheme="minorHAnsi" w:cstheme="minorHAnsi"/>
              </w:rPr>
            </w:pPr>
          </w:p>
          <w:p w:rsidR="00232960" w:rsidRPr="00B67B23" w:rsidP="008D5B50" w14:paraId="744EA4D5" w14:textId="4B54CD34">
            <w:pPr>
              <w:rPr>
                <w:rFonts w:cstheme="minorHAnsi"/>
                <w:b/>
              </w:rPr>
            </w:pPr>
            <w:r w:rsidRPr="00B67B23">
              <w:rPr>
                <w:rFonts w:asciiTheme="minorHAnsi" w:hAnsiTheme="minorHAnsi" w:cstheme="minorHAnsi"/>
                <w:b/>
              </w:rPr>
              <w:t>Duration</w:t>
            </w:r>
            <w:r w:rsidRPr="00B67B23">
              <w:rPr>
                <w:rFonts w:asciiTheme="minorHAnsi" w:hAnsiTheme="minorHAnsi" w:cstheme="minorHAnsi"/>
              </w:rPr>
              <w:t>: 1 hour</w:t>
            </w:r>
          </w:p>
        </w:tc>
      </w:tr>
      <w:tr w14:paraId="449D5805" w14:textId="77777777" w:rsidTr="00F52FD6">
        <w:tblPrEx>
          <w:tblW w:w="9715" w:type="dxa"/>
          <w:tblInd w:w="0" w:type="dxa"/>
          <w:tblLook w:val="04A0"/>
        </w:tblPrEx>
        <w:tc>
          <w:tcPr>
            <w:tcW w:w="1923" w:type="dxa"/>
          </w:tcPr>
          <w:p w:rsidR="00872345" w:rsidRPr="00872345" w:rsidP="008D5B50" w14:paraId="283E058B" w14:textId="6569F849">
            <w:pPr>
              <w:rPr>
                <w:rFonts w:asciiTheme="minorHAnsi" w:hAnsiTheme="minorHAnsi" w:cstheme="minorHAnsi"/>
              </w:rPr>
            </w:pPr>
            <w:r w:rsidRPr="00872345">
              <w:rPr>
                <w:rFonts w:asciiTheme="minorHAnsi" w:hAnsiTheme="minorHAnsi" w:cstheme="minorHAnsi"/>
              </w:rPr>
              <w:t>Survey of all subrecipient service providers</w:t>
            </w:r>
          </w:p>
        </w:tc>
        <w:tc>
          <w:tcPr>
            <w:tcW w:w="1676" w:type="dxa"/>
          </w:tcPr>
          <w:p w:rsidR="00872345" w:rsidRPr="00872345" w:rsidP="008D5B50" w14:paraId="6E676D80" w14:textId="23F71139">
            <w:pPr>
              <w:rPr>
                <w:rFonts w:asciiTheme="minorHAnsi" w:hAnsiTheme="minorHAnsi" w:cstheme="minorHAnsi"/>
              </w:rPr>
            </w:pPr>
            <w:r w:rsidRPr="00872345">
              <w:rPr>
                <w:rFonts w:asciiTheme="minorHAnsi" w:hAnsiTheme="minorHAnsi" w:cstheme="minorHAnsi"/>
              </w:rPr>
              <w:t>Subrecipient Survey</w:t>
            </w:r>
          </w:p>
        </w:tc>
        <w:tc>
          <w:tcPr>
            <w:tcW w:w="4226" w:type="dxa"/>
          </w:tcPr>
          <w:p w:rsidR="00872345" w:rsidRPr="00872345" w:rsidP="008D5B50" w14:paraId="1B0A6554" w14:textId="78E0413F">
            <w:pPr>
              <w:rPr>
                <w:rFonts w:asciiTheme="minorHAnsi" w:hAnsiTheme="minorHAnsi" w:cstheme="minorHAnsi"/>
              </w:rPr>
            </w:pPr>
            <w:r w:rsidRPr="00872345">
              <w:rPr>
                <w:rFonts w:asciiTheme="minorHAnsi" w:hAnsiTheme="minorHAnsi" w:cstheme="minorHAnsi"/>
                <w:b/>
              </w:rPr>
              <w:t>Respondents</w:t>
            </w:r>
            <w:r w:rsidRPr="00872345">
              <w:rPr>
                <w:rFonts w:asciiTheme="minorHAnsi" w:hAnsiTheme="minorHAnsi" w:cstheme="minorHAnsi"/>
              </w:rPr>
              <w:t>: All TVAP and Aspire subrecipient program staff</w:t>
            </w:r>
            <w:r w:rsidR="0060270C">
              <w:rPr>
                <w:rFonts w:asciiTheme="minorHAnsi" w:hAnsiTheme="minorHAnsi" w:cstheme="minorHAnsi"/>
              </w:rPr>
              <w:t xml:space="preserve"> (including the subset of subrecipients who participated in interviews) </w:t>
            </w:r>
          </w:p>
          <w:p w:rsidR="00872345" w:rsidRPr="00872345" w:rsidP="008D5B50" w14:paraId="12BBA754" w14:textId="78DDFF2F">
            <w:pPr>
              <w:rPr>
                <w:rFonts w:asciiTheme="minorHAnsi" w:hAnsiTheme="minorHAnsi" w:cstheme="minorHAnsi"/>
              </w:rPr>
            </w:pPr>
          </w:p>
          <w:p w:rsidR="00872345" w:rsidRPr="00872345" w:rsidP="008D5B50" w14:paraId="10E0B6B2" w14:textId="2E0C7E8A">
            <w:pPr>
              <w:rPr>
                <w:rFonts w:asciiTheme="minorHAnsi" w:hAnsiTheme="minorHAnsi" w:cstheme="minorHAnsi"/>
                <w:b/>
              </w:rPr>
            </w:pPr>
            <w:r w:rsidRPr="00872345">
              <w:rPr>
                <w:rFonts w:asciiTheme="minorHAnsi" w:hAnsiTheme="minorHAnsi" w:cstheme="minorHAnsi"/>
                <w:b/>
              </w:rPr>
              <w:t>Content</w:t>
            </w:r>
            <w:r w:rsidRPr="00872345">
              <w:rPr>
                <w:rFonts w:asciiTheme="minorHAnsi" w:hAnsiTheme="minorHAnsi" w:cstheme="minorHAnsi"/>
              </w:rPr>
              <w:t xml:space="preserve">: </w:t>
            </w:r>
            <w:r w:rsidR="00E804D0">
              <w:rPr>
                <w:rFonts w:asciiTheme="minorHAnsi" w:hAnsiTheme="minorHAnsi" w:cstheme="minorHAnsi"/>
              </w:rPr>
              <w:t xml:space="preserve">Subrecipient </w:t>
            </w:r>
            <w:r w:rsidRPr="00E804D0" w:rsidR="00E804D0">
              <w:rPr>
                <w:rFonts w:asciiTheme="minorHAnsi" w:hAnsiTheme="minorHAnsi" w:cstheme="minorHAnsi"/>
              </w:rPr>
              <w:t>organization experiences with client referral and service provision, support provided by the prime award recipient, and overall program implementation.</w:t>
            </w:r>
          </w:p>
        </w:tc>
        <w:tc>
          <w:tcPr>
            <w:tcW w:w="1890" w:type="dxa"/>
          </w:tcPr>
          <w:p w:rsidR="00872345" w:rsidRPr="00B67B23" w:rsidP="008D5B50" w14:paraId="1CEF0350" w14:textId="51A5C34E">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Pr>
                <w:rFonts w:asciiTheme="minorHAnsi" w:hAnsiTheme="minorHAnsi" w:cstheme="minorHAnsi"/>
              </w:rPr>
              <w:t>Web-based survey</w:t>
            </w:r>
          </w:p>
          <w:p w:rsidR="00872345" w:rsidRPr="00B67B23" w:rsidP="008D5B50" w14:paraId="185ED63A" w14:textId="77777777">
            <w:pPr>
              <w:rPr>
                <w:rFonts w:asciiTheme="minorHAnsi" w:hAnsiTheme="minorHAnsi" w:cstheme="minorHAnsi"/>
              </w:rPr>
            </w:pPr>
          </w:p>
          <w:p w:rsidR="00872345" w:rsidRPr="00B67B23" w:rsidP="008D5B50" w14:paraId="17CD936C" w14:textId="72CA5812">
            <w:pPr>
              <w:rPr>
                <w:rFonts w:cstheme="minorHAnsi"/>
                <w:b/>
              </w:rPr>
            </w:pPr>
            <w:r w:rsidRPr="00B67B23">
              <w:rPr>
                <w:rFonts w:asciiTheme="minorHAnsi" w:hAnsiTheme="minorHAnsi" w:cstheme="minorHAnsi"/>
                <w:b/>
              </w:rPr>
              <w:t>Duration</w:t>
            </w:r>
            <w:r w:rsidRPr="00B67B23">
              <w:rPr>
                <w:rFonts w:asciiTheme="minorHAnsi" w:hAnsiTheme="minorHAnsi" w:cstheme="minorHAnsi"/>
              </w:rPr>
              <w:t>:</w:t>
            </w:r>
            <w:r w:rsidR="003A74DA">
              <w:rPr>
                <w:rFonts w:asciiTheme="minorHAnsi" w:hAnsiTheme="minorHAnsi" w:cstheme="minorHAnsi"/>
              </w:rPr>
              <w:t xml:space="preserve"> </w:t>
            </w:r>
            <w:r w:rsidR="007A0DB0">
              <w:rPr>
                <w:rFonts w:asciiTheme="minorHAnsi" w:hAnsiTheme="minorHAnsi" w:cstheme="minorHAnsi"/>
              </w:rPr>
              <w:t>35</w:t>
            </w:r>
            <w:r w:rsidR="007F4806">
              <w:rPr>
                <w:rFonts w:asciiTheme="minorHAnsi" w:hAnsiTheme="minorHAnsi" w:cstheme="minorHAnsi"/>
              </w:rPr>
              <w:t xml:space="preserve"> </w:t>
            </w:r>
            <w:r>
              <w:rPr>
                <w:rFonts w:asciiTheme="minorHAnsi" w:hAnsiTheme="minorHAnsi" w:cstheme="minorHAnsi"/>
              </w:rPr>
              <w:t>minutes</w:t>
            </w:r>
          </w:p>
        </w:tc>
      </w:tr>
    </w:tbl>
    <w:p w:rsidR="001D1C73" w:rsidRPr="009139B3" w:rsidP="008D5B50" w14:paraId="0DB98502" w14:textId="77777777">
      <w:pPr>
        <w:spacing w:after="0" w:line="240" w:lineRule="auto"/>
        <w:rPr>
          <w:i/>
        </w:rPr>
      </w:pPr>
    </w:p>
    <w:p w:rsidR="001D1C73" w:rsidRPr="009139B3" w:rsidP="008D5B50" w14:paraId="213059F9" w14:textId="77777777">
      <w:pPr>
        <w:spacing w:after="60" w:line="240" w:lineRule="auto"/>
        <w:rPr>
          <w:i/>
        </w:rPr>
      </w:pPr>
      <w:r w:rsidRPr="009139B3">
        <w:rPr>
          <w:i/>
        </w:rPr>
        <w:t>Other Data Sources and Uses of Information</w:t>
      </w:r>
    </w:p>
    <w:p w:rsidR="00872345" w:rsidRPr="00872345" w:rsidP="008D5B50" w14:paraId="0849EC73" w14:textId="04E79FA2">
      <w:pPr>
        <w:spacing w:after="0" w:line="240" w:lineRule="auto"/>
      </w:pPr>
      <w:r>
        <w:t>The</w:t>
      </w:r>
      <w:r w:rsidRPr="00872345" w:rsidR="001A6C41">
        <w:t xml:space="preserve"> </w:t>
      </w:r>
      <w:r w:rsidR="003A74DA">
        <w:t xml:space="preserve">evaluation </w:t>
      </w:r>
      <w:r w:rsidRPr="00872345" w:rsidR="001A6C41">
        <w:t xml:space="preserve">team </w:t>
      </w:r>
      <w:r w:rsidR="003A74DA">
        <w:t>is</w:t>
      </w:r>
      <w:r>
        <w:t xml:space="preserve"> currently</w:t>
      </w:r>
      <w:r w:rsidR="003A74DA">
        <w:t xml:space="preserve"> conducting a</w:t>
      </w:r>
      <w:r w:rsidRPr="00CE7161" w:rsidR="003A74DA">
        <w:t xml:space="preserve"> process evaluation of TVAP and Aspire from a national perspective across all ACF regions</w:t>
      </w:r>
      <w:r w:rsidR="003A74DA">
        <w:t xml:space="preserve"> through</w:t>
      </w:r>
      <w:r w:rsidRPr="00872345" w:rsidR="001A6C41">
        <w:t xml:space="preserve"> virtual interviews with the following project respondents: </w:t>
      </w:r>
      <w:bookmarkStart w:id="8" w:name="_Hlk209681701"/>
      <w:r w:rsidRPr="00872345">
        <w:t>OTIP and other federal personnel involved in TVAP and Aspire, TVAP and Aspire recipient leadership, regional coordinators (RCs), case managers (CMs)</w:t>
      </w:r>
      <w:r w:rsidR="005E3D69">
        <w:t>,</w:t>
      </w:r>
      <w:r w:rsidRPr="00872345">
        <w:t xml:space="preserve"> and select subrecipient service providers (Subs)</w:t>
      </w:r>
      <w:r w:rsidRPr="00872345" w:rsidR="001A6C41">
        <w:t xml:space="preserve">. </w:t>
      </w:r>
      <w:bookmarkEnd w:id="8"/>
      <w:r w:rsidRPr="00872345" w:rsidR="001A6C41">
        <w:t xml:space="preserve">These activities are not subject to the Paperwork Reduction Act as each respondent group included </w:t>
      </w:r>
      <w:r w:rsidR="00C71075">
        <w:t>fewer</w:t>
      </w:r>
      <w:r w:rsidRPr="00872345" w:rsidR="00C71075">
        <w:t xml:space="preserve"> </w:t>
      </w:r>
      <w:r w:rsidRPr="00872345" w:rsidR="001A6C41">
        <w:t xml:space="preserve">than 10 people and received a unique set of questions. These activities focused on </w:t>
      </w:r>
      <w:r w:rsidRPr="00872345">
        <w:t xml:space="preserve">understanding the goals and objectives, program structure and administration, partnership and collaboration approaches, and pathways for client identification and referral. </w:t>
      </w:r>
    </w:p>
    <w:p w:rsidR="00474513" w:rsidP="008D5B50" w14:paraId="652FFD57" w14:textId="77777777">
      <w:pPr>
        <w:spacing w:after="0" w:line="240" w:lineRule="auto"/>
      </w:pPr>
    </w:p>
    <w:p w:rsidR="001A6C41" w:rsidRPr="00872345" w:rsidP="008D5B50" w14:paraId="3A6F5258" w14:textId="4D7AD0FD">
      <w:pPr>
        <w:spacing w:after="0" w:line="240" w:lineRule="auto"/>
      </w:pPr>
      <w:r w:rsidRPr="00872345">
        <w:t>ACF has</w:t>
      </w:r>
      <w:r w:rsidR="00474513">
        <w:t xml:space="preserve"> also</w:t>
      </w:r>
      <w:r w:rsidRPr="00872345">
        <w:t xml:space="preserve"> provided the evaluation team with </w:t>
      </w:r>
      <w:r w:rsidRPr="00872345" w:rsidR="00872345">
        <w:t xml:space="preserve">TVAP and </w:t>
      </w:r>
      <w:r w:rsidRPr="00872345" w:rsidR="00872345">
        <w:t>Aspire</w:t>
      </w:r>
      <w:r w:rsidRPr="00872345">
        <w:t>’</w:t>
      </w:r>
      <w:r w:rsidRPr="00872345" w:rsidR="00872345">
        <w:t>s</w:t>
      </w:r>
      <w:r w:rsidRPr="00872345">
        <w:t xml:space="preserve"> ACF-required performance progress reports</w:t>
      </w:r>
      <w:r w:rsidR="00474513">
        <w:t xml:space="preserve"> (PPR</w:t>
      </w:r>
      <w:r w:rsidR="000D7CE0">
        <w:t>; OMB #0970-0467</w:t>
      </w:r>
      <w:r w:rsidR="00474513">
        <w:t>)</w:t>
      </w:r>
      <w:r>
        <w:rPr>
          <w:rStyle w:val="FootnoteReference"/>
        </w:rPr>
        <w:footnoteReference w:id="2"/>
      </w:r>
      <w:r w:rsidRPr="00872345">
        <w:t xml:space="preserve">. This administrative data provides quantitative information about project participants (e.g., demographics, service needs and receipt), outreach, service delivery barriers, and training activities. </w:t>
      </w:r>
      <w:r w:rsidR="000437CC">
        <w:t>As part of the PPR, t</w:t>
      </w:r>
      <w:r w:rsidRPr="00872345">
        <w:t xml:space="preserve">he projects also submit </w:t>
      </w:r>
      <w:r w:rsidR="000437CC">
        <w:t xml:space="preserve">a </w:t>
      </w:r>
      <w:r w:rsidRPr="00872345">
        <w:t xml:space="preserve">brief narrative report, which </w:t>
      </w:r>
      <w:r w:rsidR="00D7588C">
        <w:t>the contractor</w:t>
      </w:r>
      <w:r w:rsidRPr="00872345">
        <w:t xml:space="preserve"> </w:t>
      </w:r>
      <w:r w:rsidRPr="00872345" w:rsidR="00D7588C">
        <w:t>use</w:t>
      </w:r>
      <w:r w:rsidR="00D7588C">
        <w:t>s</w:t>
      </w:r>
      <w:r w:rsidRPr="00872345" w:rsidR="00D7588C">
        <w:t xml:space="preserve"> </w:t>
      </w:r>
      <w:r w:rsidRPr="00872345">
        <w:t>to inform the semi-structured interviews</w:t>
      </w:r>
      <w:r w:rsidRPr="00872345" w:rsidR="00872345">
        <w:t xml:space="preserve"> and regional site selection</w:t>
      </w:r>
      <w:r w:rsidRPr="00872345">
        <w:t xml:space="preserve">.  </w:t>
      </w:r>
    </w:p>
    <w:p w:rsidR="001D1C73" w:rsidRPr="009139B3" w:rsidP="008D5B50" w14:paraId="1B4C1958" w14:textId="77777777">
      <w:pPr>
        <w:spacing w:after="0" w:line="240" w:lineRule="auto"/>
      </w:pPr>
    </w:p>
    <w:p w:rsidR="001D1C73" w:rsidRPr="009139B3" w:rsidP="008D5B50"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014647" w:rsidRPr="009139B3" w:rsidP="008D5B50" w14:paraId="6498C878" w14:textId="2505FC7B">
      <w:pPr>
        <w:pStyle w:val="ListParagraph"/>
        <w:spacing w:after="0" w:line="240" w:lineRule="auto"/>
        <w:ind w:left="0"/>
      </w:pPr>
      <w:r>
        <w:t>Interviews will be</w:t>
      </w:r>
      <w:r w:rsidR="008F72DA">
        <w:t xml:space="preserve"> conducted via video or teleconference</w:t>
      </w:r>
      <w:r>
        <w:t>, depending on respondents’ preference</w:t>
      </w:r>
      <w:r w:rsidR="008F72DA">
        <w:t xml:space="preserve">. </w:t>
      </w:r>
      <w:r>
        <w:t xml:space="preserve">With respondents’ permission, interviews will be audio recorded to ensure accuracy of notes and minimize need for potential follow-up for clarification. </w:t>
      </w:r>
    </w:p>
    <w:p w:rsidR="00014647" w:rsidP="008D5B50" w14:paraId="39CB5583" w14:textId="77777777">
      <w:pPr>
        <w:spacing w:after="0" w:line="240" w:lineRule="auto"/>
      </w:pPr>
    </w:p>
    <w:p w:rsidR="00B749A3" w:rsidP="008D5B50" w14:paraId="313B0ACA" w14:textId="36F29F16">
      <w:pPr>
        <w:spacing w:after="0" w:line="240" w:lineRule="auto"/>
        <w:rPr>
          <w:rFonts w:ascii="Calibri" w:hAnsi="Calibri" w:cs="Calibri"/>
        </w:rPr>
      </w:pPr>
      <w:r>
        <w:t xml:space="preserve">The survey will be programmed for web-based completion. </w:t>
      </w:r>
      <w:r>
        <w:rPr>
          <w:rFonts w:ascii="Calibri" w:hAnsi="Calibri" w:cs="Calibri"/>
        </w:rPr>
        <w:t>Compared with a paper-and-pencil instrument, a web-based survey offers several features that make the survey more efficient, and thus less burdensome for the respondent, while also supporting data quality. First, this technology makes possible the self-administration of complex questionnaires with a level of accuracy that would otherwise not be feasible. Web-programmed surveys implement complex skip patterns based on responses to gateway questions and to fill specific wordings based on answers previously provided by the respondent. Second</w:t>
      </w:r>
      <w:r>
        <w:rPr>
          <w:rFonts w:ascii="Calibri" w:hAnsi="Calibri" w:cs="Calibri"/>
        </w:rPr>
        <w:t xml:space="preserve">, this </w:t>
      </w:r>
      <w:r>
        <w:rPr>
          <w:rFonts w:ascii="Calibri" w:hAnsi="Calibri" w:cs="Calibri"/>
        </w:rPr>
        <w:t>survey</w:t>
      </w:r>
      <w:r>
        <w:rPr>
          <w:rFonts w:ascii="Calibri" w:hAnsi="Calibri" w:cs="Calibri"/>
        </w:rPr>
        <w:t xml:space="preserve"> technology</w:t>
      </w:r>
      <w:r>
        <w:rPr>
          <w:rFonts w:ascii="Calibri" w:hAnsi="Calibri" w:cs="Calibri"/>
        </w:rPr>
        <w:t xml:space="preserve"> provides greater expediency with respect to data processing and analysis. </w:t>
      </w:r>
      <w:r>
        <w:rPr>
          <w:rFonts w:ascii="Calibri" w:hAnsi="Calibri" w:cs="Calibri"/>
        </w:rPr>
        <w:t>A number of</w:t>
      </w:r>
      <w:r>
        <w:rPr>
          <w:rFonts w:ascii="Calibri" w:hAnsi="Calibri" w:cs="Calibri"/>
        </w:rPr>
        <w:t xml:space="preserve"> back-end processing steps, including editing, coding, and data entry become part of the data collection process.</w:t>
      </w:r>
      <w:r w:rsidR="00A41F79">
        <w:rPr>
          <w:rFonts w:ascii="Calibri" w:hAnsi="Calibri" w:cs="Calibri"/>
        </w:rPr>
        <w:t xml:space="preserve"> </w:t>
      </w:r>
    </w:p>
    <w:p w:rsidR="001D1C73" w:rsidP="008D5B50" w14:paraId="381FEAAD" w14:textId="77777777">
      <w:pPr>
        <w:pStyle w:val="ListParagraph"/>
        <w:spacing w:after="0" w:line="240" w:lineRule="auto"/>
        <w:ind w:left="360"/>
      </w:pPr>
    </w:p>
    <w:p w:rsidR="00AF093C" w:rsidP="008D5B50" w14:paraId="77D7EF6E" w14:textId="77777777">
      <w:pPr>
        <w:pStyle w:val="ListParagraph"/>
        <w:spacing w:after="0" w:line="240" w:lineRule="auto"/>
        <w:ind w:left="360"/>
      </w:pPr>
    </w:p>
    <w:p w:rsidR="00AF093C" w:rsidP="008D5B50" w14:paraId="2820C799" w14:textId="77777777">
      <w:pPr>
        <w:pStyle w:val="ListParagraph"/>
        <w:spacing w:after="0" w:line="240" w:lineRule="auto"/>
        <w:ind w:left="360"/>
      </w:pPr>
    </w:p>
    <w:p w:rsidR="00AF093C" w:rsidRPr="009139B3" w:rsidP="008D5B50" w14:paraId="72454250" w14:textId="77777777">
      <w:pPr>
        <w:pStyle w:val="ListParagraph"/>
        <w:spacing w:after="0" w:line="240" w:lineRule="auto"/>
        <w:ind w:left="360"/>
      </w:pPr>
    </w:p>
    <w:p w:rsidR="001D1C73" w:rsidRPr="009139B3" w:rsidP="008D5B50"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BA6C04" w:rsidRPr="00474513" w:rsidP="008D5B50" w14:paraId="210C1D25" w14:textId="0D856BDC">
      <w:pPr>
        <w:spacing w:after="0" w:line="240" w:lineRule="auto"/>
      </w:pPr>
      <w:r w:rsidRPr="00474513">
        <w:t xml:space="preserve">The data required to address the study purpose is </w:t>
      </w:r>
      <w:bookmarkStart w:id="9" w:name="_Hlk115166103"/>
      <w:r w:rsidRPr="00474513">
        <w:t xml:space="preserve">not available from existing sources </w:t>
      </w:r>
      <w:bookmarkEnd w:id="9"/>
      <w:r w:rsidRPr="00474513">
        <w:t xml:space="preserve">and its collection will not duplicate previous efforts. Instead, the team will use other </w:t>
      </w:r>
      <w:r w:rsidR="00D565F1">
        <w:t xml:space="preserve">existing </w:t>
      </w:r>
      <w:r w:rsidRPr="00474513">
        <w:t>data to reduce burden and to help further analyze and contextualize the findings from this data collection</w:t>
      </w:r>
      <w:r w:rsidRPr="00474513" w:rsidR="00477B4E">
        <w:t xml:space="preserve">. </w:t>
      </w:r>
    </w:p>
    <w:p w:rsidR="00BA6C04" w:rsidRPr="00474513" w:rsidP="008D5B50" w14:paraId="2FBEF3B6" w14:textId="77777777">
      <w:pPr>
        <w:spacing w:after="0" w:line="240" w:lineRule="auto"/>
      </w:pPr>
    </w:p>
    <w:p w:rsidR="001D1C73" w:rsidP="008D5B50" w14:paraId="7BD59622" w14:textId="66FD42B6">
      <w:pPr>
        <w:spacing w:after="0" w:line="240" w:lineRule="auto"/>
      </w:pPr>
      <w:r w:rsidRPr="00474513">
        <w:t>Specifically, t</w:t>
      </w:r>
      <w:r w:rsidRPr="00474513" w:rsidR="00DF2B5A">
        <w:t>he study team has worked to reduce participant burden by compiling data from extant sources</w:t>
      </w:r>
      <w:r w:rsidRPr="00474513" w:rsidR="00445064">
        <w:t xml:space="preserve"> including </w:t>
      </w:r>
      <w:r w:rsidRPr="00474513" w:rsidR="000959CE">
        <w:t xml:space="preserve">available </w:t>
      </w:r>
      <w:r w:rsidRPr="00474513" w:rsidR="00F33A23">
        <w:t>TVAP and Aspire</w:t>
      </w:r>
      <w:r w:rsidRPr="00474513" w:rsidR="000959CE">
        <w:t xml:space="preserve"> grant material (</w:t>
      </w:r>
      <w:r w:rsidRPr="00474513" w:rsidR="00474513">
        <w:t>e.g., Notice of Funding Opportunity), service delivery protocol, Subrecipient Memoranda of Understanding, and PPR</w:t>
      </w:r>
      <w:r w:rsidRPr="00474513" w:rsidR="00F33A23">
        <w:t xml:space="preserve">. </w:t>
      </w:r>
      <w:r w:rsidRPr="00474513" w:rsidR="00DF2B5A">
        <w:t xml:space="preserve">Use of existing information reduces participant burden </w:t>
      </w:r>
      <w:r w:rsidRPr="00474513" w:rsidR="000A28DE">
        <w:t>because surveys and i</w:t>
      </w:r>
      <w:r w:rsidRPr="00474513" w:rsidR="00DF2B5A">
        <w:t xml:space="preserve">nterviews will build on, rather than duplicate, any data collected from extant sources. Using extant data and previous research products also reduces the number of questions asked and level of detail required in interviews. However, the level of detailed information required for this </w:t>
      </w:r>
      <w:r w:rsidRPr="00474513" w:rsidR="00445064">
        <w:t>evaluation</w:t>
      </w:r>
      <w:r w:rsidRPr="00474513" w:rsidR="00DF2B5A">
        <w:t xml:space="preserve"> cannot be entirely obtained through other sources.</w:t>
      </w:r>
    </w:p>
    <w:p w:rsidR="00474513" w:rsidP="008D5B50" w14:paraId="6A586CE2" w14:textId="77777777">
      <w:pPr>
        <w:spacing w:after="0" w:line="240" w:lineRule="auto"/>
      </w:pPr>
    </w:p>
    <w:p w:rsidR="00474513" w:rsidP="008D5B50" w14:paraId="4A9AFB40" w14:textId="1CCFD57E">
      <w:pPr>
        <w:spacing w:after="0" w:line="240" w:lineRule="auto"/>
      </w:pPr>
      <w:r>
        <w:t>The prime</w:t>
      </w:r>
      <w:r w:rsidR="00E804D0">
        <w:t xml:space="preserve"> award</w:t>
      </w:r>
      <w:r>
        <w:t xml:space="preserve"> recipient has </w:t>
      </w:r>
      <w:r>
        <w:t>subcontracted</w:t>
      </w:r>
      <w:r>
        <w:t xml:space="preserve"> the University of South Carolina (USC) to conduct </w:t>
      </w:r>
      <w:r w:rsidRPr="00F667F8">
        <w:t xml:space="preserve">an internal evaluation with a focus on client </w:t>
      </w:r>
      <w:r w:rsidR="003B5AC8">
        <w:t>satisfaction</w:t>
      </w:r>
      <w:r w:rsidR="002F3732">
        <w:t>, which is not a component of the process evaluation described here</w:t>
      </w:r>
      <w:r w:rsidRPr="00F667F8">
        <w:t xml:space="preserve">. RTI and </w:t>
      </w:r>
      <w:r>
        <w:t>USC</w:t>
      </w:r>
      <w:r w:rsidRPr="00F667F8">
        <w:t xml:space="preserve"> </w:t>
      </w:r>
      <w:r w:rsidR="003B5AC8">
        <w:t xml:space="preserve">have </w:t>
      </w:r>
      <w:r w:rsidRPr="00F667F8">
        <w:t>communicate</w:t>
      </w:r>
      <w:r w:rsidR="003B5AC8">
        <w:t>d</w:t>
      </w:r>
      <w:r w:rsidRPr="00F667F8">
        <w:t xml:space="preserve"> to</w:t>
      </w:r>
      <w:r>
        <w:t xml:space="preserve"> </w:t>
      </w:r>
      <w:r w:rsidR="003B5AC8">
        <w:t>prevent</w:t>
      </w:r>
      <w:r>
        <w:t xml:space="preserve"> duplicative data collection efforts and</w:t>
      </w:r>
      <w:r w:rsidRPr="00F667F8">
        <w:t xml:space="preserve"> </w:t>
      </w:r>
      <w:r w:rsidR="003B5AC8">
        <w:t xml:space="preserve">ensure the data collected </w:t>
      </w:r>
      <w:r w:rsidRPr="00F667F8">
        <w:t xml:space="preserve">complement </w:t>
      </w:r>
      <w:r w:rsidR="003B5AC8">
        <w:t xml:space="preserve">and build on </w:t>
      </w:r>
      <w:r w:rsidRPr="00F667F8">
        <w:t xml:space="preserve">each other. </w:t>
      </w:r>
    </w:p>
    <w:p w:rsidR="00445064" w:rsidRPr="009139B3" w:rsidP="008D5B50" w14:paraId="32827CDC" w14:textId="77777777">
      <w:pPr>
        <w:spacing w:after="0" w:line="240" w:lineRule="auto"/>
      </w:pPr>
    </w:p>
    <w:p w:rsidR="001D1C73" w:rsidRPr="009139B3" w:rsidP="008D5B50"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8D5B50" w14:paraId="69B7A867" w14:textId="4CCBAB6C">
      <w:pPr>
        <w:spacing w:after="0" w:line="240" w:lineRule="auto"/>
      </w:pPr>
      <w:r>
        <w:t xml:space="preserve">No small businesses will be involved with this data collection. </w:t>
      </w:r>
    </w:p>
    <w:p w:rsidR="001D1C73" w:rsidRPr="009139B3" w:rsidP="008D5B50" w14:paraId="45C45C0C" w14:textId="23A26DB0">
      <w:pPr>
        <w:spacing w:after="0" w:line="240" w:lineRule="auto"/>
      </w:pPr>
    </w:p>
    <w:p w:rsidR="001D1C73" w:rsidRPr="009139B3" w:rsidP="008D5B50" w14:paraId="190C1007" w14:textId="77777777">
      <w:pPr>
        <w:spacing w:after="120" w:line="240" w:lineRule="auto"/>
      </w:pPr>
      <w:r w:rsidRPr="009139B3">
        <w:rPr>
          <w:b/>
        </w:rPr>
        <w:t>A6</w:t>
      </w:r>
      <w:r w:rsidRPr="009139B3">
        <w:t>.</w:t>
      </w:r>
      <w:r w:rsidRPr="009139B3">
        <w:tab/>
      </w:r>
      <w:r w:rsidRPr="009139B3">
        <w:rPr>
          <w:b/>
        </w:rPr>
        <w:t>Consequences of Less Frequent Collection</w:t>
      </w:r>
      <w:r w:rsidRPr="009139B3">
        <w:t xml:space="preserve">  </w:t>
      </w:r>
    </w:p>
    <w:p w:rsidR="001D1C73" w:rsidRPr="009139B3" w:rsidP="008D5B50" w14:paraId="7ED17F16" w14:textId="1AAB13E3">
      <w:pPr>
        <w:spacing w:after="0" w:line="240" w:lineRule="auto"/>
      </w:pPr>
      <w:r>
        <w:t xml:space="preserve">This is a one-time data collection. </w:t>
      </w:r>
    </w:p>
    <w:p w:rsidR="00AD4FB1" w:rsidRPr="009139B3" w:rsidP="008D5B50" w14:paraId="49357A52" w14:textId="77777777">
      <w:pPr>
        <w:spacing w:after="0" w:line="240" w:lineRule="auto"/>
      </w:pPr>
    </w:p>
    <w:p w:rsidR="001D1C73" w:rsidRPr="009139B3" w:rsidP="008D5B50"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8D5B50" w14:paraId="0235E4A4" w14:textId="77777777">
      <w:pPr>
        <w:spacing w:after="0" w:line="240" w:lineRule="auto"/>
        <w:rPr>
          <w:b/>
        </w:rPr>
      </w:pPr>
    </w:p>
    <w:p w:rsidR="001D1C73" w:rsidRPr="009139B3" w:rsidP="008D5B50" w14:paraId="68912205" w14:textId="77777777">
      <w:pPr>
        <w:spacing w:after="120" w:line="240" w:lineRule="auto"/>
        <w:rPr>
          <w:b/>
        </w:rPr>
      </w:pPr>
      <w:r w:rsidRPr="009139B3">
        <w:rPr>
          <w:b/>
        </w:rPr>
        <w:t>A8</w:t>
      </w:r>
      <w:r w:rsidRPr="009139B3">
        <w:t>.</w:t>
      </w:r>
      <w:r w:rsidRPr="009139B3">
        <w:tab/>
      </w:r>
      <w:r w:rsidRPr="009139B3">
        <w:rPr>
          <w:b/>
        </w:rPr>
        <w:t>Consultation</w:t>
      </w:r>
    </w:p>
    <w:p w:rsidR="001D1C73" w:rsidRPr="009139B3" w:rsidP="00F072D6" w14:paraId="22D30DBC" w14:textId="77777777">
      <w:pPr>
        <w:spacing w:after="60" w:line="240" w:lineRule="auto"/>
        <w:rPr>
          <w:i/>
        </w:rPr>
      </w:pPr>
      <w:r w:rsidRPr="009139B3">
        <w:rPr>
          <w:i/>
        </w:rPr>
        <w:t>Federal Register Notice and Comments</w:t>
      </w:r>
    </w:p>
    <w:p w:rsidR="001D1C73" w:rsidP="008D5B50" w14:paraId="15C2AFB4" w14:textId="01B0823B">
      <w:pPr>
        <w:spacing w:after="0" w:line="240" w:lineRule="auto"/>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860E56">
        <w:t xml:space="preserve">This notice was published on </w:t>
      </w:r>
      <w:r w:rsidRPr="00080E40" w:rsidR="00080E40">
        <w:t>September</w:t>
      </w:r>
      <w:r w:rsidRPr="00080E40" w:rsidR="006359B2">
        <w:t xml:space="preserve"> </w:t>
      </w:r>
      <w:r w:rsidRPr="00080E40" w:rsidR="00080E40">
        <w:t>9</w:t>
      </w:r>
      <w:r w:rsidRPr="00080E40" w:rsidR="006359B2">
        <w:t xml:space="preserve">, </w:t>
      </w:r>
      <w:r w:rsidRPr="00080E40" w:rsidR="00080E40">
        <w:t>2025</w:t>
      </w:r>
      <w:r w:rsidR="000D7CE0">
        <w:t xml:space="preserve"> (</w:t>
      </w:r>
      <w:r w:rsidRPr="00080E40" w:rsidR="00080E40">
        <w:t>90</w:t>
      </w:r>
      <w:r w:rsidR="000D7CE0">
        <w:t xml:space="preserve"> FR</w:t>
      </w:r>
      <w:r w:rsidRPr="00080E40" w:rsidR="006359B2">
        <w:t xml:space="preserve"> </w:t>
      </w:r>
      <w:r w:rsidRPr="00080E40" w:rsidR="00080E40">
        <w:t>43451</w:t>
      </w:r>
      <w:r w:rsidR="000D7CE0">
        <w:t>)</w:t>
      </w:r>
      <w:r w:rsidR="00080E40">
        <w:t xml:space="preserve"> </w:t>
      </w:r>
      <w:r w:rsidRPr="00860E56" w:rsidR="00DA45D8">
        <w:t>and</w:t>
      </w:r>
      <w:r w:rsidRPr="00860E56">
        <w:t xml:space="preserve"> provided a sixty-day period for public comment.  During the notice and comment </w:t>
      </w:r>
      <w:r w:rsidRPr="00DC4873">
        <w:t xml:space="preserve">period, </w:t>
      </w:r>
      <w:r w:rsidRPr="00DC4873" w:rsidR="006359B2">
        <w:t>no comments were received</w:t>
      </w:r>
      <w:r w:rsidRPr="00DC4873" w:rsidR="0091517C">
        <w:t xml:space="preserve">. </w:t>
      </w:r>
    </w:p>
    <w:p w:rsidR="00C96EB4" w:rsidP="008D5B50" w14:paraId="51BBA636" w14:textId="77777777">
      <w:pPr>
        <w:spacing w:after="0" w:line="240" w:lineRule="auto"/>
      </w:pPr>
    </w:p>
    <w:p w:rsidR="00EF7E62" w:rsidRPr="00477B4E" w:rsidP="00F072D6" w14:paraId="1D0364BA" w14:textId="2E1E8253">
      <w:pPr>
        <w:spacing w:after="60" w:line="240" w:lineRule="auto"/>
        <w:rPr>
          <w:rFonts w:cstheme="minorHAnsi"/>
          <w:b/>
          <w:i/>
        </w:rPr>
      </w:pPr>
      <w:bookmarkStart w:id="10" w:name="_Hlk109628496"/>
      <w:r w:rsidRPr="00F40AD2">
        <w:rPr>
          <w:rFonts w:cstheme="minorHAnsi"/>
          <w:i/>
        </w:rPr>
        <w:t>Consultation with Experts Outside of the Study</w:t>
      </w:r>
      <w:bookmarkEnd w:id="10"/>
    </w:p>
    <w:p w:rsidR="00474513" w:rsidP="008D5B50" w14:paraId="7C452D17" w14:textId="1FFFD906">
      <w:pPr>
        <w:spacing w:after="0" w:line="240" w:lineRule="auto"/>
      </w:pPr>
      <w:r>
        <w:t xml:space="preserve">To ensure the evaluation results in meaningful and actionable findings, the RTI team has </w:t>
      </w:r>
      <w:r w:rsidR="00931687">
        <w:t>conducted</w:t>
      </w:r>
      <w:r w:rsidR="00E105EE">
        <w:t xml:space="preserve"> </w:t>
      </w:r>
      <w:r>
        <w:t xml:space="preserve">engagement activities throughout the evaluation’s </w:t>
      </w:r>
      <w:r w:rsidR="00FD3D20">
        <w:t>design</w:t>
      </w:r>
      <w:r>
        <w:t xml:space="preserve"> with the following individuals and groups</w:t>
      </w:r>
      <w:r w:rsidR="00FD3D20">
        <w:t xml:space="preserve">: </w:t>
      </w:r>
    </w:p>
    <w:p w:rsidR="00474513" w:rsidP="008D5B50" w14:paraId="04DFCB69" w14:textId="77777777">
      <w:pPr>
        <w:spacing w:after="0" w:line="240" w:lineRule="auto"/>
      </w:pPr>
    </w:p>
    <w:p w:rsidR="00474513" w:rsidP="00FD3D20" w14:paraId="188B3EF5" w14:textId="1F9DDA90">
      <w:pPr>
        <w:pStyle w:val="ListParagraph"/>
        <w:numPr>
          <w:ilvl w:val="0"/>
          <w:numId w:val="48"/>
        </w:numPr>
        <w:spacing w:after="0" w:line="240" w:lineRule="auto"/>
      </w:pPr>
      <w:r>
        <w:t xml:space="preserve">OTIP Personnel </w:t>
      </w:r>
      <w:r w:rsidR="000C45B0">
        <w:t>i</w:t>
      </w:r>
      <w:r>
        <w:t>nvolved in TVAP and/or Aspire</w:t>
      </w:r>
      <w:r w:rsidR="000C45B0">
        <w:t xml:space="preserve"> programs</w:t>
      </w:r>
    </w:p>
    <w:p w:rsidR="00FD3D20" w:rsidP="00FD3D20" w14:paraId="3055174B" w14:textId="5F1F9981">
      <w:pPr>
        <w:pStyle w:val="ListParagraph"/>
        <w:numPr>
          <w:ilvl w:val="0"/>
          <w:numId w:val="48"/>
        </w:numPr>
        <w:spacing w:after="0" w:line="240" w:lineRule="auto"/>
      </w:pPr>
      <w:r>
        <w:t xml:space="preserve">Select </w:t>
      </w:r>
      <w:r w:rsidR="00474513">
        <w:t xml:space="preserve">TVAP and Aspire </w:t>
      </w:r>
      <w:r w:rsidR="00B50F5B">
        <w:t xml:space="preserve">Prime </w:t>
      </w:r>
      <w:r w:rsidR="00474513">
        <w:t>Recipient Personnel</w:t>
      </w:r>
    </w:p>
    <w:p w:rsidR="00FD3D20" w:rsidP="00FD3D20" w14:paraId="26B40D71" w14:textId="5A50DFA6">
      <w:pPr>
        <w:pStyle w:val="ListParagraph"/>
        <w:numPr>
          <w:ilvl w:val="0"/>
          <w:numId w:val="48"/>
        </w:numPr>
        <w:spacing w:after="0" w:line="240" w:lineRule="auto"/>
      </w:pPr>
      <w:r>
        <w:t>Select TVAP and Aspire Subrecipient Personnel</w:t>
      </w:r>
    </w:p>
    <w:p w:rsidR="00474513" w:rsidP="00FD3D20" w14:paraId="281EB6E1" w14:textId="5C66C77A">
      <w:pPr>
        <w:pStyle w:val="ListParagraph"/>
        <w:numPr>
          <w:ilvl w:val="0"/>
          <w:numId w:val="48"/>
        </w:numPr>
        <w:spacing w:after="0" w:line="240" w:lineRule="auto"/>
      </w:pPr>
      <w:r>
        <w:t xml:space="preserve">Prime </w:t>
      </w:r>
      <w:r>
        <w:t>Recipient’s Survivor Advisory Board</w:t>
      </w:r>
    </w:p>
    <w:p w:rsidR="00B50F5B" w:rsidP="00FD3D20" w14:paraId="22200AFD" w14:textId="6987C378">
      <w:pPr>
        <w:pStyle w:val="ListParagraph"/>
        <w:numPr>
          <w:ilvl w:val="0"/>
          <w:numId w:val="48"/>
        </w:numPr>
        <w:spacing w:after="0" w:line="240" w:lineRule="auto"/>
      </w:pPr>
      <w:r>
        <w:t>USC TVAP and Aspire Research Team</w:t>
      </w:r>
    </w:p>
    <w:p w:rsidR="00474513" w:rsidRPr="009139B3" w:rsidP="008D5B50" w14:paraId="34FCB40C" w14:textId="77777777">
      <w:pPr>
        <w:spacing w:after="0" w:line="240" w:lineRule="auto"/>
      </w:pPr>
    </w:p>
    <w:p w:rsidR="001D1C73" w:rsidRPr="009139B3" w:rsidP="008D5B50" w14:paraId="2DA362B8" w14:textId="77777777">
      <w:pPr>
        <w:spacing w:after="120" w:line="240" w:lineRule="auto"/>
      </w:pPr>
      <w:r w:rsidRPr="009139B3">
        <w:rPr>
          <w:b/>
        </w:rPr>
        <w:t>A9</w:t>
      </w:r>
      <w:r w:rsidRPr="009139B3">
        <w:t>.</w:t>
      </w:r>
      <w:r w:rsidRPr="009139B3">
        <w:tab/>
      </w:r>
      <w:r w:rsidRPr="009139B3">
        <w:rPr>
          <w:b/>
        </w:rPr>
        <w:t>Tokens of Appreciation</w:t>
      </w:r>
    </w:p>
    <w:p w:rsidR="00926911" w:rsidRPr="00FD3626" w:rsidP="008D5B50" w14:paraId="720EEB3E" w14:textId="401C5F81">
      <w:pPr>
        <w:spacing w:after="0" w:line="240" w:lineRule="auto"/>
        <w:rPr>
          <w:rFonts w:cstheme="minorHAnsi"/>
        </w:rPr>
      </w:pPr>
      <w:r w:rsidRPr="00512EE8">
        <w:rPr>
          <w:rFonts w:cstheme="minorHAnsi"/>
        </w:rPr>
        <w:t>W</w:t>
      </w:r>
      <w:r w:rsidRPr="00512EE8">
        <w:rPr>
          <w:rFonts w:cstheme="minorHAnsi"/>
        </w:rPr>
        <w:t xml:space="preserve">e propose to offer a token of appreciation to </w:t>
      </w:r>
      <w:r w:rsidRPr="00512EE8">
        <w:rPr>
          <w:rFonts w:cstheme="minorHAnsi"/>
        </w:rPr>
        <w:t>participants in</w:t>
      </w:r>
      <w:r w:rsidRPr="00512EE8">
        <w:rPr>
          <w:rFonts w:cstheme="minorHAnsi"/>
        </w:rPr>
        <w:t xml:space="preserve"> interviews and </w:t>
      </w:r>
      <w:r w:rsidRPr="00512EE8" w:rsidR="007A0DB0">
        <w:rPr>
          <w:rFonts w:cstheme="minorHAnsi"/>
        </w:rPr>
        <w:t>survey</w:t>
      </w:r>
      <w:r w:rsidRPr="00512EE8">
        <w:rPr>
          <w:rFonts w:cstheme="minorHAnsi"/>
        </w:rPr>
        <w:t>s</w:t>
      </w:r>
      <w:r w:rsidRPr="00512EE8" w:rsidR="007A0DB0">
        <w:rPr>
          <w:rFonts w:cstheme="minorHAnsi"/>
        </w:rPr>
        <w:t xml:space="preserve">. </w:t>
      </w:r>
      <w:r w:rsidRPr="00512EE8">
        <w:rPr>
          <w:rFonts w:cstheme="minorHAnsi"/>
        </w:rPr>
        <w:t xml:space="preserve">Tokens of appreciation are used to encourage participation and convey appreciation for participants’ contribution to the research. </w:t>
      </w:r>
      <w:r w:rsidR="000C351E">
        <w:rPr>
          <w:rFonts w:cstheme="minorHAnsi"/>
        </w:rPr>
        <w:t xml:space="preserve">While these evaluation </w:t>
      </w:r>
      <w:r w:rsidRPr="00512EE8">
        <w:rPr>
          <w:rFonts w:cstheme="minorHAnsi"/>
        </w:rPr>
        <w:t>data are not intended to be representative in a statistical sense, in that they will not be used to make statements about the prevalence of experiences of all respondents</w:t>
      </w:r>
      <w:r w:rsidR="004C5149">
        <w:rPr>
          <w:rFonts w:cstheme="minorHAnsi"/>
        </w:rPr>
        <w:t>,</w:t>
      </w:r>
      <w:r w:rsidR="001033E7">
        <w:rPr>
          <w:rFonts w:cstheme="minorHAnsi"/>
        </w:rPr>
        <w:t xml:space="preserve"> </w:t>
      </w:r>
      <w:r w:rsidRPr="00512EE8">
        <w:rPr>
          <w:rFonts w:cstheme="minorHAnsi"/>
        </w:rPr>
        <w:t>it is important to include a range of respondents to capture a variety of possible experiences with the</w:t>
      </w:r>
      <w:r w:rsidRPr="00512EE8" w:rsidR="007A0DB0">
        <w:rPr>
          <w:rFonts w:cstheme="minorHAnsi"/>
        </w:rPr>
        <w:t xml:space="preserve"> TVAP and Aspire programs</w:t>
      </w:r>
      <w:r w:rsidRPr="00512EE8">
        <w:rPr>
          <w:rFonts w:cstheme="minorHAnsi"/>
        </w:rPr>
        <w:t>.</w:t>
      </w:r>
      <w:r w:rsidR="000C351E">
        <w:rPr>
          <w:rFonts w:cstheme="minorHAnsi"/>
        </w:rPr>
        <w:t xml:space="preserve"> Tokens of </w:t>
      </w:r>
      <w:r w:rsidR="00FB249E">
        <w:rPr>
          <w:rFonts w:cstheme="minorHAnsi"/>
        </w:rPr>
        <w:t>appreciation</w:t>
      </w:r>
      <w:r w:rsidR="000C351E">
        <w:rPr>
          <w:rFonts w:cstheme="minorHAnsi"/>
        </w:rPr>
        <w:t xml:space="preserve"> support this varied participation. </w:t>
      </w:r>
    </w:p>
    <w:p w:rsidR="00CF633A" w:rsidRPr="00512EE8" w:rsidP="008D5B50" w14:paraId="48311268" w14:textId="77777777">
      <w:pPr>
        <w:spacing w:after="0" w:line="240" w:lineRule="auto"/>
        <w:rPr>
          <w:rFonts w:cstheme="minorHAnsi"/>
        </w:rPr>
      </w:pPr>
    </w:p>
    <w:p w:rsidR="001033E7" w:rsidRPr="00FD3626" w:rsidP="001033E7" w14:paraId="02B7F171" w14:textId="33ED68EC">
      <w:pPr>
        <w:spacing w:after="0" w:line="240" w:lineRule="auto"/>
        <w:rPr>
          <w:rFonts w:cstheme="minorHAnsi"/>
        </w:rPr>
      </w:pPr>
      <w:r>
        <w:rPr>
          <w:rFonts w:cstheme="minorHAnsi"/>
        </w:rPr>
        <w:t xml:space="preserve">As </w:t>
      </w:r>
      <w:r w:rsidRPr="00512EE8">
        <w:rPr>
          <w:rFonts w:cstheme="minorHAnsi"/>
        </w:rPr>
        <w:t>subrecipients are compensated per capita</w:t>
      </w:r>
      <w:r>
        <w:rPr>
          <w:rFonts w:cstheme="minorHAnsi"/>
        </w:rPr>
        <w:t xml:space="preserve"> for </w:t>
      </w:r>
      <w:r w:rsidR="00CD3F77">
        <w:rPr>
          <w:rFonts w:cstheme="minorHAnsi"/>
        </w:rPr>
        <w:t xml:space="preserve">TVAP/Aspire </w:t>
      </w:r>
      <w:r>
        <w:rPr>
          <w:rFonts w:cstheme="minorHAnsi"/>
        </w:rPr>
        <w:t>clients</w:t>
      </w:r>
      <w:r w:rsidR="00CD3F77">
        <w:rPr>
          <w:rFonts w:cstheme="minorHAnsi"/>
        </w:rPr>
        <w:t xml:space="preserve"> and </w:t>
      </w:r>
      <w:r w:rsidRPr="00512EE8" w:rsidR="00CD3F77">
        <w:rPr>
          <w:rFonts w:cstheme="minorHAnsi"/>
        </w:rPr>
        <w:t>other service providers and local government professional</w:t>
      </w:r>
      <w:r w:rsidR="00CD3F77">
        <w:rPr>
          <w:rFonts w:cstheme="minorHAnsi"/>
        </w:rPr>
        <w:t>s</w:t>
      </w:r>
      <w:r w:rsidRPr="00512EE8" w:rsidR="00CD3F77">
        <w:rPr>
          <w:rFonts w:cstheme="minorHAnsi"/>
        </w:rPr>
        <w:t xml:space="preserve"> are not compensated for their work serving TVAP and Aspire clients</w:t>
      </w:r>
      <w:r w:rsidRPr="00512EE8">
        <w:rPr>
          <w:rFonts w:cstheme="minorHAnsi"/>
        </w:rPr>
        <w:t xml:space="preserve">, participation </w:t>
      </w:r>
      <w:r>
        <w:rPr>
          <w:rFonts w:cstheme="minorHAnsi"/>
        </w:rPr>
        <w:t xml:space="preserve">in this evaluation </w:t>
      </w:r>
      <w:r w:rsidRPr="00512EE8">
        <w:rPr>
          <w:rFonts w:cstheme="minorHAnsi"/>
        </w:rPr>
        <w:t>is not within the scope of their professional day-to-day job responsibilities</w:t>
      </w:r>
      <w:r>
        <w:rPr>
          <w:rFonts w:cstheme="minorHAnsi"/>
        </w:rPr>
        <w:t xml:space="preserve">. </w:t>
      </w:r>
      <w:r w:rsidRPr="00512EE8" w:rsidR="00512EE8">
        <w:rPr>
          <w:rFonts w:cstheme="minorHAnsi"/>
        </w:rPr>
        <w:t>T</w:t>
      </w:r>
      <w:r w:rsidRPr="00512EE8" w:rsidR="00926911">
        <w:rPr>
          <w:rFonts w:cstheme="minorHAnsi"/>
        </w:rPr>
        <w:t>hus</w:t>
      </w:r>
      <w:r w:rsidR="00512EE8">
        <w:rPr>
          <w:rFonts w:cstheme="minorHAnsi"/>
        </w:rPr>
        <w:t>,</w:t>
      </w:r>
      <w:r w:rsidRPr="00512EE8" w:rsidR="00926911">
        <w:rPr>
          <w:rFonts w:cstheme="minorHAnsi"/>
        </w:rPr>
        <w:t xml:space="preserve"> we propose participants be offered </w:t>
      </w:r>
      <w:r>
        <w:rPr>
          <w:rFonts w:cstheme="minorHAnsi"/>
        </w:rPr>
        <w:t xml:space="preserve">the tokens of appreciation for each data collection activity as outlined by </w:t>
      </w:r>
      <w:r w:rsidRPr="00FD3626">
        <w:rPr>
          <w:rFonts w:cstheme="minorHAnsi"/>
          <w:b/>
          <w:bCs/>
        </w:rPr>
        <w:t>Exhibit A3</w:t>
      </w:r>
      <w:r w:rsidR="00CD3F77">
        <w:rPr>
          <w:rFonts w:cstheme="minorHAnsi"/>
          <w:b/>
          <w:bCs/>
        </w:rPr>
        <w:t xml:space="preserve"> </w:t>
      </w:r>
      <w:r w:rsidRPr="00512EE8" w:rsidR="00CD3F77">
        <w:rPr>
          <w:rFonts w:cstheme="minorHAnsi"/>
        </w:rPr>
        <w:t xml:space="preserve">for their </w:t>
      </w:r>
      <w:r w:rsidR="00F97B1D">
        <w:rPr>
          <w:rFonts w:cstheme="minorHAnsi"/>
        </w:rPr>
        <w:t>participation</w:t>
      </w:r>
      <w:r w:rsidRPr="00512EE8" w:rsidR="00F97B1D">
        <w:rPr>
          <w:rFonts w:cstheme="minorHAnsi"/>
        </w:rPr>
        <w:t xml:space="preserve"> </w:t>
      </w:r>
      <w:r w:rsidRPr="00512EE8" w:rsidR="00CD3F77">
        <w:rPr>
          <w:rFonts w:cstheme="minorHAnsi"/>
        </w:rPr>
        <w:t>and expertise</w:t>
      </w:r>
      <w:r w:rsidRPr="00FB7815" w:rsidR="00CD3F77">
        <w:rPr>
          <w:rFonts w:cstheme="minorHAnsi"/>
        </w:rPr>
        <w:t>.</w:t>
      </w:r>
      <w:r w:rsidRPr="00CD3F77" w:rsidR="00CD3F77">
        <w:rPr>
          <w:rFonts w:cstheme="minorHAnsi"/>
        </w:rPr>
        <w:t xml:space="preserve"> </w:t>
      </w:r>
      <w:r w:rsidRPr="00512EE8" w:rsidR="00CD3F77">
        <w:rPr>
          <w:rFonts w:cstheme="minorHAnsi"/>
        </w:rPr>
        <w:t>These individuals will be primarily from non-profit organizations and government agencies that have limited administrative funding to participate in these types of activities; research has demonstrated that direct service providers often “simply work harder and for longer hours” to cover administrative activities that cannot be reimbursed (Willging et al., 2017, p. 9).</w:t>
      </w:r>
    </w:p>
    <w:p w:rsidR="00CD3F77" w:rsidP="001033E7" w14:paraId="3F53F444" w14:textId="77777777">
      <w:pPr>
        <w:spacing w:after="0" w:line="240" w:lineRule="auto"/>
        <w:rPr>
          <w:rFonts w:cstheme="minorHAnsi"/>
          <w:b/>
          <w:bCs/>
        </w:rPr>
      </w:pPr>
    </w:p>
    <w:p w:rsidR="00CD3F77" w:rsidP="001033E7" w14:paraId="212C6D0D" w14:textId="42FB47DC">
      <w:pPr>
        <w:spacing w:after="0" w:line="240" w:lineRule="auto"/>
        <w:rPr>
          <w:rFonts w:cstheme="minorHAnsi"/>
          <w:b/>
          <w:bCs/>
        </w:rPr>
      </w:pPr>
      <w:r>
        <w:rPr>
          <w:rFonts w:cstheme="minorHAnsi"/>
          <w:b/>
          <w:bCs/>
        </w:rPr>
        <w:t>Exhibit A3 Token of appreciation by data collection activity</w:t>
      </w:r>
    </w:p>
    <w:tbl>
      <w:tblPr>
        <w:tblW w:w="6111" w:type="dxa"/>
        <w:tblLook w:val="04A0"/>
      </w:tblPr>
      <w:tblGrid>
        <w:gridCol w:w="2577"/>
        <w:gridCol w:w="1767"/>
        <w:gridCol w:w="1767"/>
      </w:tblGrid>
      <w:tr w14:paraId="446820A1" w14:textId="77777777" w:rsidTr="00960D7B">
        <w:tblPrEx>
          <w:tblW w:w="6111" w:type="dxa"/>
          <w:tblLook w:val="04A0"/>
        </w:tblPrEx>
        <w:trPr>
          <w:trHeight w:val="260"/>
        </w:trPr>
        <w:tc>
          <w:tcPr>
            <w:tcW w:w="2577" w:type="dxa"/>
            <w:tcBorders>
              <w:top w:val="single" w:sz="4" w:space="0" w:color="auto"/>
              <w:left w:val="single" w:sz="4" w:space="0" w:color="auto"/>
              <w:bottom w:val="single" w:sz="4" w:space="0" w:color="auto"/>
              <w:right w:val="single" w:sz="4" w:space="0" w:color="auto"/>
            </w:tcBorders>
            <w:vAlign w:val="center"/>
            <w:hideMark/>
          </w:tcPr>
          <w:p w:rsidR="00CD3F77" w:rsidRPr="00F87DA2" w:rsidP="00960D7B" w14:paraId="544CB327"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Data Collection Activity</w:t>
            </w:r>
          </w:p>
        </w:tc>
        <w:tc>
          <w:tcPr>
            <w:tcW w:w="1767" w:type="dxa"/>
            <w:tcBorders>
              <w:top w:val="single" w:sz="4" w:space="0" w:color="auto"/>
              <w:left w:val="nil"/>
              <w:bottom w:val="single" w:sz="4" w:space="0" w:color="auto"/>
              <w:right w:val="single" w:sz="4" w:space="0" w:color="auto"/>
            </w:tcBorders>
            <w:vAlign w:val="center"/>
            <w:hideMark/>
          </w:tcPr>
          <w:p w:rsidR="00CD3F77" w:rsidRPr="00F87DA2" w:rsidP="00960D7B" w14:paraId="1D81D39C" w14:textId="77777777">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 xml:space="preserve">Avg. </w:t>
            </w:r>
            <w:r>
              <w:rPr>
                <w:rFonts w:ascii="Calibri" w:eastAsia="Times New Roman" w:hAnsi="Calibri" w:cs="Calibri"/>
                <w:color w:val="000000"/>
                <w:sz w:val="20"/>
                <w:szCs w:val="20"/>
              </w:rPr>
              <w:t xml:space="preserve">Data Collection Duration </w:t>
            </w:r>
            <w:r w:rsidRPr="00F87DA2">
              <w:rPr>
                <w:rFonts w:ascii="Calibri" w:eastAsia="Times New Roman" w:hAnsi="Calibri" w:cs="Calibri"/>
                <w:color w:val="000000"/>
                <w:sz w:val="20"/>
                <w:szCs w:val="20"/>
              </w:rPr>
              <w:t>(in hours)</w:t>
            </w:r>
          </w:p>
        </w:tc>
        <w:tc>
          <w:tcPr>
            <w:tcW w:w="1767" w:type="dxa"/>
            <w:tcBorders>
              <w:top w:val="single" w:sz="4" w:space="0" w:color="auto"/>
              <w:left w:val="nil"/>
              <w:bottom w:val="single" w:sz="4" w:space="0" w:color="auto"/>
              <w:right w:val="single" w:sz="4" w:space="0" w:color="auto"/>
            </w:tcBorders>
          </w:tcPr>
          <w:p w:rsidR="00CD3F77" w:rsidRPr="00F87DA2" w:rsidP="00960D7B" w14:paraId="189FC57E"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Token of Appreciation</w:t>
            </w:r>
          </w:p>
        </w:tc>
      </w:tr>
      <w:tr w14:paraId="57A03059" w14:textId="77777777" w:rsidTr="00960D7B">
        <w:tblPrEx>
          <w:tblW w:w="6111" w:type="dxa"/>
          <w:tblLook w:val="04A0"/>
        </w:tblPrEx>
        <w:trPr>
          <w:trHeight w:val="30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69B8A09E" w14:textId="77777777">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Subrecipient Interview</w:t>
            </w:r>
            <w:r>
              <w:rPr>
                <w:rFonts w:ascii="Calibri" w:eastAsia="Times New Roman" w:hAnsi="Calibri" w:cs="Calibri"/>
                <w:color w:val="000000"/>
                <w:sz w:val="20"/>
                <w:szCs w:val="20"/>
              </w:rPr>
              <w:t xml:space="preserve"> </w:t>
            </w:r>
          </w:p>
        </w:tc>
        <w:tc>
          <w:tcPr>
            <w:tcW w:w="1767" w:type="dxa"/>
            <w:tcBorders>
              <w:top w:val="nil"/>
              <w:left w:val="nil"/>
              <w:bottom w:val="single" w:sz="4" w:space="0" w:color="auto"/>
              <w:right w:val="single" w:sz="4" w:space="0" w:color="auto"/>
            </w:tcBorders>
            <w:vAlign w:val="center"/>
            <w:hideMark/>
          </w:tcPr>
          <w:p w:rsidR="00CD3F77" w:rsidRPr="00F87DA2" w:rsidP="00960D7B" w14:paraId="6AF6CF52" w14:textId="77777777">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1.5</w:t>
            </w:r>
          </w:p>
        </w:tc>
        <w:tc>
          <w:tcPr>
            <w:tcW w:w="1767" w:type="dxa"/>
            <w:tcBorders>
              <w:top w:val="nil"/>
              <w:left w:val="nil"/>
              <w:bottom w:val="single" w:sz="4" w:space="0" w:color="auto"/>
              <w:right w:val="single" w:sz="4" w:space="0" w:color="auto"/>
            </w:tcBorders>
          </w:tcPr>
          <w:p w:rsidR="00CD3F77" w:rsidRPr="00F87DA2" w:rsidP="00960D7B" w14:paraId="197C7BA5"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$60</w:t>
            </w:r>
          </w:p>
        </w:tc>
      </w:tr>
      <w:tr w14:paraId="437A5735" w14:textId="77777777" w:rsidTr="00960D7B">
        <w:tblPrEx>
          <w:tblW w:w="6111" w:type="dxa"/>
          <w:tblLook w:val="04A0"/>
        </w:tblPrEx>
        <w:trPr>
          <w:trHeight w:val="51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376BA425" w14:textId="77777777">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Other Service Provider Interview</w:t>
            </w:r>
          </w:p>
        </w:tc>
        <w:tc>
          <w:tcPr>
            <w:tcW w:w="1767" w:type="dxa"/>
            <w:tcBorders>
              <w:top w:val="nil"/>
              <w:left w:val="nil"/>
              <w:bottom w:val="single" w:sz="4" w:space="0" w:color="auto"/>
              <w:right w:val="single" w:sz="4" w:space="0" w:color="auto"/>
            </w:tcBorders>
            <w:vAlign w:val="center"/>
            <w:hideMark/>
          </w:tcPr>
          <w:p w:rsidR="00CD3F77" w:rsidRPr="00F87DA2" w:rsidP="00960D7B" w14:paraId="3784E2CE" w14:textId="77777777">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1</w:t>
            </w:r>
          </w:p>
        </w:tc>
        <w:tc>
          <w:tcPr>
            <w:tcW w:w="1767" w:type="dxa"/>
            <w:tcBorders>
              <w:top w:val="nil"/>
              <w:left w:val="nil"/>
              <w:bottom w:val="single" w:sz="4" w:space="0" w:color="auto"/>
              <w:right w:val="single" w:sz="4" w:space="0" w:color="auto"/>
            </w:tcBorders>
          </w:tcPr>
          <w:p w:rsidR="00CD3F77" w:rsidRPr="00F87DA2" w:rsidP="00960D7B" w14:paraId="7FFDB79F"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$40</w:t>
            </w:r>
          </w:p>
        </w:tc>
      </w:tr>
      <w:tr w14:paraId="4BBD0224" w14:textId="77777777" w:rsidTr="00960D7B">
        <w:tblPrEx>
          <w:tblW w:w="6111" w:type="dxa"/>
          <w:tblLook w:val="04A0"/>
        </w:tblPrEx>
        <w:trPr>
          <w:trHeight w:val="51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47705D40" w14:textId="77777777">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Local Government Systems Interview</w:t>
            </w:r>
          </w:p>
        </w:tc>
        <w:tc>
          <w:tcPr>
            <w:tcW w:w="1767" w:type="dxa"/>
            <w:tcBorders>
              <w:top w:val="nil"/>
              <w:left w:val="nil"/>
              <w:bottom w:val="single" w:sz="4" w:space="0" w:color="auto"/>
              <w:right w:val="single" w:sz="4" w:space="0" w:color="auto"/>
            </w:tcBorders>
            <w:vAlign w:val="center"/>
            <w:hideMark/>
          </w:tcPr>
          <w:p w:rsidR="00CD3F77" w:rsidRPr="00F87DA2" w:rsidP="00960D7B" w14:paraId="3CB647A7" w14:textId="77777777">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1</w:t>
            </w:r>
          </w:p>
        </w:tc>
        <w:tc>
          <w:tcPr>
            <w:tcW w:w="1767" w:type="dxa"/>
            <w:tcBorders>
              <w:top w:val="nil"/>
              <w:left w:val="nil"/>
              <w:bottom w:val="single" w:sz="4" w:space="0" w:color="auto"/>
              <w:right w:val="single" w:sz="4" w:space="0" w:color="auto"/>
            </w:tcBorders>
          </w:tcPr>
          <w:p w:rsidR="00CD3F77" w:rsidRPr="00F87DA2" w:rsidP="00960D7B" w14:paraId="37E79E9F"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$40</w:t>
            </w:r>
          </w:p>
        </w:tc>
      </w:tr>
      <w:tr w14:paraId="30704073" w14:textId="77777777" w:rsidTr="00960D7B">
        <w:tblPrEx>
          <w:tblW w:w="6111" w:type="dxa"/>
          <w:tblLook w:val="04A0"/>
        </w:tblPrEx>
        <w:trPr>
          <w:trHeight w:val="30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2D080AC0" w14:textId="77777777">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Client Interview</w:t>
            </w:r>
          </w:p>
        </w:tc>
        <w:tc>
          <w:tcPr>
            <w:tcW w:w="1767" w:type="dxa"/>
            <w:tcBorders>
              <w:top w:val="nil"/>
              <w:left w:val="nil"/>
              <w:bottom w:val="single" w:sz="4" w:space="0" w:color="auto"/>
              <w:right w:val="single" w:sz="4" w:space="0" w:color="auto"/>
            </w:tcBorders>
            <w:vAlign w:val="center"/>
            <w:hideMark/>
          </w:tcPr>
          <w:p w:rsidR="00CD3F77" w:rsidRPr="00F87DA2" w:rsidP="00960D7B" w14:paraId="28914244" w14:textId="77777777">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1</w:t>
            </w:r>
          </w:p>
        </w:tc>
        <w:tc>
          <w:tcPr>
            <w:tcW w:w="1767" w:type="dxa"/>
            <w:tcBorders>
              <w:top w:val="nil"/>
              <w:left w:val="nil"/>
              <w:bottom w:val="single" w:sz="4" w:space="0" w:color="auto"/>
              <w:right w:val="single" w:sz="4" w:space="0" w:color="auto"/>
            </w:tcBorders>
          </w:tcPr>
          <w:p w:rsidR="00CD3F77" w:rsidRPr="00F87DA2" w:rsidP="00960D7B" w14:paraId="67A7EE5C"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$125</w:t>
            </w:r>
          </w:p>
        </w:tc>
      </w:tr>
      <w:tr w14:paraId="627AE161" w14:textId="77777777" w:rsidTr="00960D7B">
        <w:tblPrEx>
          <w:tblW w:w="6111" w:type="dxa"/>
          <w:tblLook w:val="04A0"/>
        </w:tblPrEx>
        <w:trPr>
          <w:trHeight w:val="30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5D654D5F" w14:textId="77777777">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Subrecipient Survey</w:t>
            </w:r>
          </w:p>
        </w:tc>
        <w:tc>
          <w:tcPr>
            <w:tcW w:w="1767" w:type="dxa"/>
            <w:tcBorders>
              <w:top w:val="nil"/>
              <w:left w:val="nil"/>
              <w:bottom w:val="single" w:sz="4" w:space="0" w:color="auto"/>
              <w:right w:val="single" w:sz="4" w:space="0" w:color="auto"/>
            </w:tcBorders>
            <w:vAlign w:val="center"/>
            <w:hideMark/>
          </w:tcPr>
          <w:p w:rsidR="00CD3F77" w:rsidRPr="00F87DA2" w:rsidP="00960D7B" w14:paraId="12562E4D" w14:textId="77777777">
            <w:pPr>
              <w:spacing w:after="0" w:line="240" w:lineRule="auto"/>
              <w:jc w:val="center"/>
              <w:rPr>
                <w:rFonts w:ascii="Calibri" w:eastAsia="Times New Roman" w:hAnsi="Calibri" w:cs="Calibri"/>
                <w:sz w:val="20"/>
                <w:szCs w:val="20"/>
              </w:rPr>
            </w:pPr>
            <w:r w:rsidRPr="00F87DA2">
              <w:rPr>
                <w:rFonts w:ascii="Calibri" w:eastAsia="Times New Roman" w:hAnsi="Calibri" w:cs="Calibri"/>
                <w:sz w:val="20"/>
                <w:szCs w:val="20"/>
              </w:rPr>
              <w:t>0.</w:t>
            </w:r>
            <w:r>
              <w:rPr>
                <w:rFonts w:ascii="Calibri" w:eastAsia="Times New Roman" w:hAnsi="Calibri" w:cs="Calibri"/>
                <w:sz w:val="20"/>
                <w:szCs w:val="20"/>
              </w:rPr>
              <w:t>58</w:t>
            </w:r>
          </w:p>
        </w:tc>
        <w:tc>
          <w:tcPr>
            <w:tcW w:w="1767" w:type="dxa"/>
            <w:tcBorders>
              <w:top w:val="nil"/>
              <w:left w:val="nil"/>
              <w:bottom w:val="single" w:sz="4" w:space="0" w:color="auto"/>
              <w:right w:val="single" w:sz="4" w:space="0" w:color="auto"/>
            </w:tcBorders>
          </w:tcPr>
          <w:p w:rsidR="00CD3F77" w:rsidRPr="00F87DA2" w:rsidP="00960D7B" w14:paraId="0F3AEBF5" w14:textId="77777777">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w:t>
            </w:r>
          </w:p>
        </w:tc>
      </w:tr>
    </w:tbl>
    <w:p w:rsidR="00CD3F77" w:rsidP="001033E7" w14:paraId="012A4A8A" w14:textId="77777777">
      <w:pPr>
        <w:spacing w:after="0" w:line="240" w:lineRule="auto"/>
        <w:rPr>
          <w:rFonts w:cstheme="minorHAnsi"/>
        </w:rPr>
      </w:pPr>
    </w:p>
    <w:p w:rsidR="00926911" w:rsidP="008D5B50" w14:paraId="662D449F" w14:textId="04904F25">
      <w:pPr>
        <w:spacing w:after="0" w:line="240" w:lineRule="auto"/>
        <w:rPr>
          <w:rFonts w:cstheme="minorHAnsi"/>
        </w:rPr>
      </w:pPr>
      <w:r w:rsidRPr="00512EE8">
        <w:rPr>
          <w:rFonts w:cstheme="minorHAnsi"/>
        </w:rPr>
        <w:t xml:space="preserve">Most qualitative research with this or adjacent populations does not publish response rates, however </w:t>
      </w:r>
      <w:r w:rsidR="00CD3F77">
        <w:rPr>
          <w:rFonts w:cstheme="minorHAnsi"/>
        </w:rPr>
        <w:t xml:space="preserve">$40 for 60 minutes </w:t>
      </w:r>
      <w:r w:rsidR="005C34D6">
        <w:rPr>
          <w:rFonts w:cstheme="minorHAnsi"/>
        </w:rPr>
        <w:t xml:space="preserve">and </w:t>
      </w:r>
      <w:r w:rsidRPr="00512EE8" w:rsidR="005C34D6">
        <w:rPr>
          <w:rFonts w:cstheme="minorHAnsi"/>
        </w:rPr>
        <w:t>$</w:t>
      </w:r>
      <w:r w:rsidR="005C34D6">
        <w:rPr>
          <w:rFonts w:cstheme="minorHAnsi"/>
        </w:rPr>
        <w:t>6</w:t>
      </w:r>
      <w:r w:rsidRPr="00512EE8" w:rsidR="005C34D6">
        <w:rPr>
          <w:rFonts w:cstheme="minorHAnsi"/>
        </w:rPr>
        <w:t xml:space="preserve">0 </w:t>
      </w:r>
      <w:r w:rsidR="005C34D6">
        <w:rPr>
          <w:rFonts w:cstheme="minorHAnsi"/>
        </w:rPr>
        <w:t xml:space="preserve">for 90 minutes </w:t>
      </w:r>
      <w:r w:rsidRPr="00512EE8">
        <w:rPr>
          <w:rFonts w:cstheme="minorHAnsi"/>
        </w:rPr>
        <w:t xml:space="preserve">is consistent with similar research involving interviews with direct providers of victim services and/or child and family services (research specific to personnel providing services to people who have experienced human trafficking is very limited). </w:t>
      </w:r>
      <w:r w:rsidR="00D90E0B">
        <w:rPr>
          <w:rFonts w:cstheme="minorHAnsi"/>
        </w:rPr>
        <w:t>Service providers</w:t>
      </w:r>
      <w:r w:rsidRPr="00CD3F77" w:rsidR="00CD3F77">
        <w:rPr>
          <w:rFonts w:cstheme="minorHAnsi"/>
        </w:rPr>
        <w:t xml:space="preserve"> </w:t>
      </w:r>
      <w:r w:rsidR="003E4CFB">
        <w:rPr>
          <w:rFonts w:cstheme="minorHAnsi"/>
        </w:rPr>
        <w:t xml:space="preserve">supporting people who have experienced intimate partner violence and </w:t>
      </w:r>
      <w:r w:rsidRPr="00CD3F77" w:rsidR="00CD3F77">
        <w:rPr>
          <w:rFonts w:cstheme="minorHAnsi"/>
        </w:rPr>
        <w:t xml:space="preserve">implementing </w:t>
      </w:r>
      <w:r w:rsidRPr="00E35C4D" w:rsidR="003E4CFB">
        <w:rPr>
          <w:rFonts w:cstheme="minorHAnsi"/>
        </w:rPr>
        <w:t xml:space="preserve">trauma-focused evidence-based practices </w:t>
      </w:r>
      <w:r w:rsidR="003E4CFB">
        <w:rPr>
          <w:rFonts w:cstheme="minorHAnsi"/>
        </w:rPr>
        <w:t xml:space="preserve">and </w:t>
      </w:r>
      <w:r w:rsidRPr="00EF3C99" w:rsidR="00EF3C99">
        <w:rPr>
          <w:rFonts w:cstheme="minorHAnsi"/>
        </w:rPr>
        <w:t>violence prevention program</w:t>
      </w:r>
      <w:r w:rsidR="00D90E0B">
        <w:rPr>
          <w:rFonts w:cstheme="minorHAnsi"/>
        </w:rPr>
        <w:t>s</w:t>
      </w:r>
      <w:r w:rsidR="00D70E65">
        <w:rPr>
          <w:rFonts w:cstheme="minorHAnsi"/>
        </w:rPr>
        <w:t xml:space="preserve"> for</w:t>
      </w:r>
      <w:r w:rsidR="00D90E0B">
        <w:rPr>
          <w:rFonts w:cstheme="minorHAnsi"/>
        </w:rPr>
        <w:t xml:space="preserve"> </w:t>
      </w:r>
      <w:r w:rsidR="003E4CFB">
        <w:rPr>
          <w:rFonts w:cstheme="minorHAnsi"/>
        </w:rPr>
        <w:t>young people</w:t>
      </w:r>
      <w:r w:rsidR="00CD3F77">
        <w:rPr>
          <w:rFonts w:cstheme="minorHAnsi"/>
        </w:rPr>
        <w:t xml:space="preserve"> were </w:t>
      </w:r>
      <w:r w:rsidR="0025621B">
        <w:rPr>
          <w:rFonts w:cstheme="minorHAnsi"/>
        </w:rPr>
        <w:t xml:space="preserve">provided </w:t>
      </w:r>
      <w:r w:rsidR="00CD3F77">
        <w:rPr>
          <w:rFonts w:cstheme="minorHAnsi"/>
        </w:rPr>
        <w:t>$40 for their</w:t>
      </w:r>
      <w:r w:rsidRPr="00CD3F77" w:rsidR="00CD3F77">
        <w:rPr>
          <w:rFonts w:cstheme="minorHAnsi"/>
        </w:rPr>
        <w:t xml:space="preserve"> participat</w:t>
      </w:r>
      <w:r w:rsidR="00CD3F77">
        <w:rPr>
          <w:rFonts w:cstheme="minorHAnsi"/>
        </w:rPr>
        <w:t>ion</w:t>
      </w:r>
      <w:r w:rsidRPr="00CD3F77" w:rsidR="00CD3F77">
        <w:rPr>
          <w:rFonts w:cstheme="minorHAnsi"/>
        </w:rPr>
        <w:t xml:space="preserve"> in </w:t>
      </w:r>
      <w:r w:rsidR="003E4CFB">
        <w:rPr>
          <w:rFonts w:cstheme="minorHAnsi"/>
        </w:rPr>
        <w:t>~</w:t>
      </w:r>
      <w:r w:rsidRPr="00CD3F77" w:rsidR="00CD3F77">
        <w:rPr>
          <w:rFonts w:cstheme="minorHAnsi"/>
        </w:rPr>
        <w:t>60-minute</w:t>
      </w:r>
      <w:r w:rsidR="003E4CFB">
        <w:rPr>
          <w:rFonts w:cstheme="minorHAnsi"/>
        </w:rPr>
        <w:t xml:space="preserve">s </w:t>
      </w:r>
      <w:r w:rsidRPr="00CD3F77" w:rsidR="00CD3F77">
        <w:rPr>
          <w:rFonts w:cstheme="minorHAnsi"/>
        </w:rPr>
        <w:t>interviews (</w:t>
      </w:r>
      <w:r w:rsidRPr="00D90E0B" w:rsidR="003E4CFB">
        <w:t>Shah</w:t>
      </w:r>
      <w:r w:rsidRPr="00CD3F77" w:rsidR="003E4CFB">
        <w:rPr>
          <w:rFonts w:cstheme="minorHAnsi"/>
        </w:rPr>
        <w:t xml:space="preserve"> </w:t>
      </w:r>
      <w:r w:rsidR="003E4CFB">
        <w:rPr>
          <w:rFonts w:cstheme="minorHAnsi"/>
        </w:rPr>
        <w:t xml:space="preserve">et. al., 2023; </w:t>
      </w:r>
      <w:r w:rsidRPr="00E35C4D" w:rsidR="003E4CFB">
        <w:rPr>
          <w:rFonts w:cstheme="minorHAnsi"/>
        </w:rPr>
        <w:t>Rodriguez et al., 2018</w:t>
      </w:r>
      <w:r w:rsidR="003E4CFB">
        <w:rPr>
          <w:rFonts w:cstheme="minorHAnsi"/>
        </w:rPr>
        <w:t xml:space="preserve">; </w:t>
      </w:r>
      <w:r w:rsidRPr="00CD3F77" w:rsidR="00CD3F77">
        <w:rPr>
          <w:rFonts w:cstheme="minorHAnsi"/>
        </w:rPr>
        <w:t>Evaluating the Prevention Effects of Men of Strength (MOST) Clubs on Sexual Violence and Teen Dating Violence Perpetration, n.d.)</w:t>
      </w:r>
      <w:r w:rsidR="00225795">
        <w:rPr>
          <w:rFonts w:cstheme="minorHAnsi"/>
        </w:rPr>
        <w:t>.</w:t>
      </w:r>
      <w:r w:rsidR="003E4CFB">
        <w:rPr>
          <w:rFonts w:cstheme="minorHAnsi"/>
        </w:rPr>
        <w:t xml:space="preserve"> Similar service providers including healthcare and justice professionals participating in ~90</w:t>
      </w:r>
      <w:r w:rsidR="007D6850">
        <w:rPr>
          <w:rFonts w:cstheme="minorHAnsi"/>
        </w:rPr>
        <w:t>-</w:t>
      </w:r>
      <w:r w:rsidR="003E4CFB">
        <w:rPr>
          <w:rFonts w:cstheme="minorHAnsi"/>
        </w:rPr>
        <w:t xml:space="preserve">minute interviews or focus groups have </w:t>
      </w:r>
      <w:r w:rsidR="0025621B">
        <w:rPr>
          <w:rFonts w:cstheme="minorHAnsi"/>
        </w:rPr>
        <w:t>received</w:t>
      </w:r>
      <w:r w:rsidR="003E4CFB">
        <w:rPr>
          <w:rFonts w:cstheme="minorHAnsi"/>
        </w:rPr>
        <w:t xml:space="preserve"> </w:t>
      </w:r>
      <w:r w:rsidR="005C34D6">
        <w:rPr>
          <w:rFonts w:cstheme="minorHAnsi"/>
        </w:rPr>
        <w:t>$60</w:t>
      </w:r>
      <w:r w:rsidR="0025621B">
        <w:rPr>
          <w:rFonts w:cstheme="minorHAnsi"/>
        </w:rPr>
        <w:t xml:space="preserve"> for participation</w:t>
      </w:r>
      <w:r w:rsidR="003E4CFB">
        <w:rPr>
          <w:rFonts w:cstheme="minorHAnsi"/>
        </w:rPr>
        <w:t xml:space="preserve"> (Jackson et. al., 2024; </w:t>
      </w:r>
      <w:r w:rsidRPr="0037202B" w:rsidR="003E4CFB">
        <w:t>Musgrave</w:t>
      </w:r>
      <w:r w:rsidRPr="00512EE8" w:rsidR="003E4CFB">
        <w:rPr>
          <w:rFonts w:cstheme="minorHAnsi"/>
        </w:rPr>
        <w:t xml:space="preserve"> </w:t>
      </w:r>
      <w:r w:rsidR="003E4CFB">
        <w:rPr>
          <w:rFonts w:cstheme="minorHAnsi"/>
        </w:rPr>
        <w:t xml:space="preserve">et. </w:t>
      </w:r>
      <w:r w:rsidR="003E4CFB">
        <w:rPr>
          <w:rFonts w:cstheme="minorHAnsi"/>
        </w:rPr>
        <w:t>al</w:t>
      </w:r>
      <w:r w:rsidR="003E4CFB">
        <w:rPr>
          <w:rFonts w:cstheme="minorHAnsi"/>
        </w:rPr>
        <w:t xml:space="preserve">., 2025). </w:t>
      </w:r>
    </w:p>
    <w:p w:rsidR="00CF633A" w:rsidRPr="00512EE8" w:rsidP="008D5B50" w14:paraId="43E18F7B" w14:textId="77777777">
      <w:pPr>
        <w:spacing w:after="0" w:line="240" w:lineRule="auto"/>
        <w:rPr>
          <w:rFonts w:cstheme="minorHAnsi"/>
        </w:rPr>
      </w:pPr>
    </w:p>
    <w:p w:rsidR="00CF633A" w:rsidRPr="00512EE8" w:rsidP="00CF633A" w14:paraId="5E9CD6BB" w14:textId="1940D0AD">
      <w:pPr>
        <w:spacing w:after="0" w:line="240" w:lineRule="auto"/>
        <w:rPr>
          <w:rFonts w:cstheme="minorHAnsi"/>
        </w:rPr>
      </w:pPr>
      <w:r>
        <w:rPr>
          <w:rFonts w:cstheme="minorHAnsi"/>
        </w:rPr>
        <w:t>A</w:t>
      </w:r>
      <w:r w:rsidR="007D6850">
        <w:rPr>
          <w:rFonts w:cstheme="minorHAnsi"/>
        </w:rPr>
        <w:t>n</w:t>
      </w:r>
      <w:r w:rsidRPr="00512EE8">
        <w:rPr>
          <w:rFonts w:cstheme="minorHAnsi"/>
        </w:rPr>
        <w:t xml:space="preserve"> appropriate token of appreciation may be particularly important with people who have experienced trafficking given a history with exploitation of labor. Guidance from the National Survivor Network</w:t>
      </w:r>
      <w:r>
        <w:rPr>
          <w:rFonts w:cstheme="minorHAnsi"/>
        </w:rPr>
        <w:t xml:space="preserve">, a </w:t>
      </w:r>
      <w:r w:rsidRPr="00FD3D20">
        <w:rPr>
          <w:rFonts w:cstheme="minorHAnsi"/>
        </w:rPr>
        <w:t xml:space="preserve">survivor-led professional membership community for survivors of human trafficking who are engaged in </w:t>
      </w:r>
      <w:r>
        <w:rPr>
          <w:rFonts w:cstheme="minorHAnsi"/>
        </w:rPr>
        <w:t>anti-trafficking work</w:t>
      </w:r>
      <w:r w:rsidRPr="00FD3D20">
        <w:rPr>
          <w:rFonts w:cstheme="minorHAnsi"/>
        </w:rPr>
        <w:t xml:space="preserve">, </w:t>
      </w:r>
      <w:r w:rsidRPr="00512EE8">
        <w:rPr>
          <w:rFonts w:cstheme="minorHAnsi"/>
        </w:rPr>
        <w:t xml:space="preserve">suggests that </w:t>
      </w:r>
      <w:r>
        <w:rPr>
          <w:rFonts w:cstheme="minorHAnsi"/>
        </w:rPr>
        <w:t>survivors</w:t>
      </w:r>
      <w:r w:rsidRPr="00512EE8">
        <w:rPr>
          <w:rFonts w:cstheme="minorHAnsi"/>
        </w:rPr>
        <w:t xml:space="preserve"> who are not a primary contractor on a project but agree to be interviewed about their experiences should be </w:t>
      </w:r>
      <w:r w:rsidR="0025621B">
        <w:rPr>
          <w:rFonts w:cstheme="minorHAnsi"/>
        </w:rPr>
        <w:t>provided</w:t>
      </w:r>
      <w:r w:rsidRPr="00512EE8">
        <w:rPr>
          <w:rFonts w:cstheme="minorHAnsi"/>
        </w:rPr>
        <w:t xml:space="preserve"> no less </w:t>
      </w:r>
      <w:r>
        <w:rPr>
          <w:rFonts w:cstheme="minorHAnsi"/>
        </w:rPr>
        <w:t xml:space="preserve">than </w:t>
      </w:r>
      <w:r w:rsidRPr="00512EE8">
        <w:rPr>
          <w:rFonts w:cstheme="minorHAnsi"/>
        </w:rPr>
        <w:t>$100 for a 60-minute interview.</w:t>
      </w:r>
      <w:r>
        <w:rPr>
          <w:rStyle w:val="FootnoteReference"/>
          <w:rFonts w:cstheme="minorHAnsi"/>
        </w:rPr>
        <w:footnoteReference w:id="3"/>
      </w:r>
      <w:r w:rsidRPr="00512EE8">
        <w:rPr>
          <w:rFonts w:cstheme="minorHAnsi"/>
        </w:rPr>
        <w:t xml:space="preserve"> As we are asking about service experiences</w:t>
      </w:r>
      <w:r>
        <w:rPr>
          <w:rFonts w:cstheme="minorHAnsi"/>
        </w:rPr>
        <w:t xml:space="preserve"> and program recommendations</w:t>
      </w:r>
      <w:r w:rsidRPr="00512EE8">
        <w:rPr>
          <w:rFonts w:cstheme="minorHAnsi"/>
        </w:rPr>
        <w:t xml:space="preserve">, we </w:t>
      </w:r>
      <w:r>
        <w:rPr>
          <w:rFonts w:cstheme="minorHAnsi"/>
        </w:rPr>
        <w:t>plan to</w:t>
      </w:r>
      <w:r w:rsidRPr="00512EE8">
        <w:rPr>
          <w:rFonts w:cstheme="minorHAnsi"/>
        </w:rPr>
        <w:t xml:space="preserve"> provid</w:t>
      </w:r>
      <w:r>
        <w:rPr>
          <w:rFonts w:cstheme="minorHAnsi"/>
        </w:rPr>
        <w:t>e TVAP and Aspire</w:t>
      </w:r>
      <w:r w:rsidRPr="00512EE8">
        <w:rPr>
          <w:rFonts w:cstheme="minorHAnsi"/>
        </w:rPr>
        <w:t xml:space="preserve"> clients </w:t>
      </w:r>
      <w:r>
        <w:rPr>
          <w:rFonts w:cstheme="minorHAnsi"/>
        </w:rPr>
        <w:t xml:space="preserve">who participate in interviews </w:t>
      </w:r>
      <w:r w:rsidRPr="00512EE8">
        <w:rPr>
          <w:rFonts w:cstheme="minorHAnsi"/>
        </w:rPr>
        <w:t xml:space="preserve">with a $125 token of appreciation. </w:t>
      </w:r>
    </w:p>
    <w:p w:rsidR="00CF633A" w:rsidRPr="00512EE8" w:rsidP="00CF633A" w14:paraId="41E6BA65" w14:textId="77777777">
      <w:pPr>
        <w:spacing w:after="0" w:line="240" w:lineRule="auto"/>
        <w:rPr>
          <w:rFonts w:cstheme="minorHAnsi"/>
        </w:rPr>
      </w:pPr>
    </w:p>
    <w:p w:rsidR="00CD3F77" w:rsidP="008D5B50" w14:paraId="5B11CC9D" w14:textId="7EA3CF87">
      <w:pPr>
        <w:spacing w:after="0" w:line="240" w:lineRule="auto"/>
        <w:rPr>
          <w:rFonts w:cstheme="minorHAnsi"/>
        </w:rPr>
      </w:pPr>
      <w:r>
        <w:rPr>
          <w:rFonts w:cstheme="minorHAnsi"/>
        </w:rPr>
        <w:t xml:space="preserve">$25 </w:t>
      </w:r>
      <w:r w:rsidR="0025621B">
        <w:rPr>
          <w:rFonts w:cstheme="minorHAnsi"/>
        </w:rPr>
        <w:t>tokens of appreciation</w:t>
      </w:r>
      <w:r>
        <w:rPr>
          <w:rFonts w:cstheme="minorHAnsi"/>
        </w:rPr>
        <w:t xml:space="preserve"> for survey participation with similar populations including </w:t>
      </w:r>
      <w:r w:rsidR="002C32BE">
        <w:rPr>
          <w:rFonts w:cstheme="minorHAnsi"/>
        </w:rPr>
        <w:t xml:space="preserve">with </w:t>
      </w:r>
      <w:r>
        <w:rPr>
          <w:rFonts w:cstheme="minorHAnsi"/>
        </w:rPr>
        <w:t>social workers and child welfare representatives</w:t>
      </w:r>
      <w:r w:rsidR="002C32BE">
        <w:rPr>
          <w:rFonts w:cstheme="minorHAnsi"/>
        </w:rPr>
        <w:t xml:space="preserve"> has been found to be effective</w:t>
      </w:r>
      <w:r>
        <w:rPr>
          <w:rFonts w:cstheme="minorHAnsi"/>
        </w:rPr>
        <w:t xml:space="preserve"> </w:t>
      </w:r>
      <w:r w:rsidR="005C34D6">
        <w:rPr>
          <w:rFonts w:cstheme="minorHAnsi"/>
        </w:rPr>
        <w:t>(</w:t>
      </w:r>
      <w:r w:rsidR="002C32BE">
        <w:rPr>
          <w:rFonts w:cstheme="minorHAnsi"/>
        </w:rPr>
        <w:t xml:space="preserve">Chen et. al., 2025; Henson et. al. 2024).  </w:t>
      </w:r>
    </w:p>
    <w:p w:rsidR="00CD3F77" w:rsidRPr="00512EE8" w:rsidP="008D5B50" w14:paraId="7931EA54" w14:textId="77777777">
      <w:pPr>
        <w:spacing w:after="0" w:line="240" w:lineRule="auto"/>
        <w:rPr>
          <w:rFonts w:cstheme="minorHAnsi"/>
        </w:rPr>
      </w:pPr>
    </w:p>
    <w:p w:rsidR="00926911" w:rsidRPr="00512EE8" w:rsidP="00157DC0" w14:paraId="6FDF8A95" w14:textId="2786FBAF">
      <w:pPr>
        <w:spacing w:after="60" w:line="240" w:lineRule="auto"/>
        <w:rPr>
          <w:rFonts w:cstheme="minorHAnsi"/>
        </w:rPr>
      </w:pPr>
      <w:r w:rsidRPr="00512EE8">
        <w:rPr>
          <w:rFonts w:cstheme="minorHAnsi"/>
        </w:rPr>
        <w:t xml:space="preserve">In RTI’s and other researchers’ experiences, offering no tokens of appreciation will necessitate over-recruitment by higher percentages and may result in longer recruiting time as well as higher overall project costs </w:t>
      </w:r>
      <w:r w:rsidRPr="00512EE8">
        <w:rPr>
          <w:rFonts w:cstheme="minorHAnsi"/>
        </w:rPr>
        <w:t>to</w:t>
      </w:r>
      <w:r w:rsidRPr="00512EE8">
        <w:rPr>
          <w:rFonts w:cstheme="minorHAnsi"/>
        </w:rPr>
        <w:t xml:space="preserve"> the government. The potential consequences of no or an insufficient token of appreciation </w:t>
      </w:r>
      <w:r w:rsidRPr="00512EE8">
        <w:rPr>
          <w:rFonts w:cstheme="minorHAnsi"/>
        </w:rPr>
        <w:t>include</w:t>
      </w:r>
      <w:r w:rsidRPr="00512EE8">
        <w:rPr>
          <w:rFonts w:cstheme="minorHAnsi"/>
        </w:rPr>
        <w:t xml:space="preserve"> the following:</w:t>
      </w:r>
    </w:p>
    <w:p w:rsidR="00926911" w:rsidRPr="00512EE8" w:rsidP="008D5B50" w14:paraId="6DD461E0" w14:textId="4CE491DC">
      <w:pPr>
        <w:pStyle w:val="ListParagraph"/>
        <w:numPr>
          <w:ilvl w:val="0"/>
          <w:numId w:val="43"/>
        </w:numPr>
        <w:spacing w:after="120" w:line="240" w:lineRule="auto"/>
        <w:rPr>
          <w:rFonts w:cstheme="minorHAnsi"/>
        </w:rPr>
      </w:pPr>
      <w:r w:rsidRPr="00512EE8">
        <w:rPr>
          <w:rFonts w:cstheme="minorHAnsi"/>
        </w:rPr>
        <w:t xml:space="preserve">Inability to recruit a sufficient sample of participants in </w:t>
      </w:r>
      <w:r w:rsidRPr="00512EE8" w:rsidR="00512EE8">
        <w:rPr>
          <w:rFonts w:cstheme="minorHAnsi"/>
        </w:rPr>
        <w:t>interviews</w:t>
      </w:r>
      <w:r w:rsidR="00CF633A">
        <w:rPr>
          <w:rFonts w:cstheme="minorHAnsi"/>
        </w:rPr>
        <w:t xml:space="preserve"> and surveys</w:t>
      </w:r>
      <w:r w:rsidRPr="00512EE8">
        <w:rPr>
          <w:rFonts w:cstheme="minorHAnsi"/>
        </w:rPr>
        <w:t xml:space="preserve"> or increased time and cost of recruitment due to participation levels. </w:t>
      </w:r>
    </w:p>
    <w:p w:rsidR="00926911" w:rsidRPr="00512EE8" w:rsidP="008D5B50" w14:paraId="07BBB003" w14:textId="77777777">
      <w:pPr>
        <w:pStyle w:val="ListParagraph"/>
        <w:numPr>
          <w:ilvl w:val="0"/>
          <w:numId w:val="43"/>
        </w:numPr>
        <w:spacing w:after="120" w:line="240" w:lineRule="auto"/>
        <w:rPr>
          <w:rFonts w:cstheme="minorHAnsi"/>
        </w:rPr>
      </w:pPr>
      <w:r w:rsidRPr="00512EE8">
        <w:rPr>
          <w:rFonts w:cstheme="minorHAnsi"/>
        </w:rPr>
        <w:t>Skewed participant demographics, with decreased representation of participants with lower incomes.</w:t>
      </w:r>
    </w:p>
    <w:p w:rsidR="00926911" w:rsidRPr="00512EE8" w:rsidP="008D5B50" w14:paraId="465C0A47" w14:textId="6DF13877">
      <w:pPr>
        <w:pStyle w:val="ListParagraph"/>
        <w:numPr>
          <w:ilvl w:val="0"/>
          <w:numId w:val="43"/>
        </w:numPr>
        <w:spacing w:after="120" w:line="240" w:lineRule="auto"/>
        <w:rPr>
          <w:rFonts w:cstheme="minorHAnsi"/>
        </w:rPr>
      </w:pPr>
      <w:r w:rsidRPr="00512EE8">
        <w:rPr>
          <w:rFonts w:cstheme="minorHAnsi"/>
        </w:rPr>
        <w:t>Increased probability that interview</w:t>
      </w:r>
      <w:r w:rsidRPr="00512EE8" w:rsidR="00512EE8">
        <w:rPr>
          <w:rFonts w:cstheme="minorHAnsi"/>
        </w:rPr>
        <w:t>s</w:t>
      </w:r>
      <w:r w:rsidRPr="00512EE8">
        <w:rPr>
          <w:rFonts w:cstheme="minorHAnsi"/>
        </w:rPr>
        <w:t xml:space="preserve"> may need to be cancelled or postponed due to participants who do not show up as scheduled. This incurs additional costs and puts additional burden on participants.</w:t>
      </w:r>
    </w:p>
    <w:p w:rsidR="00926911" w:rsidRPr="00512EE8" w:rsidP="008D5B50" w14:paraId="54031F8E" w14:textId="77777777">
      <w:pPr>
        <w:pStyle w:val="ListParagraph"/>
        <w:numPr>
          <w:ilvl w:val="0"/>
          <w:numId w:val="43"/>
        </w:numPr>
        <w:spacing w:after="0" w:line="240" w:lineRule="auto"/>
        <w:rPr>
          <w:b/>
        </w:rPr>
      </w:pPr>
      <w:r w:rsidRPr="00512EE8">
        <w:rPr>
          <w:rFonts w:cstheme="minorHAnsi"/>
        </w:rPr>
        <w:t xml:space="preserve">Delays to the project. </w:t>
      </w:r>
    </w:p>
    <w:p w:rsidR="001D1C73" w:rsidRPr="009139B3" w:rsidP="008D5B50" w14:paraId="7735BE59" w14:textId="77777777">
      <w:pPr>
        <w:spacing w:after="0" w:line="240" w:lineRule="auto"/>
      </w:pPr>
    </w:p>
    <w:p w:rsidR="001D1C73" w:rsidRPr="00FD7C43" w:rsidP="00157DC0" w14:paraId="63D44C93" w14:textId="521F086C">
      <w:pPr>
        <w:spacing w:after="120" w:line="240" w:lineRule="auto"/>
        <w:rPr>
          <w:rFonts w:ascii="Times New Roman" w:hAnsi="Times New Roman" w:cs="Times New Roman"/>
          <w:sz w:val="24"/>
          <w:szCs w:val="24"/>
        </w:rPr>
      </w:pPr>
      <w:r w:rsidRPr="009139B3">
        <w:rPr>
          <w:b/>
        </w:rPr>
        <w:t>A10</w:t>
      </w:r>
      <w:r w:rsidRPr="009139B3">
        <w:t>.</w:t>
      </w:r>
      <w:r w:rsidRPr="009139B3">
        <w:tab/>
      </w:r>
      <w:r w:rsidR="00FD7C43">
        <w:rPr>
          <w:b/>
        </w:rPr>
        <w:t xml:space="preserve">Privacy: </w:t>
      </w:r>
      <w:r w:rsidRPr="009139B3">
        <w:rPr>
          <w:b/>
        </w:rPr>
        <w:t>Procedures to protect privacy of information, while maximizing data sharing</w:t>
      </w:r>
    </w:p>
    <w:p w:rsidR="00FD7C43" w:rsidP="008D5B50" w14:paraId="17C83A73" w14:textId="44613ADC">
      <w:pPr>
        <w:pStyle w:val="BodyText2"/>
        <w:spacing w:line="240" w:lineRule="auto"/>
        <w:ind w:firstLine="0"/>
        <w:rPr>
          <w:rFonts w:asciiTheme="minorHAnsi" w:hAnsiTheme="minorHAnsi" w:cstheme="minorHAnsi"/>
        </w:rPr>
      </w:pPr>
      <w:r w:rsidRPr="000C2DD3">
        <w:rPr>
          <w:rFonts w:asciiTheme="minorHAnsi" w:hAnsiTheme="minorHAnsi" w:cstheme="minorHAnsi"/>
        </w:rPr>
        <w:t>The proposed information collection was reviewed by RTI’s Office of Research Protection. It was determined to not be research as defined by the U.S. federal human subjects’ regulations. The data collection was determined to be a program evaluation, and the Privacy Act is not applicable. RTI will prioritize privacy of participants in all phases of research, including surveys</w:t>
      </w:r>
      <w:r w:rsidRPr="000C2DD3" w:rsidR="008D73C9">
        <w:rPr>
          <w:rFonts w:asciiTheme="minorHAnsi" w:hAnsiTheme="minorHAnsi" w:cstheme="minorHAnsi"/>
        </w:rPr>
        <w:t xml:space="preserve"> and focus groups. </w:t>
      </w:r>
    </w:p>
    <w:p w:rsidR="000C2DD3" w:rsidRPr="000C2DD3" w:rsidP="008D5B50" w14:paraId="4D2C1051" w14:textId="77777777">
      <w:pPr>
        <w:pStyle w:val="BodyText2"/>
        <w:spacing w:line="240" w:lineRule="auto"/>
        <w:rPr>
          <w:rFonts w:asciiTheme="minorHAnsi" w:hAnsiTheme="minorHAnsi" w:cstheme="minorHAnsi"/>
        </w:rPr>
      </w:pPr>
    </w:p>
    <w:p w:rsidR="001D1CA9" w:rsidRPr="003B5AC8" w:rsidP="00F072D6" w14:paraId="412719EE" w14:textId="0367ADAE">
      <w:pPr>
        <w:spacing w:after="60" w:line="240" w:lineRule="auto"/>
        <w:rPr>
          <w:i/>
        </w:rPr>
      </w:pPr>
      <w:r w:rsidRPr="003B5AC8">
        <w:rPr>
          <w:i/>
        </w:rPr>
        <w:t>Personally Identifiable Information</w:t>
      </w:r>
      <w:r w:rsidR="00FB249E">
        <w:rPr>
          <w:i/>
        </w:rPr>
        <w:t xml:space="preserve"> (PII)</w:t>
      </w:r>
    </w:p>
    <w:p w:rsidR="003B5AC8" w:rsidRPr="003B5AC8" w:rsidP="008D5B50" w14:paraId="75C5F5BD" w14:textId="198E3461">
      <w:pPr>
        <w:spacing w:after="0" w:line="240" w:lineRule="auto"/>
        <w:rPr>
          <w:iCs/>
        </w:rPr>
      </w:pPr>
      <w:r w:rsidRPr="003B5AC8">
        <w:rPr>
          <w:iCs/>
        </w:rPr>
        <w:t xml:space="preserve">For </w:t>
      </w:r>
      <w:r w:rsidRPr="003B5AC8">
        <w:rPr>
          <w:iCs/>
        </w:rPr>
        <w:t>all subrecipients, other service providers and local government systems professionals</w:t>
      </w:r>
      <w:r w:rsidRPr="003B5AC8">
        <w:rPr>
          <w:iCs/>
        </w:rPr>
        <w:t xml:space="preserve">, name and contact information (email and/or phone number) are required to invite potential respondents and, if needed, coordinate or communicate about interview logistics. These elements will be stored separately from respondents’ data and will not be directly linked. </w:t>
      </w:r>
    </w:p>
    <w:p w:rsidR="003B5AC8" w:rsidRPr="003B5AC8" w:rsidP="008D5B50" w14:paraId="023E32F8" w14:textId="77777777">
      <w:pPr>
        <w:spacing w:after="0" w:line="240" w:lineRule="auto"/>
        <w:rPr>
          <w:iCs/>
        </w:rPr>
      </w:pPr>
    </w:p>
    <w:p w:rsidR="001D1CA9" w:rsidRPr="003B5AC8" w:rsidP="008D5B50" w14:paraId="141A8586" w14:textId="2FB360D6">
      <w:pPr>
        <w:spacing w:after="0" w:line="240" w:lineRule="auto"/>
        <w:rPr>
          <w:iCs/>
        </w:rPr>
      </w:pPr>
      <w:r w:rsidRPr="003B5AC8">
        <w:rPr>
          <w:iCs/>
        </w:rPr>
        <w:t>For client interviews, respondents will be given the option to provide their name and contact information or participate anonymously with</w:t>
      </w:r>
      <w:r w:rsidRPr="003B5AC8">
        <w:rPr>
          <w:iCs/>
        </w:rPr>
        <w:t xml:space="preserve"> an assigned evaluation ID</w:t>
      </w:r>
      <w:r w:rsidRPr="003B5AC8">
        <w:rPr>
          <w:iCs/>
        </w:rPr>
        <w:t xml:space="preserve">. </w:t>
      </w:r>
      <w:r w:rsidRPr="003B5AC8">
        <w:rPr>
          <w:iCs/>
        </w:rPr>
        <w:t xml:space="preserve">If </w:t>
      </w:r>
      <w:r w:rsidR="00FB249E">
        <w:rPr>
          <w:iCs/>
        </w:rPr>
        <w:t xml:space="preserve">PII </w:t>
      </w:r>
      <w:r w:rsidRPr="003B5AC8">
        <w:rPr>
          <w:iCs/>
        </w:rPr>
        <w:t xml:space="preserve">is inadvertently shared by a </w:t>
      </w:r>
      <w:r w:rsidRPr="003B5AC8">
        <w:rPr>
          <w:iCs/>
        </w:rPr>
        <w:t>client</w:t>
      </w:r>
      <w:r w:rsidRPr="003B5AC8">
        <w:rPr>
          <w:iCs/>
        </w:rPr>
        <w:t>, it will not be included in the interview notes and will be redacted from the transcript.</w:t>
      </w:r>
      <w:r w:rsidR="00D14615">
        <w:rPr>
          <w:iCs/>
        </w:rPr>
        <w:t xml:space="preserve"> </w:t>
      </w:r>
    </w:p>
    <w:p w:rsidR="001D1CA9" w:rsidRPr="001D1CA9" w:rsidP="008D5B50" w14:paraId="123AAC94" w14:textId="77777777">
      <w:pPr>
        <w:spacing w:after="0" w:line="240" w:lineRule="auto"/>
        <w:rPr>
          <w:i/>
        </w:rPr>
      </w:pPr>
    </w:p>
    <w:p w:rsidR="001D1CA9" w:rsidRPr="00D14615" w:rsidP="00F072D6" w14:paraId="6FFB5825" w14:textId="77777777">
      <w:pPr>
        <w:spacing w:after="60" w:line="240" w:lineRule="auto"/>
        <w:rPr>
          <w:i/>
        </w:rPr>
      </w:pPr>
      <w:r w:rsidRPr="00D14615">
        <w:rPr>
          <w:i/>
        </w:rPr>
        <w:t>Assurances of Privacy</w:t>
      </w:r>
    </w:p>
    <w:p w:rsidR="001D1CA9" w:rsidRPr="00D14615" w:rsidP="008D5B50" w14:paraId="18716DFE" w14:textId="77777777">
      <w:pPr>
        <w:spacing w:after="0" w:line="240" w:lineRule="auto"/>
        <w:rPr>
          <w:iCs/>
        </w:rPr>
      </w:pPr>
      <w:r w:rsidRPr="00D14615">
        <w:rPr>
          <w:iCs/>
        </w:rPr>
        <w:t xml:space="preserve">Information collected will be kept private to the extent permitted by law. As specified in the contract, the Contractor will comply with all Federal and Departmental regulations for private information. </w:t>
      </w:r>
    </w:p>
    <w:p w:rsidR="001D1CA9" w:rsidRPr="00D14615" w:rsidP="008D5B50" w14:paraId="52956823" w14:textId="77777777">
      <w:pPr>
        <w:spacing w:after="0" w:line="240" w:lineRule="auto"/>
        <w:rPr>
          <w:iCs/>
        </w:rPr>
      </w:pPr>
    </w:p>
    <w:p w:rsidR="001D1CA9" w:rsidRPr="001D1CA9" w:rsidP="008D5B50" w14:paraId="48C8EFC4" w14:textId="53DF5A32">
      <w:pPr>
        <w:spacing w:after="0" w:line="240" w:lineRule="auto"/>
        <w:rPr>
          <w:iCs/>
        </w:rPr>
      </w:pPr>
      <w:r w:rsidRPr="00D14615">
        <w:rPr>
          <w:iCs/>
        </w:rPr>
        <w:t>Each interview guide</w:t>
      </w:r>
      <w:r w:rsidRPr="00D14615" w:rsidR="003B5AC8">
        <w:rPr>
          <w:iCs/>
        </w:rPr>
        <w:t xml:space="preserve"> and the survey</w:t>
      </w:r>
      <w:r w:rsidRPr="00D14615">
        <w:rPr>
          <w:iCs/>
        </w:rPr>
        <w:t xml:space="preserve"> </w:t>
      </w:r>
      <w:r w:rsidRPr="00D14615" w:rsidR="00D14615">
        <w:rPr>
          <w:iCs/>
        </w:rPr>
        <w:t>include</w:t>
      </w:r>
      <w:r w:rsidRPr="00D14615">
        <w:rPr>
          <w:iCs/>
        </w:rPr>
        <w:t xml:space="preserve"> consent language that explains the voluntary nature of the interview and that respondents’ information will be kept private to the extent permitted by law</w:t>
      </w:r>
      <w:r w:rsidR="00C471D2">
        <w:rPr>
          <w:iCs/>
        </w:rPr>
        <w:t xml:space="preserve"> and deleted at the end of the project period</w:t>
      </w:r>
      <w:r w:rsidRPr="00D14615">
        <w:rPr>
          <w:iCs/>
        </w:rPr>
        <w:t xml:space="preserve">, how the evaluation team stores and protects data, planned uses of the data, and privacy practices related to reporting (e.g., removing all identifying information before dissemination). This information will be provided </w:t>
      </w:r>
      <w:r w:rsidRPr="00D14615" w:rsidR="003B5AC8">
        <w:rPr>
          <w:iCs/>
        </w:rPr>
        <w:t>ahead of</w:t>
      </w:r>
      <w:r w:rsidRPr="00D14615">
        <w:rPr>
          <w:iCs/>
        </w:rPr>
        <w:t xml:space="preserve"> the </w:t>
      </w:r>
      <w:r w:rsidRPr="00D14615" w:rsidR="003B5AC8">
        <w:rPr>
          <w:iCs/>
        </w:rPr>
        <w:t xml:space="preserve">survey or </w:t>
      </w:r>
      <w:r w:rsidRPr="00D14615">
        <w:rPr>
          <w:iCs/>
        </w:rPr>
        <w:t>interview</w:t>
      </w:r>
      <w:r w:rsidRPr="00D14615" w:rsidR="003B5AC8">
        <w:rPr>
          <w:iCs/>
        </w:rPr>
        <w:t xml:space="preserve"> </w:t>
      </w:r>
      <w:r w:rsidRPr="00D14615">
        <w:rPr>
          <w:iCs/>
        </w:rPr>
        <w:t xml:space="preserve">and read </w:t>
      </w:r>
      <w:r w:rsidRPr="00D14615" w:rsidR="00750CB6">
        <w:rPr>
          <w:iCs/>
        </w:rPr>
        <w:t xml:space="preserve">aloud </w:t>
      </w:r>
      <w:r w:rsidRPr="00D14615">
        <w:rPr>
          <w:iCs/>
        </w:rPr>
        <w:t xml:space="preserve">to </w:t>
      </w:r>
      <w:r w:rsidRPr="00D14615" w:rsidR="003B5AC8">
        <w:rPr>
          <w:iCs/>
        </w:rPr>
        <w:t>interview participants</w:t>
      </w:r>
      <w:r w:rsidRPr="00D14615">
        <w:rPr>
          <w:iCs/>
        </w:rPr>
        <w:t xml:space="preserve"> before starting. With respondents’ permission, interviews will be audio recorded to ensure accuracy of notes. Recordings will only be accessible to the evaluation</w:t>
      </w:r>
      <w:r w:rsidRPr="00D14615" w:rsidR="00D14615">
        <w:rPr>
          <w:iCs/>
        </w:rPr>
        <w:t xml:space="preserve"> and transcription</w:t>
      </w:r>
      <w:r w:rsidRPr="00D14615">
        <w:rPr>
          <w:iCs/>
        </w:rPr>
        <w:t xml:space="preserve"> team and will be deleted after transcription.</w:t>
      </w:r>
    </w:p>
    <w:p w:rsidR="00D56F80" w:rsidRPr="009139B3" w:rsidP="008D5B50" w14:paraId="13CDC752" w14:textId="50F27FD1">
      <w:pPr>
        <w:spacing w:after="0" w:line="240" w:lineRule="auto"/>
        <w:rPr>
          <w:rFonts w:cstheme="minorHAnsi"/>
        </w:rPr>
      </w:pPr>
    </w:p>
    <w:p w:rsidR="001D1C73" w:rsidRPr="009139B3" w:rsidP="008D5B50" w14:paraId="013EB7D6" w14:textId="77777777">
      <w:pPr>
        <w:spacing w:after="60" w:line="240" w:lineRule="auto"/>
        <w:rPr>
          <w:rFonts w:cstheme="minorHAnsi"/>
          <w:i/>
        </w:rPr>
      </w:pPr>
      <w:r w:rsidRPr="009139B3">
        <w:rPr>
          <w:rFonts w:cstheme="minorHAnsi"/>
          <w:i/>
        </w:rPr>
        <w:t>Data Security and Monitoring</w:t>
      </w:r>
    </w:p>
    <w:p w:rsidR="00801BF3" w:rsidRPr="002B3F06" w:rsidP="00801BF3" w14:paraId="13B73C07" w14:textId="1D28B883">
      <w:pPr>
        <w:spacing w:after="0" w:line="240" w:lineRule="auto"/>
        <w:rPr>
          <w:rFonts w:cstheme="minorHAnsi"/>
        </w:rPr>
      </w:pPr>
      <w:bookmarkStart w:id="11" w:name="_Hlk209090630"/>
      <w:r>
        <w:t>A</w:t>
      </w:r>
      <w:r w:rsidRPr="00906CFD">
        <w:rPr>
          <w:rFonts w:cstheme="minorHAnsi"/>
        </w:rPr>
        <w:t xml:space="preserve">s specified in the contract, </w:t>
      </w:r>
      <w:r>
        <w:rPr>
          <w:rFonts w:cstheme="minorHAnsi"/>
        </w:rPr>
        <w:t>RTI</w:t>
      </w:r>
      <w:r w:rsidRPr="00906CFD">
        <w:rPr>
          <w:rFonts w:cstheme="minorHAnsi"/>
        </w:rPr>
        <w:t xml:space="preserve"> shall protect respondent privacy and will comply with all Federal and Departmental regulations for private information. </w:t>
      </w:r>
      <w:r>
        <w:rPr>
          <w:rFonts w:cstheme="minorHAnsi"/>
        </w:rPr>
        <w:t xml:space="preserve">RTI has </w:t>
      </w:r>
      <w:r w:rsidRPr="00906CFD">
        <w:rPr>
          <w:rFonts w:cstheme="minorHAnsi"/>
        </w:rPr>
        <w:t>go</w:t>
      </w:r>
      <w:r>
        <w:rPr>
          <w:rFonts w:cstheme="minorHAnsi"/>
        </w:rPr>
        <w:t>ne through</w:t>
      </w:r>
      <w:r w:rsidRPr="00906CFD">
        <w:rPr>
          <w:rFonts w:cstheme="minorHAnsi"/>
        </w:rPr>
        <w:t xml:space="preserve"> the Assessment and Accreditation process and obtain</w:t>
      </w:r>
      <w:r>
        <w:rPr>
          <w:rFonts w:cstheme="minorHAnsi"/>
        </w:rPr>
        <w:t>ed</w:t>
      </w:r>
      <w:r w:rsidRPr="00906CFD">
        <w:rPr>
          <w:rFonts w:cstheme="minorHAnsi"/>
        </w:rPr>
        <w:t xml:space="preserve"> a three-year Authority to Operate (ATO)</w:t>
      </w:r>
      <w:r>
        <w:rPr>
          <w:rFonts w:cstheme="minorHAnsi"/>
        </w:rPr>
        <w:t xml:space="preserve"> in October 2024 for the system developed for this contract and on which all </w:t>
      </w:r>
      <w:r w:rsidRPr="000E1A88">
        <w:t xml:space="preserve">data will be stored and </w:t>
      </w:r>
      <w:r>
        <w:t xml:space="preserve">analyzed. </w:t>
      </w:r>
      <w:r w:rsidR="00D7588C">
        <w:t xml:space="preserve"> Part of this process </w:t>
      </w:r>
      <w:r w:rsidR="00D462AB">
        <w:t xml:space="preserve">includes </w:t>
      </w:r>
      <w:r w:rsidR="00D7588C">
        <w:t xml:space="preserve">detailing how RTI </w:t>
      </w:r>
      <w:r w:rsidRPr="00343B2A" w:rsidR="00D7588C">
        <w:t>will ensure that PII, as well as sensitive information, is collected, transmitted, stored, and monitored in a secure manner</w:t>
      </w:r>
      <w:r w:rsidR="00D7588C">
        <w:t xml:space="preserve">. </w:t>
      </w:r>
    </w:p>
    <w:bookmarkEnd w:id="11"/>
    <w:p w:rsidR="00801BF3" w:rsidP="00801BF3" w14:paraId="09F98F6C" w14:textId="77777777">
      <w:pPr>
        <w:widowControl w:val="0"/>
        <w:autoSpaceDE w:val="0"/>
        <w:autoSpaceDN w:val="0"/>
        <w:adjustRightInd w:val="0"/>
        <w:spacing w:after="0" w:line="240" w:lineRule="auto"/>
        <w:rPr>
          <w:rFonts w:eastAsia="Times New Roman" w:cs="Times New Roman"/>
        </w:rPr>
      </w:pPr>
    </w:p>
    <w:p w:rsidR="00801BF3" w:rsidRPr="000E1A88" w:rsidP="00801BF3" w14:paraId="45FFCD05" w14:textId="1A7EA532">
      <w:pPr>
        <w:widowControl w:val="0"/>
        <w:autoSpaceDE w:val="0"/>
        <w:autoSpaceDN w:val="0"/>
        <w:adjustRightInd w:val="0"/>
        <w:spacing w:after="0" w:line="240" w:lineRule="auto"/>
        <w:rPr>
          <w:rFonts w:eastAsia="Times New Roman" w:cs="Times New Roman"/>
        </w:rPr>
      </w:pPr>
      <w:r>
        <w:rPr>
          <w:rFonts w:eastAsia="Times New Roman" w:cs="Times New Roman"/>
        </w:rPr>
        <w:t xml:space="preserve">All evaluation </w:t>
      </w:r>
      <w:r w:rsidRPr="000E1A88">
        <w:rPr>
          <w:rFonts w:eastAsia="Times New Roman" w:cs="Times New Roman"/>
        </w:rPr>
        <w:t xml:space="preserve">data will be stored </w:t>
      </w:r>
      <w:r w:rsidRPr="000E1A88" w:rsidR="00FB249E">
        <w:rPr>
          <w:rFonts w:eastAsia="Times New Roman" w:cs="Times New Roman"/>
        </w:rPr>
        <w:t>within</w:t>
      </w:r>
      <w:r w:rsidRPr="000E1A88">
        <w:rPr>
          <w:rFonts w:eastAsia="Times New Roman" w:cs="Times New Roman"/>
        </w:rPr>
        <w:t xml:space="preserve"> RTI</w:t>
      </w:r>
      <w:r>
        <w:rPr>
          <w:rFonts w:eastAsia="Times New Roman" w:cs="Times New Roman"/>
        </w:rPr>
        <w:t>’s</w:t>
      </w:r>
      <w:r w:rsidRPr="000E1A88">
        <w:rPr>
          <w:rFonts w:eastAsia="Times New Roman" w:cs="Times New Roman"/>
        </w:rPr>
        <w:t xml:space="preserve"> Private Network. To protect all data collected, RTI has in place a System Security Plan (SSP) compliant with the HHS Information Security Program Policy and other applicable standards and guidelines to ensure that information transmitted, physically delivered, stored, and reported remains secure. The SSP describes the individual security controls in place that protect ACF data stored on RTI’s corporate IT infrastructure. The SSP addresses each baseline security control family and the individual controls listed in National Institute of Standards and Technology Special Publication 800-53, Recommended Security Controls for Federal Information Systems. </w:t>
      </w:r>
    </w:p>
    <w:p w:rsidR="00801BF3" w:rsidP="00801BF3" w14:paraId="016907CC" w14:textId="77777777">
      <w:pPr>
        <w:widowControl w:val="0"/>
        <w:autoSpaceDE w:val="0"/>
        <w:autoSpaceDN w:val="0"/>
        <w:adjustRightInd w:val="0"/>
        <w:spacing w:after="0" w:line="240" w:lineRule="auto"/>
        <w:rPr>
          <w:rFonts w:eastAsia="Times New Roman" w:cs="Times New Roman"/>
        </w:rPr>
      </w:pPr>
    </w:p>
    <w:p w:rsidR="00801BF3" w:rsidRPr="000E1A88" w:rsidP="00801BF3" w14:paraId="373D6189" w14:textId="5C64422A">
      <w:pPr>
        <w:widowControl w:val="0"/>
        <w:autoSpaceDE w:val="0"/>
        <w:autoSpaceDN w:val="0"/>
        <w:adjustRightInd w:val="0"/>
        <w:spacing w:after="0" w:line="240" w:lineRule="auto"/>
        <w:rPr>
          <w:rFonts w:eastAsia="Times New Roman" w:cs="Times New Roman"/>
        </w:rPr>
      </w:pPr>
      <w:r w:rsidRPr="000E1A88">
        <w:rPr>
          <w:rFonts w:eastAsia="Times New Roman" w:cs="Times New Roman"/>
        </w:rPr>
        <w:t xml:space="preserve">Access to </w:t>
      </w:r>
      <w:r>
        <w:rPr>
          <w:rFonts w:eastAsia="Times New Roman" w:cs="Times New Roman"/>
        </w:rPr>
        <w:t>evaluation</w:t>
      </w:r>
      <w:r w:rsidRPr="000E1A88">
        <w:rPr>
          <w:rFonts w:eastAsia="Times New Roman" w:cs="Times New Roman"/>
        </w:rPr>
        <w:t xml:space="preserve"> data will be limited to authorized project team members and to the types of transactions and functions that authorized users are permitted to exercise. Access to the project folder on the RTI Private Network is determined by the project team’s position and need. The authorized users will be determined by project management, and only they will be given granular access to the project folder on the RTI Private Network. Access privileges are controlled using network login credentials, server-specific login credentials, and security groups.</w:t>
      </w:r>
    </w:p>
    <w:p w:rsidR="00801BF3" w:rsidP="00801BF3" w14:paraId="48D3A341" w14:textId="77777777">
      <w:pPr>
        <w:widowControl w:val="0"/>
        <w:autoSpaceDE w:val="0"/>
        <w:autoSpaceDN w:val="0"/>
        <w:adjustRightInd w:val="0"/>
        <w:spacing w:after="0" w:line="240" w:lineRule="auto"/>
        <w:rPr>
          <w:rFonts w:eastAsia="Times New Roman" w:cs="Times New Roman"/>
        </w:rPr>
      </w:pPr>
    </w:p>
    <w:p w:rsidR="00801BF3" w:rsidRPr="00696DE0" w:rsidP="00801BF3" w14:paraId="7A2AD053" w14:textId="77777777">
      <w:pPr>
        <w:widowControl w:val="0"/>
        <w:autoSpaceDE w:val="0"/>
        <w:autoSpaceDN w:val="0"/>
        <w:adjustRightInd w:val="0"/>
        <w:spacing w:after="0" w:line="240" w:lineRule="auto"/>
        <w:rPr>
          <w:rFonts w:eastAsia="Times New Roman" w:cs="Times New Roman"/>
        </w:rPr>
      </w:pPr>
      <w:r w:rsidRPr="000E1A88">
        <w:rPr>
          <w:rFonts w:eastAsia="Times New Roman" w:cs="Times New Roman"/>
        </w:rPr>
        <w:t>RTI staff are required to take initial security awareness training within 30 days of hire and annually thereafter, or if the system undergoes a major change. Staff compliance is monitored through Human Resources and RTI University transcripts. Failure to accomplish training within the specified period will result in the user losing their network privileges.</w:t>
      </w:r>
    </w:p>
    <w:p w:rsidR="00D14615" w:rsidP="00AF093C" w14:paraId="6B7E47C2" w14:textId="77777777">
      <w:pPr>
        <w:spacing w:after="0" w:line="240" w:lineRule="auto"/>
        <w:rPr>
          <w:b/>
        </w:rPr>
      </w:pPr>
    </w:p>
    <w:p w:rsidR="001D1C73" w:rsidRPr="009139B3" w:rsidP="008D5B50" w14:paraId="40B5F5B3" w14:textId="115E58B8">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4"/>
      </w:r>
    </w:p>
    <w:p w:rsidR="001D1C73" w:rsidRPr="009139B3" w:rsidP="008D5B50" w14:paraId="4BEC5A23" w14:textId="4EF288F5">
      <w:pPr>
        <w:spacing w:after="0" w:line="240" w:lineRule="auto"/>
        <w:rPr>
          <w:rFonts w:cstheme="minorHAnsi"/>
        </w:rPr>
      </w:pPr>
      <w:r w:rsidRPr="00D14615">
        <w:rPr>
          <w:rFonts w:eastAsia="Times New Roman" w:cs="Times New Roman"/>
        </w:rPr>
        <w:t xml:space="preserve">No questions specifically ask for sensitive information. However, although project participants will be informed prior to the interview that we do not need information about their experience with trafficking, they may choose to share this information. If personal information about trafficking experiences is disclosed, it will not be recorded by the notetaker and will be removed from the transcript. Participants will also be asked about the services they have received, and it is possible that they may share information about mental health or substance use disorder services. These services are often critical to support project participants’ </w:t>
      </w:r>
      <w:r w:rsidRPr="00D14615" w:rsidR="00801BF3">
        <w:rPr>
          <w:rFonts w:eastAsia="Times New Roman" w:cs="Times New Roman"/>
        </w:rPr>
        <w:t>recovery,</w:t>
      </w:r>
      <w:r w:rsidRPr="00D14615">
        <w:rPr>
          <w:rFonts w:eastAsia="Times New Roman" w:cs="Times New Roman"/>
        </w:rPr>
        <w:t xml:space="preserve"> and it</w:t>
      </w:r>
      <w:r w:rsidR="00931687">
        <w:rPr>
          <w:rFonts w:eastAsia="Times New Roman" w:cs="Times New Roman"/>
        </w:rPr>
        <w:t xml:space="preserve"> is</w:t>
      </w:r>
      <w:r w:rsidRPr="00D14615">
        <w:rPr>
          <w:rFonts w:eastAsia="Times New Roman" w:cs="Times New Roman"/>
        </w:rPr>
        <w:t xml:space="preserve"> important for the evaluation to document general information like accessibility, cultural responsiveness, and satisfaction. If specific personal information, like diagnoses, is shared it will not be documented.</w:t>
      </w:r>
    </w:p>
    <w:p w:rsidR="001D1C73" w:rsidRPr="009139B3" w:rsidP="008D5B50" w14:paraId="454AD3D8" w14:textId="77777777">
      <w:pPr>
        <w:spacing w:after="0" w:line="240" w:lineRule="auto"/>
        <w:rPr>
          <w:rFonts w:cstheme="minorHAnsi"/>
        </w:rPr>
      </w:pPr>
    </w:p>
    <w:p w:rsidR="001D1C73" w:rsidRPr="009139B3" w:rsidP="008D5B50" w14:paraId="62ADEB38" w14:textId="77777777">
      <w:pPr>
        <w:spacing w:after="120" w:line="240" w:lineRule="auto"/>
        <w:rPr>
          <w:b/>
        </w:rPr>
      </w:pPr>
      <w:r w:rsidRPr="009139B3">
        <w:rPr>
          <w:b/>
        </w:rPr>
        <w:t>A12</w:t>
      </w:r>
      <w:r w:rsidRPr="009139B3">
        <w:t>.</w:t>
      </w:r>
      <w:r w:rsidRPr="009139B3">
        <w:tab/>
      </w:r>
      <w:r w:rsidRPr="009139B3">
        <w:rPr>
          <w:b/>
        </w:rPr>
        <w:t>Burden</w:t>
      </w:r>
    </w:p>
    <w:p w:rsidR="0046670E" w:rsidP="00F249A1" w14:paraId="2B185D9E" w14:textId="7AE9093F">
      <w:pPr>
        <w:spacing w:after="60" w:line="240" w:lineRule="auto"/>
        <w:rPr>
          <w:i/>
        </w:rPr>
      </w:pPr>
      <w:r w:rsidRPr="009139B3">
        <w:rPr>
          <w:i/>
        </w:rPr>
        <w:t>Explanation of Burden Estimates</w:t>
      </w:r>
    </w:p>
    <w:p w:rsidR="008F35A8" w:rsidP="008D5B50" w14:paraId="69CABDE5" w14:textId="58696FDF">
      <w:pPr>
        <w:widowControl w:val="0"/>
        <w:autoSpaceDE w:val="0"/>
        <w:autoSpaceDN w:val="0"/>
        <w:adjustRightInd w:val="0"/>
        <w:spacing w:after="0" w:line="240" w:lineRule="auto"/>
        <w:rPr>
          <w:rFonts w:eastAsia="Times New Roman" w:cs="Times New Roman"/>
        </w:rPr>
      </w:pPr>
      <w:r w:rsidRPr="008F35A8">
        <w:rPr>
          <w:rFonts w:eastAsia="Times New Roman" w:cs="Times New Roman"/>
          <w:b/>
          <w:bCs/>
        </w:rPr>
        <w:t>Table A3</w:t>
      </w:r>
      <w:r w:rsidRPr="008F35A8">
        <w:rPr>
          <w:rFonts w:eastAsia="Times New Roman" w:cs="Times New Roman"/>
        </w:rPr>
        <w:t xml:space="preserve"> presents an estimate of time burden for each semi-structured interview. These estimates are based on the evaluation team’s experience conducting semi-structured interviews with professional staff and </w:t>
      </w:r>
      <w:r w:rsidRPr="008F35A8" w:rsidR="00F87DA2">
        <w:rPr>
          <w:rFonts w:eastAsia="Times New Roman" w:cs="Times New Roman"/>
        </w:rPr>
        <w:t>clients</w:t>
      </w:r>
      <w:r w:rsidRPr="008F35A8">
        <w:rPr>
          <w:rFonts w:eastAsia="Times New Roman" w:cs="Times New Roman"/>
        </w:rPr>
        <w:t xml:space="preserve"> of service pro</w:t>
      </w:r>
      <w:r w:rsidRPr="008F35A8" w:rsidR="00F87DA2">
        <w:rPr>
          <w:rFonts w:eastAsia="Times New Roman" w:cs="Times New Roman"/>
        </w:rPr>
        <w:t>grams</w:t>
      </w:r>
      <w:r w:rsidRPr="008F35A8">
        <w:rPr>
          <w:rFonts w:eastAsia="Times New Roman" w:cs="Times New Roman"/>
        </w:rPr>
        <w:t xml:space="preserve">. The evaluation </w:t>
      </w:r>
      <w:r w:rsidRPr="008F35A8">
        <w:rPr>
          <w:rFonts w:eastAsia="Times New Roman" w:cs="Times New Roman"/>
        </w:rPr>
        <w:t xml:space="preserve">team </w:t>
      </w:r>
      <w:r w:rsidRPr="008F35A8">
        <w:rPr>
          <w:rFonts w:eastAsia="Times New Roman" w:cs="Times New Roman"/>
        </w:rPr>
        <w:t xml:space="preserve">will assist with scheduling and ensure that interviews are not scheduled for longer duration than the estimates provided. </w:t>
      </w:r>
    </w:p>
    <w:p w:rsidR="008F35A8" w:rsidP="008D5B50" w14:paraId="3F1008A3" w14:textId="77777777">
      <w:pPr>
        <w:widowControl w:val="0"/>
        <w:autoSpaceDE w:val="0"/>
        <w:autoSpaceDN w:val="0"/>
        <w:adjustRightInd w:val="0"/>
        <w:spacing w:after="0" w:line="240" w:lineRule="auto"/>
        <w:rPr>
          <w:rFonts w:eastAsia="Times New Roman" w:cs="Times New Roman"/>
        </w:rPr>
      </w:pPr>
    </w:p>
    <w:p w:rsidR="00544939" w:rsidP="008D5B50" w14:paraId="10556441" w14:textId="0165704C">
      <w:pPr>
        <w:widowControl w:val="0"/>
        <w:autoSpaceDE w:val="0"/>
        <w:autoSpaceDN w:val="0"/>
        <w:adjustRightInd w:val="0"/>
        <w:spacing w:after="0" w:line="240" w:lineRule="auto"/>
        <w:rPr>
          <w:rFonts w:eastAsia="Times New Roman" w:cs="Times New Roman"/>
        </w:rPr>
      </w:pPr>
      <w:r w:rsidRPr="008F35A8">
        <w:rPr>
          <w:rFonts w:eastAsia="Times New Roman" w:cs="Times New Roman"/>
        </w:rPr>
        <w:t xml:space="preserve">The estimated time for the </w:t>
      </w:r>
      <w:r w:rsidRPr="00512EE8">
        <w:rPr>
          <w:rFonts w:eastAsia="Times New Roman" w:cs="Times New Roman"/>
        </w:rPr>
        <w:t>survey</w:t>
      </w:r>
      <w:r w:rsidRPr="00512EE8" w:rsidR="008F35A8">
        <w:rPr>
          <w:rFonts w:eastAsia="Times New Roman" w:cs="Times New Roman"/>
        </w:rPr>
        <w:t xml:space="preserve"> is based o</w:t>
      </w:r>
      <w:r w:rsidRPr="00512EE8" w:rsidR="00512EE8">
        <w:rPr>
          <w:rFonts w:eastAsia="Times New Roman" w:cs="Times New Roman"/>
        </w:rPr>
        <w:t>n testing</w:t>
      </w:r>
      <w:r w:rsidR="00512EE8">
        <w:rPr>
          <w:rFonts w:eastAsia="Times New Roman" w:cs="Times New Roman"/>
        </w:rPr>
        <w:t xml:space="preserve"> from expert consultant subrecipients who provided </w:t>
      </w:r>
      <w:r w:rsidR="00D14615">
        <w:rPr>
          <w:rFonts w:eastAsia="Times New Roman" w:cs="Times New Roman"/>
        </w:rPr>
        <w:t xml:space="preserve">input on the development of the survey. </w:t>
      </w:r>
    </w:p>
    <w:p w:rsidR="00D32358" w:rsidP="008D5B50" w14:paraId="70B8FC34" w14:textId="77777777">
      <w:pPr>
        <w:widowControl w:val="0"/>
        <w:autoSpaceDE w:val="0"/>
        <w:autoSpaceDN w:val="0"/>
        <w:adjustRightInd w:val="0"/>
        <w:spacing w:after="0" w:line="240" w:lineRule="auto"/>
        <w:rPr>
          <w:rFonts w:eastAsia="Times New Roman" w:cs="Times New Roman"/>
        </w:rPr>
      </w:pPr>
    </w:p>
    <w:p w:rsidR="00D32358" w:rsidRPr="008F35A8" w:rsidP="008D5B50" w14:paraId="755FF4F6" w14:textId="77777777">
      <w:pPr>
        <w:spacing w:after="60" w:line="240" w:lineRule="auto"/>
        <w:rPr>
          <w:i/>
        </w:rPr>
      </w:pPr>
      <w:r w:rsidRPr="008F35A8">
        <w:rPr>
          <w:i/>
        </w:rPr>
        <w:t>Estimated Annualized Cost to Respondents</w:t>
      </w:r>
    </w:p>
    <w:p w:rsidR="00D32358" w:rsidRPr="00D32358" w:rsidP="008D5B50" w14:paraId="7D456624" w14:textId="6089DB15">
      <w:pPr>
        <w:spacing w:after="0" w:line="240" w:lineRule="auto"/>
        <w:rPr>
          <w:highlight w:val="yellow"/>
        </w:rPr>
      </w:pPr>
      <w:r w:rsidRPr="008F35A8">
        <w:t xml:space="preserve">The total annual respondent cost for each semi-structured interview </w:t>
      </w:r>
      <w:r w:rsidRPr="008F35A8" w:rsidR="008F35A8">
        <w:t xml:space="preserve">and the survey </w:t>
      </w:r>
      <w:r w:rsidRPr="008F35A8">
        <w:t xml:space="preserve">is presented in </w:t>
      </w:r>
      <w:r w:rsidR="001033E7">
        <w:rPr>
          <w:b/>
          <w:bCs/>
        </w:rPr>
        <w:t>Exhibit</w:t>
      </w:r>
      <w:r w:rsidRPr="008F35A8" w:rsidR="001033E7">
        <w:rPr>
          <w:b/>
          <w:bCs/>
        </w:rPr>
        <w:t xml:space="preserve"> </w:t>
      </w:r>
      <w:r w:rsidRPr="008F35A8">
        <w:rPr>
          <w:b/>
          <w:bCs/>
        </w:rPr>
        <w:t>A</w:t>
      </w:r>
      <w:r w:rsidR="001033E7">
        <w:rPr>
          <w:b/>
          <w:bCs/>
        </w:rPr>
        <w:t>4</w:t>
      </w:r>
      <w:r w:rsidRPr="008F35A8">
        <w:t>. Costs for project and partner staff were calculated using mean hourly wages from th</w:t>
      </w:r>
      <w:r w:rsidRPr="0083367D">
        <w:t>e Department of Labor, Bureau of Labor Statistics, Occupational Employment and Wage Statistics, May 202</w:t>
      </w:r>
      <w:r w:rsidRPr="0083367D" w:rsidR="0083367D">
        <w:t>4 (</w:t>
      </w:r>
      <w:hyperlink r:id="rId9" w:history="1">
        <w:r w:rsidRPr="0083367D" w:rsidR="0083367D">
          <w:rPr>
            <w:rStyle w:val="Hyperlink"/>
          </w:rPr>
          <w:t>https://data.bls.gov/oesprofile/</w:t>
        </w:r>
      </w:hyperlink>
      <w:r w:rsidRPr="0083367D" w:rsidR="0083367D">
        <w:t>)</w:t>
      </w:r>
      <w:r w:rsidRPr="0083367D">
        <w:t>:</w:t>
      </w:r>
    </w:p>
    <w:p w:rsidR="00D32358" w:rsidRPr="00D32358" w:rsidP="008D5B50" w14:paraId="6A6C7F1E" w14:textId="77777777">
      <w:pPr>
        <w:spacing w:after="0" w:line="240" w:lineRule="auto"/>
        <w:rPr>
          <w:highlight w:val="yellow"/>
        </w:rPr>
      </w:pPr>
    </w:p>
    <w:p w:rsidR="00D32358" w:rsidRPr="0083367D" w:rsidP="008D5B50" w14:paraId="5F558E78" w14:textId="4661D598">
      <w:pPr>
        <w:pStyle w:val="ListParagraph"/>
        <w:numPr>
          <w:ilvl w:val="0"/>
          <w:numId w:val="46"/>
        </w:numPr>
        <w:spacing w:after="0" w:line="240" w:lineRule="auto"/>
      </w:pPr>
      <w:r w:rsidRPr="0083367D">
        <w:rPr>
          <w:b/>
          <w:bCs/>
        </w:rPr>
        <w:t>Subrecipient staff</w:t>
      </w:r>
      <w:r w:rsidRPr="0083367D">
        <w:rPr>
          <w:b/>
          <w:bCs/>
        </w:rPr>
        <w:t>:</w:t>
      </w:r>
      <w:r w:rsidRPr="0083367D">
        <w:t xml:space="preserve">  $</w:t>
      </w:r>
      <w:r w:rsidRPr="0083367D" w:rsidR="0071132C">
        <w:t>28.06</w:t>
      </w:r>
      <w:r w:rsidRPr="0083367D">
        <w:t xml:space="preserve"> is the mean hourly wage for </w:t>
      </w:r>
      <w:r w:rsidRPr="0083367D" w:rsidR="0071132C">
        <w:t>Community and Social Service Specialists</w:t>
      </w:r>
      <w:r w:rsidRPr="0083367D">
        <w:t xml:space="preserve"> (</w:t>
      </w:r>
      <w:r w:rsidRPr="0083367D" w:rsidR="0071132C">
        <w:t>21-1099</w:t>
      </w:r>
      <w:r w:rsidRPr="0083367D" w:rsidR="0083367D">
        <w:t>, Community and Social Service Occupations</w:t>
      </w:r>
      <w:r w:rsidRPr="0083367D">
        <w:t xml:space="preserve">). </w:t>
      </w:r>
    </w:p>
    <w:p w:rsidR="00D32358" w:rsidRPr="0083367D" w:rsidP="008D5B50" w14:paraId="704772FF" w14:textId="3017F768">
      <w:pPr>
        <w:pStyle w:val="ListParagraph"/>
        <w:numPr>
          <w:ilvl w:val="0"/>
          <w:numId w:val="46"/>
        </w:numPr>
        <w:spacing w:after="0" w:line="240" w:lineRule="auto"/>
      </w:pPr>
      <w:r w:rsidRPr="0083367D">
        <w:rPr>
          <w:b/>
          <w:bCs/>
        </w:rPr>
        <w:t>Other service provider</w:t>
      </w:r>
      <w:r w:rsidRPr="0083367D">
        <w:rPr>
          <w:b/>
          <w:bCs/>
        </w:rPr>
        <w:t xml:space="preserve"> staff</w:t>
      </w:r>
      <w:r w:rsidRPr="0083367D">
        <w:rPr>
          <w:b/>
          <w:bCs/>
        </w:rPr>
        <w:t>:</w:t>
      </w:r>
      <w:r w:rsidRPr="0083367D">
        <w:t xml:space="preserve">  </w:t>
      </w:r>
      <w:r w:rsidRPr="0083367D" w:rsidR="0083367D">
        <w:t>$</w:t>
      </w:r>
      <w:r w:rsidRPr="0083367D" w:rsidR="0083367D">
        <w:t>28.06 is the mean hourly wage for Community and Social Service Specialists (21-1099, Community and Social Service Occupations).</w:t>
      </w:r>
      <w:r w:rsidRPr="0083367D">
        <w:t xml:space="preserve"> </w:t>
      </w:r>
    </w:p>
    <w:p w:rsidR="004D1F54" w:rsidRPr="007F4806" w:rsidP="008D5B50" w14:paraId="6EAF9234" w14:textId="10AAC5BF">
      <w:pPr>
        <w:pStyle w:val="ListParagraph"/>
        <w:numPr>
          <w:ilvl w:val="0"/>
          <w:numId w:val="46"/>
        </w:numPr>
        <w:spacing w:after="0" w:line="240" w:lineRule="auto"/>
      </w:pPr>
      <w:r w:rsidRPr="007F4806">
        <w:rPr>
          <w:b/>
          <w:bCs/>
        </w:rPr>
        <w:t>Local government system staff</w:t>
      </w:r>
      <w:r w:rsidRPr="007F4806" w:rsidR="00D32358">
        <w:rPr>
          <w:b/>
          <w:bCs/>
        </w:rPr>
        <w:t>:</w:t>
      </w:r>
      <w:r w:rsidRPr="007F4806" w:rsidR="00D32358">
        <w:t xml:space="preserve">  $</w:t>
      </w:r>
      <w:r w:rsidRPr="007F4806">
        <w:t>3</w:t>
      </w:r>
      <w:r w:rsidRPr="007F4806" w:rsidR="003F1CC6">
        <w:t>1</w:t>
      </w:r>
      <w:r w:rsidRPr="007F4806">
        <w:t>.</w:t>
      </w:r>
      <w:r w:rsidRPr="007F4806" w:rsidR="003F1CC6">
        <w:t>45</w:t>
      </w:r>
      <w:r w:rsidRPr="007F4806" w:rsidR="00D32358">
        <w:t xml:space="preserve"> is the</w:t>
      </w:r>
      <w:r w:rsidRPr="007F4806">
        <w:t xml:space="preserve"> average of the</w:t>
      </w:r>
      <w:r w:rsidRPr="007F4806" w:rsidR="00D32358">
        <w:t xml:space="preserve"> mean hourly wage</w:t>
      </w:r>
      <w:r w:rsidRPr="007F4806" w:rsidR="00E42A87">
        <w:t>s</w:t>
      </w:r>
      <w:r w:rsidRPr="007F4806" w:rsidR="00D32358">
        <w:t xml:space="preserve"> </w:t>
      </w:r>
      <w:r w:rsidRPr="007F4806" w:rsidR="003F1CC6">
        <w:t>across</w:t>
      </w:r>
      <w:r w:rsidRPr="007F4806">
        <w:t>:</w:t>
      </w:r>
      <w:r w:rsidRPr="007F4806" w:rsidR="00D32358">
        <w:t xml:space="preserve"> </w:t>
      </w:r>
    </w:p>
    <w:p w:rsidR="004D1F54" w:rsidRPr="007F4806" w:rsidP="008D5B50" w14:paraId="2AC420CC" w14:textId="41AB237F">
      <w:pPr>
        <w:pStyle w:val="ListParagraph"/>
        <w:numPr>
          <w:ilvl w:val="1"/>
          <w:numId w:val="46"/>
        </w:numPr>
        <w:spacing w:after="0" w:line="240" w:lineRule="auto"/>
      </w:pPr>
      <w:r w:rsidRPr="007F4806">
        <w:t xml:space="preserve">Police and Sheriff’s Patrol officers (33-3051, Protective Service Occupations), $38.14, </w:t>
      </w:r>
    </w:p>
    <w:p w:rsidR="004D1F54" w:rsidRPr="007F4806" w:rsidP="008D5B50" w14:paraId="26D8D01B" w14:textId="44CD9681">
      <w:pPr>
        <w:pStyle w:val="ListParagraph"/>
        <w:numPr>
          <w:ilvl w:val="1"/>
          <w:numId w:val="46"/>
        </w:numPr>
        <w:spacing w:after="0" w:line="240" w:lineRule="auto"/>
      </w:pPr>
      <w:r w:rsidRPr="007F4806">
        <w:t xml:space="preserve">Child, Family, and School </w:t>
      </w:r>
      <w:r w:rsidRPr="007F4806">
        <w:t>Social Workers (21-10</w:t>
      </w:r>
      <w:r w:rsidRPr="007F4806">
        <w:t>21</w:t>
      </w:r>
      <w:r w:rsidRPr="007F4806">
        <w:t>, Community and Social Service Occupations), $3</w:t>
      </w:r>
      <w:r w:rsidRPr="007F4806">
        <w:t>0</w:t>
      </w:r>
      <w:r w:rsidRPr="007F4806">
        <w:t>.</w:t>
      </w:r>
      <w:r w:rsidRPr="007F4806">
        <w:t>25</w:t>
      </w:r>
      <w:r w:rsidRPr="007F4806">
        <w:t xml:space="preserve">, and </w:t>
      </w:r>
    </w:p>
    <w:p w:rsidR="00D32358" w:rsidRPr="007F4806" w:rsidP="008D5B50" w14:paraId="0013A5F0" w14:textId="517AF4FB">
      <w:pPr>
        <w:pStyle w:val="ListParagraph"/>
        <w:numPr>
          <w:ilvl w:val="1"/>
          <w:numId w:val="46"/>
        </w:numPr>
        <w:spacing w:after="0" w:line="240" w:lineRule="auto"/>
      </w:pPr>
      <w:r w:rsidRPr="007F4806">
        <w:t>Eligibility Interviewers, Government Programs (43-4061, Office and Administrative Support Occupations), $25.95</w:t>
      </w:r>
      <w:r w:rsidRPr="007F4806">
        <w:t>.</w:t>
      </w:r>
    </w:p>
    <w:p w:rsidR="00AE5082" w:rsidP="008D5B50" w14:paraId="46942F71" w14:textId="77777777">
      <w:pPr>
        <w:spacing w:after="0" w:line="240" w:lineRule="auto"/>
        <w:rPr>
          <w:highlight w:val="yellow"/>
        </w:rPr>
      </w:pPr>
    </w:p>
    <w:p w:rsidR="00D6080C" w:rsidRPr="00D6080C" w:rsidP="008D5B50" w14:paraId="15349EBF" w14:textId="02240EB3">
      <w:pPr>
        <w:spacing w:after="0" w:line="240" w:lineRule="auto"/>
      </w:pPr>
      <w:r w:rsidRPr="00D6080C">
        <w:t>The cost to</w:t>
      </w:r>
      <w:r w:rsidRPr="00E42A87">
        <w:t xml:space="preserve"> </w:t>
      </w:r>
      <w:r w:rsidRPr="00E42A87" w:rsidR="00E42A87">
        <w:t>c</w:t>
      </w:r>
      <w:r w:rsidRPr="00E42A87">
        <w:t>lients</w:t>
      </w:r>
      <w:r w:rsidRPr="00E42A87">
        <w:t xml:space="preserve"> </w:t>
      </w:r>
      <w:r w:rsidRPr="00D6080C">
        <w:t xml:space="preserve">was calculated </w:t>
      </w:r>
      <w:r w:rsidRPr="00D6080C">
        <w:t xml:space="preserve">by averaging the minimum wage across the 50 </w:t>
      </w:r>
      <w:r>
        <w:t xml:space="preserve">U.S. </w:t>
      </w:r>
      <w:r w:rsidRPr="00D6080C">
        <w:t>states and the District of Columbia based on the Department of Labor’s Consolidated Minimum Wage Table (</w:t>
      </w:r>
      <w:hyperlink r:id="rId10" w:anchor="4" w:history="1">
        <w:r w:rsidRPr="00D6080C">
          <w:rPr>
            <w:rStyle w:val="Hyperlink"/>
          </w:rPr>
          <w:t>https://www.dol.gov/agencies/whd/mw-consolidated#4</w:t>
        </w:r>
      </w:hyperlink>
      <w:r w:rsidR="00E42A87">
        <w:t>, effective January 1, 2025</w:t>
      </w:r>
      <w:r w:rsidRPr="00D6080C">
        <w:t>)</w:t>
      </w:r>
      <w:r>
        <w:t xml:space="preserve">. If a state has more than one minimum wage </w:t>
      </w:r>
      <w:r w:rsidR="00E42A87">
        <w:t>rate</w:t>
      </w:r>
      <w:r>
        <w:t xml:space="preserve">, the highest </w:t>
      </w:r>
      <w:r w:rsidR="00E42A87">
        <w:t>rate</w:t>
      </w:r>
      <w:r>
        <w:t xml:space="preserve"> was used</w:t>
      </w:r>
      <w:r w:rsidR="00E42A87">
        <w:t xml:space="preserve"> in the calculation</w:t>
      </w:r>
      <w:r>
        <w:t>. The calculated average hourly wage</w:t>
      </w:r>
      <w:r w:rsidR="00E42A87">
        <w:t xml:space="preserve"> for </w:t>
      </w:r>
      <w:r w:rsidRPr="00E42A87" w:rsidR="00E42A87">
        <w:rPr>
          <w:b/>
          <w:bCs/>
        </w:rPr>
        <w:t>Clients</w:t>
      </w:r>
      <w:r>
        <w:t xml:space="preserve"> is $11.17.</w:t>
      </w:r>
    </w:p>
    <w:p w:rsidR="001D1C73" w:rsidP="008D5B50" w14:paraId="3C662ADD" w14:textId="77777777">
      <w:pPr>
        <w:spacing w:after="0" w:line="240" w:lineRule="auto"/>
        <w:rPr>
          <w:highlight w:val="yellow"/>
        </w:rPr>
      </w:pPr>
    </w:p>
    <w:p w:rsidR="00AF093C" w:rsidP="008D5B50" w14:paraId="3D8F4302" w14:textId="77777777">
      <w:pPr>
        <w:spacing w:after="0" w:line="240" w:lineRule="auto"/>
        <w:rPr>
          <w:highlight w:val="yellow"/>
        </w:rPr>
      </w:pPr>
    </w:p>
    <w:p w:rsidR="00AF093C" w:rsidP="008D5B50" w14:paraId="7AED04EC" w14:textId="77777777">
      <w:pPr>
        <w:spacing w:after="0" w:line="240" w:lineRule="auto"/>
        <w:rPr>
          <w:highlight w:val="yellow"/>
        </w:rPr>
      </w:pPr>
    </w:p>
    <w:p w:rsidR="00AF093C" w:rsidP="008D5B50" w14:paraId="21D9C130" w14:textId="77777777">
      <w:pPr>
        <w:spacing w:after="0" w:line="240" w:lineRule="auto"/>
        <w:rPr>
          <w:highlight w:val="yellow"/>
        </w:rPr>
      </w:pPr>
    </w:p>
    <w:p w:rsidR="00AF093C" w:rsidP="008D5B50" w14:paraId="3B94C13B" w14:textId="77777777">
      <w:pPr>
        <w:spacing w:after="0" w:line="240" w:lineRule="auto"/>
        <w:rPr>
          <w:highlight w:val="yellow"/>
        </w:rPr>
      </w:pPr>
    </w:p>
    <w:p w:rsidR="00AF093C" w:rsidP="008D5B50" w14:paraId="451F52BD" w14:textId="77777777">
      <w:pPr>
        <w:spacing w:after="0" w:line="240" w:lineRule="auto"/>
        <w:rPr>
          <w:highlight w:val="yellow"/>
        </w:rPr>
      </w:pPr>
    </w:p>
    <w:p w:rsidR="00AF093C" w:rsidP="008D5B50" w14:paraId="27376FC3" w14:textId="77777777">
      <w:pPr>
        <w:spacing w:after="0" w:line="240" w:lineRule="auto"/>
        <w:rPr>
          <w:highlight w:val="yellow"/>
        </w:rPr>
      </w:pPr>
    </w:p>
    <w:p w:rsidR="00AF093C" w:rsidP="008D5B50" w14:paraId="3E447086" w14:textId="77777777">
      <w:pPr>
        <w:spacing w:after="0" w:line="240" w:lineRule="auto"/>
        <w:rPr>
          <w:highlight w:val="yellow"/>
        </w:rPr>
      </w:pPr>
    </w:p>
    <w:p w:rsidR="00AF093C" w:rsidRPr="004B4CCF" w:rsidP="008D5B50" w14:paraId="54839E3A" w14:textId="77777777">
      <w:pPr>
        <w:spacing w:after="0" w:line="240" w:lineRule="auto"/>
        <w:rPr>
          <w:highlight w:val="yellow"/>
        </w:rPr>
      </w:pPr>
    </w:p>
    <w:p w:rsidR="00271910" w:rsidRPr="00D6080C" w:rsidP="008D5B50" w14:paraId="63819CD1" w14:textId="44DE2442">
      <w:pPr>
        <w:spacing w:after="0" w:line="240" w:lineRule="auto"/>
        <w:rPr>
          <w:b/>
          <w:bCs/>
          <w:iCs/>
        </w:rPr>
      </w:pPr>
      <w:r>
        <w:rPr>
          <w:b/>
          <w:bCs/>
          <w:iCs/>
        </w:rPr>
        <w:t>Exhibit</w:t>
      </w:r>
      <w:r w:rsidRPr="00D6080C">
        <w:rPr>
          <w:b/>
          <w:bCs/>
          <w:iCs/>
        </w:rPr>
        <w:t xml:space="preserve"> </w:t>
      </w:r>
      <w:r w:rsidRPr="00D6080C" w:rsidR="00D32358">
        <w:rPr>
          <w:b/>
          <w:bCs/>
          <w:iCs/>
        </w:rPr>
        <w:t>A</w:t>
      </w:r>
      <w:r>
        <w:rPr>
          <w:b/>
          <w:bCs/>
          <w:iCs/>
        </w:rPr>
        <w:t>4</w:t>
      </w:r>
      <w:r w:rsidRPr="00D6080C" w:rsidR="00D32358">
        <w:rPr>
          <w:b/>
          <w:bCs/>
          <w:iCs/>
        </w:rPr>
        <w:t>.</w:t>
      </w:r>
      <w:r w:rsidRPr="00D6080C" w:rsidR="00156B5C">
        <w:rPr>
          <w:b/>
          <w:bCs/>
          <w:iCs/>
        </w:rPr>
        <w:t xml:space="preserve"> Estimate</w:t>
      </w:r>
      <w:r w:rsidRPr="00D6080C" w:rsidR="00D32358">
        <w:rPr>
          <w:b/>
          <w:bCs/>
          <w:iCs/>
        </w:rPr>
        <w:t>s of</w:t>
      </w:r>
      <w:r w:rsidRPr="00D6080C" w:rsidR="00156B5C">
        <w:rPr>
          <w:b/>
          <w:bCs/>
          <w:iCs/>
        </w:rPr>
        <w:t xml:space="preserve"> Annualized </w:t>
      </w:r>
      <w:r w:rsidRPr="00D6080C" w:rsidR="00D32358">
        <w:rPr>
          <w:b/>
          <w:bCs/>
          <w:iCs/>
        </w:rPr>
        <w:t xml:space="preserve">Cost to </w:t>
      </w:r>
      <w:r w:rsidRPr="00D6080C" w:rsidR="00156B5C">
        <w:rPr>
          <w:b/>
          <w:bCs/>
          <w:iCs/>
        </w:rPr>
        <w:t>Respondent</w:t>
      </w:r>
    </w:p>
    <w:tbl>
      <w:tblPr>
        <w:tblW w:w="9175" w:type="dxa"/>
        <w:tblLayout w:type="fixed"/>
        <w:tblLook w:val="04A0"/>
      </w:tblPr>
      <w:tblGrid>
        <w:gridCol w:w="1435"/>
        <w:gridCol w:w="1440"/>
        <w:gridCol w:w="1260"/>
        <w:gridCol w:w="1080"/>
        <w:gridCol w:w="900"/>
        <w:gridCol w:w="900"/>
        <w:gridCol w:w="900"/>
        <w:gridCol w:w="1260"/>
      </w:tblGrid>
      <w:tr w14:paraId="3026981B" w14:textId="77777777" w:rsidTr="00157DC0">
        <w:tblPrEx>
          <w:tblW w:w="9175" w:type="dxa"/>
          <w:tblLayout w:type="fixed"/>
          <w:tblLook w:val="04A0"/>
        </w:tblPrEx>
        <w:trPr>
          <w:trHeight w:val="260"/>
        </w:trPr>
        <w:tc>
          <w:tcPr>
            <w:tcW w:w="1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7588C" w:rsidRPr="00157DC0" w:rsidP="008D5B50" w14:paraId="5F46F1AF"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Instrument</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3FB2C222"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No. of Respondents (total over request period)</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47CE59FC"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No. of Responses per Respondent (total over request period)</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525EE4E6"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Avg. Burden per Response (in hours)</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1D8028EB" w14:textId="52F908EA">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Total Burden (in hours)</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D7588C" w:rsidRPr="00157DC0" w:rsidP="008D5B50" w14:paraId="4CAB317F" w14:textId="25DB91B9">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Annual Burden (in hours)</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58AE7F49" w14:textId="4E55CD20">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Average Hourly Wage Rate</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3955EB09"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Total Annual Respondent Cost</w:t>
            </w:r>
          </w:p>
        </w:tc>
      </w:tr>
      <w:tr w14:paraId="6AE4EBA4" w14:textId="77777777" w:rsidTr="00157DC0">
        <w:tblPrEx>
          <w:tblW w:w="9175" w:type="dxa"/>
          <w:tblLayout w:type="fixed"/>
          <w:tblLook w:val="04A0"/>
        </w:tblPrEx>
        <w:trPr>
          <w:trHeight w:val="30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53A6037F" w14:textId="79E1C7B1">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Subrecipient Interview</w:t>
            </w:r>
            <w:r w:rsidRPr="00FD3626" w:rsidR="000C351E">
              <w:rPr>
                <w:rFonts w:eastAsia="Times New Roman" w:cstheme="minorHAnsi"/>
                <w:color w:val="000000"/>
                <w:sz w:val="20"/>
                <w:szCs w:val="20"/>
              </w:rPr>
              <w:t xml:space="preserve"> Guide</w:t>
            </w:r>
          </w:p>
        </w:tc>
        <w:tc>
          <w:tcPr>
            <w:tcW w:w="1440" w:type="dxa"/>
            <w:tcBorders>
              <w:top w:val="nil"/>
              <w:left w:val="nil"/>
              <w:bottom w:val="single" w:sz="4" w:space="0" w:color="auto"/>
              <w:right w:val="single" w:sz="4" w:space="0" w:color="auto"/>
            </w:tcBorders>
            <w:vAlign w:val="center"/>
            <w:hideMark/>
          </w:tcPr>
          <w:p w:rsidR="00284602" w:rsidRPr="00FD3626" w:rsidP="00284602" w14:paraId="22E1081D"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30</w:t>
            </w:r>
          </w:p>
        </w:tc>
        <w:tc>
          <w:tcPr>
            <w:tcW w:w="1260" w:type="dxa"/>
            <w:tcBorders>
              <w:top w:val="nil"/>
              <w:left w:val="nil"/>
              <w:bottom w:val="single" w:sz="4" w:space="0" w:color="auto"/>
              <w:right w:val="single" w:sz="4" w:space="0" w:color="auto"/>
            </w:tcBorders>
            <w:vAlign w:val="center"/>
            <w:hideMark/>
          </w:tcPr>
          <w:p w:rsidR="00284602" w:rsidRPr="00FD3626" w:rsidP="00284602" w14:paraId="2E01065F"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785E2913"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1.5</w:t>
            </w:r>
          </w:p>
        </w:tc>
        <w:tc>
          <w:tcPr>
            <w:tcW w:w="900" w:type="dxa"/>
            <w:tcBorders>
              <w:top w:val="nil"/>
              <w:left w:val="nil"/>
              <w:bottom w:val="single" w:sz="4" w:space="0" w:color="auto"/>
              <w:right w:val="single" w:sz="4" w:space="0" w:color="auto"/>
            </w:tcBorders>
            <w:vAlign w:val="center"/>
            <w:hideMark/>
          </w:tcPr>
          <w:p w:rsidR="00284602" w:rsidRPr="00FD3626" w:rsidP="00284602" w14:paraId="4F5AB171"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45</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7B1E5F6C" w14:textId="541A7BD5">
            <w:pPr>
              <w:spacing w:after="0" w:line="240" w:lineRule="auto"/>
              <w:jc w:val="center"/>
              <w:rPr>
                <w:rFonts w:eastAsia="Times New Roman" w:cstheme="minorHAnsi"/>
                <w:color w:val="000000"/>
                <w:sz w:val="20"/>
                <w:szCs w:val="20"/>
              </w:rPr>
            </w:pPr>
            <w:r w:rsidRPr="00FD3626">
              <w:rPr>
                <w:rFonts w:cstheme="minorHAnsi"/>
                <w:sz w:val="20"/>
                <w:szCs w:val="20"/>
              </w:rPr>
              <w:t>23</w:t>
            </w:r>
          </w:p>
        </w:tc>
        <w:tc>
          <w:tcPr>
            <w:tcW w:w="900" w:type="dxa"/>
            <w:tcBorders>
              <w:top w:val="nil"/>
              <w:left w:val="nil"/>
              <w:bottom w:val="single" w:sz="4" w:space="0" w:color="auto"/>
              <w:right w:val="single" w:sz="4" w:space="0" w:color="auto"/>
            </w:tcBorders>
            <w:vAlign w:val="center"/>
          </w:tcPr>
          <w:p w:rsidR="00284602" w:rsidRPr="00FD3626" w:rsidP="00284602" w14:paraId="6556197C" w14:textId="55536389">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$28.06</w:t>
            </w:r>
          </w:p>
        </w:tc>
        <w:tc>
          <w:tcPr>
            <w:tcW w:w="1260" w:type="dxa"/>
            <w:tcBorders>
              <w:top w:val="nil"/>
              <w:left w:val="nil"/>
              <w:bottom w:val="single" w:sz="4" w:space="0" w:color="auto"/>
              <w:right w:val="single" w:sz="4" w:space="0" w:color="auto"/>
            </w:tcBorders>
            <w:vAlign w:val="center"/>
          </w:tcPr>
          <w:p w:rsidR="00284602" w:rsidRPr="00FD3626" w:rsidP="00284602" w14:paraId="331C974B" w14:textId="78E8E1BF">
            <w:pPr>
              <w:spacing w:after="0" w:line="240" w:lineRule="auto"/>
              <w:jc w:val="center"/>
              <w:rPr>
                <w:rFonts w:eastAsia="Times New Roman" w:cstheme="minorHAnsi"/>
                <w:color w:val="000000"/>
                <w:sz w:val="20"/>
                <w:szCs w:val="20"/>
              </w:rPr>
            </w:pPr>
            <w:r w:rsidRPr="00FD3626">
              <w:rPr>
                <w:rFonts w:cstheme="minorHAnsi"/>
                <w:color w:val="000000"/>
                <w:sz w:val="20"/>
                <w:szCs w:val="20"/>
              </w:rPr>
              <w:t>$</w:t>
            </w:r>
            <w:r w:rsidR="00FB249E">
              <w:rPr>
                <w:rFonts w:cstheme="minorHAnsi"/>
                <w:color w:val="000000"/>
                <w:sz w:val="20"/>
                <w:szCs w:val="20"/>
              </w:rPr>
              <w:t>645.38</w:t>
            </w:r>
            <w:r w:rsidRPr="00FD3626">
              <w:rPr>
                <w:rFonts w:cstheme="minorHAnsi"/>
                <w:color w:val="000000"/>
                <w:sz w:val="20"/>
                <w:szCs w:val="20"/>
              </w:rPr>
              <w:t xml:space="preserve"> </w:t>
            </w:r>
          </w:p>
        </w:tc>
      </w:tr>
      <w:tr w14:paraId="4120A48E" w14:textId="77777777" w:rsidTr="00157DC0">
        <w:tblPrEx>
          <w:tblW w:w="9175" w:type="dxa"/>
          <w:tblLayout w:type="fixed"/>
          <w:tblLook w:val="04A0"/>
        </w:tblPrEx>
        <w:trPr>
          <w:trHeight w:val="51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6B30D2C9" w14:textId="6F3F0525">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Other Service Provider Interview</w:t>
            </w:r>
            <w:r w:rsidRPr="00FD3626" w:rsidR="000C351E">
              <w:rPr>
                <w:rFonts w:eastAsia="Times New Roman" w:cstheme="minorHAnsi"/>
                <w:color w:val="000000"/>
                <w:sz w:val="20"/>
                <w:szCs w:val="20"/>
              </w:rPr>
              <w:t xml:space="preserve"> Guide</w:t>
            </w:r>
          </w:p>
        </w:tc>
        <w:tc>
          <w:tcPr>
            <w:tcW w:w="1440" w:type="dxa"/>
            <w:tcBorders>
              <w:top w:val="nil"/>
              <w:left w:val="nil"/>
              <w:bottom w:val="single" w:sz="4" w:space="0" w:color="auto"/>
              <w:right w:val="single" w:sz="4" w:space="0" w:color="auto"/>
            </w:tcBorders>
            <w:vAlign w:val="center"/>
            <w:hideMark/>
          </w:tcPr>
          <w:p w:rsidR="00284602" w:rsidRPr="00FD3626" w:rsidP="00284602" w14:paraId="4B134B8D"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20</w:t>
            </w:r>
          </w:p>
        </w:tc>
        <w:tc>
          <w:tcPr>
            <w:tcW w:w="1260" w:type="dxa"/>
            <w:tcBorders>
              <w:top w:val="nil"/>
              <w:left w:val="nil"/>
              <w:bottom w:val="single" w:sz="4" w:space="0" w:color="auto"/>
              <w:right w:val="single" w:sz="4" w:space="0" w:color="auto"/>
            </w:tcBorders>
            <w:vAlign w:val="center"/>
            <w:hideMark/>
          </w:tcPr>
          <w:p w:rsidR="00284602" w:rsidRPr="00FD3626" w:rsidP="00284602" w14:paraId="3E4634AB"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265F52CC"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900" w:type="dxa"/>
            <w:tcBorders>
              <w:top w:val="nil"/>
              <w:left w:val="nil"/>
              <w:bottom w:val="single" w:sz="4" w:space="0" w:color="auto"/>
              <w:right w:val="single" w:sz="4" w:space="0" w:color="auto"/>
            </w:tcBorders>
            <w:vAlign w:val="center"/>
            <w:hideMark/>
          </w:tcPr>
          <w:p w:rsidR="00284602" w:rsidRPr="00FD3626" w:rsidP="00284602" w14:paraId="31F82B4F"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20</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77B638F7" w14:textId="170D7C2A">
            <w:pPr>
              <w:spacing w:after="0" w:line="240" w:lineRule="auto"/>
              <w:jc w:val="center"/>
              <w:rPr>
                <w:rFonts w:eastAsia="Times New Roman" w:cstheme="minorHAnsi"/>
                <w:color w:val="000000"/>
                <w:sz w:val="20"/>
                <w:szCs w:val="20"/>
              </w:rPr>
            </w:pPr>
            <w:r w:rsidRPr="00FD3626">
              <w:rPr>
                <w:rFonts w:cstheme="minorHAnsi"/>
                <w:sz w:val="20"/>
                <w:szCs w:val="20"/>
              </w:rPr>
              <w:t>10</w:t>
            </w:r>
          </w:p>
        </w:tc>
        <w:tc>
          <w:tcPr>
            <w:tcW w:w="900" w:type="dxa"/>
            <w:tcBorders>
              <w:top w:val="nil"/>
              <w:left w:val="nil"/>
              <w:bottom w:val="single" w:sz="4" w:space="0" w:color="auto"/>
              <w:right w:val="single" w:sz="4" w:space="0" w:color="auto"/>
            </w:tcBorders>
            <w:vAlign w:val="center"/>
          </w:tcPr>
          <w:p w:rsidR="00284602" w:rsidRPr="00FD3626" w:rsidP="00284602" w14:paraId="18A24F51" w14:textId="437EEF7C">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$28.06</w:t>
            </w:r>
          </w:p>
        </w:tc>
        <w:tc>
          <w:tcPr>
            <w:tcW w:w="1260" w:type="dxa"/>
            <w:tcBorders>
              <w:top w:val="nil"/>
              <w:left w:val="nil"/>
              <w:bottom w:val="single" w:sz="4" w:space="0" w:color="auto"/>
              <w:right w:val="single" w:sz="4" w:space="0" w:color="auto"/>
            </w:tcBorders>
            <w:vAlign w:val="center"/>
          </w:tcPr>
          <w:p w:rsidR="00284602" w:rsidRPr="00FD3626" w:rsidP="00284602" w14:paraId="25C99332" w14:textId="25E4CCE0">
            <w:pPr>
              <w:spacing w:after="0" w:line="240" w:lineRule="auto"/>
              <w:jc w:val="center"/>
              <w:rPr>
                <w:rFonts w:eastAsia="Times New Roman" w:cstheme="minorHAnsi"/>
                <w:color w:val="000000"/>
                <w:sz w:val="20"/>
                <w:szCs w:val="20"/>
              </w:rPr>
            </w:pPr>
            <w:r w:rsidRPr="00FD3626">
              <w:rPr>
                <w:rFonts w:cstheme="minorHAnsi"/>
                <w:color w:val="000000"/>
                <w:sz w:val="20"/>
                <w:szCs w:val="20"/>
              </w:rPr>
              <w:t xml:space="preserve">$280.60 </w:t>
            </w:r>
          </w:p>
        </w:tc>
      </w:tr>
      <w:tr w14:paraId="730BDD7E" w14:textId="77777777" w:rsidTr="00157DC0">
        <w:tblPrEx>
          <w:tblW w:w="9175" w:type="dxa"/>
          <w:tblLayout w:type="fixed"/>
          <w:tblLook w:val="04A0"/>
        </w:tblPrEx>
        <w:trPr>
          <w:trHeight w:val="51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1C55A8B1" w14:textId="319DA115">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Local Government Systems Interview</w:t>
            </w:r>
            <w:r w:rsidRPr="00FD3626" w:rsidR="000C351E">
              <w:rPr>
                <w:rFonts w:eastAsia="Times New Roman" w:cstheme="minorHAnsi"/>
                <w:color w:val="000000"/>
                <w:sz w:val="20"/>
                <w:szCs w:val="20"/>
              </w:rPr>
              <w:t xml:space="preserve"> Guide</w:t>
            </w:r>
          </w:p>
        </w:tc>
        <w:tc>
          <w:tcPr>
            <w:tcW w:w="1440" w:type="dxa"/>
            <w:tcBorders>
              <w:top w:val="nil"/>
              <w:left w:val="nil"/>
              <w:bottom w:val="single" w:sz="4" w:space="0" w:color="auto"/>
              <w:right w:val="single" w:sz="4" w:space="0" w:color="auto"/>
            </w:tcBorders>
            <w:vAlign w:val="center"/>
            <w:hideMark/>
          </w:tcPr>
          <w:p w:rsidR="00284602" w:rsidRPr="00FD3626" w:rsidP="00284602" w14:paraId="1D353E42"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10</w:t>
            </w:r>
          </w:p>
        </w:tc>
        <w:tc>
          <w:tcPr>
            <w:tcW w:w="1260" w:type="dxa"/>
            <w:tcBorders>
              <w:top w:val="nil"/>
              <w:left w:val="nil"/>
              <w:bottom w:val="single" w:sz="4" w:space="0" w:color="auto"/>
              <w:right w:val="single" w:sz="4" w:space="0" w:color="auto"/>
            </w:tcBorders>
            <w:vAlign w:val="center"/>
            <w:hideMark/>
          </w:tcPr>
          <w:p w:rsidR="00284602" w:rsidRPr="00FD3626" w:rsidP="00284602" w14:paraId="1EA2270C"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4DC0AC42"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900" w:type="dxa"/>
            <w:tcBorders>
              <w:top w:val="nil"/>
              <w:left w:val="nil"/>
              <w:bottom w:val="single" w:sz="4" w:space="0" w:color="auto"/>
              <w:right w:val="single" w:sz="4" w:space="0" w:color="auto"/>
            </w:tcBorders>
            <w:vAlign w:val="center"/>
            <w:hideMark/>
          </w:tcPr>
          <w:p w:rsidR="00284602" w:rsidRPr="00FD3626" w:rsidP="00284602" w14:paraId="739D42F4"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10</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79D874C6" w14:textId="7B610C4E">
            <w:pPr>
              <w:spacing w:after="0" w:line="240" w:lineRule="auto"/>
              <w:jc w:val="center"/>
              <w:rPr>
                <w:rFonts w:eastAsia="Times New Roman" w:cstheme="minorHAnsi"/>
                <w:color w:val="000000"/>
                <w:sz w:val="20"/>
                <w:szCs w:val="20"/>
              </w:rPr>
            </w:pPr>
            <w:r w:rsidRPr="00FD3626">
              <w:rPr>
                <w:rFonts w:cstheme="minorHAnsi"/>
                <w:sz w:val="20"/>
                <w:szCs w:val="20"/>
              </w:rPr>
              <w:t>5</w:t>
            </w:r>
          </w:p>
        </w:tc>
        <w:tc>
          <w:tcPr>
            <w:tcW w:w="900" w:type="dxa"/>
            <w:tcBorders>
              <w:top w:val="nil"/>
              <w:left w:val="nil"/>
              <w:bottom w:val="single" w:sz="4" w:space="0" w:color="auto"/>
              <w:right w:val="single" w:sz="4" w:space="0" w:color="auto"/>
            </w:tcBorders>
            <w:vAlign w:val="center"/>
          </w:tcPr>
          <w:p w:rsidR="00284602" w:rsidRPr="00FD3626" w:rsidP="00284602" w14:paraId="731E88D1" w14:textId="3734A631">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$31.45</w:t>
            </w:r>
          </w:p>
        </w:tc>
        <w:tc>
          <w:tcPr>
            <w:tcW w:w="1260" w:type="dxa"/>
            <w:tcBorders>
              <w:top w:val="nil"/>
              <w:left w:val="nil"/>
              <w:bottom w:val="single" w:sz="4" w:space="0" w:color="auto"/>
              <w:right w:val="single" w:sz="4" w:space="0" w:color="auto"/>
            </w:tcBorders>
            <w:vAlign w:val="center"/>
          </w:tcPr>
          <w:p w:rsidR="00284602" w:rsidRPr="00FD3626" w:rsidP="00284602" w14:paraId="7573B5A1" w14:textId="3B533ED2">
            <w:pPr>
              <w:spacing w:after="0" w:line="240" w:lineRule="auto"/>
              <w:jc w:val="center"/>
              <w:rPr>
                <w:rFonts w:eastAsia="Times New Roman" w:cstheme="minorHAnsi"/>
                <w:color w:val="000000"/>
                <w:sz w:val="20"/>
                <w:szCs w:val="20"/>
              </w:rPr>
            </w:pPr>
            <w:r w:rsidRPr="00FD3626">
              <w:rPr>
                <w:rFonts w:cstheme="minorHAnsi"/>
                <w:color w:val="000000"/>
                <w:sz w:val="20"/>
                <w:szCs w:val="20"/>
              </w:rPr>
              <w:t xml:space="preserve">$157.25 </w:t>
            </w:r>
          </w:p>
        </w:tc>
      </w:tr>
      <w:tr w14:paraId="264C3524" w14:textId="77777777" w:rsidTr="00157DC0">
        <w:tblPrEx>
          <w:tblW w:w="9175" w:type="dxa"/>
          <w:tblLayout w:type="fixed"/>
          <w:tblLook w:val="04A0"/>
        </w:tblPrEx>
        <w:trPr>
          <w:trHeight w:val="30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293D1C4B" w14:textId="5D260D5F">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Client Interview</w:t>
            </w:r>
            <w:r w:rsidRPr="00FD3626" w:rsidR="000C351E">
              <w:rPr>
                <w:rFonts w:eastAsia="Times New Roman" w:cstheme="minorHAnsi"/>
                <w:color w:val="000000"/>
                <w:sz w:val="20"/>
                <w:szCs w:val="20"/>
              </w:rPr>
              <w:t xml:space="preserve"> Guide</w:t>
            </w:r>
          </w:p>
        </w:tc>
        <w:tc>
          <w:tcPr>
            <w:tcW w:w="1440" w:type="dxa"/>
            <w:tcBorders>
              <w:top w:val="nil"/>
              <w:left w:val="nil"/>
              <w:bottom w:val="single" w:sz="4" w:space="0" w:color="auto"/>
              <w:right w:val="single" w:sz="4" w:space="0" w:color="auto"/>
            </w:tcBorders>
            <w:vAlign w:val="center"/>
            <w:hideMark/>
          </w:tcPr>
          <w:p w:rsidR="00284602" w:rsidRPr="00FD3626" w:rsidP="00284602" w14:paraId="287323EB" w14:textId="51410528">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30</w:t>
            </w:r>
          </w:p>
        </w:tc>
        <w:tc>
          <w:tcPr>
            <w:tcW w:w="1260" w:type="dxa"/>
            <w:tcBorders>
              <w:top w:val="nil"/>
              <w:left w:val="nil"/>
              <w:bottom w:val="single" w:sz="4" w:space="0" w:color="auto"/>
              <w:right w:val="single" w:sz="4" w:space="0" w:color="auto"/>
            </w:tcBorders>
            <w:vAlign w:val="center"/>
            <w:hideMark/>
          </w:tcPr>
          <w:p w:rsidR="00284602" w:rsidRPr="00FD3626" w:rsidP="00284602" w14:paraId="6435AA76"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79D964A1"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900" w:type="dxa"/>
            <w:tcBorders>
              <w:top w:val="nil"/>
              <w:left w:val="nil"/>
              <w:bottom w:val="single" w:sz="4" w:space="0" w:color="auto"/>
              <w:right w:val="single" w:sz="4" w:space="0" w:color="auto"/>
            </w:tcBorders>
            <w:vAlign w:val="center"/>
            <w:hideMark/>
          </w:tcPr>
          <w:p w:rsidR="00284602" w:rsidRPr="00FD3626" w:rsidP="00284602" w14:paraId="23F666AE" w14:textId="2AAAF2D2">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30</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61154C46" w14:textId="5521FD40">
            <w:pPr>
              <w:spacing w:after="0" w:line="240" w:lineRule="auto"/>
              <w:jc w:val="center"/>
              <w:rPr>
                <w:rFonts w:eastAsia="Times New Roman" w:cstheme="minorHAnsi"/>
                <w:color w:val="000000"/>
                <w:sz w:val="20"/>
                <w:szCs w:val="20"/>
              </w:rPr>
            </w:pPr>
            <w:r w:rsidRPr="00FD3626">
              <w:rPr>
                <w:rFonts w:cstheme="minorHAnsi"/>
                <w:sz w:val="20"/>
                <w:szCs w:val="20"/>
              </w:rPr>
              <w:t>15</w:t>
            </w:r>
          </w:p>
        </w:tc>
        <w:tc>
          <w:tcPr>
            <w:tcW w:w="900" w:type="dxa"/>
            <w:tcBorders>
              <w:top w:val="nil"/>
              <w:left w:val="nil"/>
              <w:bottom w:val="single" w:sz="4" w:space="0" w:color="auto"/>
              <w:right w:val="single" w:sz="4" w:space="0" w:color="auto"/>
            </w:tcBorders>
            <w:vAlign w:val="center"/>
          </w:tcPr>
          <w:p w:rsidR="00284602" w:rsidRPr="00FD3626" w:rsidP="00284602" w14:paraId="3ECDF428" w14:textId="5086DE91">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$11.17</w:t>
            </w:r>
          </w:p>
        </w:tc>
        <w:tc>
          <w:tcPr>
            <w:tcW w:w="1260" w:type="dxa"/>
            <w:tcBorders>
              <w:top w:val="nil"/>
              <w:left w:val="nil"/>
              <w:bottom w:val="single" w:sz="4" w:space="0" w:color="auto"/>
              <w:right w:val="single" w:sz="4" w:space="0" w:color="auto"/>
            </w:tcBorders>
            <w:vAlign w:val="center"/>
          </w:tcPr>
          <w:p w:rsidR="00284602" w:rsidRPr="00FD3626" w:rsidP="00284602" w14:paraId="7E1C7F4A" w14:textId="4C4F8316">
            <w:pPr>
              <w:spacing w:after="0" w:line="240" w:lineRule="auto"/>
              <w:jc w:val="center"/>
              <w:rPr>
                <w:rFonts w:eastAsia="Times New Roman" w:cstheme="minorHAnsi"/>
                <w:color w:val="000000"/>
                <w:sz w:val="20"/>
                <w:szCs w:val="20"/>
              </w:rPr>
            </w:pPr>
            <w:r w:rsidRPr="00FD3626">
              <w:rPr>
                <w:rFonts w:cstheme="minorHAnsi"/>
                <w:color w:val="000000"/>
                <w:sz w:val="20"/>
                <w:szCs w:val="20"/>
              </w:rPr>
              <w:t xml:space="preserve">$167.55 </w:t>
            </w:r>
          </w:p>
        </w:tc>
      </w:tr>
      <w:tr w14:paraId="33C04A87" w14:textId="77777777" w:rsidTr="00157DC0">
        <w:tblPrEx>
          <w:tblW w:w="9175" w:type="dxa"/>
          <w:tblLayout w:type="fixed"/>
          <w:tblLook w:val="04A0"/>
        </w:tblPrEx>
        <w:trPr>
          <w:trHeight w:val="30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549F7846" w14:textId="77777777">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Subrecipient Survey</w:t>
            </w:r>
          </w:p>
        </w:tc>
        <w:tc>
          <w:tcPr>
            <w:tcW w:w="1440" w:type="dxa"/>
            <w:tcBorders>
              <w:top w:val="nil"/>
              <w:left w:val="nil"/>
              <w:bottom w:val="single" w:sz="4" w:space="0" w:color="auto"/>
              <w:right w:val="single" w:sz="4" w:space="0" w:color="auto"/>
            </w:tcBorders>
            <w:vAlign w:val="center"/>
            <w:hideMark/>
          </w:tcPr>
          <w:p w:rsidR="00284602" w:rsidRPr="00FD3626" w:rsidP="00284602" w14:paraId="04D5F93D"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100</w:t>
            </w:r>
          </w:p>
        </w:tc>
        <w:tc>
          <w:tcPr>
            <w:tcW w:w="1260" w:type="dxa"/>
            <w:tcBorders>
              <w:top w:val="nil"/>
              <w:left w:val="nil"/>
              <w:bottom w:val="single" w:sz="4" w:space="0" w:color="auto"/>
              <w:right w:val="single" w:sz="4" w:space="0" w:color="auto"/>
            </w:tcBorders>
            <w:vAlign w:val="center"/>
            <w:hideMark/>
          </w:tcPr>
          <w:p w:rsidR="00284602" w:rsidRPr="00FD3626" w:rsidP="00284602" w14:paraId="1FC74A8A"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3B835E82" w14:textId="1AB735D2">
            <w:pPr>
              <w:spacing w:after="0" w:line="240" w:lineRule="auto"/>
              <w:jc w:val="center"/>
              <w:rPr>
                <w:rFonts w:eastAsia="Times New Roman" w:cstheme="minorHAnsi"/>
                <w:sz w:val="20"/>
                <w:szCs w:val="20"/>
              </w:rPr>
            </w:pPr>
            <w:r w:rsidRPr="00FD3626">
              <w:rPr>
                <w:rFonts w:eastAsia="Times New Roman" w:cstheme="minorHAnsi"/>
                <w:sz w:val="20"/>
                <w:szCs w:val="20"/>
              </w:rPr>
              <w:t>0.58</w:t>
            </w:r>
          </w:p>
        </w:tc>
        <w:tc>
          <w:tcPr>
            <w:tcW w:w="900" w:type="dxa"/>
            <w:tcBorders>
              <w:top w:val="nil"/>
              <w:left w:val="nil"/>
              <w:bottom w:val="single" w:sz="4" w:space="0" w:color="auto"/>
              <w:right w:val="single" w:sz="4" w:space="0" w:color="auto"/>
            </w:tcBorders>
            <w:vAlign w:val="center"/>
            <w:hideMark/>
          </w:tcPr>
          <w:p w:rsidR="00284602" w:rsidRPr="00FD3626" w:rsidP="00284602" w14:paraId="39CD7AEB" w14:textId="2CE66CCF">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58</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7AA34601" w14:textId="13FD7644">
            <w:pPr>
              <w:spacing w:after="0" w:line="240" w:lineRule="auto"/>
              <w:jc w:val="center"/>
              <w:rPr>
                <w:rFonts w:eastAsia="Times New Roman" w:cstheme="minorHAnsi"/>
                <w:color w:val="000000"/>
                <w:sz w:val="20"/>
                <w:szCs w:val="20"/>
              </w:rPr>
            </w:pPr>
            <w:r w:rsidRPr="00FD3626">
              <w:rPr>
                <w:rFonts w:cstheme="minorHAnsi"/>
                <w:sz w:val="20"/>
                <w:szCs w:val="20"/>
              </w:rPr>
              <w:t>29</w:t>
            </w:r>
          </w:p>
        </w:tc>
        <w:tc>
          <w:tcPr>
            <w:tcW w:w="900" w:type="dxa"/>
            <w:tcBorders>
              <w:top w:val="nil"/>
              <w:left w:val="nil"/>
              <w:bottom w:val="single" w:sz="4" w:space="0" w:color="auto"/>
              <w:right w:val="single" w:sz="4" w:space="0" w:color="auto"/>
            </w:tcBorders>
            <w:vAlign w:val="center"/>
          </w:tcPr>
          <w:p w:rsidR="00284602" w:rsidRPr="00FD3626" w:rsidP="00284602" w14:paraId="1AF14D1C" w14:textId="1172C2AE">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$28.06</w:t>
            </w:r>
          </w:p>
        </w:tc>
        <w:tc>
          <w:tcPr>
            <w:tcW w:w="1260" w:type="dxa"/>
            <w:tcBorders>
              <w:top w:val="nil"/>
              <w:left w:val="nil"/>
              <w:bottom w:val="single" w:sz="4" w:space="0" w:color="auto"/>
              <w:right w:val="single" w:sz="4" w:space="0" w:color="auto"/>
            </w:tcBorders>
            <w:vAlign w:val="center"/>
          </w:tcPr>
          <w:p w:rsidR="00284602" w:rsidRPr="00FD3626" w:rsidP="00284602" w14:paraId="3627E671" w14:textId="554F1EA2">
            <w:pPr>
              <w:spacing w:after="0" w:line="240" w:lineRule="auto"/>
              <w:jc w:val="center"/>
              <w:rPr>
                <w:rFonts w:eastAsia="Times New Roman" w:cstheme="minorHAnsi"/>
                <w:color w:val="000000"/>
                <w:sz w:val="20"/>
                <w:szCs w:val="20"/>
              </w:rPr>
            </w:pPr>
            <w:r w:rsidRPr="00FD3626">
              <w:rPr>
                <w:rFonts w:cstheme="minorHAnsi"/>
                <w:color w:val="000000"/>
                <w:sz w:val="20"/>
                <w:szCs w:val="20"/>
              </w:rPr>
              <w:t xml:space="preserve">$813.74 </w:t>
            </w:r>
          </w:p>
        </w:tc>
      </w:tr>
      <w:tr w14:paraId="60B5AD2C" w14:textId="77777777" w:rsidTr="00157DC0">
        <w:tblPrEx>
          <w:tblW w:w="9175" w:type="dxa"/>
          <w:tblLayout w:type="fixed"/>
          <w:tblLook w:val="04A0"/>
        </w:tblPrEx>
        <w:trPr>
          <w:trHeight w:val="30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72F7EFD6" w14:textId="77777777">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Total</w:t>
            </w:r>
          </w:p>
        </w:tc>
        <w:tc>
          <w:tcPr>
            <w:tcW w:w="1440" w:type="dxa"/>
            <w:tcBorders>
              <w:top w:val="nil"/>
              <w:left w:val="nil"/>
              <w:bottom w:val="single" w:sz="4" w:space="0" w:color="auto"/>
              <w:right w:val="single" w:sz="4" w:space="0" w:color="auto"/>
            </w:tcBorders>
            <w:vAlign w:val="center"/>
            <w:hideMark/>
          </w:tcPr>
          <w:p w:rsidR="00284602" w:rsidRPr="00FD3626" w:rsidP="00284602" w14:paraId="2CB8D9EE"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vAlign w:val="center"/>
            <w:hideMark/>
          </w:tcPr>
          <w:p w:rsidR="00284602" w:rsidRPr="00FD3626" w:rsidP="00284602" w14:paraId="4A8D5C99"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vAlign w:val="center"/>
            <w:hideMark/>
          </w:tcPr>
          <w:p w:rsidR="00284602" w:rsidRPr="00FD3626" w:rsidP="00284602" w14:paraId="2C262AF5"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vAlign w:val="center"/>
            <w:hideMark/>
          </w:tcPr>
          <w:p w:rsidR="00284602" w:rsidRPr="00FD3626" w:rsidP="00284602" w14:paraId="4F4AB685" w14:textId="2AA2B17D">
            <w:pPr>
              <w:spacing w:after="0" w:line="240" w:lineRule="auto"/>
              <w:jc w:val="center"/>
              <w:rPr>
                <w:rFonts w:eastAsia="Times New Roman" w:cstheme="minorHAnsi"/>
                <w:color w:val="000000"/>
                <w:sz w:val="20"/>
                <w:szCs w:val="20"/>
              </w:rPr>
            </w:pPr>
          </w:p>
        </w:tc>
        <w:tc>
          <w:tcPr>
            <w:tcW w:w="900" w:type="dxa"/>
            <w:tcBorders>
              <w:top w:val="single" w:sz="4" w:space="0" w:color="auto"/>
              <w:left w:val="nil"/>
              <w:bottom w:val="single" w:sz="4" w:space="0" w:color="auto"/>
              <w:right w:val="single" w:sz="4" w:space="0" w:color="auto"/>
            </w:tcBorders>
          </w:tcPr>
          <w:p w:rsidR="00284602" w:rsidRPr="00FD3626" w:rsidP="00284602" w14:paraId="41241D4E" w14:textId="29DF8355">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82</w:t>
            </w:r>
          </w:p>
        </w:tc>
        <w:tc>
          <w:tcPr>
            <w:tcW w:w="900" w:type="dxa"/>
            <w:tcBorders>
              <w:top w:val="nil"/>
              <w:left w:val="nil"/>
              <w:bottom w:val="single" w:sz="4" w:space="0" w:color="auto"/>
              <w:right w:val="single" w:sz="4" w:space="0" w:color="auto"/>
            </w:tcBorders>
            <w:vAlign w:val="center"/>
          </w:tcPr>
          <w:p w:rsidR="00284602" w:rsidRPr="00FD3626" w:rsidP="00284602" w14:paraId="0048EB08" w14:textId="6F9BA55F">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vAlign w:val="center"/>
          </w:tcPr>
          <w:p w:rsidR="00284602" w:rsidRPr="00FD3626" w:rsidP="00284602" w14:paraId="086D35CD" w14:textId="0606BCC1">
            <w:pPr>
              <w:spacing w:after="0" w:line="240" w:lineRule="auto"/>
              <w:jc w:val="center"/>
              <w:rPr>
                <w:rFonts w:eastAsia="Times New Roman" w:cstheme="minorHAnsi"/>
                <w:color w:val="000000"/>
                <w:sz w:val="20"/>
                <w:szCs w:val="20"/>
              </w:rPr>
            </w:pPr>
            <w:r w:rsidRPr="00FD3626">
              <w:rPr>
                <w:rFonts w:cstheme="minorHAnsi"/>
                <w:color w:val="000000"/>
                <w:sz w:val="20"/>
                <w:szCs w:val="20"/>
              </w:rPr>
              <w:t>$</w:t>
            </w:r>
            <w:r w:rsidR="00FB249E">
              <w:rPr>
                <w:rFonts w:cstheme="minorHAnsi"/>
                <w:color w:val="000000"/>
                <w:sz w:val="20"/>
                <w:szCs w:val="20"/>
              </w:rPr>
              <w:t>2,064.52</w:t>
            </w:r>
            <w:r w:rsidRPr="00FD3626">
              <w:rPr>
                <w:rFonts w:cstheme="minorHAnsi"/>
                <w:color w:val="000000"/>
                <w:sz w:val="20"/>
                <w:szCs w:val="20"/>
              </w:rPr>
              <w:t xml:space="preserve"> </w:t>
            </w:r>
          </w:p>
        </w:tc>
      </w:tr>
    </w:tbl>
    <w:p w:rsidR="001D1C73" w:rsidRPr="004B4CCF" w:rsidP="008D5B50" w14:paraId="1DA4EFA8" w14:textId="77777777">
      <w:pPr>
        <w:spacing w:after="0" w:line="240" w:lineRule="auto"/>
        <w:rPr>
          <w:highlight w:val="yellow"/>
        </w:rPr>
      </w:pPr>
    </w:p>
    <w:p w:rsidR="001D1C73" w:rsidRPr="004B4CCF" w:rsidP="008D5B50" w14:paraId="5B8AB35B" w14:textId="77777777">
      <w:pPr>
        <w:spacing w:after="0" w:line="240" w:lineRule="auto"/>
        <w:rPr>
          <w:highlight w:val="yellow"/>
        </w:rPr>
      </w:pPr>
    </w:p>
    <w:p w:rsidR="001D1C73" w:rsidRPr="00C93421" w:rsidP="008D5B50" w14:paraId="730F9427" w14:textId="77777777">
      <w:pPr>
        <w:spacing w:after="120" w:line="240" w:lineRule="auto"/>
        <w:rPr>
          <w:rFonts w:cstheme="minorHAnsi"/>
        </w:rPr>
      </w:pPr>
      <w:r w:rsidRPr="00C93421">
        <w:rPr>
          <w:rFonts w:cstheme="minorHAnsi"/>
          <w:b/>
        </w:rPr>
        <w:t>A13</w:t>
      </w:r>
      <w:r w:rsidRPr="00C93421">
        <w:rPr>
          <w:rFonts w:cstheme="minorHAnsi"/>
        </w:rPr>
        <w:t>.</w:t>
      </w:r>
      <w:r w:rsidRPr="00C93421">
        <w:rPr>
          <w:rFonts w:cstheme="minorHAnsi"/>
        </w:rPr>
        <w:tab/>
      </w:r>
      <w:r w:rsidRPr="00C93421">
        <w:rPr>
          <w:rFonts w:cstheme="minorHAnsi"/>
          <w:b/>
        </w:rPr>
        <w:t>Costs</w:t>
      </w:r>
    </w:p>
    <w:p w:rsidR="001D1C73" w:rsidRPr="009139B3" w:rsidP="008D5B50" w14:paraId="01ADACD0" w14:textId="550FE861">
      <w:pPr>
        <w:autoSpaceDE w:val="0"/>
        <w:autoSpaceDN w:val="0"/>
        <w:adjustRightInd w:val="0"/>
        <w:spacing w:after="0" w:line="240" w:lineRule="auto"/>
        <w:rPr>
          <w:rFonts w:cstheme="minorHAnsi"/>
        </w:rPr>
      </w:pPr>
      <w:r w:rsidRPr="009139B3">
        <w:t>There are no additional costs to respondents.</w:t>
      </w:r>
    </w:p>
    <w:p w:rsidR="001D1C73" w:rsidRPr="009139B3" w:rsidP="008D5B50" w14:paraId="7ECB5AF6" w14:textId="77777777">
      <w:pPr>
        <w:autoSpaceDE w:val="0"/>
        <w:autoSpaceDN w:val="0"/>
        <w:adjustRightInd w:val="0"/>
        <w:spacing w:after="0" w:line="240" w:lineRule="auto"/>
        <w:rPr>
          <w:rFonts w:cstheme="minorHAnsi"/>
        </w:rPr>
      </w:pPr>
    </w:p>
    <w:p w:rsidR="001D1C73" w:rsidRPr="004B4CCF" w:rsidP="008D5B50" w14:paraId="5A6D806F" w14:textId="77777777">
      <w:pPr>
        <w:spacing w:after="120" w:line="240" w:lineRule="auto"/>
        <w:rPr>
          <w:rFonts w:cstheme="minorHAnsi"/>
          <w:highlight w:val="yellow"/>
        </w:rPr>
      </w:pPr>
      <w:r w:rsidRPr="00C93421">
        <w:rPr>
          <w:rFonts w:cstheme="minorHAnsi"/>
          <w:b/>
        </w:rPr>
        <w:t>A14</w:t>
      </w:r>
      <w:r w:rsidRPr="00C93421">
        <w:rPr>
          <w:rFonts w:cstheme="minorHAnsi"/>
        </w:rPr>
        <w:t>.</w:t>
      </w:r>
      <w:r w:rsidRPr="00C93421">
        <w:rPr>
          <w:rFonts w:cstheme="minorHAnsi"/>
        </w:rPr>
        <w:tab/>
      </w:r>
      <w:r w:rsidRPr="00C93421">
        <w:rPr>
          <w:rFonts w:cstheme="minorHAnsi"/>
          <w:b/>
        </w:rPr>
        <w:t>Estimated Annualized Costs to the Federal Government</w:t>
      </w:r>
      <w:r w:rsidRPr="00C93421">
        <w:rPr>
          <w:rFonts w:cstheme="minorHAnsi"/>
        </w:rPr>
        <w:t xml:space="preserve"> </w:t>
      </w:r>
    </w:p>
    <w:p w:rsidR="00C93421" w:rsidRPr="007F4806" w:rsidP="008D5B50" w14:paraId="7D475F46" w14:textId="6CA7620B">
      <w:pPr>
        <w:spacing w:after="0" w:line="240" w:lineRule="auto"/>
        <w:rPr>
          <w:rFonts w:cstheme="minorHAnsi"/>
        </w:rPr>
      </w:pPr>
      <w:r w:rsidRPr="00D472C7">
        <w:rPr>
          <w:rFonts w:cstheme="minorHAnsi"/>
        </w:rPr>
        <w:t xml:space="preserve">As shown in </w:t>
      </w:r>
      <w:r w:rsidRPr="00D472C7" w:rsidR="001033E7">
        <w:rPr>
          <w:rFonts w:cstheme="minorHAnsi"/>
          <w:b/>
          <w:bCs/>
        </w:rPr>
        <w:t xml:space="preserve">Exhibit </w:t>
      </w:r>
      <w:r w:rsidRPr="00D472C7">
        <w:rPr>
          <w:rFonts w:cstheme="minorHAnsi"/>
          <w:b/>
          <w:bCs/>
        </w:rPr>
        <w:t>A</w:t>
      </w:r>
      <w:r w:rsidRPr="00D472C7" w:rsidR="001033E7">
        <w:rPr>
          <w:rFonts w:cstheme="minorHAnsi"/>
          <w:b/>
          <w:bCs/>
        </w:rPr>
        <w:t>5</w:t>
      </w:r>
      <w:r w:rsidRPr="00D472C7">
        <w:rPr>
          <w:rFonts w:cstheme="minorHAnsi"/>
        </w:rPr>
        <w:t>, the total estimated cost for the data collection activities under this request is $</w:t>
      </w:r>
      <w:r w:rsidRPr="00157DC0" w:rsidR="00F249A1">
        <w:t>273,745</w:t>
      </w:r>
      <w:r w:rsidRPr="00D472C7">
        <w:rPr>
          <w:rFonts w:cstheme="minorHAnsi"/>
        </w:rPr>
        <w:t>. This includes labor costs and other direct costs (e.g., tokens of appreciation</w:t>
      </w:r>
      <w:r w:rsidRPr="00D472C7" w:rsidR="008F3D5A">
        <w:rPr>
          <w:rFonts w:cstheme="minorHAnsi"/>
        </w:rPr>
        <w:t>, transcription</w:t>
      </w:r>
      <w:r w:rsidRPr="00D472C7">
        <w:rPr>
          <w:rFonts w:cstheme="minorHAnsi"/>
        </w:rPr>
        <w:t>) related to this data collection</w:t>
      </w:r>
      <w:r w:rsidRPr="007F4806">
        <w:rPr>
          <w:rFonts w:cstheme="minorHAnsi"/>
        </w:rPr>
        <w:t xml:space="preserve">. </w:t>
      </w:r>
      <w:r w:rsidR="00D472C7">
        <w:rPr>
          <w:rFonts w:cstheme="minorHAnsi"/>
        </w:rPr>
        <w:t xml:space="preserve">The total costs were divided by 2 to account for a </w:t>
      </w:r>
      <w:r w:rsidR="00993180">
        <w:rPr>
          <w:rFonts w:cstheme="minorHAnsi"/>
        </w:rPr>
        <w:t>two-year</w:t>
      </w:r>
      <w:r w:rsidR="00D472C7">
        <w:rPr>
          <w:rFonts w:cstheme="minorHAnsi"/>
        </w:rPr>
        <w:t xml:space="preserve"> approval period.</w:t>
      </w:r>
    </w:p>
    <w:p w:rsidR="00C93421" w:rsidRPr="00C93421" w:rsidP="008D5B50" w14:paraId="361EED00" w14:textId="77777777">
      <w:pPr>
        <w:spacing w:after="0" w:line="240" w:lineRule="auto"/>
        <w:rPr>
          <w:highlight w:val="yellow"/>
        </w:rPr>
      </w:pPr>
    </w:p>
    <w:p w:rsidR="00C93421" w:rsidRPr="007F4806" w:rsidP="008D5B50" w14:paraId="5B76FA7B" w14:textId="545E0C3F">
      <w:pPr>
        <w:keepNext/>
        <w:spacing w:after="120" w:line="240" w:lineRule="auto"/>
        <w:rPr>
          <w:b/>
          <w:bCs/>
        </w:rPr>
      </w:pPr>
      <w:r>
        <w:rPr>
          <w:b/>
          <w:bCs/>
        </w:rPr>
        <w:t>Exhibit</w:t>
      </w:r>
      <w:r w:rsidRPr="007F4806">
        <w:rPr>
          <w:b/>
          <w:bCs/>
        </w:rPr>
        <w:t xml:space="preserve"> A</w:t>
      </w:r>
      <w:r>
        <w:rPr>
          <w:b/>
          <w:bCs/>
        </w:rPr>
        <w:t>5</w:t>
      </w:r>
      <w:r w:rsidRPr="007F4806">
        <w:rPr>
          <w:b/>
          <w:bCs/>
        </w:rPr>
        <w:t>. Estimated Annualized Costs to the Federal Government</w:t>
      </w:r>
    </w:p>
    <w:tbl>
      <w:tblPr>
        <w:tblW w:w="0" w:type="auto"/>
        <w:tblCellMar>
          <w:left w:w="0" w:type="dxa"/>
          <w:right w:w="0" w:type="dxa"/>
        </w:tblCellMar>
        <w:tblLook w:val="04A0"/>
      </w:tblPr>
      <w:tblGrid>
        <w:gridCol w:w="4878"/>
        <w:gridCol w:w="2250"/>
      </w:tblGrid>
      <w:tr w14:paraId="18D4E68F"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C93421" w:rsidRPr="007F4806" w:rsidP="008D5B50" w14:paraId="7E742695" w14:textId="77777777">
            <w:pPr>
              <w:keepNext/>
              <w:spacing w:after="0" w:line="240" w:lineRule="auto"/>
              <w:rPr>
                <w:b/>
                <w:bCs/>
                <w:sz w:val="20"/>
              </w:rPr>
            </w:pPr>
            <w:r w:rsidRPr="007F4806">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C93421" w:rsidRPr="007F4806" w:rsidP="008D5B50" w14:paraId="48F92388" w14:textId="77777777">
            <w:pPr>
              <w:keepNext/>
              <w:spacing w:after="0" w:line="240" w:lineRule="auto"/>
              <w:jc w:val="center"/>
              <w:rPr>
                <w:b/>
                <w:bCs/>
                <w:sz w:val="20"/>
              </w:rPr>
            </w:pPr>
            <w:r w:rsidRPr="007F4806">
              <w:rPr>
                <w:b/>
                <w:bCs/>
                <w:sz w:val="20"/>
              </w:rPr>
              <w:t>Estimated Costs</w:t>
            </w:r>
          </w:p>
        </w:tc>
      </w:tr>
      <w:tr w14:paraId="4B034F33"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239A" w:rsidRPr="00F2239A" w:rsidP="00F2239A" w14:paraId="3A9DC0BC" w14:textId="1286434B">
            <w:pPr>
              <w:keepNext/>
              <w:spacing w:after="0" w:line="240" w:lineRule="auto"/>
              <w:rPr>
                <w:rFonts w:ascii="Calibri" w:eastAsia="Calibri" w:hAnsi="Calibri" w:cs="Calibri"/>
                <w:sz w:val="20"/>
              </w:rPr>
            </w:pPr>
            <w:r>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239A" w:rsidRPr="00F2239A" w:rsidP="00F2239A" w14:paraId="50F7BC65" w14:textId="277E1566">
            <w:pPr>
              <w:keepNext/>
              <w:spacing w:after="0" w:line="240" w:lineRule="auto"/>
              <w:jc w:val="center"/>
              <w:rPr>
                <w:sz w:val="20"/>
              </w:rPr>
            </w:pPr>
            <w:r w:rsidRPr="00F2239A">
              <w:rPr>
                <w:sz w:val="20"/>
              </w:rPr>
              <w:t>$</w:t>
            </w:r>
            <w:r w:rsidR="00834747">
              <w:rPr>
                <w:sz w:val="20"/>
              </w:rPr>
              <w:t>114</w:t>
            </w:r>
            <w:r w:rsidRPr="00F2239A">
              <w:rPr>
                <w:sz w:val="20"/>
              </w:rPr>
              <w:t>,</w:t>
            </w:r>
            <w:r w:rsidR="00834747">
              <w:rPr>
                <w:sz w:val="20"/>
              </w:rPr>
              <w:t>226</w:t>
            </w:r>
          </w:p>
        </w:tc>
      </w:tr>
      <w:tr w14:paraId="2B87C84E"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239A" w:rsidRPr="00F2239A" w:rsidP="00F2239A" w14:paraId="59022F91" w14:textId="2C13CB13">
            <w:pPr>
              <w:keepNext/>
              <w:spacing w:after="0" w:line="240" w:lineRule="auto"/>
              <w:rPr>
                <w:sz w:val="20"/>
              </w:rPr>
            </w:pPr>
            <w:r>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F2239A" w:rsidRPr="00F2239A" w:rsidP="00F2239A" w14:paraId="43E7B7ED" w14:textId="77233585">
            <w:pPr>
              <w:keepNext/>
              <w:spacing w:after="0" w:line="240" w:lineRule="auto"/>
              <w:jc w:val="center"/>
              <w:rPr>
                <w:sz w:val="20"/>
              </w:rPr>
            </w:pPr>
            <w:r w:rsidRPr="00F2239A">
              <w:rPr>
                <w:sz w:val="20"/>
              </w:rPr>
              <w:t>$</w:t>
            </w:r>
            <w:r>
              <w:rPr>
                <w:sz w:val="20"/>
              </w:rPr>
              <w:t>8</w:t>
            </w:r>
            <w:r w:rsidRPr="00F2239A">
              <w:rPr>
                <w:sz w:val="20"/>
              </w:rPr>
              <w:t>7,</w:t>
            </w:r>
            <w:r>
              <w:rPr>
                <w:sz w:val="20"/>
              </w:rPr>
              <w:t>036</w:t>
            </w:r>
          </w:p>
        </w:tc>
      </w:tr>
      <w:tr w14:paraId="02F26B47" w14:textId="7777777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2239A" w:rsidRPr="00F2239A" w:rsidP="00F2239A" w14:paraId="131C1D93" w14:textId="6E6DDD54">
            <w:pPr>
              <w:keepNext/>
              <w:spacing w:after="0" w:line="240" w:lineRule="auto"/>
              <w:rPr>
                <w:rFonts w:ascii="Calibri" w:eastAsia="Calibri" w:hAnsi="Calibri" w:cs="Calibri"/>
                <w:sz w:val="20"/>
              </w:rPr>
            </w:pPr>
            <w:r>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2239A" w:rsidRPr="00F2239A" w:rsidP="00F2239A" w14:paraId="38A73D96" w14:textId="328EF9ED">
            <w:pPr>
              <w:keepNext/>
              <w:spacing w:after="0" w:line="240" w:lineRule="auto"/>
              <w:jc w:val="center"/>
              <w:rPr>
                <w:sz w:val="20"/>
              </w:rPr>
            </w:pPr>
            <w:r w:rsidRPr="00F2239A">
              <w:rPr>
                <w:sz w:val="20"/>
              </w:rPr>
              <w:t>$</w:t>
            </w:r>
            <w:r>
              <w:rPr>
                <w:sz w:val="20"/>
              </w:rPr>
              <w:t>72</w:t>
            </w:r>
            <w:r w:rsidRPr="00F2239A">
              <w:rPr>
                <w:sz w:val="20"/>
              </w:rPr>
              <w:t>,</w:t>
            </w:r>
            <w:r>
              <w:rPr>
                <w:sz w:val="20"/>
              </w:rPr>
              <w:t>483</w:t>
            </w:r>
          </w:p>
        </w:tc>
      </w:tr>
      <w:tr w14:paraId="050BAC67"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3421" w:rsidRPr="00F2239A" w:rsidP="008D5B50" w14:paraId="290A36B8" w14:textId="38E24016">
            <w:pPr>
              <w:spacing w:after="0" w:line="240" w:lineRule="auto"/>
              <w:jc w:val="right"/>
              <w:rPr>
                <w:rFonts w:ascii="Calibri" w:eastAsia="Calibri" w:hAnsi="Calibri" w:cs="Calibri"/>
                <w:b/>
                <w:bCs/>
                <w:sz w:val="20"/>
              </w:rPr>
            </w:pPr>
            <w:r>
              <w:rPr>
                <w:b/>
                <w:color w:val="000000"/>
                <w:sz w:val="20"/>
              </w:rPr>
              <w:t xml:space="preserve">Total </w:t>
            </w:r>
            <w:r w:rsidRPr="00F2239A">
              <w:rPr>
                <w:b/>
                <w:color w:val="000000"/>
                <w:sz w:val="20"/>
              </w:rPr>
              <w:t>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3421" w:rsidRPr="00F2239A" w:rsidP="008D5B50" w14:paraId="07E205F8" w14:textId="262C0AD2">
            <w:pPr>
              <w:spacing w:after="0" w:line="240" w:lineRule="auto"/>
              <w:jc w:val="center"/>
              <w:rPr>
                <w:b/>
                <w:bCs/>
                <w:sz w:val="20"/>
              </w:rPr>
            </w:pPr>
            <w:r>
              <w:rPr>
                <w:sz w:val="20"/>
              </w:rPr>
              <w:t>$</w:t>
            </w:r>
            <w:r w:rsidRPr="00834747">
              <w:rPr>
                <w:sz w:val="20"/>
              </w:rPr>
              <w:t>2</w:t>
            </w:r>
            <w:r>
              <w:rPr>
                <w:sz w:val="20"/>
              </w:rPr>
              <w:t>73,745</w:t>
            </w:r>
          </w:p>
        </w:tc>
      </w:tr>
      <w:tr w14:paraId="46048E09"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39A" w:rsidP="008D5B50" w14:paraId="2E32D5E9" w14:textId="4ED63328">
            <w:pPr>
              <w:spacing w:after="0" w:line="240" w:lineRule="auto"/>
              <w:jc w:val="right"/>
              <w:rPr>
                <w:b/>
                <w:color w:val="000000"/>
                <w:sz w:val="20"/>
              </w:rPr>
            </w:pPr>
            <w:r>
              <w:rPr>
                <w:b/>
                <w:color w:val="000000"/>
                <w:sz w:val="20"/>
              </w:rPr>
              <w:t>Total 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39A" w:rsidRPr="00F2239A" w:rsidP="008D5B50" w14:paraId="6F450603" w14:textId="10EB68E9">
            <w:pPr>
              <w:spacing w:after="0" w:line="240" w:lineRule="auto"/>
              <w:jc w:val="center"/>
              <w:rPr>
                <w:sz w:val="20"/>
              </w:rPr>
            </w:pPr>
            <w:r>
              <w:rPr>
                <w:sz w:val="20"/>
              </w:rPr>
              <w:t>$</w:t>
            </w:r>
            <w:r w:rsidRPr="00834747">
              <w:rPr>
                <w:sz w:val="20"/>
              </w:rPr>
              <w:t>136,87</w:t>
            </w:r>
            <w:r w:rsidR="00882235">
              <w:rPr>
                <w:sz w:val="20"/>
              </w:rPr>
              <w:t>3</w:t>
            </w:r>
          </w:p>
        </w:tc>
      </w:tr>
    </w:tbl>
    <w:p w:rsidR="00C93421" w:rsidRPr="009139B3" w:rsidP="008D5B50" w14:paraId="2BE18C77" w14:textId="77777777">
      <w:pPr>
        <w:spacing w:after="0" w:line="240" w:lineRule="auto"/>
        <w:rPr>
          <w:rFonts w:ascii="Calibri" w:eastAsia="Calibri" w:hAnsi="Calibri" w:cs="Calibri"/>
        </w:rPr>
      </w:pPr>
    </w:p>
    <w:p w:rsidR="001D1C73" w:rsidRPr="009139B3" w:rsidP="008D5B50"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8D5B50" w14:paraId="766F8004" w14:textId="4E855CA1">
      <w:pPr>
        <w:spacing w:after="0" w:line="240" w:lineRule="auto"/>
        <w:rPr>
          <w:rFonts w:cstheme="minorHAnsi"/>
        </w:rPr>
      </w:pPr>
      <w:r>
        <w:rPr>
          <w:rFonts w:cstheme="minorHAnsi"/>
        </w:rPr>
        <w:t>This is a new information collection request.</w:t>
      </w:r>
    </w:p>
    <w:p w:rsidR="001D1C73" w:rsidRPr="009139B3" w:rsidP="008D5B50" w14:paraId="40BE8BE3" w14:textId="77777777">
      <w:pPr>
        <w:spacing w:after="0" w:line="240" w:lineRule="auto"/>
        <w:rPr>
          <w:rFonts w:cstheme="minorHAnsi"/>
        </w:rPr>
      </w:pPr>
    </w:p>
    <w:p w:rsidR="001D1C73" w:rsidRPr="009139B3" w:rsidP="008D5B50"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932623" w:rsidRPr="00932623" w:rsidP="008D5B50" w14:paraId="2884DD45" w14:textId="787E87ED">
      <w:pPr>
        <w:spacing w:after="0" w:line="240" w:lineRule="auto"/>
        <w:rPr>
          <w:rFonts w:cstheme="minorHAnsi"/>
          <w:highlight w:val="yellow"/>
        </w:rPr>
      </w:pPr>
      <w:bookmarkStart w:id="12" w:name="_Toc46162795"/>
      <w:bookmarkStart w:id="13" w:name="_Toc54502997"/>
      <w:bookmarkStart w:id="14" w:name="_Toc93987697"/>
      <w:bookmarkStart w:id="15" w:name="_Toc131566258"/>
      <w:r w:rsidRPr="00FD3626">
        <w:rPr>
          <w:rFonts w:cstheme="minorHAnsi"/>
          <w:b/>
          <w:bCs/>
        </w:rPr>
        <w:t xml:space="preserve">Exhibit </w:t>
      </w:r>
      <w:r w:rsidRPr="00FD3626">
        <w:rPr>
          <w:rFonts w:cstheme="minorHAnsi"/>
          <w:b/>
          <w:bCs/>
        </w:rPr>
        <w:t>A</w:t>
      </w:r>
      <w:r w:rsidRPr="00FD3626">
        <w:rPr>
          <w:rFonts w:cstheme="minorHAnsi"/>
          <w:b/>
          <w:bCs/>
        </w:rPr>
        <w:t>6</w:t>
      </w:r>
      <w:r w:rsidRPr="007F4806">
        <w:rPr>
          <w:rFonts w:cstheme="minorHAnsi"/>
        </w:rPr>
        <w:t xml:space="preserve"> outlines the </w:t>
      </w:r>
      <w:r w:rsidRPr="007F4806">
        <w:rPr>
          <w:rFonts w:cstheme="minorHAnsi"/>
        </w:rPr>
        <w:t>key time</w:t>
      </w:r>
      <w:r w:rsidRPr="007F4806">
        <w:rPr>
          <w:rFonts w:cstheme="minorHAnsi"/>
        </w:rPr>
        <w:t xml:space="preserve"> points for the study including data collection, analysis, and reporting.</w:t>
      </w:r>
    </w:p>
    <w:p w:rsidR="00932623" w:rsidRPr="00932623" w:rsidP="008D5B50" w14:paraId="0C296C92" w14:textId="77777777">
      <w:pPr>
        <w:spacing w:after="0" w:line="240" w:lineRule="auto"/>
        <w:rPr>
          <w:rFonts w:cstheme="minorHAnsi"/>
          <w:highlight w:val="yellow"/>
        </w:rPr>
      </w:pPr>
    </w:p>
    <w:p w:rsidR="00932623" w:rsidRPr="003C5091" w:rsidP="008D5B50" w14:paraId="2C36E1FA" w14:textId="7AF0107C">
      <w:pPr>
        <w:keepNext/>
        <w:spacing w:after="120" w:line="240" w:lineRule="auto"/>
        <w:rPr>
          <w:rFonts w:cstheme="minorHAnsi"/>
          <w:b/>
          <w:bCs/>
        </w:rPr>
      </w:pPr>
      <w:r>
        <w:rPr>
          <w:rFonts w:cstheme="minorHAnsi"/>
          <w:b/>
          <w:bCs/>
        </w:rPr>
        <w:t>Exhibit</w:t>
      </w:r>
      <w:r w:rsidRPr="003C5091">
        <w:rPr>
          <w:rFonts w:cstheme="minorHAnsi"/>
          <w:b/>
          <w:bCs/>
        </w:rPr>
        <w:t xml:space="preserve"> </w:t>
      </w:r>
      <w:r w:rsidRPr="003C5091">
        <w:rPr>
          <w:rFonts w:cstheme="minorHAnsi"/>
          <w:b/>
          <w:bCs/>
        </w:rPr>
        <w:t>A</w:t>
      </w:r>
      <w:r>
        <w:rPr>
          <w:rFonts w:cstheme="minorHAnsi"/>
          <w:b/>
          <w:bCs/>
        </w:rPr>
        <w:t>6</w:t>
      </w:r>
      <w:r w:rsidRPr="003C5091">
        <w:rPr>
          <w:rFonts w:cstheme="minorHAnsi"/>
          <w:b/>
          <w:bCs/>
        </w:rPr>
        <w:t>. Time Schedule</w:t>
      </w:r>
    </w:p>
    <w:tbl>
      <w:tblPr>
        <w:tblStyle w:val="TableGrid11"/>
        <w:tblW w:w="0" w:type="auto"/>
        <w:tblInd w:w="0" w:type="dxa"/>
        <w:tblLook w:val="04A0"/>
      </w:tblPr>
      <w:tblGrid>
        <w:gridCol w:w="4675"/>
        <w:gridCol w:w="4675"/>
      </w:tblGrid>
      <w:tr w14:paraId="13676D6D" w14:textId="77777777">
        <w:tblPrEx>
          <w:tblW w:w="0" w:type="auto"/>
          <w:tblInd w:w="0" w:type="dxa"/>
          <w:tblLook w:val="04A0"/>
        </w:tblPrEx>
        <w:tc>
          <w:tcPr>
            <w:tcW w:w="4675" w:type="dxa"/>
          </w:tcPr>
          <w:p w:rsidR="00932623" w:rsidRPr="003C5091" w:rsidP="008D5B50" w14:paraId="5087EB7E" w14:textId="77777777">
            <w:pPr>
              <w:rPr>
                <w:rFonts w:asciiTheme="minorHAnsi" w:hAnsiTheme="minorHAnsi" w:cstheme="minorHAnsi"/>
                <w:b/>
                <w:bCs/>
              </w:rPr>
            </w:pPr>
            <w:r w:rsidRPr="003C5091">
              <w:rPr>
                <w:rFonts w:asciiTheme="minorHAnsi" w:hAnsiTheme="minorHAnsi" w:cstheme="minorHAnsi"/>
                <w:b/>
                <w:bCs/>
              </w:rPr>
              <w:t>Project Activity</w:t>
            </w:r>
          </w:p>
        </w:tc>
        <w:tc>
          <w:tcPr>
            <w:tcW w:w="4675" w:type="dxa"/>
          </w:tcPr>
          <w:p w:rsidR="00932623" w:rsidRPr="003C5091" w:rsidP="008D5B50" w14:paraId="0962190B" w14:textId="77777777">
            <w:pPr>
              <w:rPr>
                <w:rFonts w:asciiTheme="minorHAnsi" w:hAnsiTheme="minorHAnsi" w:cstheme="minorHAnsi"/>
                <w:b/>
                <w:bCs/>
              </w:rPr>
            </w:pPr>
            <w:r w:rsidRPr="003C5091">
              <w:rPr>
                <w:rFonts w:asciiTheme="minorHAnsi" w:hAnsiTheme="minorHAnsi" w:cstheme="minorHAnsi"/>
                <w:b/>
                <w:bCs/>
              </w:rPr>
              <w:t>Timeframe (after OMB approval)</w:t>
            </w:r>
          </w:p>
        </w:tc>
      </w:tr>
      <w:tr w14:paraId="110F8921" w14:textId="77777777">
        <w:tblPrEx>
          <w:tblW w:w="0" w:type="auto"/>
          <w:tblInd w:w="0" w:type="dxa"/>
          <w:tblLook w:val="04A0"/>
        </w:tblPrEx>
        <w:tc>
          <w:tcPr>
            <w:tcW w:w="4675" w:type="dxa"/>
          </w:tcPr>
          <w:p w:rsidR="00932623" w:rsidRPr="003C5091" w:rsidP="008D5B50" w14:paraId="01DDAB72" w14:textId="77777777">
            <w:pPr>
              <w:rPr>
                <w:rFonts w:asciiTheme="minorHAnsi" w:hAnsiTheme="minorHAnsi" w:cstheme="minorHAnsi"/>
              </w:rPr>
            </w:pPr>
            <w:r w:rsidRPr="003C5091">
              <w:rPr>
                <w:rFonts w:asciiTheme="minorHAnsi" w:hAnsiTheme="minorHAnsi" w:cstheme="minorHAnsi"/>
              </w:rPr>
              <w:t>Data collection</w:t>
            </w:r>
          </w:p>
        </w:tc>
        <w:tc>
          <w:tcPr>
            <w:tcW w:w="4675" w:type="dxa"/>
          </w:tcPr>
          <w:p w:rsidR="00932623" w:rsidRPr="003C5091" w:rsidP="008D5B50" w14:paraId="3006D469" w14:textId="0F41DB4A">
            <w:pPr>
              <w:rPr>
                <w:rFonts w:asciiTheme="minorHAnsi" w:hAnsiTheme="minorHAnsi" w:cstheme="minorHAnsi"/>
              </w:rPr>
            </w:pPr>
            <w:r>
              <w:rPr>
                <w:rFonts w:asciiTheme="minorHAnsi" w:hAnsiTheme="minorHAnsi" w:cstheme="minorHAnsi"/>
              </w:rPr>
              <w:t>15 months</w:t>
            </w:r>
          </w:p>
        </w:tc>
      </w:tr>
      <w:tr w14:paraId="6EDA9C55" w14:textId="77777777">
        <w:tblPrEx>
          <w:tblW w:w="0" w:type="auto"/>
          <w:tblInd w:w="0" w:type="dxa"/>
          <w:tblLook w:val="04A0"/>
        </w:tblPrEx>
        <w:tc>
          <w:tcPr>
            <w:tcW w:w="4675" w:type="dxa"/>
          </w:tcPr>
          <w:p w:rsidR="00932623" w:rsidRPr="003C5091" w:rsidP="008D5B50" w14:paraId="1C0C7E53" w14:textId="77777777">
            <w:pPr>
              <w:rPr>
                <w:rFonts w:asciiTheme="minorHAnsi" w:hAnsiTheme="minorHAnsi" w:cstheme="minorHAnsi"/>
              </w:rPr>
            </w:pPr>
            <w:r w:rsidRPr="003C5091">
              <w:rPr>
                <w:rFonts w:asciiTheme="minorHAnsi" w:hAnsiTheme="minorHAnsi" w:cstheme="minorHAnsi"/>
              </w:rPr>
              <w:t>Analysis</w:t>
            </w:r>
          </w:p>
        </w:tc>
        <w:tc>
          <w:tcPr>
            <w:tcW w:w="4675" w:type="dxa"/>
          </w:tcPr>
          <w:p w:rsidR="00932623" w:rsidRPr="003C5091" w:rsidP="008D5B50" w14:paraId="2656E6A2" w14:textId="7CFDFBF7">
            <w:pPr>
              <w:rPr>
                <w:rFonts w:asciiTheme="minorHAnsi" w:hAnsiTheme="minorHAnsi" w:cstheme="minorHAnsi"/>
              </w:rPr>
            </w:pPr>
            <w:r>
              <w:rPr>
                <w:rFonts w:asciiTheme="minorHAnsi" w:hAnsiTheme="minorHAnsi" w:cstheme="minorHAnsi"/>
              </w:rPr>
              <w:t>6 months</w:t>
            </w:r>
          </w:p>
        </w:tc>
      </w:tr>
      <w:tr w14:paraId="78CA0B3F" w14:textId="77777777">
        <w:tblPrEx>
          <w:tblW w:w="0" w:type="auto"/>
          <w:tblInd w:w="0" w:type="dxa"/>
          <w:tblLook w:val="04A0"/>
        </w:tblPrEx>
        <w:tc>
          <w:tcPr>
            <w:tcW w:w="4675" w:type="dxa"/>
          </w:tcPr>
          <w:p w:rsidR="00932623" w:rsidRPr="003C5091" w:rsidP="008D5B50" w14:paraId="53AC4DA8" w14:textId="77777777">
            <w:pPr>
              <w:rPr>
                <w:rFonts w:asciiTheme="minorHAnsi" w:hAnsiTheme="minorHAnsi" w:cstheme="minorHAnsi"/>
              </w:rPr>
            </w:pPr>
            <w:r w:rsidRPr="003C5091">
              <w:rPr>
                <w:rFonts w:asciiTheme="minorHAnsi" w:hAnsiTheme="minorHAnsi" w:cstheme="minorHAnsi"/>
              </w:rPr>
              <w:t>Reporting/dissemination</w:t>
            </w:r>
          </w:p>
        </w:tc>
        <w:tc>
          <w:tcPr>
            <w:tcW w:w="4675" w:type="dxa"/>
          </w:tcPr>
          <w:p w:rsidR="00932623" w:rsidRPr="00932623" w:rsidP="008D5B50" w14:paraId="142C0BB6" w14:textId="223031AE">
            <w:pPr>
              <w:rPr>
                <w:rFonts w:asciiTheme="minorHAnsi" w:hAnsiTheme="minorHAnsi" w:cstheme="minorHAnsi"/>
              </w:rPr>
            </w:pPr>
            <w:r>
              <w:rPr>
                <w:rFonts w:asciiTheme="minorHAnsi" w:hAnsiTheme="minorHAnsi" w:cstheme="minorHAnsi"/>
              </w:rPr>
              <w:t>6 months</w:t>
            </w:r>
          </w:p>
        </w:tc>
      </w:tr>
    </w:tbl>
    <w:p w:rsidR="00932623" w:rsidRPr="00932623" w:rsidP="008D5B50" w14:paraId="7A1E70AF" w14:textId="77777777">
      <w:pPr>
        <w:spacing w:after="0" w:line="240" w:lineRule="auto"/>
        <w:rPr>
          <w:rFonts w:cstheme="minorHAnsi"/>
        </w:rPr>
      </w:pPr>
    </w:p>
    <w:bookmarkEnd w:id="12"/>
    <w:bookmarkEnd w:id="13"/>
    <w:bookmarkEnd w:id="14"/>
    <w:bookmarkEnd w:id="15"/>
    <w:p w:rsidR="001D1C73" w:rsidRPr="009139B3" w:rsidP="008D5B50" w14:paraId="442B3608" w14:textId="77777777">
      <w:pPr>
        <w:spacing w:after="0" w:line="240" w:lineRule="auto"/>
        <w:rPr>
          <w:rFonts w:cstheme="minorHAnsi"/>
        </w:rPr>
      </w:pPr>
    </w:p>
    <w:p w:rsidR="001D1C73" w:rsidRPr="009139B3" w:rsidP="008D5B50"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8D5B50" w14:paraId="3C24CF91" w14:textId="77777777">
      <w:pPr>
        <w:spacing w:after="0" w:line="240" w:lineRule="auto"/>
      </w:pPr>
      <w:r w:rsidRPr="009139B3">
        <w:t>No exceptions are necessary for this information collection.</w:t>
      </w:r>
    </w:p>
    <w:p w:rsidR="001D1C73" w:rsidRPr="009139B3" w:rsidP="008D5B50" w14:paraId="6B3BCAE2" w14:textId="77777777">
      <w:pPr>
        <w:spacing w:after="0" w:line="240" w:lineRule="auto"/>
      </w:pPr>
    </w:p>
    <w:p w:rsidR="001D1C73" w:rsidRPr="009139B3" w:rsidP="008D5B50" w14:paraId="6FE33ECD" w14:textId="77777777">
      <w:pPr>
        <w:spacing w:after="0" w:line="240" w:lineRule="auto"/>
      </w:pPr>
      <w:r w:rsidRPr="009139B3">
        <w:tab/>
      </w:r>
    </w:p>
    <w:p w:rsidR="001D1C73" w:rsidP="008D5B50" w14:paraId="7BED44AA" w14:textId="77D0FEA2">
      <w:pPr>
        <w:spacing w:after="120" w:line="240" w:lineRule="auto"/>
        <w:rPr>
          <w:b/>
        </w:rPr>
      </w:pPr>
      <w:r w:rsidRPr="009139B3">
        <w:rPr>
          <w:b/>
        </w:rPr>
        <w:t>Attachments</w:t>
      </w:r>
    </w:p>
    <w:p w:rsidR="00243828" w:rsidRPr="00243828" w:rsidP="008D5B50" w14:paraId="0E8584F6" w14:textId="77777777">
      <w:pPr>
        <w:spacing w:after="120" w:line="240" w:lineRule="auto"/>
        <w:rPr>
          <w:rFonts w:cstheme="minorHAnsi"/>
          <w:b/>
          <w:bCs/>
          <w:iCs/>
        </w:rPr>
      </w:pPr>
      <w:bookmarkStart w:id="16" w:name="_Hlk209613378"/>
      <w:r w:rsidRPr="00243828">
        <w:rPr>
          <w:rFonts w:cstheme="minorHAnsi"/>
          <w:b/>
          <w:iCs/>
        </w:rPr>
        <w:t xml:space="preserve">Instrument 1: </w:t>
      </w:r>
      <w:r w:rsidRPr="00AF093C">
        <w:rPr>
          <w:rFonts w:cstheme="minorHAnsi"/>
          <w:iCs/>
        </w:rPr>
        <w:t>Subrecipient Interview Guide</w:t>
      </w:r>
      <w:r w:rsidRPr="00243828">
        <w:rPr>
          <w:rFonts w:cstheme="minorHAnsi"/>
          <w:b/>
          <w:bCs/>
          <w:iCs/>
        </w:rPr>
        <w:t xml:space="preserve"> </w:t>
      </w:r>
    </w:p>
    <w:p w:rsidR="00243828" w:rsidRPr="00243828" w:rsidP="008D5B50" w14:paraId="6BBCBF94" w14:textId="430E7698">
      <w:pPr>
        <w:spacing w:after="120" w:line="240" w:lineRule="auto"/>
        <w:rPr>
          <w:rFonts w:cstheme="minorHAnsi"/>
          <w:b/>
          <w:bCs/>
          <w:iCs/>
        </w:rPr>
      </w:pPr>
      <w:r w:rsidRPr="00243828">
        <w:rPr>
          <w:rFonts w:cstheme="minorHAnsi"/>
          <w:b/>
        </w:rPr>
        <w:t>Instrument 2:</w:t>
      </w:r>
      <w:r w:rsidRPr="00243828">
        <w:rPr>
          <w:b/>
        </w:rPr>
        <w:t xml:space="preserve"> </w:t>
      </w:r>
      <w:r w:rsidRPr="00AF093C">
        <w:rPr>
          <w:rFonts w:cstheme="minorHAnsi"/>
        </w:rPr>
        <w:t>Other Service Provider Interview Guide</w:t>
      </w:r>
    </w:p>
    <w:p w:rsidR="00243828" w:rsidRPr="00243828" w:rsidP="008D5B50" w14:paraId="5D38B7AF" w14:textId="77777777">
      <w:pPr>
        <w:spacing w:after="120" w:line="240" w:lineRule="auto"/>
        <w:rPr>
          <w:rFonts w:cstheme="minorHAnsi"/>
          <w:b/>
        </w:rPr>
      </w:pPr>
      <w:r w:rsidRPr="00243828">
        <w:rPr>
          <w:rFonts w:cstheme="minorHAnsi"/>
          <w:b/>
          <w:bCs/>
        </w:rPr>
        <w:t>Instrument</w:t>
      </w:r>
      <w:r w:rsidRPr="00243828">
        <w:rPr>
          <w:rFonts w:cstheme="minorHAnsi"/>
          <w:b/>
        </w:rPr>
        <w:t xml:space="preserve"> 3:</w:t>
      </w:r>
      <w:r w:rsidRPr="00243828">
        <w:rPr>
          <w:b/>
        </w:rPr>
        <w:t xml:space="preserve"> </w:t>
      </w:r>
      <w:r w:rsidRPr="00AF093C">
        <w:rPr>
          <w:rFonts w:cstheme="minorHAnsi"/>
        </w:rPr>
        <w:t>Local Government Systems Interview Guide</w:t>
      </w:r>
      <w:r w:rsidRPr="00243828">
        <w:rPr>
          <w:rFonts w:cstheme="minorHAnsi"/>
          <w:b/>
        </w:rPr>
        <w:t xml:space="preserve"> </w:t>
      </w:r>
    </w:p>
    <w:p w:rsidR="00243828" w:rsidRPr="00243828" w:rsidP="008D5B50" w14:paraId="45A1A50F" w14:textId="77777777">
      <w:pPr>
        <w:spacing w:after="120" w:line="240" w:lineRule="auto"/>
        <w:rPr>
          <w:rFonts w:eastAsia="Times New Roman"/>
          <w:b/>
        </w:rPr>
      </w:pPr>
      <w:r w:rsidRPr="00243828">
        <w:rPr>
          <w:rFonts w:cstheme="minorHAnsi"/>
          <w:b/>
        </w:rPr>
        <w:t>Instrument 4:</w:t>
      </w:r>
      <w:r w:rsidRPr="00243828">
        <w:rPr>
          <w:rFonts w:eastAsia="Times New Roman"/>
          <w:b/>
        </w:rPr>
        <w:t xml:space="preserve"> </w:t>
      </w:r>
      <w:r w:rsidRPr="00AF093C">
        <w:rPr>
          <w:rFonts w:eastAsia="Times New Roman"/>
        </w:rPr>
        <w:t>Client Interview Guide</w:t>
      </w:r>
      <w:r w:rsidRPr="00243828">
        <w:rPr>
          <w:rFonts w:eastAsia="Times New Roman"/>
          <w:b/>
        </w:rPr>
        <w:t xml:space="preserve"> </w:t>
      </w:r>
    </w:p>
    <w:p w:rsidR="00243828" w:rsidRPr="00243828" w:rsidP="008D5B50" w14:paraId="5C03C57F" w14:textId="43C69270">
      <w:pPr>
        <w:spacing w:after="120" w:line="240" w:lineRule="auto"/>
        <w:rPr>
          <w:rFonts w:eastAsia="Times New Roman"/>
          <w:b/>
        </w:rPr>
      </w:pPr>
      <w:r w:rsidRPr="00243828">
        <w:rPr>
          <w:rFonts w:eastAsia="Times New Roman" w:cstheme="minorHAnsi"/>
          <w:b/>
          <w:bCs/>
          <w:color w:val="000000"/>
        </w:rPr>
        <w:t xml:space="preserve">Instrument 5: </w:t>
      </w:r>
      <w:r w:rsidRPr="00AF093C">
        <w:rPr>
          <w:rFonts w:eastAsia="Times New Roman" w:cstheme="minorHAnsi"/>
          <w:color w:val="000000"/>
        </w:rPr>
        <w:t>Subrecipient Survey</w:t>
      </w:r>
    </w:p>
    <w:p w:rsidR="000B1FFD" w:rsidRPr="00243828" w:rsidP="000B1FFD" w14:paraId="0C7EEF4E" w14:textId="77777777">
      <w:pPr>
        <w:spacing w:after="120" w:line="240" w:lineRule="auto"/>
        <w:rPr>
          <w:rFonts w:cstheme="minorHAnsi"/>
          <w:b/>
          <w:bCs/>
          <w:iCs/>
        </w:rPr>
      </w:pPr>
      <w:bookmarkStart w:id="17" w:name="_Hlk114220468"/>
      <w:bookmarkEnd w:id="16"/>
      <w:r w:rsidRPr="00243828">
        <w:rPr>
          <w:rFonts w:cstheme="minorHAnsi"/>
          <w:b/>
        </w:rPr>
        <w:t xml:space="preserve">Appendix A:  </w:t>
      </w:r>
      <w:r w:rsidRPr="00AF093C">
        <w:rPr>
          <w:rFonts w:cstheme="minorHAnsi"/>
          <w:iCs/>
        </w:rPr>
        <w:t>Subrecipient Interview Recruitment and Advance E-mail</w:t>
      </w:r>
    </w:p>
    <w:p w:rsidR="000B1FFD" w:rsidRPr="00243828" w:rsidP="000B1FFD" w14:paraId="7CAF4A5E" w14:textId="4EC26AC1">
      <w:pPr>
        <w:spacing w:after="120" w:line="240" w:lineRule="auto"/>
        <w:rPr>
          <w:rFonts w:cstheme="minorHAnsi"/>
          <w:b/>
          <w:bCs/>
          <w:iCs/>
        </w:rPr>
      </w:pPr>
      <w:r w:rsidRPr="00243828">
        <w:rPr>
          <w:rFonts w:cstheme="minorHAnsi"/>
          <w:b/>
        </w:rPr>
        <w:t xml:space="preserve">Appendix </w:t>
      </w:r>
      <w:r>
        <w:rPr>
          <w:rFonts w:cstheme="minorHAnsi"/>
          <w:b/>
        </w:rPr>
        <w:t>B</w:t>
      </w:r>
      <w:r w:rsidRPr="00243828">
        <w:rPr>
          <w:rFonts w:cstheme="minorHAnsi"/>
          <w:b/>
        </w:rPr>
        <w:t xml:space="preserve">: </w:t>
      </w:r>
      <w:r w:rsidRPr="00AF093C">
        <w:rPr>
          <w:rFonts w:cstheme="minorHAnsi"/>
        </w:rPr>
        <w:t xml:space="preserve">Other Service Provider </w:t>
      </w:r>
      <w:r w:rsidRPr="00AF093C">
        <w:rPr>
          <w:rFonts w:cstheme="minorHAnsi"/>
          <w:iCs/>
        </w:rPr>
        <w:t>Interview</w:t>
      </w:r>
      <w:r w:rsidRPr="00AF093C">
        <w:rPr>
          <w:rFonts w:cstheme="minorHAnsi"/>
        </w:rPr>
        <w:t xml:space="preserve"> </w:t>
      </w:r>
      <w:r w:rsidRPr="00AF093C">
        <w:rPr>
          <w:rFonts w:cstheme="minorHAnsi"/>
          <w:iCs/>
        </w:rPr>
        <w:t>Recruitment and Advance E-mail</w:t>
      </w:r>
    </w:p>
    <w:p w:rsidR="000B1FFD" w:rsidRPr="00243828" w:rsidP="000B1FFD" w14:paraId="6BC4E722" w14:textId="13865A9D">
      <w:pPr>
        <w:spacing w:after="120" w:line="240" w:lineRule="auto"/>
        <w:rPr>
          <w:rFonts w:cstheme="minorHAnsi"/>
          <w:b/>
          <w:bCs/>
          <w:iCs/>
        </w:rPr>
      </w:pPr>
      <w:r w:rsidRPr="00243828">
        <w:rPr>
          <w:rFonts w:cstheme="minorHAnsi"/>
          <w:b/>
        </w:rPr>
        <w:t xml:space="preserve">Appendix </w:t>
      </w:r>
      <w:r>
        <w:rPr>
          <w:rFonts w:cstheme="minorHAnsi"/>
          <w:b/>
        </w:rPr>
        <w:t>C</w:t>
      </w:r>
      <w:r w:rsidRPr="00243828">
        <w:rPr>
          <w:rFonts w:cstheme="minorHAnsi"/>
          <w:b/>
        </w:rPr>
        <w:t xml:space="preserve">: </w:t>
      </w:r>
      <w:r w:rsidRPr="00AF093C">
        <w:rPr>
          <w:rFonts w:cstheme="minorHAnsi"/>
        </w:rPr>
        <w:t xml:space="preserve">Local Government Systems Interview </w:t>
      </w:r>
      <w:r w:rsidRPr="00AF093C">
        <w:rPr>
          <w:rFonts w:cstheme="minorHAnsi"/>
          <w:iCs/>
        </w:rPr>
        <w:t>Recruitment and Advance E-mail</w:t>
      </w:r>
    </w:p>
    <w:p w:rsidR="000B1FFD" w:rsidRPr="00243828" w:rsidP="000B1FFD" w14:paraId="7BE3FC35" w14:textId="244EED1D">
      <w:pPr>
        <w:spacing w:after="120" w:line="240" w:lineRule="auto"/>
        <w:rPr>
          <w:rFonts w:cstheme="minorHAnsi"/>
          <w:b/>
          <w:bCs/>
          <w:iCs/>
        </w:rPr>
      </w:pPr>
      <w:r w:rsidRPr="00243828">
        <w:rPr>
          <w:rFonts w:cstheme="minorHAnsi"/>
          <w:b/>
        </w:rPr>
        <w:t xml:space="preserve">Appendix </w:t>
      </w:r>
      <w:r>
        <w:rPr>
          <w:rFonts w:cstheme="minorHAnsi"/>
          <w:b/>
        </w:rPr>
        <w:t>D</w:t>
      </w:r>
      <w:r w:rsidRPr="00243828">
        <w:rPr>
          <w:rFonts w:cstheme="minorHAnsi"/>
          <w:b/>
        </w:rPr>
        <w:t xml:space="preserve">: </w:t>
      </w:r>
      <w:r w:rsidRPr="00AF093C">
        <w:rPr>
          <w:rFonts w:eastAsia="Times New Roman"/>
        </w:rPr>
        <w:t xml:space="preserve">Client </w:t>
      </w:r>
      <w:r w:rsidRPr="00AF093C">
        <w:rPr>
          <w:rFonts w:cstheme="minorHAnsi"/>
          <w:iCs/>
        </w:rPr>
        <w:t>Interview Recruitment and Advance E-mail</w:t>
      </w:r>
    </w:p>
    <w:p w:rsidR="000B1FFD" w:rsidRPr="00AF093C" w:rsidP="000B1FFD" w14:paraId="744F7D01" w14:textId="232EA025">
      <w:pPr>
        <w:spacing w:after="120" w:line="240" w:lineRule="auto"/>
        <w:rPr>
          <w:rFonts w:cstheme="minorHAnsi"/>
          <w:iCs/>
        </w:rPr>
      </w:pPr>
      <w:r w:rsidRPr="00243828">
        <w:rPr>
          <w:rFonts w:cstheme="minorHAnsi"/>
          <w:b/>
        </w:rPr>
        <w:t xml:space="preserve">Appendix </w:t>
      </w:r>
      <w:r>
        <w:rPr>
          <w:rFonts w:cstheme="minorHAnsi"/>
          <w:b/>
        </w:rPr>
        <w:t>E</w:t>
      </w:r>
      <w:r w:rsidRPr="00243828">
        <w:rPr>
          <w:rFonts w:cstheme="minorHAnsi"/>
          <w:b/>
        </w:rPr>
        <w:t xml:space="preserve">: </w:t>
      </w:r>
      <w:r w:rsidRPr="00AF093C">
        <w:rPr>
          <w:rFonts w:cstheme="minorHAnsi"/>
          <w:iCs/>
        </w:rPr>
        <w:t xml:space="preserve">Subrecipient </w:t>
      </w:r>
      <w:r w:rsidRPr="00AF093C">
        <w:rPr>
          <w:rFonts w:eastAsia="Times New Roman" w:cstheme="minorHAnsi"/>
          <w:color w:val="000000"/>
        </w:rPr>
        <w:t>Survey</w:t>
      </w:r>
      <w:r w:rsidRPr="00AF093C">
        <w:rPr>
          <w:rFonts w:cstheme="minorHAnsi"/>
          <w:iCs/>
        </w:rPr>
        <w:t xml:space="preserve"> Recruitment E-mail</w:t>
      </w:r>
    </w:p>
    <w:p w:rsidR="00243828" w:rsidRPr="005B049D" w:rsidP="008D5B50" w14:paraId="5DAC256A" w14:textId="77777777">
      <w:pPr>
        <w:spacing w:after="120" w:line="240" w:lineRule="auto"/>
        <w:rPr>
          <w:rFonts w:cstheme="minorHAnsi"/>
          <w:b/>
          <w:highlight w:val="yellow"/>
        </w:rPr>
      </w:pPr>
    </w:p>
    <w:bookmarkEnd w:id="17"/>
    <w:p w:rsidR="006401D7" w:rsidP="008D5B50" w14:paraId="4CEDEF9D" w14:textId="5BD52317">
      <w:pPr>
        <w:spacing w:line="240" w:lineRule="auto"/>
        <w:rPr>
          <w:rFonts w:cstheme="minorHAnsi"/>
          <w:b/>
        </w:rPr>
      </w:pPr>
    </w:p>
    <w:p w:rsidR="00FD3626" w14:paraId="4D7BD04F" w14:textId="77777777">
      <w:pPr>
        <w:rPr>
          <w:rFonts w:cstheme="minorHAnsi"/>
          <w:b/>
        </w:rPr>
      </w:pPr>
      <w:r>
        <w:rPr>
          <w:rFonts w:cstheme="minorHAnsi"/>
          <w:b/>
        </w:rPr>
        <w:br w:type="page"/>
      </w:r>
    </w:p>
    <w:p w:rsidR="00CD7358" w:rsidP="008D5B50" w14:paraId="275D96EE" w14:textId="5DEFA438">
      <w:pPr>
        <w:spacing w:after="120" w:line="240" w:lineRule="auto"/>
        <w:rPr>
          <w:rFonts w:cstheme="minorHAnsi"/>
          <w:b/>
        </w:rPr>
      </w:pPr>
      <w:r>
        <w:rPr>
          <w:rFonts w:cstheme="minorHAnsi"/>
          <w:b/>
        </w:rPr>
        <w:t>References</w:t>
      </w:r>
    </w:p>
    <w:p w:rsidR="003E4CFB" w:rsidP="00FD3626" w14:paraId="559A4B23" w14:textId="77777777">
      <w:pPr>
        <w:spacing w:line="240" w:lineRule="auto"/>
      </w:pPr>
      <w:r w:rsidRPr="00891942">
        <w:t>Chen, G., Petruzzi, L., Ryan, A., Mulchand, C., Blackwell, L. M., Turgeon, N. A., &amp; Adler, J. T. (2025). Dialysis Social Workers’ Perspectives on Barriers and Facilitators to Kidney Transplantation. </w:t>
      </w:r>
      <w:r w:rsidRPr="00891942">
        <w:rPr>
          <w:i/>
          <w:iCs/>
        </w:rPr>
        <w:t>Progress in Transplantation</w:t>
      </w:r>
      <w:r w:rsidRPr="00891942">
        <w:t>, 15269248251343378.</w:t>
      </w:r>
    </w:p>
    <w:p w:rsidR="003E4CFB" w:rsidP="00FD3626" w14:paraId="15870AFF" w14:textId="77777777">
      <w:pPr>
        <w:spacing w:line="240" w:lineRule="auto"/>
      </w:pPr>
      <w:r w:rsidRPr="00C04865">
        <w:t>Henson, M., Schelbe, L., &amp; Lee, H. (2024, June). Helping youth in foster care develop life skills: Perspectives from caregivers, child welfare professionals, and agency representatives. In </w:t>
      </w:r>
      <w:r w:rsidRPr="00C04865">
        <w:rPr>
          <w:i/>
          <w:iCs/>
        </w:rPr>
        <w:t>Child &amp; Youth Care Forum</w:t>
      </w:r>
      <w:r w:rsidRPr="00C04865">
        <w:t> (Vol. 53, No. 3, pp. 667-691). New York: Springer US.</w:t>
      </w:r>
    </w:p>
    <w:p w:rsidR="000D30BE" w:rsidP="00FD3626" w14:paraId="3C6EEA52" w14:textId="77777777">
      <w:pPr>
        <w:spacing w:line="240" w:lineRule="auto"/>
      </w:pPr>
      <w:r w:rsidRPr="00927ED2">
        <w:t>Jackson, D. I., Maa, T., Luna, J., Huang, Y., Fristad, M. A., &amp; Sezgin, E. (2024). Challenges and opportunities for workplace violence training for healthcare workers: a qualitative study of staff experiences. </w:t>
      </w:r>
      <w:r w:rsidRPr="00927ED2">
        <w:rPr>
          <w:i/>
          <w:iCs/>
        </w:rPr>
        <w:t>Available at SSRN 4723436</w:t>
      </w:r>
      <w:r w:rsidRPr="00927ED2">
        <w:t>.</w:t>
      </w:r>
    </w:p>
    <w:p w:rsidR="00760B04" w:rsidP="00FD3626" w14:paraId="2E3204A0" w14:textId="3C02ED2D">
      <w:pPr>
        <w:spacing w:line="240" w:lineRule="auto"/>
      </w:pPr>
      <w:r w:rsidRPr="00D90E0B">
        <w:t>Koshelev, R. A., Cao, J., Park, D. K., Tai, M., Emami-Naeini, P., &amp; Stephenson, S. (2025, April). Investigating Legal Professionals' Knowledge and Attitudes Toward Technology-Enabled Abuse in Intimate Partner Violence. In </w:t>
      </w:r>
      <w:r w:rsidRPr="00D90E0B">
        <w:rPr>
          <w:i/>
          <w:iCs/>
        </w:rPr>
        <w:t>Proceedings of the Extended Abstracts of the CHI Conference on Human Factors in Computing Systems</w:t>
      </w:r>
      <w:r w:rsidRPr="00D90E0B">
        <w:t> (pp. 1-13).</w:t>
      </w:r>
    </w:p>
    <w:p w:rsidR="000D30BE" w:rsidP="00FD3626" w14:paraId="191664AF" w14:textId="77777777">
      <w:pPr>
        <w:spacing w:line="240" w:lineRule="auto"/>
      </w:pPr>
      <w:r w:rsidRPr="0037202B">
        <w:t xml:space="preserve">Musgrave, T., Bell, A., &amp; </w:t>
      </w:r>
      <w:r w:rsidRPr="0037202B">
        <w:t>Schoenebeck</w:t>
      </w:r>
      <w:r w:rsidRPr="0037202B">
        <w:t xml:space="preserve">, S. (2025). Techno-mediated Justice: How Restorative Justice Practitioners Use </w:t>
      </w:r>
      <w:r w:rsidRPr="0037202B">
        <w:t>VideoConferencing</w:t>
      </w:r>
      <w:r w:rsidRPr="0037202B">
        <w:t xml:space="preserve"> Platforms and What HCI Can Learn from Them. </w:t>
      </w:r>
      <w:r w:rsidRPr="0037202B">
        <w:rPr>
          <w:i/>
          <w:iCs/>
        </w:rPr>
        <w:t>Proceedings of the ACM on Human-Computer Interaction</w:t>
      </w:r>
      <w:r w:rsidRPr="0037202B">
        <w:t>, </w:t>
      </w:r>
      <w:r w:rsidRPr="0037202B">
        <w:rPr>
          <w:i/>
          <w:iCs/>
        </w:rPr>
        <w:t>9</w:t>
      </w:r>
      <w:r w:rsidRPr="0037202B">
        <w:t>(2), 1-31.</w:t>
      </w:r>
    </w:p>
    <w:p w:rsidR="00760B04" w:rsidP="000D30BE" w14:paraId="0402A077" w14:textId="60F83C66">
      <w:pPr>
        <w:pStyle w:val="NoSpacing"/>
      </w:pPr>
      <w:r>
        <w:t xml:space="preserve">Polansky, L., </w:t>
      </w:r>
      <w:r>
        <w:t>Ferronato</w:t>
      </w:r>
      <w:r>
        <w:t xml:space="preserve">, H., &amp; Echo-Hawk, A. Urban Indian Health Institute, Seattle Indian Health Board. (2021). </w:t>
      </w:r>
      <w:r w:rsidRPr="00A05D09">
        <w:rPr>
          <w:i/>
          <w:iCs/>
        </w:rPr>
        <w:t xml:space="preserve">Service as </w:t>
      </w:r>
      <w:r>
        <w:rPr>
          <w:i/>
          <w:iCs/>
        </w:rPr>
        <w:t>c</w:t>
      </w:r>
      <w:r w:rsidRPr="00A05D09">
        <w:rPr>
          <w:i/>
          <w:iCs/>
        </w:rPr>
        <w:t xml:space="preserve">eremony: A </w:t>
      </w:r>
      <w:r>
        <w:rPr>
          <w:i/>
          <w:iCs/>
        </w:rPr>
        <w:t>j</w:t>
      </w:r>
      <w:r w:rsidRPr="00A05D09">
        <w:rPr>
          <w:i/>
          <w:iCs/>
        </w:rPr>
        <w:t xml:space="preserve">ourney </w:t>
      </w:r>
      <w:r>
        <w:rPr>
          <w:i/>
          <w:iCs/>
        </w:rPr>
        <w:t>t</w:t>
      </w:r>
      <w:r w:rsidRPr="00A05D09">
        <w:rPr>
          <w:i/>
          <w:iCs/>
        </w:rPr>
        <w:t>oward</w:t>
      </w:r>
      <w:r>
        <w:rPr>
          <w:i/>
          <w:iCs/>
        </w:rPr>
        <w:t xml:space="preserve"> h</w:t>
      </w:r>
      <w:r w:rsidRPr="00A05D09">
        <w:rPr>
          <w:i/>
          <w:iCs/>
        </w:rPr>
        <w:t>ealing.</w:t>
      </w:r>
      <w:r>
        <w:t xml:space="preserve"> Seattle, WA: Urban Indian Health Institute. Retrieved September 16, 2022, from </w:t>
      </w:r>
      <w:hyperlink r:id="rId11" w:history="1">
        <w:r w:rsidRPr="008B50A8">
          <w:rPr>
            <w:rStyle w:val="Hyperlink"/>
          </w:rPr>
          <w:t>https://www.uihi.org/projects/protecting-the-sacred/</w:t>
        </w:r>
      </w:hyperlink>
      <w:r>
        <w:t xml:space="preserve"> </w:t>
      </w:r>
    </w:p>
    <w:p w:rsidR="00760B04" w:rsidRPr="006B53F1" w:rsidP="000D30BE" w14:paraId="45CA583A" w14:textId="77777777">
      <w:pPr>
        <w:pStyle w:val="NoSpacing"/>
      </w:pPr>
    </w:p>
    <w:p w:rsidR="000D30BE" w:rsidP="000D30BE" w14:paraId="07433CBF" w14:textId="77777777">
      <w:pPr>
        <w:spacing w:line="240" w:lineRule="auto"/>
      </w:pPr>
      <w:r w:rsidRPr="00B80890">
        <w:t>Rodriguez, A., Lau, A. S., Wright, B., Regan, J., &amp; Brookman-Frazee, L. (2018). Mixed-method analysis of program leader perspectives on the sustainment of multiple child evidence-based practices in a system-driven implementation. </w:t>
      </w:r>
      <w:r w:rsidRPr="00B80890">
        <w:rPr>
          <w:i/>
          <w:iCs/>
        </w:rPr>
        <w:t>Implementation Science</w:t>
      </w:r>
      <w:r w:rsidRPr="00B80890">
        <w:t>, </w:t>
      </w:r>
      <w:r w:rsidRPr="00B80890">
        <w:rPr>
          <w:i/>
          <w:iCs/>
        </w:rPr>
        <w:t>13</w:t>
      </w:r>
      <w:r w:rsidRPr="00B80890">
        <w:t>(1), 44.</w:t>
      </w:r>
    </w:p>
    <w:p w:rsidR="000D30BE" w:rsidP="000D30BE" w14:paraId="76837585" w14:textId="77777777">
      <w:pPr>
        <w:spacing w:line="240" w:lineRule="auto"/>
      </w:pPr>
      <w:r w:rsidRPr="00D90E0B">
        <w:t>Shah, N. D., Nguyen, G., Wagman, J. A., &amp; Glik, D. C. (2023). Factors influencing the use of domestic violence restraining orders in Los Angeles. </w:t>
      </w:r>
      <w:r w:rsidRPr="00D90E0B">
        <w:rPr>
          <w:i/>
          <w:iCs/>
        </w:rPr>
        <w:t>Violence against women</w:t>
      </w:r>
      <w:r w:rsidRPr="00D90E0B">
        <w:t>, </w:t>
      </w:r>
      <w:r w:rsidRPr="00D90E0B">
        <w:rPr>
          <w:i/>
          <w:iCs/>
        </w:rPr>
        <w:t>29</w:t>
      </w:r>
      <w:r w:rsidRPr="00D90E0B">
        <w:t>(9), 1604-1622.</w:t>
      </w:r>
    </w:p>
    <w:p w:rsidR="003E4CFB" w:rsidP="000D30BE" w14:paraId="05EC70D4" w14:textId="77777777">
      <w:pPr>
        <w:pStyle w:val="NoSpacing"/>
      </w:pPr>
      <w:r>
        <w:t xml:space="preserve">Willging, C. E., Trott, E. M., Fettes, D., Gunderson, L., Green, A. E., Hurlburt, M. S., &amp; Aarons, G. A. (2017). Research-supported intervention and discretion among frontline workers implementing home visitation services. </w:t>
      </w:r>
      <w:r>
        <w:rPr>
          <w:i/>
          <w:iCs/>
        </w:rPr>
        <w:t>Research on Social Work Practice</w:t>
      </w:r>
      <w:r>
        <w:t xml:space="preserve">, </w:t>
      </w:r>
      <w:r>
        <w:rPr>
          <w:i/>
          <w:iCs/>
        </w:rPr>
        <w:t>27</w:t>
      </w:r>
      <w:r>
        <w:t xml:space="preserve">(6), 664–675. </w:t>
      </w:r>
      <w:hyperlink r:id="rId12" w:history="1">
        <w:r>
          <w:rPr>
            <w:rStyle w:val="Hyperlink"/>
          </w:rPr>
          <w:t>https://doi.org/10.1177/1049731515601897</w:t>
        </w:r>
      </w:hyperlink>
    </w:p>
    <w:p w:rsidR="003E4CFB" w:rsidP="003E4CFB" w14:paraId="0AA062D7" w14:textId="77777777"/>
    <w:p w:rsidR="003E4CFB" w:rsidRPr="006B53F1" w:rsidP="00760B04" w14:paraId="16B479DF" w14:textId="77777777">
      <w:pPr>
        <w:spacing w:line="240" w:lineRule="auto"/>
      </w:pPr>
    </w:p>
    <w:sectPr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A42" w14:paraId="5E2E47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A42" w14:paraId="2AEDFE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0ADF" w:rsidP="0004063C" w14:paraId="4E173077" w14:textId="77777777">
      <w:pPr>
        <w:spacing w:after="0" w:line="240" w:lineRule="auto"/>
      </w:pPr>
      <w:r>
        <w:separator/>
      </w:r>
    </w:p>
  </w:footnote>
  <w:footnote w:type="continuationSeparator" w:id="1">
    <w:p w:rsidR="00460ADF" w:rsidP="0004063C" w14:paraId="43480680" w14:textId="77777777">
      <w:pPr>
        <w:spacing w:after="0" w:line="240" w:lineRule="auto"/>
      </w:pPr>
      <w:r>
        <w:continuationSeparator/>
      </w:r>
    </w:p>
  </w:footnote>
  <w:footnote w:id="2">
    <w:p w:rsidR="001A6C41" w:rsidP="001A6C41" w14:paraId="5BB6C8B8" w14:textId="7B3A490F">
      <w:pPr>
        <w:pStyle w:val="FootnoteText"/>
      </w:pPr>
      <w:r w:rsidRPr="00872345">
        <w:rPr>
          <w:rStyle w:val="FootnoteReference"/>
        </w:rPr>
        <w:footnoteRef/>
      </w:r>
      <w:r w:rsidRPr="00872345">
        <w:t xml:space="preserve"> </w:t>
      </w:r>
      <w:r w:rsidRPr="00872345" w:rsidR="00872345">
        <w:t>TVAP and Aspire</w:t>
      </w:r>
      <w:r w:rsidRPr="00872345">
        <w:t xml:space="preserve"> project leadership were informed of the intent to use information from performance progress reports, as a strategy to utilize information they are already providing to ACF and minimize duplicative efforts.</w:t>
      </w:r>
    </w:p>
  </w:footnote>
  <w:footnote w:id="3">
    <w:p w:rsidR="00CF633A" w:rsidP="00CF633A" w14:paraId="4B899533" w14:textId="77777777">
      <w:pPr>
        <w:pStyle w:val="FootnoteText"/>
      </w:pPr>
      <w:r>
        <w:rPr>
          <w:rStyle w:val="FootnoteReference"/>
        </w:rPr>
        <w:footnoteRef/>
      </w:r>
      <w:r>
        <w:t xml:space="preserve"> </w:t>
      </w:r>
      <w:r w:rsidRPr="00FD3D20">
        <w:t>https://nationalsurvivornetwork.org/about/consultant-speakers-bureau/</w:t>
      </w:r>
    </w:p>
  </w:footnote>
  <w:footnote w:id="4">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A42" w14:paraId="35BE0072" w14:textId="5B14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2D288B2F">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A42" w14:paraId="50BE77F6" w14:textId="1E37B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22ABF48"/>
    <w:lvl w:ilvl="0">
      <w:start w:val="1"/>
      <w:numFmt w:val="bullet"/>
      <w:pStyle w:val="ListBullet"/>
      <w:lvlText w:val="▪"/>
      <w:lvlJc w:val="left"/>
      <w:pPr>
        <w:ind w:left="360" w:hanging="360"/>
      </w:pPr>
      <w:rPr>
        <w:rFonts w:ascii="Arial" w:hAnsi="Arial" w:cs="Times New Roman" w:hint="default"/>
        <w:sz w:val="24"/>
        <w:szCs w:val="20"/>
      </w:rPr>
    </w:lvl>
  </w:abstractNum>
  <w:abstractNum w:abstractNumId="1">
    <w:nsid w:val="085C54DB"/>
    <w:multiLevelType w:val="hybridMultilevel"/>
    <w:tmpl w:val="5EC08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21E10"/>
    <w:multiLevelType w:val="hybridMultilevel"/>
    <w:tmpl w:val="FB28C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D2507C"/>
    <w:multiLevelType w:val="hybridMultilevel"/>
    <w:tmpl w:val="BC4C23F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24128A"/>
    <w:multiLevelType w:val="hybridMultilevel"/>
    <w:tmpl w:val="315622B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94047A"/>
    <w:multiLevelType w:val="hybridMultilevel"/>
    <w:tmpl w:val="B654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67413B"/>
    <w:multiLevelType w:val="hybridMultilevel"/>
    <w:tmpl w:val="5E8EF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E334CC"/>
    <w:multiLevelType w:val="hybridMultilevel"/>
    <w:tmpl w:val="577A372C"/>
    <w:lvl w:ilvl="0">
      <w:start w:val="1"/>
      <w:numFmt w:val="bullet"/>
      <w:lvlText w:val=""/>
      <w:lvlJc w:val="left"/>
      <w:pPr>
        <w:ind w:left="720" w:hanging="360"/>
      </w:pPr>
      <w:rPr>
        <w:rFonts w:ascii="Symbol" w:hAnsi="Symbol"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39740C"/>
    <w:multiLevelType w:val="hybridMultilevel"/>
    <w:tmpl w:val="700AC5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3">
    <w:nsid w:val="235B0408"/>
    <w:multiLevelType w:val="hybridMultilevel"/>
    <w:tmpl w:val="A8A699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4E05FC0"/>
    <w:multiLevelType w:val="hybridMultilevel"/>
    <w:tmpl w:val="C5026348"/>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4FB6D30"/>
    <w:multiLevelType w:val="hybridMultilevel"/>
    <w:tmpl w:val="0128A59A"/>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66644B8"/>
    <w:multiLevelType w:val="hybridMultilevel"/>
    <w:tmpl w:val="C6B248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4AFAB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923ACB"/>
    <w:multiLevelType w:val="hybridMultilevel"/>
    <w:tmpl w:val="90A6D3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7C05C1"/>
    <w:multiLevelType w:val="hybridMultilevel"/>
    <w:tmpl w:val="D054B7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E8A2665"/>
    <w:multiLevelType w:val="hybridMultilevel"/>
    <w:tmpl w:val="33E08C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607E72"/>
    <w:multiLevelType w:val="hybridMultilevel"/>
    <w:tmpl w:val="995AB57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13C7799"/>
    <w:multiLevelType w:val="hybridMultilevel"/>
    <w:tmpl w:val="42BA603A"/>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26C1DAB"/>
    <w:multiLevelType w:val="hybridMultilevel"/>
    <w:tmpl w:val="A734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893255"/>
    <w:multiLevelType w:val="hybridMultilevel"/>
    <w:tmpl w:val="6242D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84A1461"/>
    <w:multiLevelType w:val="hybridMultilevel"/>
    <w:tmpl w:val="00E82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8911566"/>
    <w:multiLevelType w:val="hybridMultilevel"/>
    <w:tmpl w:val="2752F1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A54EA5"/>
    <w:multiLevelType w:val="hybridMultilevel"/>
    <w:tmpl w:val="AA225F1A"/>
    <w:lvl w:ilvl="0">
      <w:start w:val="1"/>
      <w:numFmt w:val="bullet"/>
      <w:lvlText w:val=""/>
      <w:lvlJc w:val="left"/>
      <w:pPr>
        <w:ind w:left="720" w:hanging="360"/>
      </w:pPr>
      <w:rPr>
        <w:rFonts w:ascii="Symbol" w:hAnsi="Symbol"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E46C02"/>
    <w:multiLevelType w:val="hybridMultilevel"/>
    <w:tmpl w:val="A5B0EA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4E768A7"/>
    <w:multiLevelType w:val="hybridMultilevel"/>
    <w:tmpl w:val="027E04B8"/>
    <w:lvl w:ilvl="0">
      <w:start w:val="1"/>
      <w:numFmt w:val="decimal"/>
      <w:lvlText w:val="%1."/>
      <w:lvlJc w:val="left"/>
      <w:pPr>
        <w:ind w:left="360" w:hanging="360"/>
      </w:pPr>
      <w:rPr>
        <w:rFonts w:ascii="Arial Narrow" w:hAnsi="Arial Narrow" w:eastAsiaTheme="minorEastAsia" w:cstheme="minorBidi"/>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58D51B5F"/>
    <w:multiLevelType w:val="hybridMultilevel"/>
    <w:tmpl w:val="DC4856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DCF12DD"/>
    <w:multiLevelType w:val="hybridMultilevel"/>
    <w:tmpl w:val="0B6A2CE6"/>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55F49D6"/>
    <w:multiLevelType w:val="hybridMultilevel"/>
    <w:tmpl w:val="9E92C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6B69EE"/>
    <w:multiLevelType w:val="hybridMultilevel"/>
    <w:tmpl w:val="E0744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D3A2BC3"/>
    <w:multiLevelType w:val="hybridMultilevel"/>
    <w:tmpl w:val="053C128E"/>
    <w:lvl w:ilvl="0">
      <w:start w:val="1"/>
      <w:numFmt w:val="decimal"/>
      <w:pStyle w:val="TableList"/>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E297409"/>
    <w:multiLevelType w:val="hybridMultilevel"/>
    <w:tmpl w:val="83805F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8CF7AB4"/>
    <w:multiLevelType w:val="hybridMultilevel"/>
    <w:tmpl w:val="745C54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4808728">
    <w:abstractNumId w:val="27"/>
  </w:num>
  <w:num w:numId="2" w16cid:durableId="1394111558">
    <w:abstractNumId w:val="3"/>
  </w:num>
  <w:num w:numId="3" w16cid:durableId="1999914953">
    <w:abstractNumId w:val="19"/>
  </w:num>
  <w:num w:numId="4" w16cid:durableId="1896231326">
    <w:abstractNumId w:val="18"/>
  </w:num>
  <w:num w:numId="5" w16cid:durableId="1704818225">
    <w:abstractNumId w:val="4"/>
  </w:num>
  <w:num w:numId="6" w16cid:durableId="1319654381">
    <w:abstractNumId w:val="30"/>
  </w:num>
  <w:num w:numId="7" w16cid:durableId="42100611">
    <w:abstractNumId w:val="17"/>
  </w:num>
  <w:num w:numId="8" w16cid:durableId="1592931489">
    <w:abstractNumId w:val="28"/>
  </w:num>
  <w:num w:numId="9" w16cid:durableId="1795363748">
    <w:abstractNumId w:val="21"/>
  </w:num>
  <w:num w:numId="10" w16cid:durableId="1151093498">
    <w:abstractNumId w:val="40"/>
  </w:num>
  <w:num w:numId="11" w16cid:durableId="2021539411">
    <w:abstractNumId w:val="31"/>
  </w:num>
  <w:num w:numId="12" w16cid:durableId="1690255691">
    <w:abstractNumId w:val="9"/>
  </w:num>
  <w:num w:numId="13" w16cid:durableId="172652713">
    <w:abstractNumId w:val="47"/>
  </w:num>
  <w:num w:numId="14" w16cid:durableId="1522011980">
    <w:abstractNumId w:val="43"/>
  </w:num>
  <w:num w:numId="15" w16cid:durableId="1989940528">
    <w:abstractNumId w:val="11"/>
  </w:num>
  <w:num w:numId="16" w16cid:durableId="77139251">
    <w:abstractNumId w:val="34"/>
  </w:num>
  <w:num w:numId="17" w16cid:durableId="54012211">
    <w:abstractNumId w:val="14"/>
  </w:num>
  <w:num w:numId="18" w16cid:durableId="484660379">
    <w:abstractNumId w:val="37"/>
  </w:num>
  <w:num w:numId="19" w16cid:durableId="888608841">
    <w:abstractNumId w:val="6"/>
  </w:num>
  <w:num w:numId="20" w16cid:durableId="391779118">
    <w:abstractNumId w:val="16"/>
  </w:num>
  <w:num w:numId="21" w16cid:durableId="706762168">
    <w:abstractNumId w:val="38"/>
  </w:num>
  <w:num w:numId="22" w16cid:durableId="788744176">
    <w:abstractNumId w:val="44"/>
  </w:num>
  <w:num w:numId="23" w16cid:durableId="1569414615">
    <w:abstractNumId w:val="1"/>
  </w:num>
  <w:num w:numId="24" w16cid:durableId="494342858">
    <w:abstractNumId w:val="10"/>
  </w:num>
  <w:num w:numId="25" w16cid:durableId="70739111">
    <w:abstractNumId w:val="7"/>
  </w:num>
  <w:num w:numId="26" w16cid:durableId="941231748">
    <w:abstractNumId w:val="2"/>
  </w:num>
  <w:num w:numId="27" w16cid:durableId="141511023">
    <w:abstractNumId w:val="26"/>
  </w:num>
  <w:num w:numId="28" w16cid:durableId="180434165">
    <w:abstractNumId w:val="35"/>
  </w:num>
  <w:num w:numId="29" w16cid:durableId="1066494735">
    <w:abstractNumId w:val="41"/>
  </w:num>
  <w:num w:numId="30" w16cid:durableId="562133522">
    <w:abstractNumId w:val="25"/>
  </w:num>
  <w:num w:numId="31" w16cid:durableId="1594044519">
    <w:abstractNumId w:val="29"/>
  </w:num>
  <w:num w:numId="32" w16cid:durableId="706176670">
    <w:abstractNumId w:val="22"/>
  </w:num>
  <w:num w:numId="33" w16cid:durableId="1084106602">
    <w:abstractNumId w:val="45"/>
  </w:num>
  <w:num w:numId="34" w16cid:durableId="155610415">
    <w:abstractNumId w:val="32"/>
  </w:num>
  <w:num w:numId="35" w16cid:durableId="1032658030">
    <w:abstractNumId w:val="20"/>
  </w:num>
  <w:num w:numId="36" w16cid:durableId="1721856711">
    <w:abstractNumId w:val="5"/>
  </w:num>
  <w:num w:numId="37" w16cid:durableId="1122771944">
    <w:abstractNumId w:val="0"/>
  </w:num>
  <w:num w:numId="38" w16cid:durableId="524099095">
    <w:abstractNumId w:val="42"/>
  </w:num>
  <w:num w:numId="39" w16cid:durableId="1336109661">
    <w:abstractNumId w:val="39"/>
    <w:lvlOverride w:ilvl="0">
      <w:startOverride w:val="1"/>
    </w:lvlOverride>
    <w:lvlOverride w:ilvl="1"/>
    <w:lvlOverride w:ilvl="2"/>
    <w:lvlOverride w:ilvl="3"/>
    <w:lvlOverride w:ilvl="4"/>
    <w:lvlOverride w:ilvl="5"/>
    <w:lvlOverride w:ilvl="6"/>
    <w:lvlOverride w:ilvl="7"/>
    <w:lvlOverride w:ilvl="8"/>
  </w:num>
  <w:num w:numId="40" w16cid:durableId="236550840">
    <w:abstractNumId w:val="12"/>
  </w:num>
  <w:num w:numId="41" w16cid:durableId="173571008">
    <w:abstractNumId w:val="13"/>
  </w:num>
  <w:num w:numId="42" w16cid:durableId="1097023042">
    <w:abstractNumId w:val="15"/>
  </w:num>
  <w:num w:numId="43" w16cid:durableId="1736005889">
    <w:abstractNumId w:val="33"/>
  </w:num>
  <w:num w:numId="44" w16cid:durableId="1746536315">
    <w:abstractNumId w:val="23"/>
  </w:num>
  <w:num w:numId="45" w16cid:durableId="702244000">
    <w:abstractNumId w:val="46"/>
  </w:num>
  <w:num w:numId="46" w16cid:durableId="882986350">
    <w:abstractNumId w:val="8"/>
  </w:num>
  <w:num w:numId="47" w16cid:durableId="1661158186">
    <w:abstractNumId w:val="36"/>
  </w:num>
  <w:num w:numId="48" w16cid:durableId="808471399">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20D"/>
    <w:rsid w:val="00003933"/>
    <w:rsid w:val="000041F9"/>
    <w:rsid w:val="000047AF"/>
    <w:rsid w:val="0001255D"/>
    <w:rsid w:val="00014647"/>
    <w:rsid w:val="0001663D"/>
    <w:rsid w:val="00022350"/>
    <w:rsid w:val="00027E79"/>
    <w:rsid w:val="000361CF"/>
    <w:rsid w:val="00037760"/>
    <w:rsid w:val="00037C36"/>
    <w:rsid w:val="0004063C"/>
    <w:rsid w:val="000422B0"/>
    <w:rsid w:val="0004247F"/>
    <w:rsid w:val="000437CC"/>
    <w:rsid w:val="00051CEA"/>
    <w:rsid w:val="000530C6"/>
    <w:rsid w:val="00054DE2"/>
    <w:rsid w:val="00055092"/>
    <w:rsid w:val="000563AC"/>
    <w:rsid w:val="00062AFB"/>
    <w:rsid w:val="00063011"/>
    <w:rsid w:val="0006382E"/>
    <w:rsid w:val="000655DD"/>
    <w:rsid w:val="00071F79"/>
    <w:rsid w:val="0007251B"/>
    <w:rsid w:val="000733A5"/>
    <w:rsid w:val="00080133"/>
    <w:rsid w:val="00080E40"/>
    <w:rsid w:val="00082C5B"/>
    <w:rsid w:val="00083227"/>
    <w:rsid w:val="00086CBE"/>
    <w:rsid w:val="00090812"/>
    <w:rsid w:val="00090D7E"/>
    <w:rsid w:val="00091776"/>
    <w:rsid w:val="000921F0"/>
    <w:rsid w:val="00092E39"/>
    <w:rsid w:val="000959CE"/>
    <w:rsid w:val="00097461"/>
    <w:rsid w:val="000A012A"/>
    <w:rsid w:val="000A0CBF"/>
    <w:rsid w:val="000A1CF0"/>
    <w:rsid w:val="000A2085"/>
    <w:rsid w:val="000A21C7"/>
    <w:rsid w:val="000A28DE"/>
    <w:rsid w:val="000A2AB6"/>
    <w:rsid w:val="000A507B"/>
    <w:rsid w:val="000A5C89"/>
    <w:rsid w:val="000B0781"/>
    <w:rsid w:val="000B1DB3"/>
    <w:rsid w:val="000B1FFD"/>
    <w:rsid w:val="000B50BE"/>
    <w:rsid w:val="000C2DD3"/>
    <w:rsid w:val="000C351E"/>
    <w:rsid w:val="000C3AAE"/>
    <w:rsid w:val="000C45B0"/>
    <w:rsid w:val="000C514F"/>
    <w:rsid w:val="000C5179"/>
    <w:rsid w:val="000D30BE"/>
    <w:rsid w:val="000D48C1"/>
    <w:rsid w:val="000D4E9A"/>
    <w:rsid w:val="000D6847"/>
    <w:rsid w:val="000D7CE0"/>
    <w:rsid w:val="000D7D44"/>
    <w:rsid w:val="000E1A88"/>
    <w:rsid w:val="000E32E8"/>
    <w:rsid w:val="000E6BFE"/>
    <w:rsid w:val="000F1E4A"/>
    <w:rsid w:val="000F213D"/>
    <w:rsid w:val="00100D34"/>
    <w:rsid w:val="001033E7"/>
    <w:rsid w:val="00103EFD"/>
    <w:rsid w:val="0010421E"/>
    <w:rsid w:val="00107D87"/>
    <w:rsid w:val="001173D8"/>
    <w:rsid w:val="00124171"/>
    <w:rsid w:val="001253F4"/>
    <w:rsid w:val="00126B4B"/>
    <w:rsid w:val="00143404"/>
    <w:rsid w:val="0014382D"/>
    <w:rsid w:val="00144B56"/>
    <w:rsid w:val="001540AE"/>
    <w:rsid w:val="001543EE"/>
    <w:rsid w:val="0015486B"/>
    <w:rsid w:val="00155D30"/>
    <w:rsid w:val="00156B5C"/>
    <w:rsid w:val="00157482"/>
    <w:rsid w:val="00157DC0"/>
    <w:rsid w:val="001609A3"/>
    <w:rsid w:val="001613F3"/>
    <w:rsid w:val="001679D5"/>
    <w:rsid w:val="00170698"/>
    <w:rsid w:val="001707D8"/>
    <w:rsid w:val="001731B9"/>
    <w:rsid w:val="001744F2"/>
    <w:rsid w:val="00180EF6"/>
    <w:rsid w:val="001A01E4"/>
    <w:rsid w:val="001A420F"/>
    <w:rsid w:val="001A6C41"/>
    <w:rsid w:val="001A6DCD"/>
    <w:rsid w:val="001A733B"/>
    <w:rsid w:val="001B0A76"/>
    <w:rsid w:val="001B1FA8"/>
    <w:rsid w:val="001B40AE"/>
    <w:rsid w:val="001C19D3"/>
    <w:rsid w:val="001C7C1D"/>
    <w:rsid w:val="001D1C73"/>
    <w:rsid w:val="001D1CA9"/>
    <w:rsid w:val="001D7139"/>
    <w:rsid w:val="001D772C"/>
    <w:rsid w:val="001D78C1"/>
    <w:rsid w:val="001E14A6"/>
    <w:rsid w:val="001E56D0"/>
    <w:rsid w:val="001E5A14"/>
    <w:rsid w:val="001F57F5"/>
    <w:rsid w:val="00200883"/>
    <w:rsid w:val="002031EA"/>
    <w:rsid w:val="00203458"/>
    <w:rsid w:val="0020401C"/>
    <w:rsid w:val="0020629A"/>
    <w:rsid w:val="00206E11"/>
    <w:rsid w:val="00206FE3"/>
    <w:rsid w:val="00207554"/>
    <w:rsid w:val="00211261"/>
    <w:rsid w:val="00211449"/>
    <w:rsid w:val="00211D6B"/>
    <w:rsid w:val="002136E7"/>
    <w:rsid w:val="00221729"/>
    <w:rsid w:val="00221AD6"/>
    <w:rsid w:val="00221E46"/>
    <w:rsid w:val="00225795"/>
    <w:rsid w:val="00225E6A"/>
    <w:rsid w:val="00230FCD"/>
    <w:rsid w:val="00231A83"/>
    <w:rsid w:val="00232960"/>
    <w:rsid w:val="002338FA"/>
    <w:rsid w:val="002364FA"/>
    <w:rsid w:val="002375A0"/>
    <w:rsid w:val="00243828"/>
    <w:rsid w:val="00247879"/>
    <w:rsid w:val="00247B0A"/>
    <w:rsid w:val="002517BB"/>
    <w:rsid w:val="00252070"/>
    <w:rsid w:val="0025384E"/>
    <w:rsid w:val="0025621B"/>
    <w:rsid w:val="002562B0"/>
    <w:rsid w:val="002564CD"/>
    <w:rsid w:val="00256E24"/>
    <w:rsid w:val="00265491"/>
    <w:rsid w:val="0026708F"/>
    <w:rsid w:val="00270DA2"/>
    <w:rsid w:val="00271910"/>
    <w:rsid w:val="00276CE2"/>
    <w:rsid w:val="00280BC4"/>
    <w:rsid w:val="00284602"/>
    <w:rsid w:val="00287AF1"/>
    <w:rsid w:val="002939A5"/>
    <w:rsid w:val="002A41C6"/>
    <w:rsid w:val="002A7661"/>
    <w:rsid w:val="002A7742"/>
    <w:rsid w:val="002B3F06"/>
    <w:rsid w:val="002B4562"/>
    <w:rsid w:val="002B56CE"/>
    <w:rsid w:val="002B785B"/>
    <w:rsid w:val="002C32BE"/>
    <w:rsid w:val="002C5401"/>
    <w:rsid w:val="002C61DF"/>
    <w:rsid w:val="002D10B3"/>
    <w:rsid w:val="002D1533"/>
    <w:rsid w:val="002D1C80"/>
    <w:rsid w:val="002D512A"/>
    <w:rsid w:val="002D7AF4"/>
    <w:rsid w:val="002E1EC1"/>
    <w:rsid w:val="002E3E54"/>
    <w:rsid w:val="002E3FD4"/>
    <w:rsid w:val="002E6CCF"/>
    <w:rsid w:val="002F33D0"/>
    <w:rsid w:val="002F3732"/>
    <w:rsid w:val="002F5FD6"/>
    <w:rsid w:val="00300722"/>
    <w:rsid w:val="0030316D"/>
    <w:rsid w:val="00303B18"/>
    <w:rsid w:val="00310286"/>
    <w:rsid w:val="00316ED2"/>
    <w:rsid w:val="003170B5"/>
    <w:rsid w:val="00317231"/>
    <w:rsid w:val="00323E26"/>
    <w:rsid w:val="00326CE5"/>
    <w:rsid w:val="0033003C"/>
    <w:rsid w:val="00330898"/>
    <w:rsid w:val="003318ED"/>
    <w:rsid w:val="00331FEB"/>
    <w:rsid w:val="00332B1F"/>
    <w:rsid w:val="00332CB7"/>
    <w:rsid w:val="00334DA4"/>
    <w:rsid w:val="00342E20"/>
    <w:rsid w:val="00343B2A"/>
    <w:rsid w:val="003441CA"/>
    <w:rsid w:val="0034647D"/>
    <w:rsid w:val="00354499"/>
    <w:rsid w:val="003604AD"/>
    <w:rsid w:val="00361034"/>
    <w:rsid w:val="00361669"/>
    <w:rsid w:val="0036322E"/>
    <w:rsid w:val="00364FB3"/>
    <w:rsid w:val="0037202B"/>
    <w:rsid w:val="00373D2F"/>
    <w:rsid w:val="00374F51"/>
    <w:rsid w:val="0037519B"/>
    <w:rsid w:val="00376A27"/>
    <w:rsid w:val="00380181"/>
    <w:rsid w:val="00385E4E"/>
    <w:rsid w:val="003913C8"/>
    <w:rsid w:val="00392C4B"/>
    <w:rsid w:val="003941AE"/>
    <w:rsid w:val="00394330"/>
    <w:rsid w:val="003970C4"/>
    <w:rsid w:val="003A27ED"/>
    <w:rsid w:val="003A293B"/>
    <w:rsid w:val="003A3518"/>
    <w:rsid w:val="003A4BAE"/>
    <w:rsid w:val="003A68E9"/>
    <w:rsid w:val="003A74DA"/>
    <w:rsid w:val="003A7774"/>
    <w:rsid w:val="003B5AC8"/>
    <w:rsid w:val="003B651A"/>
    <w:rsid w:val="003B7846"/>
    <w:rsid w:val="003C1910"/>
    <w:rsid w:val="003C30E8"/>
    <w:rsid w:val="003C5091"/>
    <w:rsid w:val="003C7358"/>
    <w:rsid w:val="003D1012"/>
    <w:rsid w:val="003D3E1F"/>
    <w:rsid w:val="003D6EDF"/>
    <w:rsid w:val="003E0E60"/>
    <w:rsid w:val="003E29BF"/>
    <w:rsid w:val="003E40A9"/>
    <w:rsid w:val="003E4C6C"/>
    <w:rsid w:val="003E4CFB"/>
    <w:rsid w:val="003E61F6"/>
    <w:rsid w:val="003F1CC6"/>
    <w:rsid w:val="003F2CD6"/>
    <w:rsid w:val="003F31EC"/>
    <w:rsid w:val="003F3526"/>
    <w:rsid w:val="0040337E"/>
    <w:rsid w:val="004067A2"/>
    <w:rsid w:val="00407537"/>
    <w:rsid w:val="004076AF"/>
    <w:rsid w:val="0041088B"/>
    <w:rsid w:val="00412BCC"/>
    <w:rsid w:val="00413BED"/>
    <w:rsid w:val="004165BD"/>
    <w:rsid w:val="00416944"/>
    <w:rsid w:val="0042220D"/>
    <w:rsid w:val="0043377A"/>
    <w:rsid w:val="004379B6"/>
    <w:rsid w:val="00441DF7"/>
    <w:rsid w:val="00442A48"/>
    <w:rsid w:val="00442A7F"/>
    <w:rsid w:val="0044428E"/>
    <w:rsid w:val="00445064"/>
    <w:rsid w:val="00446465"/>
    <w:rsid w:val="004465C7"/>
    <w:rsid w:val="00447B26"/>
    <w:rsid w:val="0045058F"/>
    <w:rsid w:val="00452207"/>
    <w:rsid w:val="004550CE"/>
    <w:rsid w:val="00460ADF"/>
    <w:rsid w:val="00460D54"/>
    <w:rsid w:val="00461D3E"/>
    <w:rsid w:val="0046670E"/>
    <w:rsid w:val="004706CC"/>
    <w:rsid w:val="004715A2"/>
    <w:rsid w:val="00471791"/>
    <w:rsid w:val="00474513"/>
    <w:rsid w:val="0047520C"/>
    <w:rsid w:val="00475FD3"/>
    <w:rsid w:val="004773DB"/>
    <w:rsid w:val="00477B4E"/>
    <w:rsid w:val="004853A8"/>
    <w:rsid w:val="00491C28"/>
    <w:rsid w:val="00495FF1"/>
    <w:rsid w:val="00497C1D"/>
    <w:rsid w:val="004A158F"/>
    <w:rsid w:val="004A1875"/>
    <w:rsid w:val="004B06CB"/>
    <w:rsid w:val="004B24D2"/>
    <w:rsid w:val="004B2DE8"/>
    <w:rsid w:val="004B4CCF"/>
    <w:rsid w:val="004B4F41"/>
    <w:rsid w:val="004B75AC"/>
    <w:rsid w:val="004C0378"/>
    <w:rsid w:val="004C3644"/>
    <w:rsid w:val="004C5149"/>
    <w:rsid w:val="004D04D3"/>
    <w:rsid w:val="004D12DD"/>
    <w:rsid w:val="004D1F54"/>
    <w:rsid w:val="004D6995"/>
    <w:rsid w:val="004D74AB"/>
    <w:rsid w:val="004E1425"/>
    <w:rsid w:val="004E27F0"/>
    <w:rsid w:val="004E5778"/>
    <w:rsid w:val="004E73F7"/>
    <w:rsid w:val="004E7ED8"/>
    <w:rsid w:val="004F1A42"/>
    <w:rsid w:val="004F2EAB"/>
    <w:rsid w:val="0050376D"/>
    <w:rsid w:val="00503E42"/>
    <w:rsid w:val="00505C44"/>
    <w:rsid w:val="00507EE7"/>
    <w:rsid w:val="0051125C"/>
    <w:rsid w:val="00512C25"/>
    <w:rsid w:val="00512EE8"/>
    <w:rsid w:val="00516C53"/>
    <w:rsid w:val="00520318"/>
    <w:rsid w:val="005302CB"/>
    <w:rsid w:val="00531713"/>
    <w:rsid w:val="00531DD9"/>
    <w:rsid w:val="00533BA9"/>
    <w:rsid w:val="00544939"/>
    <w:rsid w:val="00544F55"/>
    <w:rsid w:val="00546F16"/>
    <w:rsid w:val="0055434C"/>
    <w:rsid w:val="00556463"/>
    <w:rsid w:val="0055692C"/>
    <w:rsid w:val="005616AB"/>
    <w:rsid w:val="00563DE0"/>
    <w:rsid w:val="00572420"/>
    <w:rsid w:val="00591066"/>
    <w:rsid w:val="00591283"/>
    <w:rsid w:val="00593E10"/>
    <w:rsid w:val="00594791"/>
    <w:rsid w:val="00597E86"/>
    <w:rsid w:val="005A40DB"/>
    <w:rsid w:val="005A61CE"/>
    <w:rsid w:val="005A7E5A"/>
    <w:rsid w:val="005B049D"/>
    <w:rsid w:val="005B1285"/>
    <w:rsid w:val="005B1410"/>
    <w:rsid w:val="005B2C25"/>
    <w:rsid w:val="005B4AF7"/>
    <w:rsid w:val="005C34D6"/>
    <w:rsid w:val="005C50DE"/>
    <w:rsid w:val="005C62BF"/>
    <w:rsid w:val="005D4949"/>
    <w:rsid w:val="005D4A40"/>
    <w:rsid w:val="005D540E"/>
    <w:rsid w:val="005D7B90"/>
    <w:rsid w:val="005E3D69"/>
    <w:rsid w:val="005E40C5"/>
    <w:rsid w:val="005E493B"/>
    <w:rsid w:val="005E57BC"/>
    <w:rsid w:val="005F2951"/>
    <w:rsid w:val="005F3D24"/>
    <w:rsid w:val="005F4855"/>
    <w:rsid w:val="0060270C"/>
    <w:rsid w:val="00614196"/>
    <w:rsid w:val="006145AE"/>
    <w:rsid w:val="00622CC4"/>
    <w:rsid w:val="00624DDC"/>
    <w:rsid w:val="006253B6"/>
    <w:rsid w:val="006257ED"/>
    <w:rsid w:val="0062686E"/>
    <w:rsid w:val="00627A2B"/>
    <w:rsid w:val="00627EC7"/>
    <w:rsid w:val="00630B30"/>
    <w:rsid w:val="006359B2"/>
    <w:rsid w:val="00636217"/>
    <w:rsid w:val="00636567"/>
    <w:rsid w:val="00636CEB"/>
    <w:rsid w:val="006401D7"/>
    <w:rsid w:val="00640483"/>
    <w:rsid w:val="00642CA6"/>
    <w:rsid w:val="006514A1"/>
    <w:rsid w:val="00651F93"/>
    <w:rsid w:val="00651FF6"/>
    <w:rsid w:val="00664133"/>
    <w:rsid w:val="00664575"/>
    <w:rsid w:val="00672A80"/>
    <w:rsid w:val="00675F6A"/>
    <w:rsid w:val="00680286"/>
    <w:rsid w:val="0068303E"/>
    <w:rsid w:val="0068383E"/>
    <w:rsid w:val="006924C9"/>
    <w:rsid w:val="00693D36"/>
    <w:rsid w:val="00695516"/>
    <w:rsid w:val="00695595"/>
    <w:rsid w:val="00696DE0"/>
    <w:rsid w:val="00697501"/>
    <w:rsid w:val="00697D12"/>
    <w:rsid w:val="006A149D"/>
    <w:rsid w:val="006A1EBC"/>
    <w:rsid w:val="006A34DC"/>
    <w:rsid w:val="006A4D02"/>
    <w:rsid w:val="006B1366"/>
    <w:rsid w:val="006B1BF9"/>
    <w:rsid w:val="006B31DA"/>
    <w:rsid w:val="006B53F1"/>
    <w:rsid w:val="006B5B24"/>
    <w:rsid w:val="006B6037"/>
    <w:rsid w:val="006C0E56"/>
    <w:rsid w:val="006C387C"/>
    <w:rsid w:val="006C47DB"/>
    <w:rsid w:val="006C55F3"/>
    <w:rsid w:val="006C5AA0"/>
    <w:rsid w:val="006D5EDF"/>
    <w:rsid w:val="006E1408"/>
    <w:rsid w:val="006E4B1F"/>
    <w:rsid w:val="006E4DA5"/>
    <w:rsid w:val="006E4F82"/>
    <w:rsid w:val="006F0961"/>
    <w:rsid w:val="0070729E"/>
    <w:rsid w:val="007106B1"/>
    <w:rsid w:val="0071132C"/>
    <w:rsid w:val="00717BDC"/>
    <w:rsid w:val="007201C7"/>
    <w:rsid w:val="007212C7"/>
    <w:rsid w:val="00723A28"/>
    <w:rsid w:val="00723FE8"/>
    <w:rsid w:val="007250AB"/>
    <w:rsid w:val="0072576C"/>
    <w:rsid w:val="00734B15"/>
    <w:rsid w:val="00736B62"/>
    <w:rsid w:val="007419CA"/>
    <w:rsid w:val="007427A8"/>
    <w:rsid w:val="0074339D"/>
    <w:rsid w:val="00743845"/>
    <w:rsid w:val="00750CB6"/>
    <w:rsid w:val="0075339C"/>
    <w:rsid w:val="00754122"/>
    <w:rsid w:val="007578AE"/>
    <w:rsid w:val="00760B04"/>
    <w:rsid w:val="00762980"/>
    <w:rsid w:val="0076374F"/>
    <w:rsid w:val="00763A99"/>
    <w:rsid w:val="00764C85"/>
    <w:rsid w:val="007673C4"/>
    <w:rsid w:val="0077472E"/>
    <w:rsid w:val="007761B7"/>
    <w:rsid w:val="00777A77"/>
    <w:rsid w:val="00781C6A"/>
    <w:rsid w:val="00783C13"/>
    <w:rsid w:val="0078459C"/>
    <w:rsid w:val="007855BC"/>
    <w:rsid w:val="00792345"/>
    <w:rsid w:val="00792544"/>
    <w:rsid w:val="00793812"/>
    <w:rsid w:val="00793E3E"/>
    <w:rsid w:val="00794151"/>
    <w:rsid w:val="0079466C"/>
    <w:rsid w:val="00795165"/>
    <w:rsid w:val="007A0DB0"/>
    <w:rsid w:val="007A1D46"/>
    <w:rsid w:val="007A29C5"/>
    <w:rsid w:val="007A3081"/>
    <w:rsid w:val="007B4908"/>
    <w:rsid w:val="007C0B50"/>
    <w:rsid w:val="007C1B56"/>
    <w:rsid w:val="007C6FCE"/>
    <w:rsid w:val="007C720B"/>
    <w:rsid w:val="007C7B4B"/>
    <w:rsid w:val="007D19F0"/>
    <w:rsid w:val="007D2247"/>
    <w:rsid w:val="007D4224"/>
    <w:rsid w:val="007D6850"/>
    <w:rsid w:val="007E7A3C"/>
    <w:rsid w:val="007F0246"/>
    <w:rsid w:val="007F36BA"/>
    <w:rsid w:val="007F4806"/>
    <w:rsid w:val="00801BF3"/>
    <w:rsid w:val="008032CF"/>
    <w:rsid w:val="00812B7B"/>
    <w:rsid w:val="00816988"/>
    <w:rsid w:val="00816D1E"/>
    <w:rsid w:val="0081748F"/>
    <w:rsid w:val="00823428"/>
    <w:rsid w:val="0083367D"/>
    <w:rsid w:val="00833D8D"/>
    <w:rsid w:val="00834747"/>
    <w:rsid w:val="008369BA"/>
    <w:rsid w:val="00837290"/>
    <w:rsid w:val="008379EE"/>
    <w:rsid w:val="00840D32"/>
    <w:rsid w:val="00842EE9"/>
    <w:rsid w:val="00843933"/>
    <w:rsid w:val="00845304"/>
    <w:rsid w:val="00845970"/>
    <w:rsid w:val="00852411"/>
    <w:rsid w:val="0085262B"/>
    <w:rsid w:val="00854366"/>
    <w:rsid w:val="00856F48"/>
    <w:rsid w:val="00857C3A"/>
    <w:rsid w:val="008609B3"/>
    <w:rsid w:val="00860E56"/>
    <w:rsid w:val="00864C1F"/>
    <w:rsid w:val="00865947"/>
    <w:rsid w:val="008702A1"/>
    <w:rsid w:val="00870FA1"/>
    <w:rsid w:val="00872345"/>
    <w:rsid w:val="00875220"/>
    <w:rsid w:val="0088072A"/>
    <w:rsid w:val="00882235"/>
    <w:rsid w:val="00882983"/>
    <w:rsid w:val="0088514E"/>
    <w:rsid w:val="00891942"/>
    <w:rsid w:val="00891CD9"/>
    <w:rsid w:val="00894A79"/>
    <w:rsid w:val="008951D5"/>
    <w:rsid w:val="008A25E9"/>
    <w:rsid w:val="008A2F9F"/>
    <w:rsid w:val="008A40E3"/>
    <w:rsid w:val="008B230F"/>
    <w:rsid w:val="008B50A8"/>
    <w:rsid w:val="008C1C0C"/>
    <w:rsid w:val="008C33D6"/>
    <w:rsid w:val="008C6940"/>
    <w:rsid w:val="008C7D7A"/>
    <w:rsid w:val="008D3272"/>
    <w:rsid w:val="008D442A"/>
    <w:rsid w:val="008D5B50"/>
    <w:rsid w:val="008D73C9"/>
    <w:rsid w:val="008D7985"/>
    <w:rsid w:val="008D7B68"/>
    <w:rsid w:val="008E0239"/>
    <w:rsid w:val="008E0D64"/>
    <w:rsid w:val="008E3051"/>
    <w:rsid w:val="008E4718"/>
    <w:rsid w:val="008F0786"/>
    <w:rsid w:val="008F2446"/>
    <w:rsid w:val="008F2B4C"/>
    <w:rsid w:val="008F35A8"/>
    <w:rsid w:val="008F3A37"/>
    <w:rsid w:val="008F3D5A"/>
    <w:rsid w:val="008F548B"/>
    <w:rsid w:val="008F72DA"/>
    <w:rsid w:val="00901040"/>
    <w:rsid w:val="00906CFD"/>
    <w:rsid w:val="00913021"/>
    <w:rsid w:val="009139B3"/>
    <w:rsid w:val="0091517C"/>
    <w:rsid w:val="00921BEE"/>
    <w:rsid w:val="00923597"/>
    <w:rsid w:val="00923F25"/>
    <w:rsid w:val="00926911"/>
    <w:rsid w:val="00927ED2"/>
    <w:rsid w:val="00931687"/>
    <w:rsid w:val="00932623"/>
    <w:rsid w:val="00932B32"/>
    <w:rsid w:val="0093732A"/>
    <w:rsid w:val="00937724"/>
    <w:rsid w:val="009435E6"/>
    <w:rsid w:val="0094526C"/>
    <w:rsid w:val="009479BB"/>
    <w:rsid w:val="00957216"/>
    <w:rsid w:val="00960D7B"/>
    <w:rsid w:val="00960EAD"/>
    <w:rsid w:val="00961F87"/>
    <w:rsid w:val="00963095"/>
    <w:rsid w:val="00963503"/>
    <w:rsid w:val="009635AB"/>
    <w:rsid w:val="009654EF"/>
    <w:rsid w:val="00965DBD"/>
    <w:rsid w:val="009715CA"/>
    <w:rsid w:val="00971944"/>
    <w:rsid w:val="00972BDC"/>
    <w:rsid w:val="00980099"/>
    <w:rsid w:val="009815C6"/>
    <w:rsid w:val="009839D6"/>
    <w:rsid w:val="00990E05"/>
    <w:rsid w:val="00991EB9"/>
    <w:rsid w:val="009928AC"/>
    <w:rsid w:val="00993180"/>
    <w:rsid w:val="00994575"/>
    <w:rsid w:val="00996201"/>
    <w:rsid w:val="0099791A"/>
    <w:rsid w:val="00997BAA"/>
    <w:rsid w:val="009A39E1"/>
    <w:rsid w:val="009A3AD8"/>
    <w:rsid w:val="009A52E7"/>
    <w:rsid w:val="009A64CC"/>
    <w:rsid w:val="009A686F"/>
    <w:rsid w:val="009A6EE8"/>
    <w:rsid w:val="009A7016"/>
    <w:rsid w:val="009B0F58"/>
    <w:rsid w:val="009B17AD"/>
    <w:rsid w:val="009B6B80"/>
    <w:rsid w:val="009B7828"/>
    <w:rsid w:val="009C00E7"/>
    <w:rsid w:val="009C175F"/>
    <w:rsid w:val="009C1FCE"/>
    <w:rsid w:val="009C3380"/>
    <w:rsid w:val="009C5C21"/>
    <w:rsid w:val="009C7745"/>
    <w:rsid w:val="009C79CA"/>
    <w:rsid w:val="009D2C60"/>
    <w:rsid w:val="009E23C1"/>
    <w:rsid w:val="009E40F9"/>
    <w:rsid w:val="009E4B55"/>
    <w:rsid w:val="009E7E38"/>
    <w:rsid w:val="009F0F7D"/>
    <w:rsid w:val="009F265B"/>
    <w:rsid w:val="009F482C"/>
    <w:rsid w:val="009F538C"/>
    <w:rsid w:val="009F68DB"/>
    <w:rsid w:val="00A00A4E"/>
    <w:rsid w:val="00A00FBA"/>
    <w:rsid w:val="00A03E3F"/>
    <w:rsid w:val="00A05C91"/>
    <w:rsid w:val="00A05D09"/>
    <w:rsid w:val="00A07ED9"/>
    <w:rsid w:val="00A1108E"/>
    <w:rsid w:val="00A11405"/>
    <w:rsid w:val="00A2132D"/>
    <w:rsid w:val="00A22F74"/>
    <w:rsid w:val="00A238DA"/>
    <w:rsid w:val="00A24B80"/>
    <w:rsid w:val="00A25661"/>
    <w:rsid w:val="00A27CD0"/>
    <w:rsid w:val="00A27EF5"/>
    <w:rsid w:val="00A362B6"/>
    <w:rsid w:val="00A3689D"/>
    <w:rsid w:val="00A4034D"/>
    <w:rsid w:val="00A4183D"/>
    <w:rsid w:val="00A41D60"/>
    <w:rsid w:val="00A41F79"/>
    <w:rsid w:val="00A43FD3"/>
    <w:rsid w:val="00A53B0D"/>
    <w:rsid w:val="00A67DFF"/>
    <w:rsid w:val="00A67E08"/>
    <w:rsid w:val="00A71475"/>
    <w:rsid w:val="00A714DC"/>
    <w:rsid w:val="00A7179C"/>
    <w:rsid w:val="00A72AFE"/>
    <w:rsid w:val="00A75396"/>
    <w:rsid w:val="00A761CB"/>
    <w:rsid w:val="00A77583"/>
    <w:rsid w:val="00A81661"/>
    <w:rsid w:val="00A81FA4"/>
    <w:rsid w:val="00A827AE"/>
    <w:rsid w:val="00A85701"/>
    <w:rsid w:val="00A861BE"/>
    <w:rsid w:val="00A93035"/>
    <w:rsid w:val="00A97EBF"/>
    <w:rsid w:val="00AA2FFF"/>
    <w:rsid w:val="00AA66C9"/>
    <w:rsid w:val="00AB2C8E"/>
    <w:rsid w:val="00AC0C93"/>
    <w:rsid w:val="00AC2D14"/>
    <w:rsid w:val="00AC400F"/>
    <w:rsid w:val="00AC510B"/>
    <w:rsid w:val="00AD0625"/>
    <w:rsid w:val="00AD13D2"/>
    <w:rsid w:val="00AD3261"/>
    <w:rsid w:val="00AD4355"/>
    <w:rsid w:val="00AD4FB1"/>
    <w:rsid w:val="00AE29D0"/>
    <w:rsid w:val="00AE3F5F"/>
    <w:rsid w:val="00AE5082"/>
    <w:rsid w:val="00AF093C"/>
    <w:rsid w:val="00AF1599"/>
    <w:rsid w:val="00AF6075"/>
    <w:rsid w:val="00B02858"/>
    <w:rsid w:val="00B0472C"/>
    <w:rsid w:val="00B0637C"/>
    <w:rsid w:val="00B06EC9"/>
    <w:rsid w:val="00B07158"/>
    <w:rsid w:val="00B13DC4"/>
    <w:rsid w:val="00B14946"/>
    <w:rsid w:val="00B17B7C"/>
    <w:rsid w:val="00B21178"/>
    <w:rsid w:val="00B219C9"/>
    <w:rsid w:val="00B21FFF"/>
    <w:rsid w:val="00B23277"/>
    <w:rsid w:val="00B245AD"/>
    <w:rsid w:val="00B264ED"/>
    <w:rsid w:val="00B4182B"/>
    <w:rsid w:val="00B448DF"/>
    <w:rsid w:val="00B46231"/>
    <w:rsid w:val="00B46F70"/>
    <w:rsid w:val="00B50F5B"/>
    <w:rsid w:val="00B53673"/>
    <w:rsid w:val="00B55E54"/>
    <w:rsid w:val="00B56589"/>
    <w:rsid w:val="00B5795D"/>
    <w:rsid w:val="00B62C8E"/>
    <w:rsid w:val="00B64D05"/>
    <w:rsid w:val="00B67B23"/>
    <w:rsid w:val="00B70460"/>
    <w:rsid w:val="00B73C32"/>
    <w:rsid w:val="00B749A3"/>
    <w:rsid w:val="00B765AE"/>
    <w:rsid w:val="00B80890"/>
    <w:rsid w:val="00B9441B"/>
    <w:rsid w:val="00B95009"/>
    <w:rsid w:val="00BA3A20"/>
    <w:rsid w:val="00BA5034"/>
    <w:rsid w:val="00BA68C4"/>
    <w:rsid w:val="00BA6C04"/>
    <w:rsid w:val="00BA7E92"/>
    <w:rsid w:val="00BB4BF8"/>
    <w:rsid w:val="00BB4FE8"/>
    <w:rsid w:val="00BB5F2F"/>
    <w:rsid w:val="00BC11C9"/>
    <w:rsid w:val="00BC23D3"/>
    <w:rsid w:val="00BD2116"/>
    <w:rsid w:val="00BD3486"/>
    <w:rsid w:val="00BD3C54"/>
    <w:rsid w:val="00BD53B4"/>
    <w:rsid w:val="00BD5866"/>
    <w:rsid w:val="00BD702B"/>
    <w:rsid w:val="00BD7B78"/>
    <w:rsid w:val="00BE3C0B"/>
    <w:rsid w:val="00BE6B6B"/>
    <w:rsid w:val="00BE773B"/>
    <w:rsid w:val="00BF150B"/>
    <w:rsid w:val="00BF216B"/>
    <w:rsid w:val="00BF611C"/>
    <w:rsid w:val="00BF632A"/>
    <w:rsid w:val="00BF7C36"/>
    <w:rsid w:val="00C04865"/>
    <w:rsid w:val="00C05352"/>
    <w:rsid w:val="00C07CCD"/>
    <w:rsid w:val="00C22E19"/>
    <w:rsid w:val="00C26041"/>
    <w:rsid w:val="00C315FE"/>
    <w:rsid w:val="00C32096"/>
    <w:rsid w:val="00C32404"/>
    <w:rsid w:val="00C37A06"/>
    <w:rsid w:val="00C4122C"/>
    <w:rsid w:val="00C41ED6"/>
    <w:rsid w:val="00C46352"/>
    <w:rsid w:val="00C471D2"/>
    <w:rsid w:val="00C47D1B"/>
    <w:rsid w:val="00C53118"/>
    <w:rsid w:val="00C5447B"/>
    <w:rsid w:val="00C61A30"/>
    <w:rsid w:val="00C62A96"/>
    <w:rsid w:val="00C63DE3"/>
    <w:rsid w:val="00C65358"/>
    <w:rsid w:val="00C6655E"/>
    <w:rsid w:val="00C67D6A"/>
    <w:rsid w:val="00C67FEF"/>
    <w:rsid w:val="00C71075"/>
    <w:rsid w:val="00C7188D"/>
    <w:rsid w:val="00C73360"/>
    <w:rsid w:val="00C77A55"/>
    <w:rsid w:val="00C86C35"/>
    <w:rsid w:val="00C86CB2"/>
    <w:rsid w:val="00C9100F"/>
    <w:rsid w:val="00C91212"/>
    <w:rsid w:val="00C91C71"/>
    <w:rsid w:val="00C92C55"/>
    <w:rsid w:val="00C93421"/>
    <w:rsid w:val="00C93E12"/>
    <w:rsid w:val="00C95126"/>
    <w:rsid w:val="00C96EB4"/>
    <w:rsid w:val="00C97D12"/>
    <w:rsid w:val="00CA52B7"/>
    <w:rsid w:val="00CA587D"/>
    <w:rsid w:val="00CA72A5"/>
    <w:rsid w:val="00CB4D23"/>
    <w:rsid w:val="00CC07BF"/>
    <w:rsid w:val="00CC3A81"/>
    <w:rsid w:val="00CC3B59"/>
    <w:rsid w:val="00CC4651"/>
    <w:rsid w:val="00CC5E73"/>
    <w:rsid w:val="00CD3F77"/>
    <w:rsid w:val="00CD7358"/>
    <w:rsid w:val="00CE018E"/>
    <w:rsid w:val="00CE22C8"/>
    <w:rsid w:val="00CE5486"/>
    <w:rsid w:val="00CE6BDE"/>
    <w:rsid w:val="00CE7161"/>
    <w:rsid w:val="00CE7A4A"/>
    <w:rsid w:val="00CF381A"/>
    <w:rsid w:val="00CF4619"/>
    <w:rsid w:val="00CF49F0"/>
    <w:rsid w:val="00CF633A"/>
    <w:rsid w:val="00D00325"/>
    <w:rsid w:val="00D02A33"/>
    <w:rsid w:val="00D1022C"/>
    <w:rsid w:val="00D1343F"/>
    <w:rsid w:val="00D13AA8"/>
    <w:rsid w:val="00D14615"/>
    <w:rsid w:val="00D175F1"/>
    <w:rsid w:val="00D23357"/>
    <w:rsid w:val="00D23993"/>
    <w:rsid w:val="00D239B5"/>
    <w:rsid w:val="00D24F6E"/>
    <w:rsid w:val="00D26C66"/>
    <w:rsid w:val="00D30B6F"/>
    <w:rsid w:val="00D32358"/>
    <w:rsid w:val="00D32B72"/>
    <w:rsid w:val="00D33D8C"/>
    <w:rsid w:val="00D37C66"/>
    <w:rsid w:val="00D4033C"/>
    <w:rsid w:val="00D43350"/>
    <w:rsid w:val="00D45504"/>
    <w:rsid w:val="00D462AB"/>
    <w:rsid w:val="00D472C7"/>
    <w:rsid w:val="00D51BFB"/>
    <w:rsid w:val="00D5346A"/>
    <w:rsid w:val="00D5405E"/>
    <w:rsid w:val="00D55767"/>
    <w:rsid w:val="00D55E4F"/>
    <w:rsid w:val="00D565F1"/>
    <w:rsid w:val="00D56F80"/>
    <w:rsid w:val="00D6080C"/>
    <w:rsid w:val="00D608A8"/>
    <w:rsid w:val="00D63345"/>
    <w:rsid w:val="00D64E54"/>
    <w:rsid w:val="00D6578A"/>
    <w:rsid w:val="00D666D5"/>
    <w:rsid w:val="00D70E65"/>
    <w:rsid w:val="00D71BA0"/>
    <w:rsid w:val="00D72FCC"/>
    <w:rsid w:val="00D749DF"/>
    <w:rsid w:val="00D74D2E"/>
    <w:rsid w:val="00D74DBB"/>
    <w:rsid w:val="00D7588C"/>
    <w:rsid w:val="00D82755"/>
    <w:rsid w:val="00D82E67"/>
    <w:rsid w:val="00D831AC"/>
    <w:rsid w:val="00D838A3"/>
    <w:rsid w:val="00D83BA3"/>
    <w:rsid w:val="00D847B7"/>
    <w:rsid w:val="00D84B5E"/>
    <w:rsid w:val="00D90370"/>
    <w:rsid w:val="00D90E0B"/>
    <w:rsid w:val="00D96EB4"/>
    <w:rsid w:val="00D976ED"/>
    <w:rsid w:val="00D97926"/>
    <w:rsid w:val="00DA0408"/>
    <w:rsid w:val="00DA3557"/>
    <w:rsid w:val="00DA45D8"/>
    <w:rsid w:val="00DA4701"/>
    <w:rsid w:val="00DA494D"/>
    <w:rsid w:val="00DB0C62"/>
    <w:rsid w:val="00DB5B89"/>
    <w:rsid w:val="00DC013F"/>
    <w:rsid w:val="00DC05AB"/>
    <w:rsid w:val="00DC1ADB"/>
    <w:rsid w:val="00DC4873"/>
    <w:rsid w:val="00DC5789"/>
    <w:rsid w:val="00DC5F6C"/>
    <w:rsid w:val="00DC65F2"/>
    <w:rsid w:val="00DC7876"/>
    <w:rsid w:val="00DC7DD5"/>
    <w:rsid w:val="00DD46C1"/>
    <w:rsid w:val="00DE1359"/>
    <w:rsid w:val="00DE2508"/>
    <w:rsid w:val="00DE3ED7"/>
    <w:rsid w:val="00DF1291"/>
    <w:rsid w:val="00DF2B5A"/>
    <w:rsid w:val="00DF7A09"/>
    <w:rsid w:val="00E00451"/>
    <w:rsid w:val="00E07A8F"/>
    <w:rsid w:val="00E07FC2"/>
    <w:rsid w:val="00E105EE"/>
    <w:rsid w:val="00E1282C"/>
    <w:rsid w:val="00E1392C"/>
    <w:rsid w:val="00E16006"/>
    <w:rsid w:val="00E21BE7"/>
    <w:rsid w:val="00E2214E"/>
    <w:rsid w:val="00E22AC6"/>
    <w:rsid w:val="00E24830"/>
    <w:rsid w:val="00E265FF"/>
    <w:rsid w:val="00E30254"/>
    <w:rsid w:val="00E3140E"/>
    <w:rsid w:val="00E318A6"/>
    <w:rsid w:val="00E321B2"/>
    <w:rsid w:val="00E35C4D"/>
    <w:rsid w:val="00E41C62"/>
    <w:rsid w:val="00E41EE9"/>
    <w:rsid w:val="00E428DB"/>
    <w:rsid w:val="00E42A87"/>
    <w:rsid w:val="00E461D4"/>
    <w:rsid w:val="00E46553"/>
    <w:rsid w:val="00E50A16"/>
    <w:rsid w:val="00E53A44"/>
    <w:rsid w:val="00E53F35"/>
    <w:rsid w:val="00E56C62"/>
    <w:rsid w:val="00E60AB1"/>
    <w:rsid w:val="00E62285"/>
    <w:rsid w:val="00E62819"/>
    <w:rsid w:val="00E71E25"/>
    <w:rsid w:val="00E752AC"/>
    <w:rsid w:val="00E7625C"/>
    <w:rsid w:val="00E804D0"/>
    <w:rsid w:val="00E80C66"/>
    <w:rsid w:val="00E8379C"/>
    <w:rsid w:val="00E865E1"/>
    <w:rsid w:val="00E86D4C"/>
    <w:rsid w:val="00E9045F"/>
    <w:rsid w:val="00E904AA"/>
    <w:rsid w:val="00E94907"/>
    <w:rsid w:val="00E97AD3"/>
    <w:rsid w:val="00EA0D4F"/>
    <w:rsid w:val="00EA22FF"/>
    <w:rsid w:val="00EA405B"/>
    <w:rsid w:val="00EA57FF"/>
    <w:rsid w:val="00EA7082"/>
    <w:rsid w:val="00EB05EC"/>
    <w:rsid w:val="00EB0D2F"/>
    <w:rsid w:val="00EB4C26"/>
    <w:rsid w:val="00EB6134"/>
    <w:rsid w:val="00EB634B"/>
    <w:rsid w:val="00EB6A7F"/>
    <w:rsid w:val="00EB7333"/>
    <w:rsid w:val="00EC1A6C"/>
    <w:rsid w:val="00EC6C9C"/>
    <w:rsid w:val="00EC7FE2"/>
    <w:rsid w:val="00ED7509"/>
    <w:rsid w:val="00EE38AF"/>
    <w:rsid w:val="00EF254B"/>
    <w:rsid w:val="00EF3C99"/>
    <w:rsid w:val="00EF408E"/>
    <w:rsid w:val="00EF4FF2"/>
    <w:rsid w:val="00EF52AF"/>
    <w:rsid w:val="00EF7631"/>
    <w:rsid w:val="00EF7E62"/>
    <w:rsid w:val="00F04D9D"/>
    <w:rsid w:val="00F06328"/>
    <w:rsid w:val="00F06E6F"/>
    <w:rsid w:val="00F071DE"/>
    <w:rsid w:val="00F072D6"/>
    <w:rsid w:val="00F133DA"/>
    <w:rsid w:val="00F15193"/>
    <w:rsid w:val="00F16112"/>
    <w:rsid w:val="00F16A9E"/>
    <w:rsid w:val="00F179CE"/>
    <w:rsid w:val="00F2239A"/>
    <w:rsid w:val="00F249A1"/>
    <w:rsid w:val="00F26D9C"/>
    <w:rsid w:val="00F33A23"/>
    <w:rsid w:val="00F40167"/>
    <w:rsid w:val="00F40AD2"/>
    <w:rsid w:val="00F42246"/>
    <w:rsid w:val="00F463C0"/>
    <w:rsid w:val="00F47489"/>
    <w:rsid w:val="00F516C9"/>
    <w:rsid w:val="00F52FD6"/>
    <w:rsid w:val="00F56775"/>
    <w:rsid w:val="00F64143"/>
    <w:rsid w:val="00F64795"/>
    <w:rsid w:val="00F64A49"/>
    <w:rsid w:val="00F667F8"/>
    <w:rsid w:val="00F72AA7"/>
    <w:rsid w:val="00F72B41"/>
    <w:rsid w:val="00F73867"/>
    <w:rsid w:val="00F74173"/>
    <w:rsid w:val="00F74630"/>
    <w:rsid w:val="00F877F4"/>
    <w:rsid w:val="00F87DA2"/>
    <w:rsid w:val="00F9122A"/>
    <w:rsid w:val="00F97B1D"/>
    <w:rsid w:val="00FA1900"/>
    <w:rsid w:val="00FA52EC"/>
    <w:rsid w:val="00FA6277"/>
    <w:rsid w:val="00FA6D2C"/>
    <w:rsid w:val="00FA71BF"/>
    <w:rsid w:val="00FA774A"/>
    <w:rsid w:val="00FA78C8"/>
    <w:rsid w:val="00FA7BEA"/>
    <w:rsid w:val="00FB1823"/>
    <w:rsid w:val="00FB249E"/>
    <w:rsid w:val="00FB4355"/>
    <w:rsid w:val="00FB4CC9"/>
    <w:rsid w:val="00FB5BF6"/>
    <w:rsid w:val="00FB7815"/>
    <w:rsid w:val="00FC12A5"/>
    <w:rsid w:val="00FC6710"/>
    <w:rsid w:val="00FC76D9"/>
    <w:rsid w:val="00FC779A"/>
    <w:rsid w:val="00FD0975"/>
    <w:rsid w:val="00FD3626"/>
    <w:rsid w:val="00FD3D20"/>
    <w:rsid w:val="00FD6F3D"/>
    <w:rsid w:val="00FD7C43"/>
    <w:rsid w:val="00FE06E7"/>
    <w:rsid w:val="00FE466B"/>
    <w:rsid w:val="00FE4C7E"/>
    <w:rsid w:val="00FE5186"/>
    <w:rsid w:val="00FE7712"/>
    <w:rsid w:val="00FF1EA8"/>
    <w:rsid w:val="00FF2714"/>
    <w:rsid w:val="00FF5C51"/>
    <w:rsid w:val="071209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838FB311-1739-4637-A681-A6B6D9D2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F77"/>
  </w:style>
  <w:style w:type="paragraph" w:styleId="Heading1">
    <w:name w:val="heading 1"/>
    <w:basedOn w:val="Normal"/>
    <w:next w:val="Normal"/>
    <w:link w:val="Heading1Char"/>
    <w:uiPriority w:val="9"/>
    <w:qFormat/>
    <w:rsid w:val="006401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A70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1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uiPriority w:val="9"/>
    <w:semiHidden/>
    <w:rsid w:val="0008013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rsid w:val="00BB5F2F"/>
    <w:pPr>
      <w:widowControl w:val="0"/>
      <w:spacing w:after="24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semiHidden/>
    <w:rsid w:val="00BB5F2F"/>
    <w:rPr>
      <w:rFonts w:ascii="Times New Roman" w:eastAsia="Times New Roman" w:hAnsi="Times New Roman" w:cs="Times New Roman"/>
      <w:snapToGrid w:val="0"/>
      <w:szCs w:val="20"/>
    </w:rPr>
  </w:style>
  <w:style w:type="paragraph" w:customStyle="1" w:styleId="TableTitle">
    <w:name w:val="Table Title"/>
    <w:basedOn w:val="Normal"/>
    <w:rsid w:val="00BB5F2F"/>
    <w:pPr>
      <w:keepNext/>
      <w:keepLines/>
      <w:spacing w:before="120" w:after="240" w:line="240" w:lineRule="auto"/>
      <w:ind w:left="1440" w:hanging="1440"/>
    </w:pPr>
    <w:rPr>
      <w:rFonts w:ascii="Times New Roman" w:eastAsia="Times New Roman" w:hAnsi="Times New Roman" w:cs="Times New Roman"/>
      <w:b/>
      <w:bCs/>
    </w:rPr>
  </w:style>
  <w:style w:type="paragraph" w:styleId="EndnoteText">
    <w:name w:val="endnote text"/>
    <w:basedOn w:val="Normal"/>
    <w:link w:val="EndnoteTextChar"/>
    <w:semiHidden/>
    <w:rsid w:val="00BB5F2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B5F2F"/>
    <w:rPr>
      <w:rFonts w:ascii="Times New Roman" w:eastAsia="Times New Roman" w:hAnsi="Times New Roman" w:cs="Times New Roman"/>
      <w:sz w:val="20"/>
      <w:szCs w:val="20"/>
    </w:rPr>
  </w:style>
  <w:style w:type="paragraph" w:customStyle="1" w:styleId="BodyText2">
    <w:name w:val="Body Text2"/>
    <w:basedOn w:val="Normal"/>
    <w:rsid w:val="00BB5F2F"/>
    <w:pPr>
      <w:spacing w:after="0" w:line="360" w:lineRule="auto"/>
      <w:ind w:firstLine="720"/>
    </w:pPr>
    <w:rPr>
      <w:rFonts w:ascii="Times New Roman" w:eastAsia="Times New Roman" w:hAnsi="Times New Roman" w:cs="Times New Roman"/>
      <w:szCs w:val="20"/>
    </w:rPr>
  </w:style>
  <w:style w:type="character" w:styleId="EndnoteReference">
    <w:name w:val="endnote reference"/>
    <w:rsid w:val="00BB5F2F"/>
    <w:rPr>
      <w:vertAlign w:val="superscript"/>
    </w:rPr>
  </w:style>
  <w:style w:type="paragraph" w:customStyle="1" w:styleId="TableText">
    <w:name w:val="Table Text"/>
    <w:basedOn w:val="Normal"/>
    <w:qFormat/>
    <w:rsid w:val="00FE4C7E"/>
    <w:pPr>
      <w:spacing w:before="60" w:after="60" w:line="240" w:lineRule="auto"/>
    </w:pPr>
    <w:rPr>
      <w:rFonts w:ascii="Times New Roman" w:eastAsia="MS Mincho" w:hAnsi="Times New Roman" w:cs="Times New Roman"/>
    </w:rPr>
  </w:style>
  <w:style w:type="paragraph" w:customStyle="1" w:styleId="TableHeaders">
    <w:name w:val="Table Headers"/>
    <w:basedOn w:val="Normal"/>
    <w:qFormat/>
    <w:rsid w:val="00FE4C7E"/>
    <w:pPr>
      <w:autoSpaceDE w:val="0"/>
      <w:autoSpaceDN w:val="0"/>
      <w:adjustRightInd w:val="0"/>
      <w:spacing w:before="80" w:after="80" w:line="240" w:lineRule="auto"/>
      <w:jc w:val="center"/>
    </w:pPr>
    <w:rPr>
      <w:rFonts w:ascii="Times New Roman" w:eastAsia="Times New Roman" w:hAnsi="Times New Roman" w:cs="Times New Roman"/>
      <w:b/>
      <w:szCs w:val="20"/>
    </w:rPr>
  </w:style>
  <w:style w:type="paragraph" w:customStyle="1" w:styleId="TableList">
    <w:name w:val="Table List"/>
    <w:basedOn w:val="Normal"/>
    <w:qFormat/>
    <w:rsid w:val="009A52E7"/>
    <w:pPr>
      <w:numPr>
        <w:numId w:val="22"/>
      </w:numPr>
      <w:spacing w:before="60" w:after="60" w:line="288" w:lineRule="auto"/>
    </w:pPr>
    <w:rPr>
      <w:rFonts w:eastAsia="MS Mincho"/>
      <w:sz w:val="21"/>
    </w:rPr>
  </w:style>
  <w:style w:type="paragraph" w:styleId="ListBullet">
    <w:name w:val="List Bullet"/>
    <w:basedOn w:val="Normal"/>
    <w:uiPriority w:val="99"/>
    <w:unhideWhenUsed/>
    <w:rsid w:val="005A40DB"/>
    <w:pPr>
      <w:numPr>
        <w:numId w:val="37"/>
      </w:numPr>
      <w:spacing w:after="12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62980"/>
    <w:rPr>
      <w:color w:val="800080" w:themeColor="followedHyperlink"/>
      <w:u w:val="single"/>
    </w:rPr>
  </w:style>
  <w:style w:type="character" w:customStyle="1" w:styleId="Heading2Char">
    <w:name w:val="Heading 2 Char"/>
    <w:basedOn w:val="DefaultParagraphFont"/>
    <w:link w:val="Heading2"/>
    <w:uiPriority w:val="9"/>
    <w:semiHidden/>
    <w:rsid w:val="00EA708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A774A"/>
    <w:rPr>
      <w:color w:val="605E5C"/>
      <w:shd w:val="clear" w:color="auto" w:fill="E1DFDD"/>
    </w:rPr>
  </w:style>
  <w:style w:type="paragraph" w:customStyle="1" w:styleId="TableTitle0">
    <w:name w:val="Table_Title"/>
    <w:basedOn w:val="Normal"/>
    <w:qFormat/>
    <w:rsid w:val="0040337E"/>
    <w:pPr>
      <w:keepNext/>
      <w:tabs>
        <w:tab w:val="left" w:pos="1440"/>
      </w:tabs>
      <w:spacing w:before="240" w:after="120" w:line="240" w:lineRule="auto"/>
    </w:pPr>
    <w:rPr>
      <w:b/>
      <w:bCs/>
      <w:iCs/>
    </w:rPr>
  </w:style>
  <w:style w:type="paragraph" w:customStyle="1" w:styleId="TableHeaders0">
    <w:name w:val="Table_Headers"/>
    <w:basedOn w:val="Normal"/>
    <w:qFormat/>
    <w:rsid w:val="0040337E"/>
    <w:pPr>
      <w:keepNext/>
      <w:spacing w:before="40" w:after="40" w:line="240" w:lineRule="auto"/>
      <w:jc w:val="center"/>
    </w:pPr>
    <w:rPr>
      <w:rFonts w:eastAsia="Times New Roman" w:cstheme="minorHAnsi"/>
      <w:b/>
      <w:sz w:val="20"/>
      <w:szCs w:val="20"/>
    </w:rPr>
  </w:style>
  <w:style w:type="paragraph" w:customStyle="1" w:styleId="TableText0">
    <w:name w:val="Table_Text"/>
    <w:basedOn w:val="Normal"/>
    <w:qFormat/>
    <w:rsid w:val="0040337E"/>
    <w:pPr>
      <w:keepNext/>
      <w:spacing w:after="120" w:line="240" w:lineRule="auto"/>
    </w:pPr>
    <w:rPr>
      <w:rFonts w:eastAsia="Times New Roman" w:cstheme="minorHAnsi"/>
      <w:sz w:val="20"/>
      <w:szCs w:val="20"/>
    </w:rPr>
  </w:style>
  <w:style w:type="paragraph" w:customStyle="1" w:styleId="TableHeader">
    <w:name w:val="Table Header"/>
    <w:basedOn w:val="Normal"/>
    <w:qFormat/>
    <w:rsid w:val="002D7AF4"/>
    <w:pPr>
      <w:keepNext/>
      <w:snapToGrid w:val="0"/>
      <w:spacing w:before="80" w:after="80" w:line="240" w:lineRule="auto"/>
      <w:jc w:val="center"/>
    </w:pPr>
    <w:rPr>
      <w:rFonts w:ascii="Times New Roman" w:eastAsia="Times New Roman" w:hAnsi="Times New Roman" w:cs="Times New Roman"/>
      <w:b/>
      <w:sz w:val="20"/>
      <w:szCs w:val="20"/>
    </w:rPr>
  </w:style>
  <w:style w:type="character" w:customStyle="1" w:styleId="ExhibitTitleChar">
    <w:name w:val="Exhibit Title Char"/>
    <w:link w:val="ExhibitTitle"/>
    <w:locked/>
    <w:rsid w:val="002D7AF4"/>
    <w:rPr>
      <w:rFonts w:ascii="Times New Roman" w:eastAsia="Arial Unicode MS" w:hAnsi="Times New Roman" w:cs="Arial Unicode MS"/>
      <w:b/>
      <w:bCs/>
      <w:color w:val="000000"/>
      <w:sz w:val="24"/>
      <w:szCs w:val="24"/>
      <w:u w:color="455560"/>
      <w:bdr w:val="none" w:sz="0" w:space="0" w:color="auto" w:frame="1"/>
    </w:rPr>
  </w:style>
  <w:style w:type="paragraph" w:customStyle="1" w:styleId="ExhibitTitle">
    <w:name w:val="Exhibit Title"/>
    <w:link w:val="ExhibitTitleChar"/>
    <w:qFormat/>
    <w:rsid w:val="002D7AF4"/>
    <w:pPr>
      <w:keepNext/>
      <w:keepLines/>
      <w:spacing w:before="240" w:after="120" w:line="240" w:lineRule="auto"/>
    </w:pPr>
    <w:rPr>
      <w:rFonts w:ascii="Times New Roman" w:eastAsia="Arial Unicode MS" w:hAnsi="Times New Roman" w:cs="Arial Unicode MS"/>
      <w:b/>
      <w:bCs/>
      <w:color w:val="000000"/>
      <w:sz w:val="24"/>
      <w:szCs w:val="24"/>
      <w:u w:color="455560"/>
      <w:bdr w:val="none" w:sz="0" w:space="0" w:color="auto" w:frame="1"/>
    </w:rPr>
  </w:style>
  <w:style w:type="paragraph" w:styleId="Bibliography">
    <w:name w:val="Bibliography"/>
    <w:basedOn w:val="Normal"/>
    <w:next w:val="Normal"/>
    <w:uiPriority w:val="37"/>
    <w:unhideWhenUsed/>
    <w:rsid w:val="009E40F9"/>
    <w:pPr>
      <w:spacing w:after="0" w:line="480" w:lineRule="auto"/>
      <w:ind w:left="720" w:hanging="720"/>
    </w:pPr>
  </w:style>
  <w:style w:type="character" w:customStyle="1" w:styleId="Heading1Char">
    <w:name w:val="Heading 1 Char"/>
    <w:basedOn w:val="DefaultParagraphFont"/>
    <w:link w:val="Heading1"/>
    <w:uiPriority w:val="9"/>
    <w:rsid w:val="006401D7"/>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39"/>
    <w:rsid w:val="00516C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32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whd/mw-consolidated" TargetMode="External" /><Relationship Id="rId11" Type="http://schemas.openxmlformats.org/officeDocument/2006/relationships/hyperlink" Target="https://www.uihi.org/projects/protecting-the-sacred/" TargetMode="External" /><Relationship Id="rId12" Type="http://schemas.openxmlformats.org/officeDocument/2006/relationships/hyperlink" Target="https://nam04.safelinks.protection.outlook.com/?url=https%3A%2F%2Fdoi.org%2F10.1177%2F1049731515601897&amp;data=05%7C02%7Cjbrinton%40rti.org%7C9ad754e09f204f544f6308dd34e41a53%7C2ffc2ede4d4449948082487341fa43fb%7C0%7C0%7C638724876491701064%7CUnknown%7CTWFpbGZsb3d8eyJFbXB0eU1hcGkiOnRydWUsIlYiOiIwLjAuMDAwMCIsIlAiOiJXaW4zMiIsIkFOIjoiTWFpbCIsIldUIjoyfQ%3D%3D%7C0%7C%7C%7C&amp;sdata=iH7wUpCHkBkZbZPG74XWfzu1GKC%2FNT3fGb7VwAXP7l4%3D&amp;reserved=0"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Eva</b:Tag>
    <b:SourceType>InternetSite</b:SourceType>
    <b:Guid>{96CDB3AC-2DDB-4F37-BF67-B8954D6C1015}</b:Guid>
    <b:Title>Evaluating the Prevention Effects of Men of Strength (MOST) Clubs on Sexual Violence and Teen Dating Violence Perpetration</b:Title>
    <b:InternetSiteTitle>NIH RePORT</b:InternetSiteTitle>
    <b:URL>https://reporter.nih.gov/search/25zavW7jY0uZlUNgXJkVug/project-details/9450253#details</b:URL>
    <b:RefOrder>4</b:RefOrder>
  </b:Source>
  <b:Source>
    <b:Tag>Wes22</b:Tag>
    <b:SourceType>JournalArticle</b:SourceType>
    <b:Guid>{4071BA08-9A98-4C73-A24C-C76E2849CD45}</b:Guid>
    <b:Title>K-12 teachers' stress and burnout during the COVID-19 pandemic: A systematic review.</b:Title>
    <b:Year>2022</b:Year>
    <b:Author>
      <b:Author>
        <b:NameList>
          <b:Person>
            <b:Last>Westphal </b:Last>
            <b:First>A</b:First>
          </b:Person>
          <b:Person>
            <b:Last>Kalinowski</b:Last>
            <b:First>E</b:First>
          </b:Person>
          <b:Person>
            <b:Last>Hoferichter</b:Last>
            <b:First>CJ</b:First>
          </b:Person>
          <b:Person>
            <b:Last>Vock</b:Last>
            <b:First>M</b:First>
          </b:Person>
        </b:NameList>
      </b:Author>
    </b:Author>
    <b:JournalName>Front Psychology</b:JournalName>
    <b:RefOrder>3</b:RefOrder>
  </b:Source>
  <b:Source>
    <b:Tag>Ste21</b:Tag>
    <b:SourceType>Report</b:SourceType>
    <b:Guid>{AAD4C294-6A17-4DBF-AE22-F32D88CBD206}</b:Guid>
    <b:Title>ob-Related Stress Threatens the Teacher Supply: Key Findings from the 2021 State of the U.S. Teacher Survey.</b:Title>
    <b:Year>2021</b:Year>
    <b:Publisher>RAND Corporation</b:Publisher>
    <b:City>Santa Monica, CA</b:City>
    <b:Author>
      <b:Author>
        <b:NameList>
          <b:Person>
            <b:Last>Steiner</b:Last>
            <b:First>Elizabeth</b:First>
          </b:Person>
          <b:Person>
            <b:Last>Woo</b:Last>
            <b:First>Ashley</b:First>
          </b:Person>
        </b:NameList>
      </b:Author>
    </b:Author>
    <b:RefOrder>2</b:RefOrder>
  </b:Source>
  <b:Source>
    <b:Tag>Lis21</b:Tag>
    <b:SourceType>Report</b:SourceType>
    <b:Guid>{FD067FBA-CC51-4F00-B1B6-64D528383C87}</b:Guid>
    <b:Title>K-12 public school employee views on finances, employment outlook, and safety</b:Title>
    <b:Year>2021</b:Year>
    <b:Publisher>MissionSquare Research Institute</b:Publisher>
    <b:City>Washington, DC</b:City>
    <b:Author>
      <b:Author>
        <b:NameList>
          <b:Person>
            <b:Last>Liss-Levinson</b:Last>
            <b:First>Rivka</b:First>
          </b:Person>
        </b:NameList>
      </b:Author>
    </b:Author>
    <b:RefOrder>1</b:RefOrder>
  </b:Source>
</b:Sources>
</file>

<file path=customXml/itemProps1.xml><?xml version="1.0" encoding="utf-8"?>
<ds:datastoreItem xmlns:ds="http://schemas.openxmlformats.org/officeDocument/2006/customXml" ds:itemID="{87C412B4-27AA-409F-9A48-6E1B3ED9D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3F6020-717B-4E19-B2B5-205EDF736C01}">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78</TotalTime>
  <Pages>14</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scharm@rti.org</dc:creator>
  <cp:lastModifiedBy>Mueggenborg, Mary (ACF)</cp:lastModifiedBy>
  <cp:revision>9</cp:revision>
  <dcterms:created xsi:type="dcterms:W3CDTF">2025-12-19T20:22:00Z</dcterms:created>
  <dcterms:modified xsi:type="dcterms:W3CDTF">2026-01-08T15:53:00Z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ZOTERO_PREF_1">
    <vt:lpwstr>&lt;data data-version="3" zotero-version="6.0.15"&gt;&lt;session id="Zn71HCDl"/&gt;&lt;style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