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7CB2" w:rsidP="00545358" w14:paraId="276ADC58" w14:textId="77777777">
      <w:pPr>
        <w:pStyle w:val="BodyText"/>
        <w:spacing w:before="60" w:line="274" w:lineRule="exact"/>
        <w:ind w:left="2100" w:right="2163"/>
        <w:jc w:val="center"/>
      </w:pPr>
    </w:p>
    <w:p w:rsidR="00A16981" w:rsidP="00545358" w14:paraId="5A04A9E8" w14:textId="45534AD6">
      <w:pPr>
        <w:pStyle w:val="BodyText"/>
        <w:jc w:val="center"/>
      </w:pPr>
      <w:r>
        <w:t>Department</w:t>
      </w:r>
      <w:r>
        <w:rPr>
          <w:spacing w:val="2"/>
        </w:rPr>
        <w:t xml:space="preserve"> </w:t>
      </w:r>
      <w:r>
        <w:t>of</w:t>
      </w:r>
      <w:r>
        <w:rPr>
          <w:spacing w:val="30"/>
        </w:rPr>
        <w:t xml:space="preserve"> </w:t>
      </w:r>
      <w:r>
        <w:rPr>
          <w:spacing w:val="-2"/>
        </w:rPr>
        <w:t>Justice</w:t>
      </w:r>
    </w:p>
    <w:p w:rsidR="00A16981" w:rsidP="00545358" w14:paraId="5A04A9EA" w14:textId="12D9A655">
      <w:pPr>
        <w:pStyle w:val="BodyText"/>
        <w:jc w:val="center"/>
      </w:pPr>
      <w:r>
        <w:t>Bureau</w:t>
      </w:r>
      <w:r>
        <w:rPr>
          <w:spacing w:val="3"/>
        </w:rPr>
        <w:t xml:space="preserve"> </w:t>
      </w:r>
      <w:r>
        <w:t>of</w:t>
      </w:r>
      <w:r>
        <w:rPr>
          <w:spacing w:val="13"/>
        </w:rPr>
        <w:t xml:space="preserve"> </w:t>
      </w:r>
      <w:r>
        <w:t>Alcohol, Tobacco, Firearms</w:t>
      </w:r>
      <w:r w:rsidR="000D2909">
        <w:t>,</w:t>
      </w:r>
      <w:r>
        <w:rPr>
          <w:spacing w:val="-3"/>
        </w:rPr>
        <w:t xml:space="preserve"> </w:t>
      </w:r>
      <w:r>
        <w:t>and</w:t>
      </w:r>
      <w:r>
        <w:rPr>
          <w:spacing w:val="4"/>
        </w:rPr>
        <w:t xml:space="preserve"> </w:t>
      </w:r>
      <w:r>
        <w:rPr>
          <w:spacing w:val="-2"/>
        </w:rPr>
        <w:t>Explosives</w:t>
      </w:r>
      <w:r w:rsidR="000D2909">
        <w:rPr>
          <w:spacing w:val="-2"/>
        </w:rPr>
        <w:t xml:space="preserve"> (ATF)</w:t>
      </w:r>
    </w:p>
    <w:p w:rsidR="000D2909" w:rsidP="00545358" w14:paraId="1D6F6D97" w14:textId="6B7BC399">
      <w:pPr>
        <w:pStyle w:val="BodyText"/>
        <w:jc w:val="center"/>
      </w:pPr>
      <w:r>
        <w:t>Information Collection Request (ICR)</w:t>
      </w:r>
    </w:p>
    <w:p w:rsidR="00A16981" w:rsidP="00545358" w14:paraId="5A04A9EC" w14:textId="5229820F">
      <w:pPr>
        <w:pStyle w:val="BodyText"/>
        <w:jc w:val="center"/>
        <w:rPr>
          <w:sz w:val="23"/>
        </w:rPr>
      </w:pPr>
      <w:r>
        <w:t>OMB 1140-0010</w:t>
      </w:r>
    </w:p>
    <w:p w:rsidR="00A16981" w:rsidRPr="00007817" w:rsidP="00545358" w14:paraId="6C34197C" w14:textId="73632964">
      <w:pPr>
        <w:pStyle w:val="BodyText"/>
        <w:jc w:val="center"/>
        <w:rPr>
          <w:b/>
          <w:bCs/>
        </w:rPr>
      </w:pPr>
      <w:r w:rsidRPr="00007817">
        <w:rPr>
          <w:b/>
          <w:bCs/>
        </w:rPr>
        <w:t>Application to Transport</w:t>
      </w:r>
      <w:r w:rsidRPr="00007817">
        <w:rPr>
          <w:b/>
          <w:bCs/>
          <w:spacing w:val="-7"/>
        </w:rPr>
        <w:t xml:space="preserve"> </w:t>
      </w:r>
      <w:r w:rsidRPr="00007817">
        <w:rPr>
          <w:b/>
          <w:bCs/>
        </w:rPr>
        <w:t>Interstate or</w:t>
      </w:r>
      <w:r w:rsidRPr="00007817">
        <w:rPr>
          <w:b/>
          <w:bCs/>
          <w:spacing w:val="-3"/>
        </w:rPr>
        <w:t xml:space="preserve"> </w:t>
      </w:r>
      <w:r w:rsidRPr="00007817" w:rsidR="09291252">
        <w:rPr>
          <w:b/>
          <w:bCs/>
          <w:spacing w:val="-3"/>
        </w:rPr>
        <w:t xml:space="preserve">to </w:t>
      </w:r>
      <w:r w:rsidRPr="00007817">
        <w:rPr>
          <w:b/>
          <w:bCs/>
        </w:rPr>
        <w:t>Temporarily Export</w:t>
      </w:r>
      <w:r w:rsidRPr="00007817">
        <w:rPr>
          <w:b/>
          <w:bCs/>
          <w:spacing w:val="-7"/>
        </w:rPr>
        <w:t xml:space="preserve"> </w:t>
      </w:r>
      <w:r w:rsidRPr="00007817">
        <w:rPr>
          <w:b/>
          <w:bCs/>
        </w:rPr>
        <w:t>Certain NFA Firearms</w:t>
      </w:r>
    </w:p>
    <w:p w:rsidR="00A16981" w:rsidP="00545358" w14:paraId="5A04A9ED" w14:textId="2530AE13">
      <w:pPr>
        <w:pStyle w:val="BodyText"/>
        <w:jc w:val="center"/>
      </w:pPr>
      <w:r>
        <w:t>(</w:t>
      </w:r>
      <w:r w:rsidR="00C73342">
        <w:t>ATF Form 5320.20</w:t>
      </w:r>
      <w:r>
        <w:t>)</w:t>
      </w:r>
    </w:p>
    <w:p w:rsidR="00007817" w:rsidP="00545358" w14:paraId="7B219F9A" w14:textId="77777777">
      <w:pPr>
        <w:pStyle w:val="BodyText"/>
        <w:jc w:val="center"/>
      </w:pPr>
    </w:p>
    <w:p w:rsidR="00007817" w:rsidRPr="00007817" w:rsidP="00545358" w14:paraId="6FCCA28E" w14:textId="086875B0">
      <w:pPr>
        <w:pStyle w:val="BodyText"/>
        <w:jc w:val="center"/>
        <w:rPr>
          <w:b/>
          <w:bCs/>
        </w:rPr>
      </w:pPr>
      <w:r w:rsidRPr="00007817">
        <w:rPr>
          <w:b/>
          <w:bCs/>
        </w:rPr>
        <w:t>SUPPORTING STATEMENT</w:t>
      </w:r>
    </w:p>
    <w:p w:rsidR="00A16981" w:rsidP="00545358" w14:paraId="5A04A9EE" w14:textId="77777777">
      <w:pPr>
        <w:pStyle w:val="BodyText"/>
        <w:spacing w:before="6"/>
        <w:rPr>
          <w:sz w:val="22"/>
        </w:rPr>
      </w:pPr>
    </w:p>
    <w:p w:rsidR="00A16981" w:rsidRPr="00947A2D" w:rsidP="00545358" w14:paraId="5A04A9EF" w14:textId="1EF8FADE">
      <w:pPr>
        <w:tabs>
          <w:tab w:val="left" w:pos="780"/>
        </w:tabs>
        <w:rPr>
          <w:b/>
          <w:bCs/>
          <w:sz w:val="24"/>
          <w:szCs w:val="24"/>
        </w:rPr>
      </w:pPr>
      <w:bookmarkStart w:id="0" w:name="A._JUSTIFICATION"/>
      <w:bookmarkEnd w:id="0"/>
      <w:r w:rsidRPr="00947A2D">
        <w:rPr>
          <w:b/>
          <w:bCs/>
          <w:sz w:val="24"/>
          <w:szCs w:val="24"/>
        </w:rPr>
        <w:t xml:space="preserve">A. </w:t>
      </w:r>
      <w:r w:rsidRPr="00947A2D" w:rsidR="00AA15BA">
        <w:rPr>
          <w:b/>
          <w:bCs/>
          <w:sz w:val="24"/>
          <w:szCs w:val="24"/>
        </w:rPr>
        <w:t>JUSTIFICATION</w:t>
      </w:r>
    </w:p>
    <w:p w:rsidR="00A16981" w:rsidRPr="00947A2D" w:rsidP="00545358" w14:paraId="5A04A9F0" w14:textId="77777777">
      <w:pPr>
        <w:pStyle w:val="BodyText"/>
      </w:pPr>
    </w:p>
    <w:p w:rsidR="00AA15BA" w:rsidRPr="00947A2D" w:rsidP="00545358" w14:paraId="4E53F552" w14:textId="3BF249D6">
      <w:pPr>
        <w:tabs>
          <w:tab w:val="left" w:pos="1148"/>
        </w:tabs>
        <w:rPr>
          <w:sz w:val="24"/>
          <w:szCs w:val="24"/>
        </w:rPr>
      </w:pPr>
      <w:r w:rsidRPr="00947A2D">
        <w:rPr>
          <w:b/>
          <w:bCs/>
          <w:sz w:val="24"/>
          <w:szCs w:val="24"/>
        </w:rPr>
        <w:t>1. Explain the circumstances that make the information collection necessary.</w:t>
      </w:r>
    </w:p>
    <w:p w:rsidR="00AA15BA" w:rsidRPr="00947A2D" w:rsidP="00545358" w14:paraId="7367DBA0" w14:textId="77777777">
      <w:pPr>
        <w:pStyle w:val="ListParagraph"/>
        <w:tabs>
          <w:tab w:val="left" w:pos="1148"/>
        </w:tabs>
        <w:ind w:left="0" w:firstLine="0"/>
        <w:rPr>
          <w:b/>
          <w:bCs/>
          <w:sz w:val="24"/>
          <w:szCs w:val="24"/>
        </w:rPr>
      </w:pPr>
    </w:p>
    <w:p w:rsidR="00A16981" w:rsidRPr="00947A2D" w:rsidP="00545358" w14:paraId="5A04A9F1" w14:textId="14557521">
      <w:pPr>
        <w:pStyle w:val="ListParagraph"/>
        <w:tabs>
          <w:tab w:val="left" w:pos="1148"/>
        </w:tabs>
        <w:ind w:left="0" w:firstLine="0"/>
        <w:rPr>
          <w:sz w:val="24"/>
          <w:szCs w:val="24"/>
        </w:rPr>
      </w:pPr>
      <w:r w:rsidRPr="00947A2D">
        <w:rPr>
          <w:sz w:val="24"/>
          <w:szCs w:val="24"/>
        </w:rPr>
        <w:t>Certain National Firearms Act (NFA) firearms may not be transported interstate or temporarily exported by any person other than a qualified licensee, without approval from ATF</w:t>
      </w:r>
      <w:r w:rsidRPr="00947A2D" w:rsidR="00395922">
        <w:rPr>
          <w:sz w:val="24"/>
          <w:szCs w:val="24"/>
        </w:rPr>
        <w:t>,</w:t>
      </w:r>
      <w:r w:rsidRPr="00947A2D">
        <w:rPr>
          <w:sz w:val="24"/>
          <w:szCs w:val="24"/>
        </w:rPr>
        <w:t xml:space="preserve"> 18 U.S.C</w:t>
      </w:r>
      <w:r w:rsidRPr="00947A2D" w:rsidR="005B2CBE">
        <w:rPr>
          <w:sz w:val="24"/>
          <w:szCs w:val="24"/>
        </w:rPr>
        <w:t>.</w:t>
      </w:r>
      <w:r w:rsidRPr="00947A2D">
        <w:rPr>
          <w:sz w:val="24"/>
          <w:szCs w:val="24"/>
        </w:rPr>
        <w:t xml:space="preserve"> 922(a)(4)</w:t>
      </w:r>
      <w:r w:rsidRPr="00947A2D" w:rsidR="00395922">
        <w:rPr>
          <w:sz w:val="24"/>
          <w:szCs w:val="24"/>
        </w:rPr>
        <w:t>,</w:t>
      </w:r>
      <w:r w:rsidRPr="00947A2D">
        <w:rPr>
          <w:sz w:val="24"/>
          <w:szCs w:val="24"/>
        </w:rPr>
        <w:t xml:space="preserve"> and 27 </w:t>
      </w:r>
      <w:r w:rsidRPr="00947A2D" w:rsidR="000C6B2A">
        <w:rPr>
          <w:sz w:val="24"/>
          <w:szCs w:val="24"/>
        </w:rPr>
        <w:t xml:space="preserve">CFR </w:t>
      </w:r>
      <w:r w:rsidRPr="00947A2D">
        <w:rPr>
          <w:sz w:val="24"/>
          <w:szCs w:val="24"/>
        </w:rPr>
        <w:t xml:space="preserve">478.28. </w:t>
      </w:r>
      <w:r w:rsidR="003437B2">
        <w:rPr>
          <w:sz w:val="24"/>
          <w:szCs w:val="24"/>
        </w:rPr>
        <w:t>The statute</w:t>
      </w:r>
      <w:r w:rsidRPr="00947A2D">
        <w:rPr>
          <w:sz w:val="24"/>
          <w:szCs w:val="24"/>
        </w:rPr>
        <w:t xml:space="preserve"> </w:t>
      </w:r>
      <w:r w:rsidR="00DC633B">
        <w:rPr>
          <w:sz w:val="24"/>
          <w:szCs w:val="24"/>
        </w:rPr>
        <w:t>and implementing regulations require</w:t>
      </w:r>
      <w:r w:rsidRPr="00947A2D">
        <w:rPr>
          <w:sz w:val="24"/>
          <w:szCs w:val="24"/>
        </w:rPr>
        <w:t xml:space="preserve"> that a </w:t>
      </w:r>
      <w:r w:rsidR="003437B2">
        <w:rPr>
          <w:sz w:val="24"/>
          <w:szCs w:val="24"/>
        </w:rPr>
        <w:t xml:space="preserve">person </w:t>
      </w:r>
      <w:r w:rsidR="009C794D">
        <w:rPr>
          <w:sz w:val="24"/>
          <w:szCs w:val="24"/>
        </w:rPr>
        <w:t xml:space="preserve">wishing to transport </w:t>
      </w:r>
      <w:r w:rsidR="003F26CF">
        <w:rPr>
          <w:sz w:val="24"/>
          <w:szCs w:val="24"/>
        </w:rPr>
        <w:t xml:space="preserve">certain </w:t>
      </w:r>
      <w:r w:rsidR="009C794D">
        <w:rPr>
          <w:sz w:val="24"/>
          <w:szCs w:val="24"/>
        </w:rPr>
        <w:t xml:space="preserve">NFA firearms outside the state in which they are </w:t>
      </w:r>
      <w:r w:rsidRPr="003D6C09" w:rsidR="003D6C09">
        <w:rPr>
          <w:sz w:val="24"/>
          <w:szCs w:val="24"/>
        </w:rPr>
        <w:t>register</w:t>
      </w:r>
      <w:r w:rsidR="003D6C09">
        <w:rPr>
          <w:sz w:val="24"/>
          <w:szCs w:val="24"/>
        </w:rPr>
        <w:t>ed</w:t>
      </w:r>
      <w:r w:rsidR="009C794D">
        <w:rPr>
          <w:sz w:val="24"/>
          <w:szCs w:val="24"/>
        </w:rPr>
        <w:t xml:space="preserve"> must submit a </w:t>
      </w:r>
      <w:r w:rsidRPr="00947A2D">
        <w:rPr>
          <w:sz w:val="24"/>
          <w:szCs w:val="24"/>
        </w:rPr>
        <w:t xml:space="preserve">written request for permission to ATF prior to </w:t>
      </w:r>
      <w:r w:rsidR="009C794D">
        <w:rPr>
          <w:sz w:val="24"/>
          <w:szCs w:val="24"/>
        </w:rPr>
        <w:t>transporting</w:t>
      </w:r>
      <w:r w:rsidRPr="00947A2D">
        <w:rPr>
          <w:sz w:val="24"/>
          <w:szCs w:val="24"/>
        </w:rPr>
        <w:t xml:space="preserve"> </w:t>
      </w:r>
      <w:r w:rsidR="003F26CF">
        <w:rPr>
          <w:sz w:val="24"/>
          <w:szCs w:val="24"/>
        </w:rPr>
        <w:t xml:space="preserve">outside the state </w:t>
      </w:r>
      <w:r w:rsidRPr="00947A2D">
        <w:rPr>
          <w:sz w:val="24"/>
          <w:szCs w:val="24"/>
        </w:rPr>
        <w:t xml:space="preserve">or </w:t>
      </w:r>
      <w:r w:rsidR="009C794D">
        <w:rPr>
          <w:sz w:val="24"/>
          <w:szCs w:val="24"/>
        </w:rPr>
        <w:t>temporarily exporting</w:t>
      </w:r>
      <w:r w:rsidRPr="00947A2D">
        <w:rPr>
          <w:sz w:val="24"/>
          <w:szCs w:val="24"/>
        </w:rPr>
        <w:t xml:space="preserve"> </w:t>
      </w:r>
      <w:r w:rsidR="003F26CF">
        <w:rPr>
          <w:sz w:val="24"/>
          <w:szCs w:val="24"/>
        </w:rPr>
        <w:t>them</w:t>
      </w:r>
      <w:r w:rsidR="00870A03">
        <w:rPr>
          <w:sz w:val="24"/>
          <w:szCs w:val="24"/>
        </w:rPr>
        <w:t xml:space="preserve"> outside the country</w:t>
      </w:r>
      <w:r w:rsidRPr="00947A2D">
        <w:rPr>
          <w:sz w:val="24"/>
          <w:szCs w:val="24"/>
        </w:rPr>
        <w:t xml:space="preserve">. </w:t>
      </w:r>
      <w:r w:rsidR="00206594">
        <w:rPr>
          <w:sz w:val="24"/>
          <w:szCs w:val="24"/>
        </w:rPr>
        <w:t>ATF developed the</w:t>
      </w:r>
      <w:r w:rsidRPr="00947A2D">
        <w:rPr>
          <w:sz w:val="24"/>
          <w:szCs w:val="24"/>
        </w:rPr>
        <w:t xml:space="preserve"> Application to Transport Interstate or </w:t>
      </w:r>
      <w:r w:rsidR="001E68CA">
        <w:rPr>
          <w:sz w:val="24"/>
          <w:szCs w:val="24"/>
        </w:rPr>
        <w:t xml:space="preserve">to </w:t>
      </w:r>
      <w:r w:rsidRPr="00947A2D">
        <w:rPr>
          <w:sz w:val="24"/>
          <w:szCs w:val="24"/>
        </w:rPr>
        <w:t>Temporarily Export Certain NFA Firearms</w:t>
      </w:r>
      <w:r w:rsidRPr="00947A2D" w:rsidR="00DA4887">
        <w:rPr>
          <w:sz w:val="24"/>
          <w:szCs w:val="24"/>
        </w:rPr>
        <w:t xml:space="preserve">, </w:t>
      </w:r>
      <w:r w:rsidRPr="00947A2D" w:rsidR="00A75858">
        <w:rPr>
          <w:sz w:val="24"/>
          <w:szCs w:val="24"/>
        </w:rPr>
        <w:t>ATF Form 5320.20</w:t>
      </w:r>
      <w:r w:rsidR="005B71E1">
        <w:rPr>
          <w:sz w:val="24"/>
          <w:szCs w:val="24"/>
        </w:rPr>
        <w:t xml:space="preserve"> (“Form 20”)</w:t>
      </w:r>
      <w:r w:rsidRPr="00947A2D" w:rsidR="00DA4887">
        <w:rPr>
          <w:sz w:val="24"/>
          <w:szCs w:val="24"/>
        </w:rPr>
        <w:t>,</w:t>
      </w:r>
      <w:r w:rsidRPr="00947A2D">
        <w:rPr>
          <w:sz w:val="24"/>
          <w:szCs w:val="24"/>
        </w:rPr>
        <w:t xml:space="preserve"> </w:t>
      </w:r>
      <w:r w:rsidR="00206594">
        <w:rPr>
          <w:sz w:val="24"/>
          <w:szCs w:val="24"/>
        </w:rPr>
        <w:t xml:space="preserve">to make it easier for persons to </w:t>
      </w:r>
      <w:r w:rsidR="00B469F5">
        <w:rPr>
          <w:sz w:val="24"/>
          <w:szCs w:val="24"/>
        </w:rPr>
        <w:t>provide the necessary information and</w:t>
      </w:r>
      <w:r w:rsidRPr="00947A2D">
        <w:rPr>
          <w:sz w:val="24"/>
          <w:szCs w:val="24"/>
        </w:rPr>
        <w:t xml:space="preserve"> </w:t>
      </w:r>
      <w:r w:rsidR="00B469F5">
        <w:rPr>
          <w:sz w:val="24"/>
          <w:szCs w:val="24"/>
        </w:rPr>
        <w:t>meet the</w:t>
      </w:r>
      <w:r w:rsidRPr="00947A2D">
        <w:rPr>
          <w:sz w:val="24"/>
          <w:szCs w:val="24"/>
        </w:rPr>
        <w:t xml:space="preserve"> </w:t>
      </w:r>
      <w:r w:rsidR="00B469F5">
        <w:rPr>
          <w:sz w:val="24"/>
          <w:szCs w:val="24"/>
        </w:rPr>
        <w:t>requirement to submit a written request.</w:t>
      </w:r>
    </w:p>
    <w:p w:rsidR="00A16981" w:rsidRPr="00947A2D" w:rsidP="00545358" w14:paraId="5A04A9FC" w14:textId="77777777">
      <w:pPr>
        <w:pStyle w:val="BodyText"/>
      </w:pPr>
    </w:p>
    <w:p w:rsidR="00970EFA" w:rsidRPr="00947A2D" w:rsidP="00545358" w14:paraId="393FB125" w14:textId="1F272ABD">
      <w:pPr>
        <w:tabs>
          <w:tab w:val="left" w:pos="1149"/>
        </w:tabs>
        <w:rPr>
          <w:sz w:val="24"/>
          <w:szCs w:val="24"/>
        </w:rPr>
      </w:pPr>
      <w:bookmarkStart w:id="1" w:name="_Hlk109394649"/>
      <w:r w:rsidRPr="00947A2D">
        <w:rPr>
          <w:b/>
          <w:bCs/>
          <w:sz w:val="24"/>
          <w:szCs w:val="24"/>
        </w:rPr>
        <w:t>2. Indicate how, by whom, and for what purpose the information will be used.</w:t>
      </w:r>
    </w:p>
    <w:p w:rsidR="00970EFA" w:rsidRPr="00947A2D" w:rsidP="00545358" w14:paraId="31D563EB" w14:textId="77777777">
      <w:pPr>
        <w:pStyle w:val="ListParagraph"/>
        <w:tabs>
          <w:tab w:val="left" w:pos="1149"/>
        </w:tabs>
        <w:ind w:left="0" w:firstLine="0"/>
        <w:rPr>
          <w:b/>
          <w:bCs/>
          <w:sz w:val="24"/>
          <w:szCs w:val="24"/>
        </w:rPr>
      </w:pPr>
    </w:p>
    <w:bookmarkEnd w:id="1"/>
    <w:p w:rsidR="00A16981" w:rsidRPr="00947A2D" w:rsidP="00545358" w14:paraId="5A04A9FF" w14:textId="464131D0">
      <w:pPr>
        <w:pStyle w:val="ListParagraph"/>
        <w:tabs>
          <w:tab w:val="left" w:pos="1149"/>
        </w:tabs>
        <w:ind w:left="0" w:firstLine="0"/>
        <w:rPr>
          <w:sz w:val="24"/>
          <w:szCs w:val="24"/>
        </w:rPr>
      </w:pPr>
      <w:r>
        <w:rPr>
          <w:sz w:val="24"/>
          <w:szCs w:val="24"/>
        </w:rPr>
        <w:t>Persons</w:t>
      </w:r>
      <w:r w:rsidRPr="00947A2D" w:rsidR="00C73342">
        <w:rPr>
          <w:sz w:val="24"/>
          <w:szCs w:val="24"/>
        </w:rPr>
        <w:t xml:space="preserve"> who possess a registered machine</w:t>
      </w:r>
      <w:r>
        <w:rPr>
          <w:sz w:val="24"/>
          <w:szCs w:val="24"/>
        </w:rPr>
        <w:t xml:space="preserve"> </w:t>
      </w:r>
      <w:r w:rsidRPr="00947A2D" w:rsidR="00C73342">
        <w:rPr>
          <w:sz w:val="24"/>
          <w:szCs w:val="24"/>
        </w:rPr>
        <w:t>gun, destructive device, short</w:t>
      </w:r>
      <w:r w:rsidRPr="00947A2D" w:rsidR="00121C75">
        <w:rPr>
          <w:sz w:val="24"/>
          <w:szCs w:val="24"/>
        </w:rPr>
        <w:t>-</w:t>
      </w:r>
      <w:r w:rsidRPr="00947A2D" w:rsidR="00C73342">
        <w:rPr>
          <w:sz w:val="24"/>
          <w:szCs w:val="24"/>
        </w:rPr>
        <w:t>barreled rifle</w:t>
      </w:r>
      <w:r w:rsidRPr="00947A2D" w:rsidR="00121C75">
        <w:rPr>
          <w:sz w:val="24"/>
          <w:szCs w:val="24"/>
        </w:rPr>
        <w:t>,</w:t>
      </w:r>
      <w:r w:rsidRPr="00947A2D" w:rsidR="00C73342">
        <w:rPr>
          <w:sz w:val="24"/>
          <w:szCs w:val="24"/>
        </w:rPr>
        <w:t xml:space="preserve"> or short</w:t>
      </w:r>
      <w:r w:rsidRPr="00947A2D" w:rsidR="00121C75">
        <w:rPr>
          <w:sz w:val="24"/>
          <w:szCs w:val="24"/>
        </w:rPr>
        <w:t>-</w:t>
      </w:r>
      <w:r w:rsidRPr="00947A2D" w:rsidR="00C73342">
        <w:rPr>
          <w:sz w:val="24"/>
          <w:szCs w:val="24"/>
        </w:rPr>
        <w:t xml:space="preserve">barreled shotgun, </w:t>
      </w:r>
      <w:r>
        <w:rPr>
          <w:sz w:val="24"/>
          <w:szCs w:val="24"/>
        </w:rPr>
        <w:t xml:space="preserve">and who want </w:t>
      </w:r>
      <w:r w:rsidRPr="00947A2D" w:rsidR="00C73342">
        <w:rPr>
          <w:sz w:val="24"/>
          <w:szCs w:val="24"/>
        </w:rPr>
        <w:t xml:space="preserve">to </w:t>
      </w:r>
      <w:r w:rsidRPr="00947A2D" w:rsidR="00121C75">
        <w:rPr>
          <w:sz w:val="24"/>
          <w:szCs w:val="24"/>
        </w:rPr>
        <w:t xml:space="preserve">transport </w:t>
      </w:r>
      <w:r w:rsidRPr="00947A2D" w:rsidR="00C73342">
        <w:rPr>
          <w:sz w:val="24"/>
          <w:szCs w:val="24"/>
        </w:rPr>
        <w:t xml:space="preserve">the firearm interstate (either </w:t>
      </w:r>
      <w:r>
        <w:rPr>
          <w:sz w:val="24"/>
          <w:szCs w:val="24"/>
        </w:rPr>
        <w:t>long-term (</w:t>
      </w:r>
      <w:r w:rsidR="009C520E">
        <w:rPr>
          <w:sz w:val="24"/>
          <w:szCs w:val="24"/>
        </w:rPr>
        <w:t>over 365 days)</w:t>
      </w:r>
      <w:r w:rsidRPr="00947A2D" w:rsidR="00C73342">
        <w:rPr>
          <w:sz w:val="24"/>
          <w:szCs w:val="24"/>
        </w:rPr>
        <w:t xml:space="preserve"> or permanently)</w:t>
      </w:r>
      <w:r w:rsidR="009C520E">
        <w:rPr>
          <w:sz w:val="24"/>
          <w:szCs w:val="24"/>
        </w:rPr>
        <w:t xml:space="preserve"> or export it temporarily outside the country</w:t>
      </w:r>
      <w:r w:rsidR="00F44117">
        <w:rPr>
          <w:sz w:val="24"/>
          <w:szCs w:val="24"/>
        </w:rPr>
        <w:t xml:space="preserve">, must request ATF approval </w:t>
      </w:r>
      <w:r w:rsidR="005B71E1">
        <w:rPr>
          <w:sz w:val="24"/>
          <w:szCs w:val="24"/>
        </w:rPr>
        <w:t>using Form 20</w:t>
      </w:r>
      <w:r w:rsidRPr="00947A2D" w:rsidR="00121C75">
        <w:rPr>
          <w:sz w:val="24"/>
          <w:szCs w:val="24"/>
        </w:rPr>
        <w:t>. O</w:t>
      </w:r>
      <w:r w:rsidRPr="00947A2D" w:rsidR="00C73342">
        <w:rPr>
          <w:sz w:val="24"/>
          <w:szCs w:val="24"/>
        </w:rPr>
        <w:t>nce</w:t>
      </w:r>
      <w:r w:rsidRPr="00947A2D" w:rsidR="00121C75">
        <w:rPr>
          <w:sz w:val="24"/>
          <w:szCs w:val="24"/>
        </w:rPr>
        <w:t xml:space="preserve"> </w:t>
      </w:r>
      <w:r w:rsidR="002B6EE0">
        <w:rPr>
          <w:sz w:val="24"/>
          <w:szCs w:val="24"/>
        </w:rPr>
        <w:t xml:space="preserve">ATF </w:t>
      </w:r>
      <w:r w:rsidRPr="00947A2D" w:rsidR="00C73342">
        <w:rPr>
          <w:sz w:val="24"/>
          <w:szCs w:val="24"/>
        </w:rPr>
        <w:t>authoriz</w:t>
      </w:r>
      <w:r w:rsidR="002B6EE0">
        <w:rPr>
          <w:sz w:val="24"/>
          <w:szCs w:val="24"/>
        </w:rPr>
        <w:t>es the request</w:t>
      </w:r>
      <w:r w:rsidRPr="00947A2D" w:rsidR="00C73342">
        <w:rPr>
          <w:sz w:val="24"/>
          <w:szCs w:val="24"/>
        </w:rPr>
        <w:t xml:space="preserve">, </w:t>
      </w:r>
      <w:r w:rsidR="002B6EE0">
        <w:rPr>
          <w:sz w:val="24"/>
          <w:szCs w:val="24"/>
        </w:rPr>
        <w:t>it returns a</w:t>
      </w:r>
      <w:r w:rsidRPr="00947A2D" w:rsidR="00C73342">
        <w:rPr>
          <w:sz w:val="24"/>
          <w:szCs w:val="24"/>
        </w:rPr>
        <w:t xml:space="preserve"> </w:t>
      </w:r>
      <w:r w:rsidRPr="00947A2D" w:rsidR="00121C75">
        <w:rPr>
          <w:sz w:val="24"/>
          <w:szCs w:val="24"/>
        </w:rPr>
        <w:t>copy</w:t>
      </w:r>
      <w:r w:rsidRPr="00947A2D" w:rsidR="00C73342">
        <w:rPr>
          <w:sz w:val="24"/>
          <w:szCs w:val="24"/>
        </w:rPr>
        <w:t xml:space="preserve"> to the requestor</w:t>
      </w:r>
      <w:r w:rsidR="0067551E">
        <w:rPr>
          <w:sz w:val="24"/>
          <w:szCs w:val="24"/>
        </w:rPr>
        <w:t>,</w:t>
      </w:r>
      <w:r w:rsidRPr="00947A2D" w:rsidR="00C73342">
        <w:rPr>
          <w:sz w:val="24"/>
          <w:szCs w:val="24"/>
        </w:rPr>
        <w:t xml:space="preserve"> </w:t>
      </w:r>
      <w:r w:rsidRPr="00947A2D" w:rsidR="00121C75">
        <w:rPr>
          <w:sz w:val="24"/>
          <w:szCs w:val="24"/>
        </w:rPr>
        <w:t>confirming</w:t>
      </w:r>
      <w:r w:rsidRPr="00947A2D" w:rsidR="00C73342">
        <w:rPr>
          <w:sz w:val="24"/>
          <w:szCs w:val="24"/>
        </w:rPr>
        <w:t xml:space="preserve"> approval</w:t>
      </w:r>
      <w:r w:rsidRPr="00947A2D" w:rsidR="00121C75">
        <w:rPr>
          <w:sz w:val="24"/>
          <w:szCs w:val="24"/>
        </w:rPr>
        <w:t xml:space="preserve"> to transport or export a firearm</w:t>
      </w:r>
      <w:r w:rsidRPr="00947A2D" w:rsidR="00C73342">
        <w:rPr>
          <w:sz w:val="24"/>
          <w:szCs w:val="24"/>
        </w:rPr>
        <w:t>.</w:t>
      </w:r>
    </w:p>
    <w:p w:rsidR="00A16981" w:rsidRPr="00947A2D" w:rsidP="00545358" w14:paraId="5A04AA00" w14:textId="77777777">
      <w:pPr>
        <w:pStyle w:val="BodyText"/>
      </w:pPr>
    </w:p>
    <w:p w:rsidR="00A27B64" w:rsidRPr="00947A2D" w:rsidP="00545358" w14:paraId="6849C444" w14:textId="5EF25E76">
      <w:pPr>
        <w:pStyle w:val="BodyText"/>
      </w:pPr>
      <w:r w:rsidRPr="00947A2D">
        <w:t xml:space="preserve">ATF </w:t>
      </w:r>
      <w:r w:rsidR="005B71E1">
        <w:t>reviews</w:t>
      </w:r>
      <w:r w:rsidRPr="00947A2D">
        <w:t xml:space="preserve"> the information submitted on </w:t>
      </w:r>
      <w:r w:rsidR="005B71E1">
        <w:t>Form 20</w:t>
      </w:r>
      <w:r w:rsidRPr="00947A2D">
        <w:t>, ensure</w:t>
      </w:r>
      <w:r w:rsidR="002D74B0">
        <w:t>s</w:t>
      </w:r>
      <w:r w:rsidRPr="00947A2D">
        <w:t xml:space="preserve"> legality of the proposed transportation, and verif</w:t>
      </w:r>
      <w:r w:rsidR="002D74B0">
        <w:t>ies</w:t>
      </w:r>
      <w:r w:rsidRPr="00947A2D">
        <w:t xml:space="preserve"> </w:t>
      </w:r>
      <w:r w:rsidR="002D74B0">
        <w:t>that the</w:t>
      </w:r>
      <w:r w:rsidRPr="00947A2D">
        <w:t xml:space="preserve"> firearm</w:t>
      </w:r>
      <w:r w:rsidR="002D74B0">
        <w:t xml:space="preserve"> is registered in</w:t>
      </w:r>
      <w:r w:rsidRPr="00947A2D">
        <w:t xml:space="preserve"> the National Firearms Registration and Transfer Record. ATF </w:t>
      </w:r>
      <w:r w:rsidR="002D74B0">
        <w:t>also uses</w:t>
      </w:r>
      <w:r w:rsidRPr="00947A2D">
        <w:t xml:space="preserve"> the collected information to determine </w:t>
      </w:r>
      <w:r w:rsidR="00A74227">
        <w:t>whether firearms are being lawfully transported</w:t>
      </w:r>
      <w:r w:rsidRPr="00947A2D">
        <w:t>, and</w:t>
      </w:r>
      <w:r w:rsidR="00A74227">
        <w:t xml:space="preserve"> to</w:t>
      </w:r>
      <w:r w:rsidRPr="00947A2D">
        <w:t xml:space="preserve"> pursue criminal investigation</w:t>
      </w:r>
      <w:r w:rsidR="00A74227">
        <w:t>s</w:t>
      </w:r>
      <w:r w:rsidRPr="00947A2D">
        <w:t xml:space="preserve"> </w:t>
      </w:r>
      <w:r w:rsidR="00A74227">
        <w:t>on</w:t>
      </w:r>
      <w:r w:rsidRPr="00947A2D">
        <w:t xml:space="preserve"> unregistered NFA firearm</w:t>
      </w:r>
      <w:r w:rsidR="00A74227">
        <w:t>s</w:t>
      </w:r>
      <w:r w:rsidRPr="00947A2D">
        <w:t>.</w:t>
      </w:r>
    </w:p>
    <w:p w:rsidR="00A27B64" w:rsidRPr="00947A2D" w:rsidP="00545358" w14:paraId="278CB147" w14:textId="0A970A7E">
      <w:pPr>
        <w:pStyle w:val="BodyText"/>
      </w:pPr>
    </w:p>
    <w:p w:rsidR="00513502" w:rsidRPr="00947A2D" w:rsidP="00545358" w14:paraId="4BC3E2C8" w14:textId="18D6194C">
      <w:pPr>
        <w:tabs>
          <w:tab w:val="left" w:pos="1148"/>
        </w:tabs>
        <w:rPr>
          <w:sz w:val="24"/>
          <w:szCs w:val="24"/>
        </w:rPr>
      </w:pPr>
      <w:bookmarkStart w:id="2" w:name="_Hlk109394963"/>
      <w:r w:rsidRPr="00947A2D">
        <w:rPr>
          <w:b/>
          <w:bCs/>
          <w:sz w:val="24"/>
          <w:szCs w:val="24"/>
        </w:rPr>
        <w:t xml:space="preserve">3. Describe whether, and to what extent, the information collection involves using automated, electronic, mechanical, or other technological collection techniques or other forms of information technology, </w:t>
      </w:r>
      <w:r w:rsidRPr="00947A2D">
        <w:rPr>
          <w:b/>
          <w:bCs/>
          <w:i/>
          <w:iCs/>
          <w:sz w:val="24"/>
          <w:szCs w:val="24"/>
        </w:rPr>
        <w:t>e.g.</w:t>
      </w:r>
      <w:r w:rsidRPr="00947A2D">
        <w:rPr>
          <w:b/>
          <w:bCs/>
          <w:sz w:val="24"/>
          <w:szCs w:val="24"/>
        </w:rPr>
        <w:t>, permitting electronic submission of responses, and the basis for the decision for adopting this means of collection</w:t>
      </w:r>
      <w:r w:rsidR="00340237">
        <w:rPr>
          <w:b/>
          <w:bCs/>
          <w:sz w:val="24"/>
          <w:szCs w:val="24"/>
        </w:rPr>
        <w:t>.</w:t>
      </w:r>
    </w:p>
    <w:p w:rsidR="00513502" w:rsidRPr="00947A2D" w:rsidP="00545358" w14:paraId="662DA27F" w14:textId="77777777">
      <w:pPr>
        <w:pStyle w:val="ListParagraph"/>
        <w:tabs>
          <w:tab w:val="left" w:pos="1148"/>
        </w:tabs>
        <w:ind w:left="0" w:firstLine="0"/>
        <w:rPr>
          <w:sz w:val="24"/>
          <w:szCs w:val="24"/>
        </w:rPr>
      </w:pPr>
    </w:p>
    <w:p w:rsidR="00A27B64" w:rsidRPr="00947A2D" w:rsidP="00545358" w14:paraId="60DB0792" w14:textId="202475E1">
      <w:pPr>
        <w:pStyle w:val="ListParagraph"/>
        <w:tabs>
          <w:tab w:val="left" w:pos="1148"/>
        </w:tabs>
        <w:ind w:left="0" w:firstLine="0"/>
        <w:rPr>
          <w:sz w:val="24"/>
          <w:szCs w:val="24"/>
        </w:rPr>
      </w:pPr>
      <w:r>
        <w:rPr>
          <w:sz w:val="24"/>
          <w:szCs w:val="24"/>
        </w:rPr>
        <w:t xml:space="preserve">Form </w:t>
      </w:r>
      <w:r w:rsidRPr="00947A2D" w:rsidR="00C73342">
        <w:rPr>
          <w:sz w:val="24"/>
          <w:szCs w:val="24"/>
        </w:rPr>
        <w:t>20</w:t>
      </w:r>
      <w:bookmarkEnd w:id="2"/>
      <w:r w:rsidRPr="00947A2D" w:rsidR="00C73342">
        <w:rPr>
          <w:sz w:val="24"/>
          <w:szCs w:val="24"/>
        </w:rPr>
        <w:t xml:space="preserve"> is available </w:t>
      </w:r>
      <w:r>
        <w:rPr>
          <w:sz w:val="24"/>
          <w:szCs w:val="24"/>
        </w:rPr>
        <w:t>and electronically downloadable from</w:t>
      </w:r>
      <w:r w:rsidRPr="00947A2D" w:rsidR="00C73342">
        <w:rPr>
          <w:sz w:val="24"/>
          <w:szCs w:val="24"/>
        </w:rPr>
        <w:t xml:space="preserve"> the ATF website. It is fillable and can be submitted by </w:t>
      </w:r>
      <w:r>
        <w:rPr>
          <w:sz w:val="24"/>
          <w:szCs w:val="24"/>
        </w:rPr>
        <w:t>e</w:t>
      </w:r>
      <w:r w:rsidRPr="00947A2D" w:rsidR="00C73342">
        <w:rPr>
          <w:sz w:val="24"/>
          <w:szCs w:val="24"/>
        </w:rPr>
        <w:t xml:space="preserve">mail. </w:t>
      </w:r>
      <w:r>
        <w:rPr>
          <w:sz w:val="24"/>
          <w:szCs w:val="24"/>
        </w:rPr>
        <w:t xml:space="preserve">Form </w:t>
      </w:r>
      <w:r w:rsidRPr="00947A2D" w:rsidR="007C7728">
        <w:rPr>
          <w:sz w:val="24"/>
          <w:szCs w:val="24"/>
        </w:rPr>
        <w:t xml:space="preserve">20 </w:t>
      </w:r>
      <w:r w:rsidRPr="00947A2D" w:rsidR="00C73342">
        <w:rPr>
          <w:sz w:val="24"/>
          <w:szCs w:val="24"/>
        </w:rPr>
        <w:t xml:space="preserve">is currently </w:t>
      </w:r>
      <w:r>
        <w:rPr>
          <w:sz w:val="24"/>
          <w:szCs w:val="24"/>
        </w:rPr>
        <w:t>being added to ATF’s online forms platform,</w:t>
      </w:r>
      <w:r w:rsidRPr="00947A2D" w:rsidR="00C73342">
        <w:rPr>
          <w:sz w:val="24"/>
          <w:szCs w:val="24"/>
        </w:rPr>
        <w:t xml:space="preserve"> </w:t>
      </w:r>
      <w:r w:rsidRPr="00947A2D" w:rsidR="00C73342">
        <w:rPr>
          <w:sz w:val="24"/>
          <w:szCs w:val="24"/>
        </w:rPr>
        <w:t>eForm</w:t>
      </w:r>
      <w:r>
        <w:rPr>
          <w:sz w:val="24"/>
          <w:szCs w:val="24"/>
        </w:rPr>
        <w:t>s</w:t>
      </w:r>
      <w:r w:rsidRPr="00947A2D" w:rsidR="00C73342">
        <w:rPr>
          <w:sz w:val="24"/>
          <w:szCs w:val="24"/>
        </w:rPr>
        <w:t xml:space="preserve">, </w:t>
      </w:r>
      <w:r>
        <w:rPr>
          <w:sz w:val="24"/>
          <w:szCs w:val="24"/>
        </w:rPr>
        <w:t>and</w:t>
      </w:r>
      <w:r w:rsidR="008460B4">
        <w:rPr>
          <w:sz w:val="24"/>
          <w:szCs w:val="24"/>
        </w:rPr>
        <w:t xml:space="preserve"> will be available as an </w:t>
      </w:r>
      <w:r w:rsidR="008460B4">
        <w:rPr>
          <w:sz w:val="24"/>
          <w:szCs w:val="24"/>
        </w:rPr>
        <w:t>eForm</w:t>
      </w:r>
      <w:r w:rsidR="008460B4">
        <w:rPr>
          <w:sz w:val="24"/>
          <w:szCs w:val="24"/>
        </w:rPr>
        <w:t xml:space="preserve"> by the renewal date for this ICR. As a result, ATF expects all Form 20s to be submitted electronically during the next three years, following the same pattern as </w:t>
      </w:r>
      <w:r w:rsidR="008460B4">
        <w:rPr>
          <w:sz w:val="24"/>
          <w:szCs w:val="24"/>
        </w:rPr>
        <w:t xml:space="preserve">previous forms </w:t>
      </w:r>
      <w:r w:rsidR="00EB547A">
        <w:rPr>
          <w:sz w:val="24"/>
          <w:szCs w:val="24"/>
        </w:rPr>
        <w:t xml:space="preserve">made electronically fillable and </w:t>
      </w:r>
      <w:r w:rsidR="008460B4">
        <w:rPr>
          <w:sz w:val="24"/>
          <w:szCs w:val="24"/>
        </w:rPr>
        <w:t xml:space="preserve">added to </w:t>
      </w:r>
      <w:r w:rsidR="008460B4">
        <w:rPr>
          <w:sz w:val="24"/>
          <w:szCs w:val="24"/>
        </w:rPr>
        <w:t>eForms</w:t>
      </w:r>
      <w:r w:rsidR="008460B4">
        <w:rPr>
          <w:sz w:val="24"/>
          <w:szCs w:val="24"/>
        </w:rPr>
        <w:t>.</w:t>
      </w:r>
      <w:r w:rsidR="00EB547A">
        <w:rPr>
          <w:sz w:val="24"/>
          <w:szCs w:val="24"/>
        </w:rPr>
        <w:t xml:space="preserve"> Although persons used to have to fill the form out in duplicate, both the fillable form and the </w:t>
      </w:r>
      <w:r w:rsidR="00EB547A">
        <w:rPr>
          <w:sz w:val="24"/>
          <w:szCs w:val="24"/>
        </w:rPr>
        <w:t>eForm</w:t>
      </w:r>
      <w:r w:rsidR="00EB547A">
        <w:rPr>
          <w:sz w:val="24"/>
          <w:szCs w:val="24"/>
        </w:rPr>
        <w:t xml:space="preserve"> </w:t>
      </w:r>
      <w:r w:rsidR="00EF67CF">
        <w:rPr>
          <w:sz w:val="24"/>
          <w:szCs w:val="24"/>
        </w:rPr>
        <w:t>automatically fill out the second copy, thereby eliminating the burden of completing the form twice</w:t>
      </w:r>
      <w:r w:rsidR="007B68B1">
        <w:rPr>
          <w:sz w:val="24"/>
          <w:szCs w:val="24"/>
        </w:rPr>
        <w:t>, in addition to eliminating mailing time and costs.</w:t>
      </w:r>
    </w:p>
    <w:p w:rsidR="00A27B64" w:rsidRPr="00947A2D" w:rsidP="00545358" w14:paraId="4DBE492D" w14:textId="77777777">
      <w:pPr>
        <w:pStyle w:val="BodyText"/>
      </w:pPr>
    </w:p>
    <w:p w:rsidR="00BB34CF" w:rsidRPr="00947A2D" w:rsidP="00545358" w14:paraId="45C79CD9" w14:textId="44865BBC">
      <w:pPr>
        <w:tabs>
          <w:tab w:val="left" w:pos="1148"/>
        </w:tabs>
        <w:rPr>
          <w:sz w:val="24"/>
          <w:szCs w:val="24"/>
        </w:rPr>
      </w:pPr>
      <w:r>
        <w:rPr>
          <w:b/>
          <w:bCs/>
          <w:sz w:val="24"/>
          <w:szCs w:val="24"/>
        </w:rPr>
        <w:t xml:space="preserve">4. </w:t>
      </w:r>
      <w:r w:rsidRPr="00947A2D" w:rsidR="00A71FC1">
        <w:rPr>
          <w:b/>
          <w:bCs/>
          <w:sz w:val="24"/>
          <w:szCs w:val="24"/>
        </w:rPr>
        <w:t>Describe effor</w:t>
      </w:r>
      <w:r w:rsidRPr="00947A2D" w:rsidR="002E5B6F">
        <w:rPr>
          <w:b/>
          <w:bCs/>
          <w:sz w:val="24"/>
          <w:szCs w:val="24"/>
        </w:rPr>
        <w:t>t</w:t>
      </w:r>
      <w:r w:rsidRPr="00947A2D" w:rsidR="00A71FC1">
        <w:rPr>
          <w:b/>
          <w:bCs/>
          <w:sz w:val="24"/>
          <w:szCs w:val="24"/>
        </w:rPr>
        <w:t>s to identify duplication.</w:t>
      </w:r>
    </w:p>
    <w:p w:rsidR="00BB34CF" w:rsidRPr="00947A2D" w:rsidP="00545358" w14:paraId="7B8F406F" w14:textId="77777777">
      <w:pPr>
        <w:pStyle w:val="ListParagraph"/>
        <w:tabs>
          <w:tab w:val="left" w:pos="1148"/>
        </w:tabs>
        <w:ind w:left="0" w:firstLine="0"/>
        <w:rPr>
          <w:sz w:val="24"/>
          <w:szCs w:val="24"/>
        </w:rPr>
      </w:pPr>
    </w:p>
    <w:p w:rsidR="00F64742" w:rsidP="00545358" w14:paraId="7296C2F9" w14:textId="13E2FBC3">
      <w:pPr>
        <w:tabs>
          <w:tab w:val="left" w:pos="1148"/>
        </w:tabs>
        <w:rPr>
          <w:sz w:val="24"/>
          <w:szCs w:val="24"/>
        </w:rPr>
      </w:pPr>
      <w:r w:rsidRPr="00F64742">
        <w:rPr>
          <w:sz w:val="24"/>
          <w:szCs w:val="24"/>
        </w:rPr>
        <w:t xml:space="preserve">This information is not duplicative and requires a person to submit information relevant to the lawfulness of their request to </w:t>
      </w:r>
      <w:r>
        <w:rPr>
          <w:sz w:val="24"/>
          <w:szCs w:val="24"/>
        </w:rPr>
        <w:t>transport</w:t>
      </w:r>
      <w:r w:rsidRPr="00F64742">
        <w:rPr>
          <w:sz w:val="24"/>
          <w:szCs w:val="24"/>
        </w:rPr>
        <w:t xml:space="preserve"> a firearm</w:t>
      </w:r>
      <w:r w:rsidR="00766B46">
        <w:rPr>
          <w:sz w:val="24"/>
          <w:szCs w:val="24"/>
        </w:rPr>
        <w:t xml:space="preserve"> on a case-by-case basis</w:t>
      </w:r>
      <w:r w:rsidRPr="00F64742">
        <w:rPr>
          <w:sz w:val="24"/>
          <w:szCs w:val="24"/>
        </w:rPr>
        <w:t>. As a result, each applicant must provide unique information for each application, and it is not possible to use that information for other purposes</w:t>
      </w:r>
      <w:r w:rsidR="00766B46">
        <w:rPr>
          <w:sz w:val="24"/>
          <w:szCs w:val="24"/>
        </w:rPr>
        <w:t xml:space="preserve"> or at later dates</w:t>
      </w:r>
      <w:r w:rsidRPr="00F64742">
        <w:rPr>
          <w:sz w:val="24"/>
          <w:szCs w:val="24"/>
        </w:rPr>
        <w:t>. ATF uses a uniform subject classification system to identify duplication and to ensure that any similar information already available cannot be used or modified for use in this information collection before establishing the collection.</w:t>
      </w:r>
    </w:p>
    <w:p w:rsidR="00F64742" w:rsidP="00545358" w14:paraId="788C3FA3" w14:textId="77777777">
      <w:pPr>
        <w:tabs>
          <w:tab w:val="left" w:pos="1148"/>
        </w:tabs>
        <w:rPr>
          <w:sz w:val="24"/>
          <w:szCs w:val="24"/>
        </w:rPr>
      </w:pPr>
    </w:p>
    <w:p w:rsidR="004753E6" w:rsidRPr="00947A2D" w:rsidP="00545358" w14:paraId="78C81D9B" w14:textId="60B1748E">
      <w:pPr>
        <w:tabs>
          <w:tab w:val="left" w:pos="1148"/>
        </w:tabs>
        <w:rPr>
          <w:sz w:val="24"/>
          <w:szCs w:val="24"/>
        </w:rPr>
      </w:pPr>
      <w:r>
        <w:rPr>
          <w:b/>
          <w:bCs/>
          <w:sz w:val="24"/>
          <w:szCs w:val="24"/>
        </w:rPr>
        <w:t xml:space="preserve">5. </w:t>
      </w:r>
      <w:r w:rsidRPr="00947A2D">
        <w:rPr>
          <w:b/>
          <w:bCs/>
          <w:sz w:val="24"/>
          <w:szCs w:val="24"/>
        </w:rPr>
        <w:t>If the information collection impacts small businesses or other small entities, describe any methods used to minimize burden.</w:t>
      </w:r>
    </w:p>
    <w:p w:rsidR="00562C3F" w:rsidRPr="00947A2D" w:rsidP="00545358" w14:paraId="594A31CB" w14:textId="77777777">
      <w:pPr>
        <w:tabs>
          <w:tab w:val="left" w:pos="1148"/>
        </w:tabs>
        <w:rPr>
          <w:sz w:val="24"/>
          <w:szCs w:val="24"/>
        </w:rPr>
      </w:pPr>
    </w:p>
    <w:p w:rsidR="00AC49D1" w:rsidRPr="00947A2D" w:rsidP="00545358" w14:paraId="49CF1CB1" w14:textId="099059DA">
      <w:pPr>
        <w:tabs>
          <w:tab w:val="left" w:pos="1148"/>
        </w:tabs>
        <w:rPr>
          <w:sz w:val="24"/>
          <w:szCs w:val="24"/>
        </w:rPr>
      </w:pPr>
      <w:r w:rsidRPr="00947A2D">
        <w:rPr>
          <w:sz w:val="24"/>
          <w:szCs w:val="24"/>
        </w:rPr>
        <w:t xml:space="preserve">This </w:t>
      </w:r>
      <w:r w:rsidRPr="00947A2D" w:rsidR="003D4A54">
        <w:rPr>
          <w:sz w:val="24"/>
          <w:szCs w:val="24"/>
        </w:rPr>
        <w:t>information collection does not have a significant impact on small entities.</w:t>
      </w:r>
      <w:r w:rsidRPr="00947A2D" w:rsidR="00CA6617">
        <w:rPr>
          <w:sz w:val="24"/>
          <w:szCs w:val="24"/>
        </w:rPr>
        <w:tab/>
      </w:r>
    </w:p>
    <w:p w:rsidR="00562C3F" w:rsidRPr="00947A2D" w:rsidP="00545358" w14:paraId="210536D3" w14:textId="6D7079DE">
      <w:pPr>
        <w:pStyle w:val="BodyText"/>
      </w:pPr>
      <w:r w:rsidRPr="00947A2D">
        <w:tab/>
      </w:r>
      <w:r w:rsidRPr="00947A2D" w:rsidR="00A55006">
        <w:t xml:space="preserve"> </w:t>
      </w:r>
    </w:p>
    <w:p w:rsidR="00C420B9" w:rsidRPr="00947A2D" w:rsidP="00545358" w14:paraId="31850D67" w14:textId="67EB4DD5">
      <w:pPr>
        <w:rPr>
          <w:b/>
          <w:bCs/>
          <w:sz w:val="24"/>
          <w:szCs w:val="24"/>
        </w:rPr>
      </w:pPr>
      <w:r>
        <w:rPr>
          <w:b/>
          <w:bCs/>
          <w:sz w:val="24"/>
          <w:szCs w:val="24"/>
        </w:rPr>
        <w:t xml:space="preserve">6. </w:t>
      </w:r>
      <w:r w:rsidRPr="00947A2D" w:rsidR="00B1628D">
        <w:rPr>
          <w:b/>
          <w:bCs/>
          <w:sz w:val="24"/>
          <w:szCs w:val="24"/>
        </w:rPr>
        <w:t>Describe the consequence</w:t>
      </w:r>
      <w:r w:rsidRPr="00947A2D" w:rsidR="00F7644B">
        <w:rPr>
          <w:b/>
          <w:bCs/>
          <w:sz w:val="24"/>
          <w:szCs w:val="24"/>
        </w:rPr>
        <w:t>s</w:t>
      </w:r>
      <w:r w:rsidRPr="00947A2D" w:rsidR="00397329">
        <w:rPr>
          <w:b/>
          <w:bCs/>
          <w:sz w:val="24"/>
          <w:szCs w:val="24"/>
        </w:rPr>
        <w:t xml:space="preserve"> to federal programs or policy</w:t>
      </w:r>
      <w:r w:rsidRPr="00947A2D" w:rsidR="00B1628D">
        <w:rPr>
          <w:b/>
          <w:bCs/>
          <w:sz w:val="24"/>
          <w:szCs w:val="24"/>
        </w:rPr>
        <w:t xml:space="preserve"> to </w:t>
      </w:r>
      <w:r w:rsidRPr="00947A2D" w:rsidR="00C11F06">
        <w:rPr>
          <w:b/>
          <w:bCs/>
          <w:sz w:val="24"/>
          <w:szCs w:val="24"/>
        </w:rPr>
        <w:t>activities if the collec</w:t>
      </w:r>
      <w:r w:rsidRPr="00947A2D" w:rsidR="005F14FB">
        <w:rPr>
          <w:b/>
          <w:bCs/>
          <w:sz w:val="24"/>
          <w:szCs w:val="24"/>
        </w:rPr>
        <w:t xml:space="preserve">tion </w:t>
      </w:r>
      <w:r w:rsidRPr="00947A2D" w:rsidR="00F0692A">
        <w:rPr>
          <w:b/>
          <w:bCs/>
          <w:sz w:val="24"/>
          <w:szCs w:val="24"/>
        </w:rPr>
        <w:t>is not conducted or is conducted less frequ</w:t>
      </w:r>
      <w:r w:rsidRPr="00947A2D" w:rsidR="001B0C77">
        <w:rPr>
          <w:b/>
          <w:bCs/>
          <w:sz w:val="24"/>
          <w:szCs w:val="24"/>
        </w:rPr>
        <w:t>ently</w:t>
      </w:r>
      <w:r w:rsidRPr="00947A2D" w:rsidR="00ED6F16">
        <w:rPr>
          <w:b/>
          <w:bCs/>
          <w:sz w:val="24"/>
          <w:szCs w:val="24"/>
        </w:rPr>
        <w:t>, as well as any technical or legal obstacles</w:t>
      </w:r>
      <w:r w:rsidRPr="00947A2D" w:rsidR="00DC40B5">
        <w:rPr>
          <w:b/>
          <w:bCs/>
          <w:sz w:val="24"/>
          <w:szCs w:val="24"/>
        </w:rPr>
        <w:t xml:space="preserve"> to reducin</w:t>
      </w:r>
      <w:r w:rsidRPr="00947A2D">
        <w:rPr>
          <w:b/>
          <w:bCs/>
          <w:sz w:val="24"/>
          <w:szCs w:val="24"/>
        </w:rPr>
        <w:t>g burden.</w:t>
      </w:r>
    </w:p>
    <w:p w:rsidR="0029792A" w:rsidRPr="00947A2D" w:rsidP="00545358" w14:paraId="1D031E11" w14:textId="77777777">
      <w:pPr>
        <w:pStyle w:val="ListParagraph"/>
        <w:ind w:left="0" w:firstLine="0"/>
        <w:rPr>
          <w:b/>
          <w:bCs/>
          <w:sz w:val="24"/>
          <w:szCs w:val="24"/>
        </w:rPr>
      </w:pPr>
    </w:p>
    <w:p w:rsidR="00736596" w:rsidP="00545358" w14:paraId="3CA26B38" w14:textId="2DF4A850">
      <w:pPr>
        <w:rPr>
          <w:sz w:val="24"/>
          <w:szCs w:val="24"/>
        </w:rPr>
      </w:pPr>
      <w:r w:rsidRPr="00736596">
        <w:rPr>
          <w:sz w:val="24"/>
          <w:szCs w:val="24"/>
        </w:rPr>
        <w:t xml:space="preserve">Without this information collection, firearms could be </w:t>
      </w:r>
      <w:r>
        <w:rPr>
          <w:sz w:val="24"/>
          <w:szCs w:val="24"/>
        </w:rPr>
        <w:t>transported illegally</w:t>
      </w:r>
      <w:r w:rsidR="00B82645">
        <w:rPr>
          <w:sz w:val="24"/>
          <w:szCs w:val="24"/>
        </w:rPr>
        <w:t xml:space="preserve"> or</w:t>
      </w:r>
      <w:r w:rsidRPr="00736596">
        <w:rPr>
          <w:sz w:val="24"/>
          <w:szCs w:val="24"/>
        </w:rPr>
        <w:t xml:space="preserve"> to </w:t>
      </w:r>
      <w:r w:rsidR="00B82645">
        <w:rPr>
          <w:sz w:val="24"/>
          <w:szCs w:val="24"/>
        </w:rPr>
        <w:t>places where it would</w:t>
      </w:r>
      <w:r w:rsidRPr="00736596">
        <w:rPr>
          <w:sz w:val="24"/>
          <w:szCs w:val="24"/>
        </w:rPr>
        <w:t xml:space="preserve"> violate the law and present a public safety risk. Because a person’s status can change over time, the frequency cannot be reduced – they must submit the information each time they want to </w:t>
      </w:r>
      <w:r w:rsidR="00B82645">
        <w:rPr>
          <w:sz w:val="24"/>
          <w:szCs w:val="24"/>
        </w:rPr>
        <w:t>transport</w:t>
      </w:r>
      <w:r w:rsidRPr="00736596">
        <w:rPr>
          <w:sz w:val="24"/>
          <w:szCs w:val="24"/>
        </w:rPr>
        <w:t xml:space="preserve"> an NFA firearm</w:t>
      </w:r>
      <w:r w:rsidR="00AA3661">
        <w:rPr>
          <w:sz w:val="24"/>
          <w:szCs w:val="24"/>
        </w:rPr>
        <w:t xml:space="preserve"> for long-term or permanent purposes, or outside the country</w:t>
      </w:r>
      <w:r w:rsidRPr="00736596">
        <w:rPr>
          <w:sz w:val="24"/>
          <w:szCs w:val="24"/>
        </w:rPr>
        <w:t xml:space="preserve">. The statute also requires that they must </w:t>
      </w:r>
      <w:r w:rsidR="00AA3661">
        <w:rPr>
          <w:sz w:val="24"/>
          <w:szCs w:val="24"/>
        </w:rPr>
        <w:t>request approval to transport NFA firearms</w:t>
      </w:r>
      <w:r w:rsidRPr="00736596">
        <w:rPr>
          <w:sz w:val="24"/>
          <w:szCs w:val="24"/>
        </w:rPr>
        <w:t>.</w:t>
      </w:r>
    </w:p>
    <w:p w:rsidR="006D1115" w:rsidRPr="00947A2D" w:rsidP="00545358" w14:paraId="5E6FEE88" w14:textId="77777777">
      <w:pPr>
        <w:pStyle w:val="ListParagraph"/>
        <w:ind w:left="0" w:firstLine="0"/>
        <w:rPr>
          <w:sz w:val="24"/>
          <w:szCs w:val="24"/>
        </w:rPr>
      </w:pPr>
    </w:p>
    <w:p w:rsidR="004D097F" w:rsidRPr="00947A2D" w:rsidP="00545358" w14:paraId="28BEA47F" w14:textId="2AC42D48">
      <w:pPr>
        <w:rPr>
          <w:b/>
          <w:bCs/>
          <w:sz w:val="24"/>
          <w:szCs w:val="24"/>
        </w:rPr>
      </w:pPr>
      <w:r>
        <w:rPr>
          <w:b/>
          <w:bCs/>
          <w:sz w:val="24"/>
          <w:szCs w:val="24"/>
        </w:rPr>
        <w:t xml:space="preserve">7. </w:t>
      </w:r>
      <w:r w:rsidRPr="00947A2D" w:rsidR="001F20F7">
        <w:rPr>
          <w:b/>
          <w:bCs/>
          <w:sz w:val="24"/>
          <w:szCs w:val="24"/>
        </w:rPr>
        <w:t xml:space="preserve">Explain </w:t>
      </w:r>
      <w:r w:rsidRPr="00947A2D" w:rsidR="00E11C12">
        <w:rPr>
          <w:b/>
          <w:bCs/>
          <w:sz w:val="24"/>
          <w:szCs w:val="24"/>
        </w:rPr>
        <w:t>any special circumstances that would cause the information collection to be conducted in a manner inconsistent with 5 CFR 1320.6.</w:t>
      </w:r>
    </w:p>
    <w:p w:rsidR="004D097F" w:rsidRPr="00947A2D" w:rsidP="00545358" w14:paraId="7DDF4B0D" w14:textId="77777777">
      <w:pPr>
        <w:pStyle w:val="ListParagraph"/>
        <w:ind w:left="0" w:firstLine="0"/>
        <w:rPr>
          <w:b/>
          <w:bCs/>
          <w:sz w:val="24"/>
          <w:szCs w:val="24"/>
        </w:rPr>
      </w:pPr>
    </w:p>
    <w:p w:rsidR="00894902" w:rsidRPr="00894902" w:rsidP="00545358" w14:paraId="67076CDD" w14:textId="244C9631">
      <w:pPr>
        <w:pStyle w:val="ListParagraph"/>
        <w:ind w:left="0" w:firstLine="0"/>
        <w:rPr>
          <w:sz w:val="24"/>
          <w:szCs w:val="24"/>
        </w:rPr>
      </w:pPr>
      <w:r w:rsidRPr="00894902">
        <w:rPr>
          <w:sz w:val="24"/>
          <w:szCs w:val="24"/>
          <w:u w:val="single"/>
        </w:rPr>
        <w:t>Requiring respondents to report information to the agency more often than quarterly</w:t>
      </w:r>
      <w:r w:rsidRPr="00894902">
        <w:rPr>
          <w:sz w:val="24"/>
          <w:szCs w:val="24"/>
        </w:rPr>
        <w:t>: Although ATF does not require respondents to report information at any established frequency</w:t>
      </w:r>
      <w:r w:rsidR="006C00A1">
        <w:rPr>
          <w:sz w:val="24"/>
          <w:szCs w:val="24"/>
        </w:rPr>
        <w:t xml:space="preserve"> under this ICR</w:t>
      </w:r>
      <w:r w:rsidRPr="00894902">
        <w:rPr>
          <w:sz w:val="24"/>
          <w:szCs w:val="24"/>
        </w:rPr>
        <w:t xml:space="preserve">, the frequency is determined by how often any given person wants to </w:t>
      </w:r>
      <w:r>
        <w:rPr>
          <w:sz w:val="24"/>
          <w:szCs w:val="24"/>
        </w:rPr>
        <w:t>transport</w:t>
      </w:r>
      <w:r w:rsidRPr="00894902">
        <w:rPr>
          <w:sz w:val="24"/>
          <w:szCs w:val="24"/>
        </w:rPr>
        <w:t xml:space="preserve"> an NFA firearm</w:t>
      </w:r>
      <w:r>
        <w:rPr>
          <w:sz w:val="24"/>
          <w:szCs w:val="24"/>
        </w:rPr>
        <w:t xml:space="preserve"> across state lines for long-term or permanent relocation, or </w:t>
      </w:r>
      <w:r w:rsidR="006C00A1">
        <w:rPr>
          <w:sz w:val="24"/>
          <w:szCs w:val="24"/>
        </w:rPr>
        <w:t xml:space="preserve">temporarily </w:t>
      </w:r>
      <w:r>
        <w:rPr>
          <w:sz w:val="24"/>
          <w:szCs w:val="24"/>
        </w:rPr>
        <w:t>outside the country</w:t>
      </w:r>
      <w:r w:rsidRPr="00894902">
        <w:rPr>
          <w:sz w:val="24"/>
          <w:szCs w:val="24"/>
        </w:rPr>
        <w:t>. It is possible therefore that submitting an application to ATF might occur more than quarterly if a person applies more than once and during different quarters of the year.  </w:t>
      </w:r>
    </w:p>
    <w:p w:rsidR="00894902" w:rsidRPr="00894902" w:rsidP="00545358" w14:paraId="22E846EF" w14:textId="77777777">
      <w:pPr>
        <w:pStyle w:val="ListParagraph"/>
        <w:ind w:left="0" w:firstLine="0"/>
        <w:rPr>
          <w:sz w:val="24"/>
          <w:szCs w:val="24"/>
        </w:rPr>
      </w:pPr>
      <w:r w:rsidRPr="00894902">
        <w:rPr>
          <w:sz w:val="24"/>
          <w:szCs w:val="24"/>
        </w:rPr>
        <w:t> </w:t>
      </w:r>
    </w:p>
    <w:p w:rsidR="00894902" w:rsidRPr="00894902" w:rsidP="00545358" w14:paraId="1FA1E31F" w14:textId="77777777">
      <w:pPr>
        <w:pStyle w:val="ListParagraph"/>
        <w:ind w:left="0" w:firstLine="0"/>
        <w:rPr>
          <w:sz w:val="24"/>
          <w:szCs w:val="24"/>
        </w:rPr>
      </w:pPr>
      <w:r w:rsidRPr="00894902">
        <w:rPr>
          <w:sz w:val="24"/>
          <w:szCs w:val="24"/>
        </w:rPr>
        <w:t>There are no other special circumstances associated with this information collection, which is otherwise conducted in a manner consistent with 5 CFR 1320.6.</w:t>
      </w:r>
    </w:p>
    <w:p w:rsidR="00797CDE" w:rsidRPr="00B856A2" w:rsidP="00545358" w14:paraId="5D4B5911" w14:textId="77777777">
      <w:pPr>
        <w:pStyle w:val="ListParagraph"/>
        <w:ind w:left="0" w:firstLine="0"/>
        <w:rPr>
          <w:sz w:val="24"/>
          <w:szCs w:val="24"/>
        </w:rPr>
      </w:pPr>
    </w:p>
    <w:p w:rsidR="000F64D8" w:rsidRPr="00947A2D" w:rsidP="00545358" w14:paraId="5D4EFB64" w14:textId="1075DABE">
      <w:pPr>
        <w:rPr>
          <w:b/>
          <w:bCs/>
          <w:sz w:val="24"/>
          <w:szCs w:val="24"/>
        </w:rPr>
      </w:pPr>
      <w:r>
        <w:rPr>
          <w:b/>
          <w:bCs/>
          <w:sz w:val="24"/>
          <w:szCs w:val="24"/>
        </w:rPr>
        <w:t xml:space="preserve">8. </w:t>
      </w:r>
      <w:r w:rsidRPr="00947A2D" w:rsidR="00F171C4">
        <w:rPr>
          <w:b/>
          <w:bCs/>
          <w:sz w:val="24"/>
          <w:szCs w:val="24"/>
        </w:rPr>
        <w:t xml:space="preserve">If applicable, provide a copy, and </w:t>
      </w:r>
      <w:r w:rsidRPr="003D6C09" w:rsidR="00F171C4">
        <w:rPr>
          <w:b/>
          <w:bCs/>
          <w:sz w:val="24"/>
          <w:szCs w:val="24"/>
        </w:rPr>
        <w:t>ident</w:t>
      </w:r>
      <w:r w:rsidR="003D6C09">
        <w:rPr>
          <w:b/>
          <w:bCs/>
          <w:sz w:val="24"/>
          <w:szCs w:val="24"/>
        </w:rPr>
        <w:t>ify t</w:t>
      </w:r>
      <w:r w:rsidRPr="00947A2D" w:rsidR="00C75C28">
        <w:rPr>
          <w:b/>
          <w:bCs/>
          <w:sz w:val="24"/>
          <w:szCs w:val="24"/>
        </w:rPr>
        <w:t xml:space="preserve">he date and page number, of the agency’s notice published in the </w:t>
      </w:r>
      <w:r w:rsidRPr="00947A2D" w:rsidR="00C75C28">
        <w:rPr>
          <w:b/>
          <w:bCs/>
          <w:i/>
          <w:iCs/>
          <w:sz w:val="24"/>
          <w:szCs w:val="24"/>
        </w:rPr>
        <w:t>Federal Regi</w:t>
      </w:r>
      <w:r w:rsidRPr="00947A2D" w:rsidR="00FA4C1A">
        <w:rPr>
          <w:b/>
          <w:bCs/>
          <w:i/>
          <w:iCs/>
          <w:sz w:val="24"/>
          <w:szCs w:val="24"/>
        </w:rPr>
        <w:t>ster</w:t>
      </w:r>
      <w:r w:rsidRPr="00947A2D" w:rsidR="00FA4C1A">
        <w:rPr>
          <w:b/>
          <w:bCs/>
          <w:sz w:val="24"/>
          <w:szCs w:val="24"/>
        </w:rPr>
        <w:t>, as required by 5 CFR 1320.8(d), soliciting comments on the information collection prior to submission</w:t>
      </w:r>
      <w:r w:rsidRPr="00947A2D" w:rsidR="009A280E">
        <w:rPr>
          <w:b/>
          <w:bCs/>
          <w:sz w:val="24"/>
          <w:szCs w:val="24"/>
        </w:rPr>
        <w:t xml:space="preserve"> to OMB</w:t>
      </w:r>
      <w:r w:rsidRPr="00947A2D">
        <w:rPr>
          <w:b/>
          <w:bCs/>
          <w:sz w:val="24"/>
          <w:szCs w:val="24"/>
        </w:rPr>
        <w:t>.</w:t>
      </w:r>
    </w:p>
    <w:p w:rsidR="004D097F" w:rsidRPr="00947A2D" w:rsidP="00545358" w14:paraId="3CE21872" w14:textId="77777777">
      <w:pPr>
        <w:pStyle w:val="ListParagraph"/>
        <w:ind w:left="0" w:firstLine="0"/>
        <w:rPr>
          <w:b/>
          <w:bCs/>
          <w:sz w:val="24"/>
          <w:szCs w:val="24"/>
        </w:rPr>
      </w:pPr>
    </w:p>
    <w:p w:rsidR="0047221B" w:rsidRPr="0047221B" w:rsidP="00545358" w14:paraId="601D7AEF" w14:textId="76AC580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47221B">
        <w:rPr>
          <w:sz w:val="24"/>
          <w:szCs w:val="24"/>
        </w:rPr>
        <w:t xml:space="preserve">The 60-day notice was published in the </w:t>
      </w:r>
      <w:r w:rsidRPr="0047221B">
        <w:rPr>
          <w:i/>
          <w:iCs/>
          <w:sz w:val="24"/>
          <w:szCs w:val="24"/>
        </w:rPr>
        <w:t>Federal Register</w:t>
      </w:r>
      <w:r w:rsidRPr="0047221B">
        <w:rPr>
          <w:sz w:val="24"/>
          <w:szCs w:val="24"/>
        </w:rPr>
        <w:t xml:space="preserve"> on </w:t>
      </w:r>
      <w:r w:rsidR="006B66E4">
        <w:rPr>
          <w:sz w:val="24"/>
          <w:szCs w:val="24"/>
        </w:rPr>
        <w:t>November 28, 2025, 90 FR 54761</w:t>
      </w:r>
      <w:r w:rsidRPr="0047221B">
        <w:rPr>
          <w:sz w:val="24"/>
          <w:szCs w:val="24"/>
        </w:rPr>
        <w:t xml:space="preserve">. The comment period ended on </w:t>
      </w:r>
      <w:r w:rsidR="006B66E4">
        <w:rPr>
          <w:sz w:val="24"/>
          <w:szCs w:val="24"/>
        </w:rPr>
        <w:t xml:space="preserve">December 28, 2025 The 30-day notice was published in the Federal Register on </w:t>
      </w:r>
      <w:r w:rsidRPr="0047221B">
        <w:rPr>
          <w:sz w:val="24"/>
          <w:szCs w:val="24"/>
        </w:rPr>
        <w:t>.</w:t>
      </w:r>
    </w:p>
    <w:p w:rsidR="00435428" w:rsidRPr="0047221B" w:rsidP="00545358" w14:paraId="2A5BBA4A" w14:textId="77777777">
      <w:pPr>
        <w:rPr>
          <w:sz w:val="24"/>
          <w:szCs w:val="24"/>
        </w:rPr>
      </w:pPr>
    </w:p>
    <w:p w:rsidR="00435428" w:rsidRPr="00947A2D" w:rsidP="00545358" w14:paraId="28141AE6" w14:textId="158DFBB6">
      <w:pPr>
        <w:rPr>
          <w:b/>
          <w:bCs/>
          <w:sz w:val="24"/>
          <w:szCs w:val="24"/>
        </w:rPr>
      </w:pPr>
      <w:r>
        <w:rPr>
          <w:b/>
          <w:bCs/>
          <w:sz w:val="24"/>
          <w:szCs w:val="24"/>
        </w:rPr>
        <w:t xml:space="preserve">9. </w:t>
      </w:r>
      <w:r w:rsidRPr="00947A2D" w:rsidR="00310094">
        <w:rPr>
          <w:b/>
          <w:bCs/>
          <w:sz w:val="24"/>
          <w:szCs w:val="24"/>
        </w:rPr>
        <w:t>Explain any decision to provide any payments or gifts to respondents, other than remun</w:t>
      </w:r>
      <w:r w:rsidRPr="00947A2D" w:rsidR="00174E04">
        <w:rPr>
          <w:b/>
          <w:bCs/>
          <w:sz w:val="24"/>
          <w:szCs w:val="24"/>
        </w:rPr>
        <w:t>eration of contractors or grantees.</w:t>
      </w:r>
    </w:p>
    <w:p w:rsidR="00174E04" w:rsidRPr="00947A2D" w:rsidP="00545358" w14:paraId="2EB0A323" w14:textId="77777777">
      <w:pPr>
        <w:pStyle w:val="ListParagraph"/>
        <w:ind w:left="0" w:firstLine="0"/>
        <w:rPr>
          <w:sz w:val="24"/>
          <w:szCs w:val="24"/>
        </w:rPr>
      </w:pPr>
    </w:p>
    <w:p w:rsidR="00A332BF" w:rsidRPr="00A332BF" w:rsidP="00545358" w14:paraId="30CF3861" w14:textId="77777777">
      <w:pPr>
        <w:rPr>
          <w:sz w:val="24"/>
          <w:szCs w:val="24"/>
        </w:rPr>
      </w:pPr>
      <w:r w:rsidRPr="00A332BF">
        <w:rPr>
          <w:sz w:val="24"/>
          <w:szCs w:val="24"/>
        </w:rPr>
        <w:t>ATF does not provide payments or gifts in connection with this collection.</w:t>
      </w:r>
    </w:p>
    <w:p w:rsidR="0088477C" w:rsidRPr="00A332BF" w:rsidP="00545358" w14:paraId="126C23FC" w14:textId="77777777">
      <w:pPr>
        <w:rPr>
          <w:sz w:val="24"/>
          <w:szCs w:val="24"/>
        </w:rPr>
      </w:pPr>
    </w:p>
    <w:p w:rsidR="0088477C" w:rsidRPr="00947A2D" w:rsidP="00545358" w14:paraId="79B3F116" w14:textId="5C4FEC72">
      <w:pPr>
        <w:rPr>
          <w:b/>
          <w:bCs/>
          <w:sz w:val="24"/>
          <w:szCs w:val="24"/>
        </w:rPr>
      </w:pPr>
      <w:r>
        <w:rPr>
          <w:b/>
          <w:bCs/>
          <w:sz w:val="24"/>
          <w:szCs w:val="24"/>
        </w:rPr>
        <w:t xml:space="preserve">10. </w:t>
      </w:r>
      <w:r w:rsidRPr="00947A2D" w:rsidR="00AF21BE">
        <w:rPr>
          <w:b/>
          <w:bCs/>
          <w:sz w:val="24"/>
          <w:szCs w:val="24"/>
        </w:rPr>
        <w:t xml:space="preserve">Explain any </w:t>
      </w:r>
      <w:r w:rsidRPr="00947A2D" w:rsidR="00BD47EF">
        <w:rPr>
          <w:b/>
          <w:bCs/>
          <w:sz w:val="24"/>
          <w:szCs w:val="24"/>
        </w:rPr>
        <w:t>assurance</w:t>
      </w:r>
      <w:r w:rsidRPr="00947A2D" w:rsidR="00977811">
        <w:rPr>
          <w:b/>
          <w:bCs/>
          <w:sz w:val="24"/>
          <w:szCs w:val="24"/>
        </w:rPr>
        <w:t xml:space="preserve"> of confidenti</w:t>
      </w:r>
      <w:r w:rsidRPr="00947A2D" w:rsidR="00670CAC">
        <w:rPr>
          <w:b/>
          <w:bCs/>
          <w:sz w:val="24"/>
          <w:szCs w:val="24"/>
        </w:rPr>
        <w:t xml:space="preserve">ality provided to respondents and the basis for the assurance in </w:t>
      </w:r>
      <w:r w:rsidRPr="00947A2D" w:rsidR="004E190F">
        <w:rPr>
          <w:b/>
          <w:bCs/>
          <w:sz w:val="24"/>
          <w:szCs w:val="24"/>
        </w:rPr>
        <w:t>statute, regulation, or agency policy.</w:t>
      </w:r>
    </w:p>
    <w:p w:rsidR="004E190F" w:rsidRPr="00947A2D" w:rsidP="00545358" w14:paraId="7961D683" w14:textId="77777777">
      <w:pPr>
        <w:pStyle w:val="ListParagraph"/>
        <w:ind w:left="0" w:firstLine="0"/>
        <w:rPr>
          <w:sz w:val="24"/>
          <w:szCs w:val="24"/>
        </w:rPr>
      </w:pPr>
    </w:p>
    <w:p w:rsidR="009F23B0" w:rsidRPr="009F23B0" w:rsidP="00545358" w14:paraId="5CC20C1E" w14:textId="77777777">
      <w:pPr>
        <w:tabs>
          <w:tab w:val="left" w:pos="1148"/>
        </w:tabs>
        <w:rPr>
          <w:sz w:val="24"/>
          <w:szCs w:val="24"/>
        </w:rPr>
      </w:pPr>
      <w:r w:rsidRPr="009F23B0">
        <w:rPr>
          <w:sz w:val="24"/>
          <w:szCs w:val="24"/>
        </w:rPr>
        <w:t>ATF has not assured respondents of confidentiality. However, the information being collected includes PII and is thus protected by the Privacy Act. The information is maintained by ATF in a system of records, Justice/ATF-008, Regulatory Enforcement Record System. The form that accompanies this ICR includes a Privacy Act statement that covers this information and informs respondents of the system of records, routine uses, etc. </w:t>
      </w:r>
    </w:p>
    <w:p w:rsidR="009F23B0" w:rsidRPr="009F23B0" w:rsidP="00545358" w14:paraId="1B57CB85" w14:textId="77777777">
      <w:pPr>
        <w:tabs>
          <w:tab w:val="left" w:pos="1148"/>
        </w:tabs>
        <w:rPr>
          <w:sz w:val="24"/>
          <w:szCs w:val="24"/>
        </w:rPr>
      </w:pPr>
      <w:r w:rsidRPr="009F23B0">
        <w:rPr>
          <w:sz w:val="24"/>
          <w:szCs w:val="24"/>
        </w:rPr>
        <w:t> </w:t>
      </w:r>
    </w:p>
    <w:p w:rsidR="005C3096" w:rsidRPr="005C3096" w:rsidP="00545358" w14:paraId="6CD1F1DA" w14:textId="1D5CDB05">
      <w:pPr>
        <w:tabs>
          <w:tab w:val="left" w:pos="1148"/>
        </w:tabs>
        <w:rPr>
          <w:sz w:val="24"/>
          <w:szCs w:val="24"/>
        </w:rPr>
      </w:pPr>
      <w:r w:rsidRPr="009F23B0">
        <w:rPr>
          <w:sz w:val="24"/>
          <w:szCs w:val="24"/>
        </w:rPr>
        <w:t>The information on this form is also considered “tax information” or “tax return information” and any release is severely restricted under the Tax Reform Act (26 U.S.C. § 6103) and may be disclosed only to federal authorities for purposes of prosecuting violations of the NFA. It is protected as Controlled Unclassified Information (CUI).</w:t>
      </w:r>
    </w:p>
    <w:p w:rsidR="004E190F" w:rsidRPr="005C3096" w:rsidP="00545358" w14:paraId="7A59CF0F" w14:textId="77777777">
      <w:pPr>
        <w:pStyle w:val="ListParagraph"/>
        <w:ind w:left="0" w:firstLine="0"/>
        <w:rPr>
          <w:sz w:val="24"/>
          <w:szCs w:val="24"/>
        </w:rPr>
      </w:pPr>
    </w:p>
    <w:p w:rsidR="00397752" w:rsidRPr="00947A2D" w:rsidP="00545358" w14:paraId="32ED5D12" w14:textId="73F4EB74">
      <w:pPr>
        <w:pStyle w:val="ListParagraph"/>
        <w:ind w:left="0" w:firstLine="0"/>
        <w:rPr>
          <w:b/>
          <w:bCs/>
          <w:sz w:val="24"/>
          <w:szCs w:val="24"/>
        </w:rPr>
      </w:pPr>
      <w:r w:rsidRPr="00975311">
        <w:rPr>
          <w:b/>
          <w:bCs/>
          <w:sz w:val="24"/>
          <w:szCs w:val="24"/>
        </w:rPr>
        <w:t>11.</w:t>
      </w:r>
      <w:r w:rsidRPr="00947A2D">
        <w:rPr>
          <w:sz w:val="24"/>
          <w:szCs w:val="24"/>
        </w:rPr>
        <w:t xml:space="preserve"> </w:t>
      </w:r>
      <w:r w:rsidRPr="00947A2D" w:rsidR="00236E09">
        <w:rPr>
          <w:b/>
          <w:bCs/>
          <w:sz w:val="24"/>
          <w:szCs w:val="24"/>
        </w:rPr>
        <w:t>Provide additional justification for any questions of a sensitive nature, such as sexual behavior and attitudes, religious beliefs, and other matters that are commonly considered private.</w:t>
      </w:r>
    </w:p>
    <w:p w:rsidR="00397752" w:rsidRPr="00947A2D" w:rsidP="00545358" w14:paraId="2E6C4909" w14:textId="77777777">
      <w:pPr>
        <w:pStyle w:val="ListParagraph"/>
        <w:ind w:left="0" w:firstLine="0"/>
        <w:rPr>
          <w:sz w:val="24"/>
          <w:szCs w:val="24"/>
        </w:rPr>
      </w:pPr>
    </w:p>
    <w:p w:rsidR="00641D6B" w:rsidRPr="00641D6B" w:rsidP="00545358" w14:paraId="251F461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bookmarkStart w:id="3" w:name="_Hlk188869322"/>
      <w:r w:rsidRPr="00641D6B">
        <w:rPr>
          <w:sz w:val="24"/>
          <w:szCs w:val="24"/>
        </w:rPr>
        <w:t>This information collection does not ask questions or require information of a sensitive nature.</w:t>
      </w:r>
      <w:bookmarkEnd w:id="3"/>
    </w:p>
    <w:p w:rsidR="006467B7" w:rsidRPr="00641D6B" w:rsidP="00545358" w14:paraId="4D6C2689" w14:textId="77777777">
      <w:pPr>
        <w:pStyle w:val="ListParagraph"/>
        <w:ind w:left="0" w:firstLine="0"/>
        <w:rPr>
          <w:sz w:val="24"/>
          <w:szCs w:val="24"/>
        </w:rPr>
      </w:pPr>
    </w:p>
    <w:p w:rsidR="00705427" w:rsidRPr="00947A2D" w:rsidP="00545358" w14:paraId="2BFE0606" w14:textId="018BAF66">
      <w:pPr>
        <w:tabs>
          <w:tab w:val="left" w:pos="1170"/>
        </w:tabs>
        <w:rPr>
          <w:b/>
          <w:bCs/>
          <w:sz w:val="24"/>
          <w:szCs w:val="24"/>
        </w:rPr>
      </w:pPr>
      <w:r w:rsidRPr="00B43FF6">
        <w:rPr>
          <w:b/>
          <w:bCs/>
          <w:sz w:val="24"/>
          <w:szCs w:val="24"/>
        </w:rPr>
        <w:t>12.</w:t>
      </w:r>
      <w:r w:rsidRPr="00B43FF6">
        <w:rPr>
          <w:sz w:val="24"/>
          <w:szCs w:val="24"/>
        </w:rPr>
        <w:t xml:space="preserve"> </w:t>
      </w:r>
      <w:r w:rsidRPr="00B43FF6">
        <w:rPr>
          <w:b/>
          <w:bCs/>
          <w:sz w:val="24"/>
          <w:szCs w:val="24"/>
        </w:rPr>
        <w:t>Provide estimates of the information collection’s hour burden.</w:t>
      </w:r>
    </w:p>
    <w:p w:rsidR="008E4B00" w:rsidRPr="00947A2D" w:rsidP="00545358" w14:paraId="01E80DE3" w14:textId="77777777">
      <w:pPr>
        <w:tabs>
          <w:tab w:val="left" w:pos="1170"/>
        </w:tabs>
        <w:rPr>
          <w:b/>
          <w:bCs/>
          <w:sz w:val="24"/>
          <w:szCs w:val="24"/>
        </w:rPr>
      </w:pPr>
    </w:p>
    <w:p w:rsidR="004B6D8A" w:rsidRPr="00947A2D" w:rsidP="00545358" w14:paraId="73ABDC16" w14:textId="50FCDB08">
      <w:pPr>
        <w:tabs>
          <w:tab w:val="left" w:pos="1170"/>
        </w:tabs>
        <w:rPr>
          <w:sz w:val="24"/>
          <w:szCs w:val="24"/>
        </w:rPr>
      </w:pPr>
      <w:r w:rsidRPr="4D628F40">
        <w:rPr>
          <w:sz w:val="24"/>
          <w:szCs w:val="24"/>
        </w:rPr>
        <w:t xml:space="preserve">Over the </w:t>
      </w:r>
      <w:r w:rsidRPr="4D628F40" w:rsidR="7FEF42CA">
        <w:rPr>
          <w:sz w:val="24"/>
          <w:szCs w:val="24"/>
        </w:rPr>
        <w:t>three</w:t>
      </w:r>
      <w:r w:rsidR="00975311">
        <w:rPr>
          <w:sz w:val="24"/>
          <w:szCs w:val="24"/>
        </w:rPr>
        <w:t>-</w:t>
      </w:r>
      <w:r w:rsidRPr="4D628F40">
        <w:rPr>
          <w:sz w:val="24"/>
          <w:szCs w:val="24"/>
        </w:rPr>
        <w:t xml:space="preserve">year period </w:t>
      </w:r>
      <w:r w:rsidRPr="4D628F40" w:rsidR="308802B6">
        <w:rPr>
          <w:sz w:val="24"/>
          <w:szCs w:val="24"/>
        </w:rPr>
        <w:t>since the last renewal</w:t>
      </w:r>
      <w:r w:rsidRPr="00947A2D" w:rsidR="008F6710">
        <w:rPr>
          <w:sz w:val="24"/>
          <w:szCs w:val="24"/>
        </w:rPr>
        <w:t xml:space="preserve">, </w:t>
      </w:r>
      <w:r w:rsidRPr="4D628F40" w:rsidR="7101AF0D">
        <w:rPr>
          <w:sz w:val="24"/>
          <w:szCs w:val="24"/>
        </w:rPr>
        <w:t>an average of</w:t>
      </w:r>
      <w:r w:rsidRPr="4D628F40" w:rsidR="34EEECD2">
        <w:rPr>
          <w:sz w:val="24"/>
          <w:szCs w:val="24"/>
        </w:rPr>
        <w:t xml:space="preserve"> 1</w:t>
      </w:r>
      <w:r w:rsidRPr="4D628F40" w:rsidR="50E7706B">
        <w:rPr>
          <w:sz w:val="24"/>
          <w:szCs w:val="24"/>
        </w:rPr>
        <w:t>2,</w:t>
      </w:r>
      <w:r w:rsidRPr="4D628F40" w:rsidR="2D2D0B9B">
        <w:rPr>
          <w:sz w:val="24"/>
          <w:szCs w:val="24"/>
        </w:rPr>
        <w:t>878</w:t>
      </w:r>
      <w:r w:rsidRPr="00947A2D" w:rsidR="008F6710">
        <w:rPr>
          <w:sz w:val="24"/>
          <w:szCs w:val="24"/>
        </w:rPr>
        <w:t xml:space="preserve"> forms were filed</w:t>
      </w:r>
      <w:r w:rsidRPr="4D628F40" w:rsidR="153ECFF2">
        <w:rPr>
          <w:sz w:val="24"/>
          <w:szCs w:val="24"/>
        </w:rPr>
        <w:t xml:space="preserve"> annually</w:t>
      </w:r>
      <w:r w:rsidRPr="4D628F40" w:rsidR="0D7DFDD4">
        <w:rPr>
          <w:sz w:val="24"/>
          <w:szCs w:val="24"/>
        </w:rPr>
        <w:t xml:space="preserve"> </w:t>
      </w:r>
      <w:r w:rsidR="00035548">
        <w:rPr>
          <w:sz w:val="24"/>
          <w:szCs w:val="24"/>
        </w:rPr>
        <w:t>to transport</w:t>
      </w:r>
      <w:r w:rsidR="00C50854">
        <w:rPr>
          <w:sz w:val="24"/>
          <w:szCs w:val="24"/>
        </w:rPr>
        <w:t xml:space="preserve"> </w:t>
      </w:r>
      <w:r w:rsidR="00656B39">
        <w:rPr>
          <w:sz w:val="24"/>
          <w:szCs w:val="24"/>
        </w:rPr>
        <w:t xml:space="preserve">certain NFA firearms </w:t>
      </w:r>
      <w:r w:rsidR="00CB58A5">
        <w:rPr>
          <w:sz w:val="24"/>
          <w:szCs w:val="24"/>
        </w:rPr>
        <w:t xml:space="preserve">interstate for </w:t>
      </w:r>
      <w:r w:rsidRPr="4D628F40" w:rsidR="0D7DFDD4">
        <w:rPr>
          <w:sz w:val="24"/>
          <w:szCs w:val="24"/>
        </w:rPr>
        <w:t>long</w:t>
      </w:r>
      <w:r w:rsidR="00975311">
        <w:rPr>
          <w:sz w:val="24"/>
          <w:szCs w:val="24"/>
        </w:rPr>
        <w:t>-</w:t>
      </w:r>
      <w:r w:rsidRPr="4D628F40" w:rsidR="0D7DFDD4">
        <w:rPr>
          <w:sz w:val="24"/>
          <w:szCs w:val="24"/>
        </w:rPr>
        <w:t>term</w:t>
      </w:r>
      <w:r w:rsidR="00975311">
        <w:rPr>
          <w:sz w:val="24"/>
          <w:szCs w:val="24"/>
        </w:rPr>
        <w:t xml:space="preserve"> temporary and</w:t>
      </w:r>
      <w:r w:rsidRPr="4D628F40" w:rsidR="0D7DFDD4">
        <w:rPr>
          <w:sz w:val="24"/>
          <w:szCs w:val="24"/>
        </w:rPr>
        <w:t xml:space="preserve"> permanent</w:t>
      </w:r>
      <w:r w:rsidR="00975311">
        <w:rPr>
          <w:sz w:val="24"/>
          <w:szCs w:val="24"/>
        </w:rPr>
        <w:t xml:space="preserve"> </w:t>
      </w:r>
      <w:r w:rsidR="00CB58A5">
        <w:rPr>
          <w:sz w:val="24"/>
          <w:szCs w:val="24"/>
        </w:rPr>
        <w:t>purposes</w:t>
      </w:r>
      <w:r w:rsidRPr="4D628F40" w:rsidR="0D7DFDD4">
        <w:rPr>
          <w:sz w:val="24"/>
          <w:szCs w:val="24"/>
        </w:rPr>
        <w:t xml:space="preserve"> and </w:t>
      </w:r>
      <w:r w:rsidR="00CB58A5">
        <w:rPr>
          <w:sz w:val="24"/>
          <w:szCs w:val="24"/>
        </w:rPr>
        <w:t xml:space="preserve">for </w:t>
      </w:r>
      <w:r w:rsidRPr="4D628F40" w:rsidR="0D7DFDD4">
        <w:rPr>
          <w:sz w:val="24"/>
          <w:szCs w:val="24"/>
        </w:rPr>
        <w:t>temporary export</w:t>
      </w:r>
      <w:r w:rsidRPr="4D628F40" w:rsidR="34EEECD2">
        <w:rPr>
          <w:sz w:val="24"/>
          <w:szCs w:val="24"/>
        </w:rPr>
        <w:t>.</w:t>
      </w:r>
      <w:r w:rsidRPr="00947A2D" w:rsidR="008F6710">
        <w:rPr>
          <w:sz w:val="24"/>
          <w:szCs w:val="24"/>
        </w:rPr>
        <w:t xml:space="preserve"> </w:t>
      </w:r>
      <w:r w:rsidRPr="4D628F40" w:rsidR="00521753">
        <w:rPr>
          <w:sz w:val="24"/>
          <w:szCs w:val="24"/>
        </w:rPr>
        <w:t xml:space="preserve">Since each filing is unique, the number of respondents is equivalent to the number of forms filed. </w:t>
      </w:r>
      <w:r w:rsidR="00521753">
        <w:rPr>
          <w:sz w:val="24"/>
          <w:szCs w:val="24"/>
        </w:rPr>
        <w:t>The number of respondents</w:t>
      </w:r>
      <w:r w:rsidRPr="00947A2D" w:rsidR="008F6710">
        <w:rPr>
          <w:sz w:val="24"/>
          <w:szCs w:val="24"/>
        </w:rPr>
        <w:t xml:space="preserve"> </w:t>
      </w:r>
      <w:r w:rsidRPr="4D628F40" w:rsidR="45B48CB9">
        <w:rPr>
          <w:sz w:val="24"/>
          <w:szCs w:val="24"/>
        </w:rPr>
        <w:t xml:space="preserve">under </w:t>
      </w:r>
      <w:r w:rsidRPr="00947A2D" w:rsidR="00C87722">
        <w:rPr>
          <w:sz w:val="24"/>
          <w:szCs w:val="24"/>
        </w:rPr>
        <w:t xml:space="preserve">this collection </w:t>
      </w:r>
      <w:r w:rsidR="00521753">
        <w:rPr>
          <w:sz w:val="24"/>
          <w:szCs w:val="24"/>
        </w:rPr>
        <w:t>is therefore also</w:t>
      </w:r>
      <w:r w:rsidRPr="4D628F40" w:rsidR="72042B1A">
        <w:rPr>
          <w:sz w:val="24"/>
          <w:szCs w:val="24"/>
        </w:rPr>
        <w:t xml:space="preserve"> 12,878</w:t>
      </w:r>
      <w:r w:rsidRPr="00947A2D">
        <w:rPr>
          <w:sz w:val="24"/>
          <w:szCs w:val="24"/>
        </w:rPr>
        <w:t>.</w:t>
      </w:r>
    </w:p>
    <w:p w:rsidR="004B6D8A" w:rsidRPr="00947A2D" w:rsidP="00545358" w14:paraId="30C39D6F" w14:textId="77777777">
      <w:pPr>
        <w:tabs>
          <w:tab w:val="left" w:pos="1170"/>
        </w:tabs>
        <w:rPr>
          <w:sz w:val="24"/>
          <w:szCs w:val="24"/>
        </w:rPr>
      </w:pPr>
    </w:p>
    <w:p w:rsidR="004D2533" w:rsidP="00545358" w14:paraId="03297480" w14:textId="26E06BD1">
      <w:pPr>
        <w:tabs>
          <w:tab w:val="left" w:pos="1147"/>
          <w:tab w:val="left" w:pos="1148"/>
        </w:tabs>
        <w:rPr>
          <w:sz w:val="24"/>
          <w:szCs w:val="24"/>
        </w:rPr>
      </w:pPr>
      <w:r>
        <w:rPr>
          <w:sz w:val="24"/>
          <w:szCs w:val="24"/>
        </w:rPr>
        <w:t>ATF estimates the time to complete the form is</w:t>
      </w:r>
      <w:r w:rsidRPr="4D628F40" w:rsidR="7320AE57">
        <w:rPr>
          <w:sz w:val="24"/>
          <w:szCs w:val="24"/>
        </w:rPr>
        <w:t xml:space="preserve"> </w:t>
      </w:r>
      <w:r w:rsidR="004220B9">
        <w:rPr>
          <w:sz w:val="24"/>
          <w:szCs w:val="24"/>
        </w:rPr>
        <w:t>ten</w:t>
      </w:r>
      <w:r w:rsidRPr="4D628F40" w:rsidR="7320AE57">
        <w:rPr>
          <w:sz w:val="24"/>
          <w:szCs w:val="24"/>
        </w:rPr>
        <w:t xml:space="preserve"> minutes</w:t>
      </w:r>
      <w:r w:rsidR="00DB5A53">
        <w:rPr>
          <w:sz w:val="24"/>
          <w:szCs w:val="24"/>
        </w:rPr>
        <w:t xml:space="preserve"> (0.167 hours)</w:t>
      </w:r>
      <w:r w:rsidR="004220B9">
        <w:rPr>
          <w:sz w:val="24"/>
          <w:szCs w:val="24"/>
        </w:rPr>
        <w:t xml:space="preserve"> because the forms are now</w:t>
      </w:r>
      <w:r w:rsidR="002031AC">
        <w:rPr>
          <w:sz w:val="24"/>
          <w:szCs w:val="24"/>
        </w:rPr>
        <w:t xml:space="preserve"> electronic</w:t>
      </w:r>
      <w:r w:rsidR="00A06EFA">
        <w:rPr>
          <w:sz w:val="24"/>
          <w:szCs w:val="24"/>
        </w:rPr>
        <w:t xml:space="preserve">, no longer require the person to fill out a second copy, and are </w:t>
      </w:r>
      <w:r w:rsidR="00611DD2">
        <w:rPr>
          <w:sz w:val="24"/>
          <w:szCs w:val="24"/>
        </w:rPr>
        <w:t>electronically fillable and submittable</w:t>
      </w:r>
      <w:r w:rsidR="000D0E22">
        <w:rPr>
          <w:sz w:val="24"/>
          <w:szCs w:val="24"/>
        </w:rPr>
        <w:t xml:space="preserve"> (</w:t>
      </w:r>
      <w:r w:rsidR="00611DD2">
        <w:rPr>
          <w:sz w:val="24"/>
          <w:szCs w:val="24"/>
        </w:rPr>
        <w:t>during previous renewal, additional ten minutes</w:t>
      </w:r>
      <w:r w:rsidR="00E87C68">
        <w:rPr>
          <w:sz w:val="24"/>
          <w:szCs w:val="24"/>
        </w:rPr>
        <w:t xml:space="preserve"> was added</w:t>
      </w:r>
      <w:r w:rsidR="000D0E22">
        <w:rPr>
          <w:sz w:val="24"/>
          <w:szCs w:val="24"/>
        </w:rPr>
        <w:t xml:space="preserve"> for addressing and mailing)</w:t>
      </w:r>
      <w:r w:rsidR="004220B9">
        <w:rPr>
          <w:sz w:val="24"/>
          <w:szCs w:val="24"/>
        </w:rPr>
        <w:t>.</w:t>
      </w:r>
      <w:r w:rsidRPr="4D628F40" w:rsidR="103EB733">
        <w:rPr>
          <w:sz w:val="24"/>
          <w:szCs w:val="24"/>
        </w:rPr>
        <w:t xml:space="preserve"> </w:t>
      </w:r>
      <w:r w:rsidRPr="4D628F40" w:rsidR="7320AE57">
        <w:rPr>
          <w:sz w:val="24"/>
          <w:szCs w:val="24"/>
        </w:rPr>
        <w:t>Therefore,</w:t>
      </w:r>
      <w:r w:rsidR="00DB5A53">
        <w:rPr>
          <w:sz w:val="24"/>
          <w:szCs w:val="24"/>
        </w:rPr>
        <w:t xml:space="preserve"> the</w:t>
      </w:r>
      <w:r w:rsidRPr="4D628F40" w:rsidR="7320AE57">
        <w:rPr>
          <w:sz w:val="24"/>
          <w:szCs w:val="24"/>
        </w:rPr>
        <w:t xml:space="preserve"> total number of burden hours associated with this IC </w:t>
      </w:r>
      <w:r w:rsidR="001C33F9">
        <w:rPr>
          <w:sz w:val="24"/>
          <w:szCs w:val="24"/>
        </w:rPr>
        <w:t xml:space="preserve">is </w:t>
      </w:r>
      <w:r w:rsidRPr="4D628F40" w:rsidR="4C42FA1E">
        <w:rPr>
          <w:sz w:val="24"/>
          <w:szCs w:val="24"/>
        </w:rPr>
        <w:t>2,15</w:t>
      </w:r>
      <w:r w:rsidR="00CA1A87">
        <w:rPr>
          <w:sz w:val="24"/>
          <w:szCs w:val="24"/>
        </w:rPr>
        <w:t xml:space="preserve">1 </w:t>
      </w:r>
      <w:r w:rsidR="001C33F9">
        <w:rPr>
          <w:sz w:val="24"/>
          <w:szCs w:val="24"/>
        </w:rPr>
        <w:t>hours</w:t>
      </w:r>
      <w:r w:rsidR="00607315">
        <w:rPr>
          <w:sz w:val="24"/>
          <w:szCs w:val="24"/>
        </w:rPr>
        <w:t xml:space="preserve"> </w:t>
      </w:r>
      <w:r w:rsidR="00233493">
        <w:rPr>
          <w:sz w:val="24"/>
          <w:szCs w:val="24"/>
        </w:rPr>
        <w:t xml:space="preserve">(rounded) </w:t>
      </w:r>
      <w:r w:rsidR="00607315">
        <w:rPr>
          <w:sz w:val="24"/>
          <w:szCs w:val="24"/>
        </w:rPr>
        <w:t>(</w:t>
      </w:r>
      <w:r w:rsidRPr="4D628F40" w:rsidR="71EF20B2">
        <w:rPr>
          <w:sz w:val="24"/>
          <w:szCs w:val="24"/>
        </w:rPr>
        <w:t>12,8</w:t>
      </w:r>
      <w:r w:rsidRPr="4D628F40" w:rsidR="3BEC7247">
        <w:rPr>
          <w:sz w:val="24"/>
          <w:szCs w:val="24"/>
        </w:rPr>
        <w:t>78</w:t>
      </w:r>
      <w:r w:rsidRPr="4D628F40" w:rsidR="7320AE57">
        <w:rPr>
          <w:sz w:val="24"/>
          <w:szCs w:val="24"/>
        </w:rPr>
        <w:t xml:space="preserve"> respondents * </w:t>
      </w:r>
      <w:r w:rsidRPr="4D628F40" w:rsidR="4331D796">
        <w:rPr>
          <w:sz w:val="24"/>
          <w:szCs w:val="24"/>
        </w:rPr>
        <w:t>0.167 hours</w:t>
      </w:r>
      <w:r w:rsidRPr="4D628F40" w:rsidR="7320AE57">
        <w:rPr>
          <w:sz w:val="24"/>
          <w:szCs w:val="24"/>
        </w:rPr>
        <w:t>)</w:t>
      </w:r>
      <w:r w:rsidRPr="4D628F40" w:rsidR="2A1FB405">
        <w:rPr>
          <w:sz w:val="24"/>
          <w:szCs w:val="24"/>
        </w:rPr>
        <w:t>.</w:t>
      </w:r>
    </w:p>
    <w:p w:rsidR="004D2533" w:rsidP="00545358" w14:paraId="67BA62A0" w14:textId="77777777">
      <w:pPr>
        <w:tabs>
          <w:tab w:val="left" w:pos="1147"/>
          <w:tab w:val="left" w:pos="1148"/>
        </w:tabs>
        <w:rPr>
          <w:sz w:val="24"/>
          <w:szCs w:val="24"/>
        </w:rPr>
      </w:pPr>
    </w:p>
    <w:p w:rsidR="001324DD" w:rsidP="00545358" w14:paraId="3DB7CF55" w14:textId="77777777">
      <w:pPr>
        <w:tabs>
          <w:tab w:val="left" w:pos="1147"/>
          <w:tab w:val="left" w:pos="1148"/>
        </w:tabs>
        <w:rPr>
          <w:color w:val="000000" w:themeColor="text1"/>
          <w:sz w:val="24"/>
          <w:szCs w:val="24"/>
        </w:rPr>
      </w:pPr>
      <w:r w:rsidRPr="001324DD">
        <w:rPr>
          <w:color w:val="000000" w:themeColor="text1"/>
          <w:sz w:val="24"/>
          <w:szCs w:val="24"/>
        </w:rPr>
        <w:t xml:space="preserve">Because respondents must complete the process as a private individual and not on behalf of their official business, ATF assumes that they would not be doing the application during paid work time. Therefore, ATF calculated the monetized value of that time using a standard “leisure wage” formula. For this calculation, ATF used a methodology developed by the Department of Health </w:t>
      </w:r>
      <w:r w:rsidRPr="001324DD">
        <w:rPr>
          <w:color w:val="000000" w:themeColor="text1"/>
          <w:sz w:val="24"/>
          <w:szCs w:val="24"/>
        </w:rPr>
        <w:t xml:space="preserve">and Human Services (HHS). Because HHS’s methodology relies on Bureau of Labor Statistics (BLS) data that is updated on a monthly basis, we did not need to use an inflation-adjusted wage rate. Accordingly, consistent with HHS’s methodology, we used the BLS median weekly income for full-time employees as the base from which to calculate the hourly leisure wage. Based on this methodology, </w:t>
      </w:r>
      <w:r w:rsidR="004D2533">
        <w:rPr>
          <w:color w:val="000000" w:themeColor="text1"/>
          <w:sz w:val="24"/>
          <w:szCs w:val="24"/>
        </w:rPr>
        <w:t>ATF</w:t>
      </w:r>
      <w:r w:rsidRPr="40D03B4D" w:rsidR="008B98B3">
        <w:rPr>
          <w:color w:val="000000" w:themeColor="text1"/>
          <w:sz w:val="24"/>
          <w:szCs w:val="24"/>
        </w:rPr>
        <w:t xml:space="preserve"> attributes a rounded value of $26 per hour</w:t>
      </w:r>
      <w:r w:rsidR="00ED1123">
        <w:rPr>
          <w:color w:val="000000" w:themeColor="text1"/>
          <w:sz w:val="24"/>
          <w:szCs w:val="24"/>
        </w:rPr>
        <w:t xml:space="preserve"> </w:t>
      </w:r>
      <w:r w:rsidR="00202599">
        <w:rPr>
          <w:color w:val="000000" w:themeColor="text1"/>
          <w:sz w:val="24"/>
          <w:szCs w:val="24"/>
        </w:rPr>
        <w:t xml:space="preserve">to complete the form. </w:t>
      </w:r>
    </w:p>
    <w:p w:rsidR="001324DD" w:rsidP="00545358" w14:paraId="56671159" w14:textId="77777777">
      <w:pPr>
        <w:tabs>
          <w:tab w:val="left" w:pos="1147"/>
          <w:tab w:val="left" w:pos="1148"/>
        </w:tabs>
        <w:rPr>
          <w:color w:val="000000" w:themeColor="text1"/>
          <w:sz w:val="24"/>
          <w:szCs w:val="24"/>
        </w:rPr>
      </w:pPr>
    </w:p>
    <w:p w:rsidR="5F734578" w:rsidP="00545358" w14:paraId="6EBE060E" w14:textId="57124D9E">
      <w:pPr>
        <w:tabs>
          <w:tab w:val="left" w:pos="1147"/>
          <w:tab w:val="left" w:pos="1148"/>
        </w:tabs>
        <w:rPr>
          <w:color w:val="000000" w:themeColor="text1"/>
          <w:sz w:val="24"/>
          <w:szCs w:val="24"/>
        </w:rPr>
      </w:pPr>
      <w:r>
        <w:rPr>
          <w:color w:val="000000" w:themeColor="text1"/>
          <w:sz w:val="24"/>
          <w:szCs w:val="24"/>
        </w:rPr>
        <w:t xml:space="preserve">Therefore, the monetized value of </w:t>
      </w:r>
      <w:r w:rsidR="005B7A2A">
        <w:rPr>
          <w:color w:val="000000" w:themeColor="text1"/>
          <w:sz w:val="24"/>
          <w:szCs w:val="24"/>
        </w:rPr>
        <w:t xml:space="preserve">the time burden </w:t>
      </w:r>
      <w:r w:rsidR="00607315">
        <w:rPr>
          <w:color w:val="000000" w:themeColor="text1"/>
          <w:sz w:val="24"/>
          <w:szCs w:val="24"/>
        </w:rPr>
        <w:t xml:space="preserve">is $4.34 </w:t>
      </w:r>
      <w:r w:rsidR="005B7A2A">
        <w:rPr>
          <w:color w:val="000000" w:themeColor="text1"/>
          <w:sz w:val="24"/>
          <w:szCs w:val="24"/>
        </w:rPr>
        <w:t xml:space="preserve">per request </w:t>
      </w:r>
      <w:r w:rsidR="00607315">
        <w:rPr>
          <w:color w:val="000000" w:themeColor="text1"/>
          <w:sz w:val="24"/>
          <w:szCs w:val="24"/>
        </w:rPr>
        <w:t>(rounded</w:t>
      </w:r>
      <w:r w:rsidR="00233493">
        <w:rPr>
          <w:color w:val="000000" w:themeColor="text1"/>
          <w:sz w:val="24"/>
          <w:szCs w:val="24"/>
        </w:rPr>
        <w:t>) (</w:t>
      </w:r>
      <w:r w:rsidR="003764EE">
        <w:rPr>
          <w:color w:val="000000" w:themeColor="text1"/>
          <w:sz w:val="24"/>
          <w:szCs w:val="24"/>
        </w:rPr>
        <w:t>$26</w:t>
      </w:r>
      <w:r w:rsidR="005B7A2A">
        <w:rPr>
          <w:color w:val="000000" w:themeColor="text1"/>
          <w:sz w:val="24"/>
          <w:szCs w:val="24"/>
        </w:rPr>
        <w:t xml:space="preserve"> hourly wage</w:t>
      </w:r>
      <w:r w:rsidR="003764EE">
        <w:rPr>
          <w:color w:val="000000" w:themeColor="text1"/>
          <w:sz w:val="24"/>
          <w:szCs w:val="24"/>
        </w:rPr>
        <w:t xml:space="preserve"> </w:t>
      </w:r>
      <w:r w:rsidR="007B0793">
        <w:rPr>
          <w:color w:val="000000" w:themeColor="text1"/>
          <w:sz w:val="24"/>
          <w:szCs w:val="24"/>
        </w:rPr>
        <w:t>* 0.167 hours</w:t>
      </w:r>
      <w:r w:rsidR="00607315">
        <w:rPr>
          <w:color w:val="000000" w:themeColor="text1"/>
          <w:sz w:val="24"/>
          <w:szCs w:val="24"/>
        </w:rPr>
        <w:t>)</w:t>
      </w:r>
      <w:r w:rsidR="003764EE">
        <w:rPr>
          <w:color w:val="000000" w:themeColor="text1"/>
          <w:sz w:val="24"/>
          <w:szCs w:val="24"/>
        </w:rPr>
        <w:t>.</w:t>
      </w:r>
    </w:p>
    <w:p w:rsidR="006D5A8F" w:rsidRPr="004D2533" w:rsidP="00545358" w14:paraId="4D5BB40A" w14:textId="77777777">
      <w:pPr>
        <w:tabs>
          <w:tab w:val="left" w:pos="1147"/>
          <w:tab w:val="left" w:pos="1148"/>
        </w:tabs>
        <w:rPr>
          <w:sz w:val="24"/>
          <w:szCs w:val="24"/>
        </w:rPr>
      </w:pPr>
    </w:p>
    <w:p w:rsidR="00755A4A" w:rsidRPr="00947A2D" w:rsidP="00545358" w14:paraId="706D48C5" w14:textId="2C65ED0A">
      <w:pPr>
        <w:jc w:val="center"/>
        <w:rPr>
          <w:i/>
          <w:iCs/>
          <w:sz w:val="24"/>
          <w:szCs w:val="24"/>
        </w:rPr>
      </w:pPr>
      <w:r w:rsidRPr="006D5A8F">
        <w:rPr>
          <w:b/>
          <w:bCs/>
          <w:sz w:val="24"/>
          <w:szCs w:val="24"/>
        </w:rPr>
        <w:t>Table 1. Estimated annualized respondent cost and hour burden</w:t>
      </w:r>
    </w:p>
    <w:tbl>
      <w:tblPr>
        <w:tblStyle w:val="TableGrid"/>
        <w:tblW w:w="9625" w:type="dxa"/>
        <w:tblLook w:val="04A0"/>
      </w:tblPr>
      <w:tblGrid>
        <w:gridCol w:w="1488"/>
        <w:gridCol w:w="1407"/>
        <w:gridCol w:w="1219"/>
        <w:gridCol w:w="1175"/>
        <w:gridCol w:w="1065"/>
        <w:gridCol w:w="1065"/>
        <w:gridCol w:w="915"/>
        <w:gridCol w:w="1291"/>
      </w:tblGrid>
      <w:tr w14:paraId="78F3166B" w14:textId="77777777" w:rsidTr="4D628F40">
        <w:tblPrEx>
          <w:tblW w:w="9625" w:type="dxa"/>
          <w:tblLook w:val="04A0"/>
        </w:tblPrEx>
        <w:trPr>
          <w:trHeight w:val="300"/>
        </w:trPr>
        <w:tc>
          <w:tcPr>
            <w:tcW w:w="1488" w:type="dxa"/>
            <w:shd w:val="clear" w:color="auto" w:fill="95B3D7" w:themeFill="accent1" w:themeFillTint="99"/>
            <w:vAlign w:val="center"/>
          </w:tcPr>
          <w:p w:rsidR="00755A4A" w:rsidRPr="00353406" w:rsidP="00545358" w14:paraId="2B8D92A5" w14:textId="77777777">
            <w:pPr>
              <w:widowControl w:val="0"/>
              <w:jc w:val="center"/>
              <w:rPr>
                <w:b/>
              </w:rPr>
            </w:pPr>
            <w:r w:rsidRPr="00353406">
              <w:rPr>
                <w:b/>
              </w:rPr>
              <w:t>Activity</w:t>
            </w:r>
          </w:p>
        </w:tc>
        <w:tc>
          <w:tcPr>
            <w:tcW w:w="1407" w:type="dxa"/>
            <w:shd w:val="clear" w:color="auto" w:fill="95B3D7" w:themeFill="accent1" w:themeFillTint="99"/>
            <w:vAlign w:val="center"/>
          </w:tcPr>
          <w:p w:rsidR="00755A4A" w:rsidRPr="00353406" w:rsidP="00545358" w14:paraId="713F9F20" w14:textId="77777777">
            <w:pPr>
              <w:widowControl w:val="0"/>
              <w:jc w:val="center"/>
              <w:rPr>
                <w:b/>
              </w:rPr>
            </w:pPr>
            <w:r w:rsidRPr="00353406">
              <w:rPr>
                <w:b/>
              </w:rPr>
              <w:t>Number of respondents</w:t>
            </w:r>
          </w:p>
        </w:tc>
        <w:tc>
          <w:tcPr>
            <w:tcW w:w="1219" w:type="dxa"/>
            <w:shd w:val="clear" w:color="auto" w:fill="95B3D7" w:themeFill="accent1" w:themeFillTint="99"/>
            <w:vAlign w:val="center"/>
          </w:tcPr>
          <w:p w:rsidR="00755A4A" w:rsidRPr="00353406" w:rsidP="00545358" w14:paraId="30C89100" w14:textId="77777777">
            <w:pPr>
              <w:widowControl w:val="0"/>
              <w:jc w:val="center"/>
              <w:rPr>
                <w:b/>
              </w:rPr>
            </w:pPr>
            <w:r w:rsidRPr="00353406">
              <w:rPr>
                <w:b/>
              </w:rPr>
              <w:t>Frequency</w:t>
            </w:r>
          </w:p>
        </w:tc>
        <w:tc>
          <w:tcPr>
            <w:tcW w:w="1175" w:type="dxa"/>
            <w:shd w:val="clear" w:color="auto" w:fill="95B3D7" w:themeFill="accent1" w:themeFillTint="99"/>
            <w:vAlign w:val="center"/>
          </w:tcPr>
          <w:p w:rsidR="00755A4A" w:rsidRPr="00353406" w:rsidP="00545358" w14:paraId="196F88F1" w14:textId="77777777">
            <w:pPr>
              <w:widowControl w:val="0"/>
              <w:jc w:val="center"/>
              <w:rPr>
                <w:b/>
              </w:rPr>
            </w:pPr>
            <w:r w:rsidRPr="00353406">
              <w:rPr>
                <w:b/>
              </w:rPr>
              <w:t>Total annual responses</w:t>
            </w:r>
          </w:p>
        </w:tc>
        <w:tc>
          <w:tcPr>
            <w:tcW w:w="1065" w:type="dxa"/>
            <w:shd w:val="clear" w:color="auto" w:fill="95B3D7" w:themeFill="accent1" w:themeFillTint="99"/>
            <w:vAlign w:val="center"/>
          </w:tcPr>
          <w:p w:rsidR="00755A4A" w:rsidRPr="00353406" w:rsidP="00545358" w14:paraId="66E53427" w14:textId="3A5BE159">
            <w:pPr>
              <w:widowControl w:val="0"/>
              <w:jc w:val="center"/>
              <w:rPr>
                <w:b/>
              </w:rPr>
            </w:pPr>
            <w:r w:rsidRPr="00353406">
              <w:rPr>
                <w:b/>
              </w:rPr>
              <w:t>Time per response</w:t>
            </w:r>
            <w:r w:rsidR="00353406">
              <w:rPr>
                <w:b/>
              </w:rPr>
              <w:t xml:space="preserve"> (hours)</w:t>
            </w:r>
          </w:p>
        </w:tc>
        <w:tc>
          <w:tcPr>
            <w:tcW w:w="1065" w:type="dxa"/>
            <w:shd w:val="clear" w:color="auto" w:fill="95B3D7" w:themeFill="accent1" w:themeFillTint="99"/>
            <w:vAlign w:val="center"/>
          </w:tcPr>
          <w:p w:rsidR="00755A4A" w:rsidRPr="00353406" w:rsidP="00545358" w14:paraId="020EBBA0" w14:textId="77777777">
            <w:pPr>
              <w:widowControl w:val="0"/>
              <w:jc w:val="center"/>
              <w:rPr>
                <w:b/>
              </w:rPr>
            </w:pPr>
            <w:r w:rsidRPr="00353406">
              <w:rPr>
                <w:b/>
              </w:rPr>
              <w:t>Total annual burden (hours)</w:t>
            </w:r>
          </w:p>
        </w:tc>
        <w:tc>
          <w:tcPr>
            <w:tcW w:w="915" w:type="dxa"/>
            <w:shd w:val="clear" w:color="auto" w:fill="95B3D7" w:themeFill="accent1" w:themeFillTint="99"/>
            <w:vAlign w:val="center"/>
          </w:tcPr>
          <w:p w:rsidR="00755A4A" w:rsidRPr="00353406" w:rsidP="00545358" w14:paraId="0A409B7B" w14:textId="77777777">
            <w:pPr>
              <w:widowControl w:val="0"/>
              <w:jc w:val="center"/>
              <w:rPr>
                <w:b/>
              </w:rPr>
            </w:pPr>
            <w:r w:rsidRPr="00353406">
              <w:rPr>
                <w:b/>
              </w:rPr>
              <w:t>Hourly rate*</w:t>
            </w:r>
          </w:p>
        </w:tc>
        <w:tc>
          <w:tcPr>
            <w:tcW w:w="1291" w:type="dxa"/>
            <w:shd w:val="clear" w:color="auto" w:fill="95B3D7" w:themeFill="accent1" w:themeFillTint="99"/>
            <w:vAlign w:val="center"/>
          </w:tcPr>
          <w:p w:rsidR="00755A4A" w:rsidRPr="00353406" w:rsidP="00545358" w14:paraId="6B99738F" w14:textId="77777777">
            <w:pPr>
              <w:widowControl w:val="0"/>
              <w:jc w:val="center"/>
              <w:rPr>
                <w:b/>
              </w:rPr>
            </w:pPr>
            <w:r w:rsidRPr="00353406">
              <w:rPr>
                <w:b/>
              </w:rPr>
              <w:t>Monetized value of respondent time</w:t>
            </w:r>
          </w:p>
        </w:tc>
      </w:tr>
      <w:tr w14:paraId="112438CA" w14:textId="77777777" w:rsidTr="0030569F">
        <w:tblPrEx>
          <w:tblW w:w="9625" w:type="dxa"/>
          <w:tblLook w:val="04A0"/>
        </w:tblPrEx>
        <w:trPr>
          <w:trHeight w:val="300"/>
        </w:trPr>
        <w:tc>
          <w:tcPr>
            <w:tcW w:w="1488" w:type="dxa"/>
            <w:vAlign w:val="center"/>
          </w:tcPr>
          <w:p w:rsidR="00755A4A" w:rsidRPr="00353406" w:rsidP="00545358" w14:paraId="20B003EE" w14:textId="2EA02106">
            <w:pPr>
              <w:widowControl w:val="0"/>
            </w:pPr>
            <w:r>
              <w:rPr>
                <w:color w:val="000000" w:themeColor="text1"/>
                <w:sz w:val="24"/>
                <w:szCs w:val="24"/>
              </w:rPr>
              <w:t>Completing Form 20</w:t>
            </w:r>
          </w:p>
        </w:tc>
        <w:tc>
          <w:tcPr>
            <w:tcW w:w="1407" w:type="dxa"/>
            <w:vAlign w:val="center"/>
          </w:tcPr>
          <w:p w:rsidR="00755A4A" w:rsidRPr="00353406" w:rsidP="00545358" w14:paraId="1B937B15" w14:textId="7D92DD08">
            <w:pPr>
              <w:widowControl w:val="0"/>
              <w:jc w:val="center"/>
            </w:pPr>
            <w:r>
              <w:t>12,878</w:t>
            </w:r>
          </w:p>
        </w:tc>
        <w:tc>
          <w:tcPr>
            <w:tcW w:w="1219" w:type="dxa"/>
            <w:vAlign w:val="center"/>
          </w:tcPr>
          <w:p w:rsidR="00755A4A" w:rsidRPr="00353406" w:rsidP="00545358" w14:paraId="03E5A242" w14:textId="16B054B4">
            <w:pPr>
              <w:widowControl w:val="0"/>
              <w:jc w:val="center"/>
            </w:pPr>
            <w:r>
              <w:t>1</w:t>
            </w:r>
          </w:p>
        </w:tc>
        <w:tc>
          <w:tcPr>
            <w:tcW w:w="1175" w:type="dxa"/>
            <w:vAlign w:val="center"/>
          </w:tcPr>
          <w:p w:rsidR="00755A4A" w:rsidRPr="00353406" w:rsidP="00545358" w14:paraId="1B8E7859" w14:textId="6B95ABA5">
            <w:pPr>
              <w:widowControl w:val="0"/>
              <w:jc w:val="center"/>
            </w:pPr>
            <w:r>
              <w:t>12,878</w:t>
            </w:r>
          </w:p>
        </w:tc>
        <w:tc>
          <w:tcPr>
            <w:tcW w:w="1065" w:type="dxa"/>
            <w:vAlign w:val="center"/>
          </w:tcPr>
          <w:p w:rsidR="00755A4A" w:rsidRPr="00353406" w:rsidP="00545358" w14:paraId="43ABB4EA" w14:textId="406C70FE">
            <w:pPr>
              <w:widowControl w:val="0"/>
              <w:jc w:val="center"/>
            </w:pPr>
            <w:r>
              <w:t>0.167</w:t>
            </w:r>
          </w:p>
        </w:tc>
        <w:tc>
          <w:tcPr>
            <w:tcW w:w="1065" w:type="dxa"/>
            <w:vAlign w:val="center"/>
          </w:tcPr>
          <w:p w:rsidR="00755A4A" w:rsidRPr="00353406" w:rsidP="00545358" w14:paraId="2D4852E5" w14:textId="46B21C2B">
            <w:pPr>
              <w:widowControl w:val="0"/>
              <w:jc w:val="center"/>
            </w:pPr>
            <w:r>
              <w:t>2,151</w:t>
            </w:r>
          </w:p>
        </w:tc>
        <w:tc>
          <w:tcPr>
            <w:tcW w:w="915" w:type="dxa"/>
            <w:vAlign w:val="center"/>
          </w:tcPr>
          <w:p w:rsidR="00755A4A" w:rsidRPr="00353406" w:rsidP="00545358" w14:paraId="4AA0E585" w14:textId="50F3A5B8">
            <w:pPr>
              <w:widowControl w:val="0"/>
              <w:jc w:val="center"/>
            </w:pPr>
            <w:r>
              <w:t>$26</w:t>
            </w:r>
          </w:p>
        </w:tc>
        <w:tc>
          <w:tcPr>
            <w:tcW w:w="1291" w:type="dxa"/>
            <w:vAlign w:val="center"/>
          </w:tcPr>
          <w:p w:rsidR="00755A4A" w:rsidRPr="00353406" w:rsidP="00545358" w14:paraId="1992005A" w14:textId="289ED817">
            <w:pPr>
              <w:widowControl w:val="0"/>
              <w:jc w:val="center"/>
            </w:pPr>
            <w:r>
              <w:t>$</w:t>
            </w:r>
            <w:r w:rsidR="6FBDFE17">
              <w:t>55,</w:t>
            </w:r>
            <w:r w:rsidR="00823112">
              <w:t>926</w:t>
            </w:r>
          </w:p>
        </w:tc>
      </w:tr>
      <w:tr w14:paraId="1F29F735" w14:textId="77777777" w:rsidTr="0030569F">
        <w:tblPrEx>
          <w:tblW w:w="9625" w:type="dxa"/>
          <w:tblLook w:val="04A0"/>
        </w:tblPrEx>
        <w:trPr>
          <w:trHeight w:val="300"/>
        </w:trPr>
        <w:tc>
          <w:tcPr>
            <w:tcW w:w="1488" w:type="dxa"/>
            <w:vAlign w:val="center"/>
          </w:tcPr>
          <w:p w:rsidR="00755A4A" w:rsidRPr="00353406" w:rsidP="00545358" w14:paraId="4B4FB426" w14:textId="77777777">
            <w:pPr>
              <w:widowControl w:val="0"/>
              <w:jc w:val="right"/>
              <w:rPr>
                <w:b/>
                <w:iCs/>
              </w:rPr>
            </w:pPr>
            <w:r w:rsidRPr="00353406">
              <w:rPr>
                <w:b/>
                <w:iCs/>
              </w:rPr>
              <w:t>Unduplicated totals</w:t>
            </w:r>
          </w:p>
        </w:tc>
        <w:tc>
          <w:tcPr>
            <w:tcW w:w="1407" w:type="dxa"/>
            <w:vAlign w:val="center"/>
          </w:tcPr>
          <w:p w:rsidR="00755A4A" w:rsidRPr="00353406" w:rsidP="00545358" w14:paraId="4BBEED3F" w14:textId="77777777">
            <w:pPr>
              <w:widowControl w:val="0"/>
              <w:jc w:val="center"/>
              <w:rPr>
                <w:b/>
                <w:iCs/>
              </w:rPr>
            </w:pPr>
          </w:p>
        </w:tc>
        <w:tc>
          <w:tcPr>
            <w:tcW w:w="1219" w:type="dxa"/>
            <w:vAlign w:val="center"/>
          </w:tcPr>
          <w:p w:rsidR="00755A4A" w:rsidRPr="00353406" w:rsidP="00545358" w14:paraId="76A062C0" w14:textId="77777777">
            <w:pPr>
              <w:widowControl w:val="0"/>
              <w:jc w:val="center"/>
              <w:rPr>
                <w:b/>
                <w:iCs/>
              </w:rPr>
            </w:pPr>
          </w:p>
        </w:tc>
        <w:tc>
          <w:tcPr>
            <w:tcW w:w="1175" w:type="dxa"/>
            <w:vAlign w:val="center"/>
          </w:tcPr>
          <w:p w:rsidR="00755A4A" w:rsidRPr="00353406" w:rsidP="00545358" w14:paraId="01F949ED" w14:textId="5A578DEF">
            <w:pPr>
              <w:widowControl w:val="0"/>
              <w:jc w:val="center"/>
              <w:rPr>
                <w:b/>
                <w:iCs/>
              </w:rPr>
            </w:pPr>
            <w:r>
              <w:rPr>
                <w:b/>
                <w:iCs/>
              </w:rPr>
              <w:t>12,878</w:t>
            </w:r>
          </w:p>
        </w:tc>
        <w:tc>
          <w:tcPr>
            <w:tcW w:w="1065" w:type="dxa"/>
            <w:vAlign w:val="center"/>
          </w:tcPr>
          <w:p w:rsidR="00755A4A" w:rsidRPr="00353406" w:rsidP="00545358" w14:paraId="5395CB69" w14:textId="44052C6A">
            <w:pPr>
              <w:widowControl w:val="0"/>
              <w:jc w:val="center"/>
              <w:rPr>
                <w:b/>
                <w:iCs/>
              </w:rPr>
            </w:pPr>
            <w:r>
              <w:rPr>
                <w:b/>
                <w:iCs/>
              </w:rPr>
              <w:t>0.167</w:t>
            </w:r>
          </w:p>
        </w:tc>
        <w:tc>
          <w:tcPr>
            <w:tcW w:w="1065" w:type="dxa"/>
            <w:vAlign w:val="center"/>
          </w:tcPr>
          <w:p w:rsidR="00755A4A" w:rsidRPr="00353406" w:rsidP="00545358" w14:paraId="34A94B79" w14:textId="75390C6E">
            <w:pPr>
              <w:widowControl w:val="0"/>
              <w:jc w:val="center"/>
              <w:rPr>
                <w:b/>
                <w:iCs/>
              </w:rPr>
            </w:pPr>
            <w:r>
              <w:rPr>
                <w:b/>
                <w:iCs/>
              </w:rPr>
              <w:t>2,151</w:t>
            </w:r>
          </w:p>
        </w:tc>
        <w:tc>
          <w:tcPr>
            <w:tcW w:w="915" w:type="dxa"/>
            <w:vAlign w:val="center"/>
          </w:tcPr>
          <w:p w:rsidR="00755A4A" w:rsidRPr="00353406" w:rsidP="00545358" w14:paraId="5DC120A5" w14:textId="77777777">
            <w:pPr>
              <w:widowControl w:val="0"/>
              <w:jc w:val="center"/>
              <w:rPr>
                <w:b/>
                <w:iCs/>
              </w:rPr>
            </w:pPr>
          </w:p>
        </w:tc>
        <w:tc>
          <w:tcPr>
            <w:tcW w:w="1291" w:type="dxa"/>
            <w:vAlign w:val="center"/>
          </w:tcPr>
          <w:p w:rsidR="00755A4A" w:rsidRPr="00353406" w:rsidP="00545358" w14:paraId="550E42EA" w14:textId="3B0860FA">
            <w:pPr>
              <w:widowControl w:val="0"/>
              <w:jc w:val="center"/>
              <w:rPr>
                <w:b/>
                <w:iCs/>
              </w:rPr>
            </w:pPr>
            <w:r>
              <w:rPr>
                <w:b/>
                <w:iCs/>
              </w:rPr>
              <w:t>$55,926</w:t>
            </w:r>
          </w:p>
        </w:tc>
      </w:tr>
    </w:tbl>
    <w:p w:rsidR="00755A4A" w:rsidRPr="00947A2D" w:rsidP="00545358" w14:paraId="27FD6AD2" w14:textId="77777777">
      <w:pPr>
        <w:autoSpaceDE/>
        <w:autoSpaceDN/>
        <w:rPr>
          <w:i/>
          <w:iCs/>
          <w:sz w:val="24"/>
          <w:szCs w:val="24"/>
          <w:highlight w:val="yellow"/>
        </w:rPr>
      </w:pPr>
    </w:p>
    <w:p w:rsidR="01684A02" w:rsidP="00545358" w14:paraId="4A1E0C40" w14:textId="65E55D1D">
      <w:pPr>
        <w:tabs>
          <w:tab w:val="left" w:pos="720"/>
          <w:tab w:val="left" w:pos="9338"/>
        </w:tabs>
        <w:rPr>
          <w:sz w:val="24"/>
          <w:szCs w:val="24"/>
        </w:rPr>
      </w:pPr>
      <w:r>
        <w:rPr>
          <w:sz w:val="24"/>
          <w:szCs w:val="24"/>
        </w:rPr>
        <w:t>The</w:t>
      </w:r>
      <w:r w:rsidRPr="4D628F40">
        <w:rPr>
          <w:sz w:val="24"/>
          <w:szCs w:val="24"/>
        </w:rPr>
        <w:t xml:space="preserve"> total monetized value of the time burden associated with this collection is $55,</w:t>
      </w:r>
      <w:r w:rsidR="00E51688">
        <w:rPr>
          <w:sz w:val="24"/>
          <w:szCs w:val="24"/>
        </w:rPr>
        <w:t>926</w:t>
      </w:r>
      <w:r w:rsidRPr="4D628F40">
        <w:rPr>
          <w:sz w:val="24"/>
          <w:szCs w:val="24"/>
        </w:rPr>
        <w:t xml:space="preserve"> (</w:t>
      </w:r>
      <w:r w:rsidR="00823112">
        <w:rPr>
          <w:sz w:val="24"/>
          <w:szCs w:val="24"/>
        </w:rPr>
        <w:t>rounded</w:t>
      </w:r>
      <w:r w:rsidR="00233493">
        <w:rPr>
          <w:sz w:val="24"/>
          <w:szCs w:val="24"/>
        </w:rPr>
        <w:t>)</w:t>
      </w:r>
      <w:r w:rsidRPr="4D628F40">
        <w:rPr>
          <w:sz w:val="24"/>
          <w:szCs w:val="24"/>
        </w:rPr>
        <w:t xml:space="preserve"> </w:t>
      </w:r>
      <w:r w:rsidR="00233493">
        <w:rPr>
          <w:sz w:val="24"/>
          <w:szCs w:val="24"/>
        </w:rPr>
        <w:t>(</w:t>
      </w:r>
      <w:r w:rsidR="00823112">
        <w:rPr>
          <w:sz w:val="24"/>
          <w:szCs w:val="24"/>
        </w:rPr>
        <w:t>2,151</w:t>
      </w:r>
      <w:r w:rsidRPr="4D628F40" w:rsidR="5A62F318">
        <w:rPr>
          <w:sz w:val="24"/>
          <w:szCs w:val="24"/>
        </w:rPr>
        <w:t xml:space="preserve"> hours * $26 hourly wage)</w:t>
      </w:r>
      <w:r w:rsidRPr="4D628F40">
        <w:rPr>
          <w:sz w:val="24"/>
          <w:szCs w:val="24"/>
        </w:rPr>
        <w:t>.</w:t>
      </w:r>
    </w:p>
    <w:p w:rsidR="4D628F40" w:rsidP="00545358" w14:paraId="68452DCB" w14:textId="595BA444">
      <w:pPr>
        <w:rPr>
          <w:i/>
          <w:iCs/>
          <w:sz w:val="24"/>
          <w:szCs w:val="24"/>
          <w:highlight w:val="yellow"/>
        </w:rPr>
      </w:pPr>
    </w:p>
    <w:p w:rsidR="00250927" w:rsidP="00545358" w14:paraId="06D1FDE3" w14:textId="14792178">
      <w:pPr>
        <w:rPr>
          <w:b/>
          <w:bCs/>
          <w:sz w:val="24"/>
          <w:szCs w:val="24"/>
        </w:rPr>
      </w:pPr>
      <w:r w:rsidRPr="006D5A8F">
        <w:rPr>
          <w:b/>
          <w:bCs/>
          <w:sz w:val="24"/>
          <w:szCs w:val="24"/>
        </w:rPr>
        <w:t xml:space="preserve">13. </w:t>
      </w:r>
      <w:r w:rsidRPr="006D5A8F" w:rsidR="008F3150">
        <w:rPr>
          <w:b/>
          <w:bCs/>
          <w:sz w:val="24"/>
          <w:szCs w:val="24"/>
        </w:rPr>
        <w:t xml:space="preserve">Provide </w:t>
      </w:r>
      <w:r w:rsidRPr="006D5A8F" w:rsidR="00D521AE">
        <w:rPr>
          <w:b/>
          <w:bCs/>
          <w:sz w:val="24"/>
          <w:szCs w:val="24"/>
        </w:rPr>
        <w:t xml:space="preserve">an estimate of the total </w:t>
      </w:r>
      <w:r w:rsidRPr="006D5A8F" w:rsidR="00D4694C">
        <w:rPr>
          <w:b/>
          <w:bCs/>
          <w:sz w:val="24"/>
          <w:szCs w:val="24"/>
        </w:rPr>
        <w:t>annual cost burden to respondents or record</w:t>
      </w:r>
      <w:r w:rsidRPr="006D5A8F" w:rsidR="009C197D">
        <w:rPr>
          <w:b/>
          <w:bCs/>
          <w:sz w:val="24"/>
          <w:szCs w:val="24"/>
        </w:rPr>
        <w:t>-keepers resulting from the information collection. (Do not include</w:t>
      </w:r>
      <w:r w:rsidRPr="006D5A8F" w:rsidR="00B516BA">
        <w:rPr>
          <w:b/>
          <w:bCs/>
          <w:sz w:val="24"/>
          <w:szCs w:val="24"/>
        </w:rPr>
        <w:t xml:space="preserve"> the cost of any</w:t>
      </w:r>
      <w:r w:rsidR="001C36A0">
        <w:rPr>
          <w:b/>
          <w:bCs/>
          <w:sz w:val="24"/>
          <w:szCs w:val="24"/>
        </w:rPr>
        <w:t xml:space="preserve"> </w:t>
      </w:r>
      <w:r w:rsidRPr="006D5A8F" w:rsidR="00B516BA">
        <w:rPr>
          <w:b/>
          <w:bCs/>
          <w:sz w:val="24"/>
          <w:szCs w:val="24"/>
        </w:rPr>
        <w:t xml:space="preserve">burden shown in </w:t>
      </w:r>
      <w:r w:rsidRPr="006D5A8F" w:rsidR="00292B9E">
        <w:rPr>
          <w:b/>
          <w:bCs/>
          <w:sz w:val="24"/>
          <w:szCs w:val="24"/>
        </w:rPr>
        <w:t>i</w:t>
      </w:r>
      <w:r w:rsidRPr="006D5A8F" w:rsidR="00B516BA">
        <w:rPr>
          <w:b/>
          <w:bCs/>
          <w:sz w:val="24"/>
          <w:szCs w:val="24"/>
        </w:rPr>
        <w:t>tems 12</w:t>
      </w:r>
      <w:r w:rsidRPr="006D5A8F">
        <w:rPr>
          <w:b/>
          <w:bCs/>
          <w:sz w:val="24"/>
          <w:szCs w:val="24"/>
        </w:rPr>
        <w:t xml:space="preserve"> and 14).</w:t>
      </w:r>
    </w:p>
    <w:p w:rsidR="001C36A0" w:rsidRPr="0013145A" w:rsidP="00545358" w14:paraId="24DA66DD" w14:textId="77777777">
      <w:pPr>
        <w:rPr>
          <w:b/>
          <w:bCs/>
          <w:sz w:val="24"/>
          <w:szCs w:val="24"/>
        </w:rPr>
      </w:pPr>
    </w:p>
    <w:p w:rsidR="001C36A0" w:rsidRPr="0013145A" w:rsidP="00545358" w14:paraId="13FB0FB2" w14:textId="06E5BB83">
      <w:pPr>
        <w:rPr>
          <w:sz w:val="24"/>
          <w:szCs w:val="24"/>
        </w:rPr>
      </w:pPr>
      <w:r w:rsidRPr="0013145A">
        <w:rPr>
          <w:sz w:val="24"/>
          <w:szCs w:val="24"/>
        </w:rPr>
        <w:t>There are no additional costs associated with this information collection. </w:t>
      </w:r>
    </w:p>
    <w:p w:rsidR="00A113C5" w:rsidRPr="0013145A" w:rsidP="00545358" w14:paraId="1425A9BD" w14:textId="77777777">
      <w:pPr>
        <w:pStyle w:val="ListParagraph"/>
        <w:tabs>
          <w:tab w:val="left" w:pos="1147"/>
          <w:tab w:val="left" w:pos="1148"/>
        </w:tabs>
        <w:ind w:left="0" w:firstLine="0"/>
        <w:rPr>
          <w:sz w:val="24"/>
          <w:szCs w:val="24"/>
        </w:rPr>
      </w:pPr>
    </w:p>
    <w:p w:rsidR="00CD7CE1" w:rsidRPr="0013145A" w:rsidP="00545358" w14:paraId="5AEDC4B3" w14:textId="534DFB78">
      <w:pPr>
        <w:tabs>
          <w:tab w:val="left" w:pos="1147"/>
          <w:tab w:val="left" w:pos="1148"/>
        </w:tabs>
        <w:rPr>
          <w:b/>
          <w:bCs/>
          <w:sz w:val="24"/>
          <w:szCs w:val="24"/>
        </w:rPr>
      </w:pPr>
      <w:r w:rsidRPr="0013145A">
        <w:rPr>
          <w:b/>
          <w:bCs/>
          <w:sz w:val="24"/>
          <w:szCs w:val="24"/>
        </w:rPr>
        <w:t xml:space="preserve">14. Provide estimates of the annualized cost of the federal government. </w:t>
      </w:r>
    </w:p>
    <w:p w:rsidR="00D66EE5" w:rsidRPr="0013145A" w:rsidP="00545358" w14:paraId="471071F2" w14:textId="77777777">
      <w:pPr>
        <w:pStyle w:val="BodyText"/>
      </w:pPr>
    </w:p>
    <w:p w:rsidR="00E90191" w:rsidRPr="0013145A" w:rsidP="00545358" w14:paraId="7471F7B7" w14:textId="20016696">
      <w:pPr>
        <w:spacing w:after="240"/>
        <w:rPr>
          <w:sz w:val="24"/>
          <w:szCs w:val="24"/>
        </w:rPr>
      </w:pPr>
      <w:r w:rsidRPr="0013145A">
        <w:rPr>
          <w:sz w:val="24"/>
          <w:szCs w:val="24"/>
        </w:rPr>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r w:rsidRPr="0013145A" w:rsidR="009C1F40">
        <w:rPr>
          <w:sz w:val="24"/>
          <w:szCs w:val="24"/>
        </w:rPr>
        <w:t xml:space="preserve"> In addition, previous mailing costs are no longer</w:t>
      </w:r>
      <w:r w:rsidRPr="0013145A" w:rsidR="00757A3F">
        <w:rPr>
          <w:sz w:val="24"/>
          <w:szCs w:val="24"/>
        </w:rPr>
        <w:t xml:space="preserve"> incurred due to the </w:t>
      </w:r>
      <w:r w:rsidRPr="0013145A" w:rsidR="00CB724B">
        <w:rPr>
          <w:sz w:val="24"/>
          <w:szCs w:val="24"/>
        </w:rPr>
        <w:t xml:space="preserve">form being on </w:t>
      </w:r>
      <w:r w:rsidRPr="0013145A" w:rsidR="00CB724B">
        <w:rPr>
          <w:sz w:val="24"/>
          <w:szCs w:val="24"/>
        </w:rPr>
        <w:t>eForms</w:t>
      </w:r>
      <w:r w:rsidRPr="0013145A" w:rsidR="00CB724B">
        <w:rPr>
          <w:sz w:val="24"/>
          <w:szCs w:val="24"/>
        </w:rPr>
        <w:t>.</w:t>
      </w:r>
    </w:p>
    <w:p w:rsidR="00292B9E" w:rsidRPr="0013145A" w:rsidP="00545358" w14:paraId="570ADA2E" w14:textId="77777777">
      <w:pPr>
        <w:tabs>
          <w:tab w:val="left" w:pos="1148"/>
        </w:tabs>
        <w:rPr>
          <w:b/>
          <w:bCs/>
          <w:sz w:val="24"/>
          <w:szCs w:val="24"/>
        </w:rPr>
      </w:pPr>
      <w:r w:rsidRPr="0013145A">
        <w:rPr>
          <w:b/>
          <w:bCs/>
          <w:sz w:val="24"/>
          <w:szCs w:val="24"/>
        </w:rPr>
        <w:t>15. Explain the reasons for any program changes or adjustments.</w:t>
      </w:r>
    </w:p>
    <w:p w:rsidR="00292B9E" w:rsidRPr="0003217D" w:rsidP="00545358" w14:paraId="5988987B" w14:textId="77777777">
      <w:pPr>
        <w:tabs>
          <w:tab w:val="left" w:pos="1148"/>
        </w:tabs>
        <w:rPr>
          <w:sz w:val="24"/>
          <w:szCs w:val="24"/>
        </w:rPr>
      </w:pPr>
    </w:p>
    <w:p w:rsidR="0013145A" w:rsidP="0013145A" w14:paraId="34140FD4" w14:textId="77777777">
      <w:pPr>
        <w:pStyle w:val="BodyText"/>
      </w:pPr>
      <w:r>
        <w:t xml:space="preserve">ATF has revised the form to make it electronically fillable and allow it to be submitted by email. In addition, ATF will have made the form part of its online </w:t>
      </w:r>
      <w:r>
        <w:t>eForms</w:t>
      </w:r>
      <w:r>
        <w:t xml:space="preserve"> platform by the time this ICR completes the renewal process, both of which result in full electronic submission. In the process of these changes, ATF has also made the second copy automatically auto-fill, when it was previously completed by the respondent in addition to the primary form. ATF also made some additional small edits to the form to make it easier to read, and made a slight revision to the title to clarify the type of transportation covered.</w:t>
      </w:r>
    </w:p>
    <w:p w:rsidR="0013145A" w:rsidP="0013145A" w14:paraId="00B0039F" w14:textId="77777777">
      <w:pPr>
        <w:pStyle w:val="BodyText"/>
      </w:pPr>
    </w:p>
    <w:p w:rsidR="009165F8" w:rsidP="0013145A" w14:paraId="4CB42D96" w14:textId="53C039CA">
      <w:pPr>
        <w:pStyle w:val="BodyText"/>
      </w:pPr>
      <w:r>
        <w:t xml:space="preserve">The changes to the form due to updated technology have decreased the time necessary to complete </w:t>
      </w:r>
      <w:r>
        <w:t xml:space="preserve">the form, which was previously 20 minutes (ten minutes were attributed to addressing and mailing) and has now decreased to ten minutes. In addition, respondents no longer incur mailing time and costs. </w:t>
      </w:r>
      <w:r w:rsidRPr="00545358">
        <w:t xml:space="preserve">There has </w:t>
      </w:r>
      <w:r>
        <w:t>also been</w:t>
      </w:r>
      <w:r w:rsidRPr="00545358">
        <w:t xml:space="preserve"> </w:t>
      </w:r>
      <w:r>
        <w:t>a de</w:t>
      </w:r>
      <w:r w:rsidRPr="00545358">
        <w:t xml:space="preserve">crease in the number of </w:t>
      </w:r>
      <w:r>
        <w:t>respondents</w:t>
      </w:r>
      <w:r w:rsidRPr="00545358">
        <w:t xml:space="preserve"> per year, from </w:t>
      </w:r>
      <w:r>
        <w:t>20,000</w:t>
      </w:r>
      <w:r w:rsidRPr="00545358">
        <w:t xml:space="preserve"> </w:t>
      </w:r>
      <w:r>
        <w:t>respondents</w:t>
      </w:r>
      <w:r w:rsidRPr="00545358">
        <w:t xml:space="preserve"> during the last renewal to </w:t>
      </w:r>
      <w:r>
        <w:t>12,878 during this renewal</w:t>
      </w:r>
      <w:r w:rsidRPr="00545358">
        <w:t xml:space="preserve">, </w:t>
      </w:r>
      <w:r>
        <w:t>a decrease of 7,122 respondents</w:t>
      </w:r>
      <w:r w:rsidRPr="00545358">
        <w:t xml:space="preserve">. </w:t>
      </w:r>
      <w:r>
        <w:t>These combined changes have resulted in a</w:t>
      </w:r>
      <w:r w:rsidRPr="00545358">
        <w:t xml:space="preserve"> decrease in total annual burden hours from </w:t>
      </w:r>
      <w:r>
        <w:t>6,667 hours</w:t>
      </w:r>
      <w:r w:rsidRPr="00545358">
        <w:t xml:space="preserve"> </w:t>
      </w:r>
      <w:r>
        <w:t xml:space="preserve">to 2,151, </w:t>
      </w:r>
      <w:r w:rsidRPr="00545358">
        <w:t xml:space="preserve">a decrease of </w:t>
      </w:r>
      <w:r>
        <w:t>4,516</w:t>
      </w:r>
      <w:r w:rsidRPr="00545358">
        <w:t xml:space="preserve"> hours</w:t>
      </w:r>
      <w:r>
        <w:rPr>
          <w:rFonts w:eastAsiaTheme="majorEastAsia"/>
        </w:rPr>
        <w:t>, and a corresponding decrease in the monetized time value for this ICR</w:t>
      </w:r>
      <w:r>
        <w:t>.</w:t>
      </w:r>
    </w:p>
    <w:p w:rsidR="0013145A" w:rsidP="0013145A" w14:paraId="5282E1B7" w14:textId="77777777">
      <w:pPr>
        <w:pStyle w:val="BodyText"/>
        <w:rPr>
          <w:highlight w:val="yellow"/>
        </w:rPr>
      </w:pPr>
    </w:p>
    <w:p w:rsidR="00487D40" w:rsidRPr="0003217D" w:rsidP="00545358" w14:paraId="5EDBACBB" w14:textId="77777777">
      <w:pPr>
        <w:tabs>
          <w:tab w:val="left" w:pos="1148"/>
        </w:tabs>
        <w:rPr>
          <w:b/>
          <w:bCs/>
          <w:sz w:val="24"/>
          <w:szCs w:val="24"/>
        </w:rPr>
      </w:pPr>
      <w:r w:rsidRPr="0003217D">
        <w:rPr>
          <w:b/>
          <w:bCs/>
          <w:sz w:val="24"/>
          <w:szCs w:val="24"/>
        </w:rPr>
        <w:t xml:space="preserve">16. For information collections whose results will be published, outline plans for </w:t>
      </w:r>
    </w:p>
    <w:p w:rsidR="00487D40" w:rsidRPr="0003217D" w:rsidP="00545358" w14:paraId="2C7E75D9" w14:textId="77777777">
      <w:pPr>
        <w:tabs>
          <w:tab w:val="left" w:pos="1148"/>
        </w:tabs>
        <w:rPr>
          <w:b/>
          <w:bCs/>
          <w:sz w:val="24"/>
          <w:szCs w:val="24"/>
        </w:rPr>
      </w:pPr>
      <w:r w:rsidRPr="0003217D">
        <w:rPr>
          <w:b/>
          <w:bCs/>
          <w:sz w:val="24"/>
          <w:szCs w:val="24"/>
        </w:rPr>
        <w:t>tabulations and publications.</w:t>
      </w:r>
    </w:p>
    <w:p w:rsidR="00487D40" w:rsidRPr="0003217D" w:rsidP="00545358" w14:paraId="0A7BDF9A" w14:textId="77777777">
      <w:pPr>
        <w:pStyle w:val="BodyText"/>
        <w:rPr>
          <w:b/>
          <w:bCs/>
        </w:rPr>
      </w:pPr>
    </w:p>
    <w:p w:rsidR="00B76F41" w:rsidRPr="0003217D" w:rsidP="00545358" w14:paraId="18EF1992"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03217D">
        <w:rPr>
          <w:sz w:val="24"/>
          <w:szCs w:val="24"/>
        </w:rPr>
        <w:t>ATF does not publish the results of this collection.</w:t>
      </w:r>
    </w:p>
    <w:p w:rsidR="002447D4" w:rsidRPr="0003217D" w:rsidP="00545358" w14:paraId="72AE0A2C" w14:textId="77777777">
      <w:pPr>
        <w:pStyle w:val="BodyText"/>
        <w:rPr>
          <w:b/>
          <w:bCs/>
        </w:rPr>
      </w:pPr>
    </w:p>
    <w:p w:rsidR="00B76F41" w:rsidRPr="0003217D" w:rsidP="00545358" w14:paraId="58DB469C" w14:textId="77777777">
      <w:pPr>
        <w:pStyle w:val="BodyText"/>
        <w:rPr>
          <w:b/>
          <w:bCs/>
        </w:rPr>
      </w:pPr>
      <w:r w:rsidRPr="0003217D">
        <w:rPr>
          <w:b/>
          <w:bCs/>
        </w:rPr>
        <w:t xml:space="preserve">17. If seeking approval to not display the expiration date for the information </w:t>
      </w:r>
    </w:p>
    <w:p w:rsidR="00B76F41" w:rsidRPr="0003217D" w:rsidP="00545358" w14:paraId="6F30BC4A" w14:textId="77777777">
      <w:pPr>
        <w:pStyle w:val="BodyText"/>
        <w:rPr>
          <w:b/>
          <w:bCs/>
        </w:rPr>
      </w:pPr>
      <w:r w:rsidRPr="0003217D">
        <w:rPr>
          <w:b/>
          <w:bCs/>
        </w:rPr>
        <w:t>collection, explain the reasons that display would be inappropriate.</w:t>
      </w:r>
    </w:p>
    <w:p w:rsidR="00B76F41" w:rsidRPr="0003217D" w:rsidP="00545358" w14:paraId="3BB4591F" w14:textId="77777777">
      <w:pPr>
        <w:pStyle w:val="BodyText"/>
        <w:rPr>
          <w:b/>
          <w:bCs/>
        </w:rPr>
      </w:pPr>
    </w:p>
    <w:p w:rsidR="00AA04C4" w:rsidP="00545358" w14:paraId="6C67D5DB" w14:textId="62CF25AF">
      <w:pPr>
        <w:pStyle w:val="BodyText"/>
      </w:pPr>
      <w:r w:rsidRPr="00F705F7">
        <w:t>ATF intends to display the OMB expiration date for this information collection.</w:t>
      </w:r>
    </w:p>
    <w:p w:rsidR="005D7683" w:rsidRPr="0003217D" w:rsidP="00545358" w14:paraId="30407CB2" w14:textId="77777777">
      <w:pPr>
        <w:pStyle w:val="BodyText"/>
      </w:pPr>
    </w:p>
    <w:p w:rsidR="00B76F41" w:rsidRPr="0003217D" w:rsidP="00545358" w14:paraId="15D671F2" w14:textId="77777777">
      <w:pPr>
        <w:pStyle w:val="BodyText"/>
        <w:rPr>
          <w:b/>
          <w:bCs/>
        </w:rPr>
      </w:pPr>
      <w:r w:rsidRPr="0003217D">
        <w:rPr>
          <w:b/>
          <w:bCs/>
        </w:rPr>
        <w:t>18. Explain each exception to the certification statement.</w:t>
      </w:r>
    </w:p>
    <w:p w:rsidR="00B76F41" w:rsidRPr="0003217D" w:rsidP="00545358" w14:paraId="5EDE1DB7" w14:textId="77777777">
      <w:pPr>
        <w:pStyle w:val="BodyText"/>
        <w:rPr>
          <w:b/>
          <w:bCs/>
        </w:rPr>
      </w:pPr>
    </w:p>
    <w:p w:rsidR="009B5297" w:rsidRPr="009B5297" w:rsidP="00545358" w14:paraId="1AEFA9E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B5297">
        <w:rPr>
          <w:sz w:val="24"/>
          <w:szCs w:val="24"/>
        </w:rPr>
        <w:t>This information collection does not include any exceptions to the certification statement.</w:t>
      </w:r>
    </w:p>
    <w:p w:rsidR="00087C11" w:rsidRPr="0003217D" w:rsidP="00545358" w14:paraId="5FD10D2E" w14:textId="248EACF1">
      <w:pPr>
        <w:tabs>
          <w:tab w:val="left" w:pos="1150"/>
        </w:tabs>
        <w:rPr>
          <w:sz w:val="24"/>
          <w:szCs w:val="24"/>
        </w:rPr>
      </w:pPr>
    </w:p>
    <w:p w:rsidR="00714382" w:rsidRPr="00714382" w:rsidP="00545358" w14:paraId="25DCE068" w14:textId="77777777">
      <w:pPr>
        <w:autoSpaceDE/>
        <w:autoSpaceDN/>
        <w:rPr>
          <w:sz w:val="24"/>
          <w:szCs w:val="24"/>
        </w:rPr>
      </w:pPr>
      <w:bookmarkStart w:id="4" w:name="_Hlk188988292"/>
      <w:r w:rsidRPr="00714382">
        <w:rPr>
          <w:b/>
          <w:bCs/>
          <w:sz w:val="24"/>
          <w:szCs w:val="24"/>
        </w:rPr>
        <w:t>B. INFORMATION COLLECTIONS EMPLOYING STATISTICAL METHODS.</w:t>
      </w:r>
    </w:p>
    <w:bookmarkEnd w:id="4"/>
    <w:p w:rsidR="00714382" w:rsidRPr="00714382" w:rsidP="00545358" w14:paraId="2599AFA1" w14:textId="77777777">
      <w:pPr>
        <w:rPr>
          <w:sz w:val="24"/>
          <w:szCs w:val="24"/>
        </w:rPr>
      </w:pPr>
    </w:p>
    <w:p w:rsidR="00714382" w:rsidRPr="00714382" w:rsidP="00545358" w14:paraId="13F36FA9" w14:textId="77777777">
      <w:pPr>
        <w:rPr>
          <w:sz w:val="24"/>
          <w:szCs w:val="24"/>
        </w:rPr>
      </w:pPr>
      <w:r w:rsidRPr="00714382">
        <w:rPr>
          <w:sz w:val="24"/>
          <w:szCs w:val="24"/>
        </w:rPr>
        <w:t>This collection does not employ statistical methods.</w:t>
      </w:r>
    </w:p>
    <w:p w:rsidR="00A16981" w:rsidRPr="00714382" w:rsidP="00545358" w14:paraId="5A04AA2D" w14:textId="29A479AE">
      <w:pPr>
        <w:pStyle w:val="ListParagraph"/>
        <w:tabs>
          <w:tab w:val="left" w:pos="766"/>
        </w:tabs>
        <w:ind w:left="0" w:firstLine="0"/>
        <w:rPr>
          <w:b/>
          <w:bCs/>
          <w:sz w:val="24"/>
          <w:szCs w:val="24"/>
        </w:rPr>
      </w:pPr>
    </w:p>
    <w:sectPr>
      <w:headerReference w:type="default" r:id="rId7"/>
      <w:footerReference w:type="default" r:id="rId8"/>
      <w:pgSz w:w="12240" w:h="15840"/>
      <w:pgMar w:top="1640" w:right="132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5580487"/>
      <w:docPartObj>
        <w:docPartGallery w:val="Page Numbers (Bottom of Page)"/>
        <w:docPartUnique/>
      </w:docPartObj>
    </w:sdtPr>
    <w:sdtEndPr>
      <w:rPr>
        <w:noProof/>
      </w:rPr>
    </w:sdtEndPr>
    <w:sdtContent>
      <w:p w:rsidR="00D66EE5" w14:paraId="075B0BE5" w14:textId="64DA9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66EE5" w14:paraId="2C3D9A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BAF" w:rsidRPr="00C629CA" w14:paraId="7386D49C" w14:textId="6C2B054A">
    <w:pPr>
      <w:pStyle w:val="Header"/>
      <w:rPr>
        <w:sz w:val="20"/>
        <w:szCs w:val="20"/>
      </w:rPr>
    </w:pPr>
    <w:r w:rsidRPr="5AD8692D">
      <w:rPr>
        <w:sz w:val="20"/>
        <w:szCs w:val="20"/>
      </w:rPr>
      <w:t>Application to Transport Interstate or to Temporarily Export Certain NFA Firearms</w:t>
    </w:r>
  </w:p>
  <w:p w:rsidR="00B02271" w:rsidRPr="00C629CA" w14:paraId="39F02B09" w14:textId="2A1AF909">
    <w:pPr>
      <w:pStyle w:val="Header"/>
      <w:rPr>
        <w:sz w:val="20"/>
        <w:szCs w:val="20"/>
      </w:rPr>
    </w:pPr>
    <w:r w:rsidRPr="5AD8692D">
      <w:rPr>
        <w:sz w:val="20"/>
        <w:szCs w:val="20"/>
      </w:rPr>
      <w:t>OMB control number: 1140-0010</w:t>
    </w:r>
  </w:p>
  <w:p w:rsidR="00113DBF" w:rsidRPr="00C629CA" w14:paraId="1C21DC28" w14:textId="71044FDC">
    <w:pPr>
      <w:pStyle w:val="Header"/>
      <w:rPr>
        <w:sz w:val="20"/>
        <w:szCs w:val="20"/>
      </w:rPr>
    </w:pPr>
    <w:r w:rsidRPr="5AD8692D">
      <w:rPr>
        <w:sz w:val="20"/>
        <w:szCs w:val="20"/>
      </w:rPr>
      <w:t>OMB expiration date: 01-31-26</w:t>
    </w:r>
  </w:p>
  <w:p w:rsidR="00A14BAF" w14:paraId="67119D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F1F88"/>
    <w:multiLevelType w:val="hybridMultilevel"/>
    <w:tmpl w:val="6876EB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FC66CD3"/>
    <w:multiLevelType w:val="hybridMultilevel"/>
    <w:tmpl w:val="B1F22090"/>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2">
    <w:nsid w:val="62896B73"/>
    <w:multiLevelType w:val="hybridMultilevel"/>
    <w:tmpl w:val="F3780A2C"/>
    <w:lvl w:ilvl="0">
      <w:start w:val="1"/>
      <w:numFmt w:val="bullet"/>
      <w:lvlText w:val=""/>
      <w:lvlJc w:val="left"/>
      <w:pPr>
        <w:ind w:left="1590" w:hanging="360"/>
      </w:pPr>
      <w:rPr>
        <w:rFonts w:ascii="Symbol" w:hAnsi="Symbol" w:hint="default"/>
      </w:rPr>
    </w:lvl>
    <w:lvl w:ilvl="1" w:tentative="1">
      <w:start w:val="1"/>
      <w:numFmt w:val="bullet"/>
      <w:lvlText w:val="o"/>
      <w:lvlJc w:val="left"/>
      <w:pPr>
        <w:ind w:left="2310" w:hanging="360"/>
      </w:pPr>
      <w:rPr>
        <w:rFonts w:ascii="Courier New" w:hAnsi="Courier New" w:cs="Courier New" w:hint="default"/>
      </w:rPr>
    </w:lvl>
    <w:lvl w:ilvl="2" w:tentative="1">
      <w:start w:val="1"/>
      <w:numFmt w:val="bullet"/>
      <w:lvlText w:val=""/>
      <w:lvlJc w:val="left"/>
      <w:pPr>
        <w:ind w:left="3030" w:hanging="360"/>
      </w:pPr>
      <w:rPr>
        <w:rFonts w:ascii="Wingdings" w:hAnsi="Wingdings" w:hint="default"/>
      </w:rPr>
    </w:lvl>
    <w:lvl w:ilvl="3" w:tentative="1">
      <w:start w:val="1"/>
      <w:numFmt w:val="bullet"/>
      <w:lvlText w:val=""/>
      <w:lvlJc w:val="left"/>
      <w:pPr>
        <w:ind w:left="3750" w:hanging="360"/>
      </w:pPr>
      <w:rPr>
        <w:rFonts w:ascii="Symbol" w:hAnsi="Symbol" w:hint="default"/>
      </w:rPr>
    </w:lvl>
    <w:lvl w:ilvl="4" w:tentative="1">
      <w:start w:val="1"/>
      <w:numFmt w:val="bullet"/>
      <w:lvlText w:val="o"/>
      <w:lvlJc w:val="left"/>
      <w:pPr>
        <w:ind w:left="4470" w:hanging="360"/>
      </w:pPr>
      <w:rPr>
        <w:rFonts w:ascii="Courier New" w:hAnsi="Courier New" w:cs="Courier New" w:hint="default"/>
      </w:rPr>
    </w:lvl>
    <w:lvl w:ilvl="5" w:tentative="1">
      <w:start w:val="1"/>
      <w:numFmt w:val="bullet"/>
      <w:lvlText w:val=""/>
      <w:lvlJc w:val="left"/>
      <w:pPr>
        <w:ind w:left="5190" w:hanging="360"/>
      </w:pPr>
      <w:rPr>
        <w:rFonts w:ascii="Wingdings" w:hAnsi="Wingdings" w:hint="default"/>
      </w:rPr>
    </w:lvl>
    <w:lvl w:ilvl="6" w:tentative="1">
      <w:start w:val="1"/>
      <w:numFmt w:val="bullet"/>
      <w:lvlText w:val=""/>
      <w:lvlJc w:val="left"/>
      <w:pPr>
        <w:ind w:left="5910" w:hanging="360"/>
      </w:pPr>
      <w:rPr>
        <w:rFonts w:ascii="Symbol" w:hAnsi="Symbol" w:hint="default"/>
      </w:rPr>
    </w:lvl>
    <w:lvl w:ilvl="7" w:tentative="1">
      <w:start w:val="1"/>
      <w:numFmt w:val="bullet"/>
      <w:lvlText w:val="o"/>
      <w:lvlJc w:val="left"/>
      <w:pPr>
        <w:ind w:left="6630" w:hanging="360"/>
      </w:pPr>
      <w:rPr>
        <w:rFonts w:ascii="Courier New" w:hAnsi="Courier New" w:cs="Courier New" w:hint="default"/>
      </w:rPr>
    </w:lvl>
    <w:lvl w:ilvl="8" w:tentative="1">
      <w:start w:val="1"/>
      <w:numFmt w:val="bullet"/>
      <w:lvlText w:val=""/>
      <w:lvlJc w:val="left"/>
      <w:pPr>
        <w:ind w:left="7350" w:hanging="360"/>
      </w:pPr>
      <w:rPr>
        <w:rFonts w:ascii="Wingdings" w:hAnsi="Wingdings" w:hint="default"/>
      </w:rPr>
    </w:lvl>
  </w:abstractNum>
  <w:abstractNum w:abstractNumId="3">
    <w:nsid w:val="731540EF"/>
    <w:multiLevelType w:val="hybridMultilevel"/>
    <w:tmpl w:val="A7DAF786"/>
    <w:lvl w:ilvl="0">
      <w:start w:val="1"/>
      <w:numFmt w:val="decimal"/>
      <w:lvlText w:val="%1."/>
      <w:lvlJc w:val="left"/>
      <w:pPr>
        <w:ind w:left="1178" w:hanging="3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entative="1">
      <w:start w:val="1"/>
      <w:numFmt w:val="lowerLetter"/>
      <w:lvlText w:val="%2."/>
      <w:lvlJc w:val="left"/>
      <w:pPr>
        <w:ind w:left="1471" w:hanging="360"/>
      </w:pPr>
    </w:lvl>
    <w:lvl w:ilvl="2" w:tentative="1">
      <w:start w:val="1"/>
      <w:numFmt w:val="lowerRoman"/>
      <w:lvlText w:val="%3."/>
      <w:lvlJc w:val="right"/>
      <w:pPr>
        <w:ind w:left="2191" w:hanging="180"/>
      </w:pPr>
    </w:lvl>
    <w:lvl w:ilvl="3" w:tentative="1">
      <w:start w:val="1"/>
      <w:numFmt w:val="decimal"/>
      <w:lvlText w:val="%4."/>
      <w:lvlJc w:val="left"/>
      <w:pPr>
        <w:ind w:left="2911" w:hanging="360"/>
      </w:pPr>
    </w:lvl>
    <w:lvl w:ilvl="4" w:tentative="1">
      <w:start w:val="1"/>
      <w:numFmt w:val="lowerLetter"/>
      <w:lvlText w:val="%5."/>
      <w:lvlJc w:val="left"/>
      <w:pPr>
        <w:ind w:left="3631" w:hanging="360"/>
      </w:pPr>
    </w:lvl>
    <w:lvl w:ilvl="5" w:tentative="1">
      <w:start w:val="1"/>
      <w:numFmt w:val="lowerRoman"/>
      <w:lvlText w:val="%6."/>
      <w:lvlJc w:val="right"/>
      <w:pPr>
        <w:ind w:left="4351" w:hanging="180"/>
      </w:pPr>
    </w:lvl>
    <w:lvl w:ilvl="6" w:tentative="1">
      <w:start w:val="1"/>
      <w:numFmt w:val="decimal"/>
      <w:lvlText w:val="%7."/>
      <w:lvlJc w:val="left"/>
      <w:pPr>
        <w:ind w:left="5071" w:hanging="360"/>
      </w:pPr>
    </w:lvl>
    <w:lvl w:ilvl="7" w:tentative="1">
      <w:start w:val="1"/>
      <w:numFmt w:val="lowerLetter"/>
      <w:lvlText w:val="%8."/>
      <w:lvlJc w:val="left"/>
      <w:pPr>
        <w:ind w:left="5791" w:hanging="360"/>
      </w:pPr>
    </w:lvl>
    <w:lvl w:ilvl="8" w:tentative="1">
      <w:start w:val="1"/>
      <w:numFmt w:val="lowerRoman"/>
      <w:lvlText w:val="%9."/>
      <w:lvlJc w:val="right"/>
      <w:pPr>
        <w:ind w:left="6511" w:hanging="180"/>
      </w:pPr>
    </w:lvl>
  </w:abstractNum>
  <w:abstractNum w:abstractNumId="4">
    <w:nsid w:val="739C66B0"/>
    <w:multiLevelType w:val="hybridMultilevel"/>
    <w:tmpl w:val="8A4265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FF6422D"/>
    <w:multiLevelType w:val="hybridMultilevel"/>
    <w:tmpl w:val="64E8A26E"/>
    <w:lvl w:ilvl="0">
      <w:start w:val="1"/>
      <w:numFmt w:val="upperLetter"/>
      <w:lvlText w:val="%1."/>
      <w:lvlJc w:val="left"/>
      <w:pPr>
        <w:ind w:left="780" w:hanging="353"/>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178" w:hanging="3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500" w:hanging="353"/>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2505" w:hanging="353"/>
      </w:pPr>
      <w:rPr>
        <w:rFonts w:hint="default"/>
        <w:lang w:val="en-US" w:eastAsia="en-US" w:bidi="ar-SA"/>
      </w:rPr>
    </w:lvl>
    <w:lvl w:ilvl="4">
      <w:start w:val="0"/>
      <w:numFmt w:val="bullet"/>
      <w:lvlText w:val="•"/>
      <w:lvlJc w:val="left"/>
      <w:pPr>
        <w:ind w:left="3510" w:hanging="353"/>
      </w:pPr>
      <w:rPr>
        <w:rFonts w:hint="default"/>
        <w:lang w:val="en-US" w:eastAsia="en-US" w:bidi="ar-SA"/>
      </w:rPr>
    </w:lvl>
    <w:lvl w:ilvl="5">
      <w:start w:val="0"/>
      <w:numFmt w:val="bullet"/>
      <w:lvlText w:val="•"/>
      <w:lvlJc w:val="left"/>
      <w:pPr>
        <w:ind w:left="4515" w:hanging="353"/>
      </w:pPr>
      <w:rPr>
        <w:rFonts w:hint="default"/>
        <w:lang w:val="en-US" w:eastAsia="en-US" w:bidi="ar-SA"/>
      </w:rPr>
    </w:lvl>
    <w:lvl w:ilvl="6">
      <w:start w:val="0"/>
      <w:numFmt w:val="bullet"/>
      <w:lvlText w:val="•"/>
      <w:lvlJc w:val="left"/>
      <w:pPr>
        <w:ind w:left="5520" w:hanging="353"/>
      </w:pPr>
      <w:rPr>
        <w:rFonts w:hint="default"/>
        <w:lang w:val="en-US" w:eastAsia="en-US" w:bidi="ar-SA"/>
      </w:rPr>
    </w:lvl>
    <w:lvl w:ilvl="7">
      <w:start w:val="0"/>
      <w:numFmt w:val="bullet"/>
      <w:lvlText w:val="•"/>
      <w:lvlJc w:val="left"/>
      <w:pPr>
        <w:ind w:left="6525" w:hanging="353"/>
      </w:pPr>
      <w:rPr>
        <w:rFonts w:hint="default"/>
        <w:lang w:val="en-US" w:eastAsia="en-US" w:bidi="ar-SA"/>
      </w:rPr>
    </w:lvl>
    <w:lvl w:ilvl="8">
      <w:start w:val="0"/>
      <w:numFmt w:val="bullet"/>
      <w:lvlText w:val="•"/>
      <w:lvlJc w:val="left"/>
      <w:pPr>
        <w:ind w:left="7530" w:hanging="353"/>
      </w:pPr>
      <w:rPr>
        <w:rFonts w:hint="default"/>
        <w:lang w:val="en-US" w:eastAsia="en-US" w:bidi="ar-SA"/>
      </w:rPr>
    </w:lvl>
  </w:abstractNum>
  <w:num w:numId="1" w16cid:durableId="1490823908">
    <w:abstractNumId w:val="5"/>
  </w:num>
  <w:num w:numId="2" w16cid:durableId="1604191758">
    <w:abstractNumId w:val="3"/>
  </w:num>
  <w:num w:numId="3" w16cid:durableId="188491091">
    <w:abstractNumId w:val="1"/>
  </w:num>
  <w:num w:numId="4" w16cid:durableId="1322582294">
    <w:abstractNumId w:val="2"/>
  </w:num>
  <w:num w:numId="5" w16cid:durableId="117651332">
    <w:abstractNumId w:val="0"/>
  </w:num>
  <w:num w:numId="6" w16cid:durableId="1283462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81"/>
    <w:rsid w:val="0000532F"/>
    <w:rsid w:val="00006FE4"/>
    <w:rsid w:val="00007115"/>
    <w:rsid w:val="00007817"/>
    <w:rsid w:val="00013B73"/>
    <w:rsid w:val="0001417E"/>
    <w:rsid w:val="0001480C"/>
    <w:rsid w:val="00015D4C"/>
    <w:rsid w:val="0002510E"/>
    <w:rsid w:val="000276D6"/>
    <w:rsid w:val="0003217D"/>
    <w:rsid w:val="00034F29"/>
    <w:rsid w:val="00035548"/>
    <w:rsid w:val="00042AF8"/>
    <w:rsid w:val="00045497"/>
    <w:rsid w:val="00051749"/>
    <w:rsid w:val="00052597"/>
    <w:rsid w:val="000560B6"/>
    <w:rsid w:val="00056BE9"/>
    <w:rsid w:val="00057B5E"/>
    <w:rsid w:val="000746A5"/>
    <w:rsid w:val="00076AB5"/>
    <w:rsid w:val="00087496"/>
    <w:rsid w:val="000874AB"/>
    <w:rsid w:val="00087C11"/>
    <w:rsid w:val="00090C9F"/>
    <w:rsid w:val="0009704A"/>
    <w:rsid w:val="000A10C5"/>
    <w:rsid w:val="000B0B2E"/>
    <w:rsid w:val="000B43B4"/>
    <w:rsid w:val="000B4A2C"/>
    <w:rsid w:val="000C6B2A"/>
    <w:rsid w:val="000D0E22"/>
    <w:rsid w:val="000D2909"/>
    <w:rsid w:val="000E0AE2"/>
    <w:rsid w:val="000E7F63"/>
    <w:rsid w:val="000F38E8"/>
    <w:rsid w:val="000F3C89"/>
    <w:rsid w:val="000F50C4"/>
    <w:rsid w:val="000F64D8"/>
    <w:rsid w:val="00104970"/>
    <w:rsid w:val="00106D24"/>
    <w:rsid w:val="00110505"/>
    <w:rsid w:val="00113DBF"/>
    <w:rsid w:val="00121C75"/>
    <w:rsid w:val="001302AA"/>
    <w:rsid w:val="00130ED3"/>
    <w:rsid w:val="0013145A"/>
    <w:rsid w:val="001324D5"/>
    <w:rsid w:val="001324DD"/>
    <w:rsid w:val="00132CAB"/>
    <w:rsid w:val="00135803"/>
    <w:rsid w:val="00136CF0"/>
    <w:rsid w:val="00147C50"/>
    <w:rsid w:val="00151819"/>
    <w:rsid w:val="00153CE6"/>
    <w:rsid w:val="00155CB5"/>
    <w:rsid w:val="00161A69"/>
    <w:rsid w:val="001644F6"/>
    <w:rsid w:val="00167762"/>
    <w:rsid w:val="00170614"/>
    <w:rsid w:val="00174E04"/>
    <w:rsid w:val="00175D62"/>
    <w:rsid w:val="0018010B"/>
    <w:rsid w:val="001835A3"/>
    <w:rsid w:val="001856AB"/>
    <w:rsid w:val="00187FBE"/>
    <w:rsid w:val="00191841"/>
    <w:rsid w:val="001B0C77"/>
    <w:rsid w:val="001B1246"/>
    <w:rsid w:val="001C33F9"/>
    <w:rsid w:val="001C36A0"/>
    <w:rsid w:val="001C5BAE"/>
    <w:rsid w:val="001D4FD7"/>
    <w:rsid w:val="001E68CA"/>
    <w:rsid w:val="001F1688"/>
    <w:rsid w:val="001F20F7"/>
    <w:rsid w:val="001F567A"/>
    <w:rsid w:val="001F6534"/>
    <w:rsid w:val="002018AC"/>
    <w:rsid w:val="00202599"/>
    <w:rsid w:val="002031AC"/>
    <w:rsid w:val="002043F5"/>
    <w:rsid w:val="00206594"/>
    <w:rsid w:val="00207D2D"/>
    <w:rsid w:val="0021041E"/>
    <w:rsid w:val="00212315"/>
    <w:rsid w:val="00212627"/>
    <w:rsid w:val="00220236"/>
    <w:rsid w:val="002215E4"/>
    <w:rsid w:val="00221742"/>
    <w:rsid w:val="00233493"/>
    <w:rsid w:val="00236B77"/>
    <w:rsid w:val="00236E09"/>
    <w:rsid w:val="00240575"/>
    <w:rsid w:val="0024061A"/>
    <w:rsid w:val="002409BA"/>
    <w:rsid w:val="002447D4"/>
    <w:rsid w:val="00250927"/>
    <w:rsid w:val="002578AF"/>
    <w:rsid w:val="002619CF"/>
    <w:rsid w:val="0026317E"/>
    <w:rsid w:val="002661B8"/>
    <w:rsid w:val="00267549"/>
    <w:rsid w:val="00267C0A"/>
    <w:rsid w:val="00270A52"/>
    <w:rsid w:val="00274C90"/>
    <w:rsid w:val="00280847"/>
    <w:rsid w:val="00284E18"/>
    <w:rsid w:val="00291900"/>
    <w:rsid w:val="00292B9E"/>
    <w:rsid w:val="00296106"/>
    <w:rsid w:val="0029792A"/>
    <w:rsid w:val="002B6EE0"/>
    <w:rsid w:val="002C5868"/>
    <w:rsid w:val="002C5D48"/>
    <w:rsid w:val="002C6B94"/>
    <w:rsid w:val="002D6B40"/>
    <w:rsid w:val="002D74B0"/>
    <w:rsid w:val="002E3BD3"/>
    <w:rsid w:val="002E4268"/>
    <w:rsid w:val="002E4E05"/>
    <w:rsid w:val="002E5B6F"/>
    <w:rsid w:val="002F33AD"/>
    <w:rsid w:val="002F6860"/>
    <w:rsid w:val="00301B6E"/>
    <w:rsid w:val="0030569F"/>
    <w:rsid w:val="00306C10"/>
    <w:rsid w:val="00310094"/>
    <w:rsid w:val="00313846"/>
    <w:rsid w:val="00316313"/>
    <w:rsid w:val="00332352"/>
    <w:rsid w:val="0034002E"/>
    <w:rsid w:val="00340237"/>
    <w:rsid w:val="003437B2"/>
    <w:rsid w:val="00353406"/>
    <w:rsid w:val="00354D66"/>
    <w:rsid w:val="00360362"/>
    <w:rsid w:val="00362683"/>
    <w:rsid w:val="003665C0"/>
    <w:rsid w:val="003764EE"/>
    <w:rsid w:val="00381A26"/>
    <w:rsid w:val="00395162"/>
    <w:rsid w:val="0039524C"/>
    <w:rsid w:val="00395922"/>
    <w:rsid w:val="00397329"/>
    <w:rsid w:val="003975FD"/>
    <w:rsid w:val="00397752"/>
    <w:rsid w:val="003A2E49"/>
    <w:rsid w:val="003A62DE"/>
    <w:rsid w:val="003A76D5"/>
    <w:rsid w:val="003B2580"/>
    <w:rsid w:val="003B3C00"/>
    <w:rsid w:val="003B4426"/>
    <w:rsid w:val="003C1309"/>
    <w:rsid w:val="003C182C"/>
    <w:rsid w:val="003C716D"/>
    <w:rsid w:val="003D4A54"/>
    <w:rsid w:val="003D6C09"/>
    <w:rsid w:val="003E1445"/>
    <w:rsid w:val="003E5532"/>
    <w:rsid w:val="003E74E7"/>
    <w:rsid w:val="003F26CF"/>
    <w:rsid w:val="003F37F4"/>
    <w:rsid w:val="00400E0F"/>
    <w:rsid w:val="004025BC"/>
    <w:rsid w:val="00413088"/>
    <w:rsid w:val="0041347E"/>
    <w:rsid w:val="00414F5C"/>
    <w:rsid w:val="004220B9"/>
    <w:rsid w:val="00426C22"/>
    <w:rsid w:val="00435428"/>
    <w:rsid w:val="00444B18"/>
    <w:rsid w:val="00457B95"/>
    <w:rsid w:val="00470E8B"/>
    <w:rsid w:val="0047221B"/>
    <w:rsid w:val="00473294"/>
    <w:rsid w:val="00473BB8"/>
    <w:rsid w:val="004753E6"/>
    <w:rsid w:val="00475C4F"/>
    <w:rsid w:val="00485AF6"/>
    <w:rsid w:val="00487D40"/>
    <w:rsid w:val="00494D63"/>
    <w:rsid w:val="00494E23"/>
    <w:rsid w:val="004A0A8E"/>
    <w:rsid w:val="004A70C2"/>
    <w:rsid w:val="004B6D8A"/>
    <w:rsid w:val="004C1650"/>
    <w:rsid w:val="004D097F"/>
    <w:rsid w:val="004D2533"/>
    <w:rsid w:val="004E0E1C"/>
    <w:rsid w:val="004E190F"/>
    <w:rsid w:val="004E1B3E"/>
    <w:rsid w:val="004F040A"/>
    <w:rsid w:val="004F6AC9"/>
    <w:rsid w:val="00507CB2"/>
    <w:rsid w:val="00513502"/>
    <w:rsid w:val="00513B75"/>
    <w:rsid w:val="00513F65"/>
    <w:rsid w:val="00515750"/>
    <w:rsid w:val="00521753"/>
    <w:rsid w:val="00523336"/>
    <w:rsid w:val="00524CC8"/>
    <w:rsid w:val="00525924"/>
    <w:rsid w:val="00533476"/>
    <w:rsid w:val="00535E7E"/>
    <w:rsid w:val="00545358"/>
    <w:rsid w:val="00554442"/>
    <w:rsid w:val="00562C3F"/>
    <w:rsid w:val="0057298A"/>
    <w:rsid w:val="00572CBE"/>
    <w:rsid w:val="005756F5"/>
    <w:rsid w:val="005A6D97"/>
    <w:rsid w:val="005B1321"/>
    <w:rsid w:val="005B1DE4"/>
    <w:rsid w:val="005B2CBE"/>
    <w:rsid w:val="005B71E1"/>
    <w:rsid w:val="005B7A2A"/>
    <w:rsid w:val="005C3096"/>
    <w:rsid w:val="005D7683"/>
    <w:rsid w:val="005E3A5E"/>
    <w:rsid w:val="005F0A97"/>
    <w:rsid w:val="005F14FB"/>
    <w:rsid w:val="005F4734"/>
    <w:rsid w:val="005F49C0"/>
    <w:rsid w:val="006053FE"/>
    <w:rsid w:val="00607315"/>
    <w:rsid w:val="00611DD2"/>
    <w:rsid w:val="00621BD7"/>
    <w:rsid w:val="00624D9E"/>
    <w:rsid w:val="00626EE3"/>
    <w:rsid w:val="00627BCF"/>
    <w:rsid w:val="00632261"/>
    <w:rsid w:val="00640F39"/>
    <w:rsid w:val="00641D6B"/>
    <w:rsid w:val="00645E17"/>
    <w:rsid w:val="006467B7"/>
    <w:rsid w:val="00647E4A"/>
    <w:rsid w:val="00656B39"/>
    <w:rsid w:val="00661E0E"/>
    <w:rsid w:val="00664287"/>
    <w:rsid w:val="00670CAC"/>
    <w:rsid w:val="006741FD"/>
    <w:rsid w:val="0067551E"/>
    <w:rsid w:val="00676E79"/>
    <w:rsid w:val="00680A2D"/>
    <w:rsid w:val="006864FC"/>
    <w:rsid w:val="00687D38"/>
    <w:rsid w:val="006904BA"/>
    <w:rsid w:val="0069355E"/>
    <w:rsid w:val="00695FF7"/>
    <w:rsid w:val="006978AD"/>
    <w:rsid w:val="006A29F5"/>
    <w:rsid w:val="006B66E4"/>
    <w:rsid w:val="006C00A1"/>
    <w:rsid w:val="006C1EA7"/>
    <w:rsid w:val="006C4AEF"/>
    <w:rsid w:val="006C5A9F"/>
    <w:rsid w:val="006D1115"/>
    <w:rsid w:val="006D5A8F"/>
    <w:rsid w:val="006E254A"/>
    <w:rsid w:val="006E6304"/>
    <w:rsid w:val="006F0C2B"/>
    <w:rsid w:val="006F65CF"/>
    <w:rsid w:val="007011A3"/>
    <w:rsid w:val="00701403"/>
    <w:rsid w:val="00705427"/>
    <w:rsid w:val="00707D0F"/>
    <w:rsid w:val="00713567"/>
    <w:rsid w:val="00714382"/>
    <w:rsid w:val="0071622A"/>
    <w:rsid w:val="00725109"/>
    <w:rsid w:val="00730BF2"/>
    <w:rsid w:val="00735F0A"/>
    <w:rsid w:val="00736596"/>
    <w:rsid w:val="00752AF1"/>
    <w:rsid w:val="00755990"/>
    <w:rsid w:val="00755A4A"/>
    <w:rsid w:val="00757A3F"/>
    <w:rsid w:val="00762BF3"/>
    <w:rsid w:val="00766B46"/>
    <w:rsid w:val="00781215"/>
    <w:rsid w:val="007832FE"/>
    <w:rsid w:val="0079419E"/>
    <w:rsid w:val="00796B69"/>
    <w:rsid w:val="00796DE2"/>
    <w:rsid w:val="00797CDE"/>
    <w:rsid w:val="007A21E8"/>
    <w:rsid w:val="007A5A05"/>
    <w:rsid w:val="007B0793"/>
    <w:rsid w:val="007B2CD3"/>
    <w:rsid w:val="007B68B1"/>
    <w:rsid w:val="007C2CE8"/>
    <w:rsid w:val="007C7501"/>
    <w:rsid w:val="007C7728"/>
    <w:rsid w:val="007D0F8A"/>
    <w:rsid w:val="007D54F8"/>
    <w:rsid w:val="007E4CBE"/>
    <w:rsid w:val="007F47FE"/>
    <w:rsid w:val="008118A2"/>
    <w:rsid w:val="00816FA6"/>
    <w:rsid w:val="00820249"/>
    <w:rsid w:val="008202C8"/>
    <w:rsid w:val="00823112"/>
    <w:rsid w:val="008243E4"/>
    <w:rsid w:val="00824775"/>
    <w:rsid w:val="00833DAC"/>
    <w:rsid w:val="00834DDB"/>
    <w:rsid w:val="008364F1"/>
    <w:rsid w:val="00837229"/>
    <w:rsid w:val="00840FEC"/>
    <w:rsid w:val="008460B4"/>
    <w:rsid w:val="0085214B"/>
    <w:rsid w:val="00854860"/>
    <w:rsid w:val="008569F4"/>
    <w:rsid w:val="008608DE"/>
    <w:rsid w:val="0086256E"/>
    <w:rsid w:val="00864B7A"/>
    <w:rsid w:val="008660CF"/>
    <w:rsid w:val="00870A03"/>
    <w:rsid w:val="00870C06"/>
    <w:rsid w:val="00871211"/>
    <w:rsid w:val="008747ED"/>
    <w:rsid w:val="008750B4"/>
    <w:rsid w:val="0088477C"/>
    <w:rsid w:val="00892C99"/>
    <w:rsid w:val="0089332C"/>
    <w:rsid w:val="00894902"/>
    <w:rsid w:val="00894BDB"/>
    <w:rsid w:val="00896170"/>
    <w:rsid w:val="008B11A3"/>
    <w:rsid w:val="008B38CE"/>
    <w:rsid w:val="008B64DE"/>
    <w:rsid w:val="008B98B3"/>
    <w:rsid w:val="008C0D6C"/>
    <w:rsid w:val="008D436C"/>
    <w:rsid w:val="008E4B00"/>
    <w:rsid w:val="008F0329"/>
    <w:rsid w:val="008F3150"/>
    <w:rsid w:val="008F4D47"/>
    <w:rsid w:val="008F6710"/>
    <w:rsid w:val="0090731A"/>
    <w:rsid w:val="0091538D"/>
    <w:rsid w:val="009165F8"/>
    <w:rsid w:val="0092357F"/>
    <w:rsid w:val="00927334"/>
    <w:rsid w:val="0093231C"/>
    <w:rsid w:val="009340E4"/>
    <w:rsid w:val="00934D02"/>
    <w:rsid w:val="00941341"/>
    <w:rsid w:val="00942565"/>
    <w:rsid w:val="00947A2D"/>
    <w:rsid w:val="0095112A"/>
    <w:rsid w:val="009568C5"/>
    <w:rsid w:val="00970753"/>
    <w:rsid w:val="00970EFA"/>
    <w:rsid w:val="00975311"/>
    <w:rsid w:val="009753DB"/>
    <w:rsid w:val="00977811"/>
    <w:rsid w:val="00987F23"/>
    <w:rsid w:val="00990FA4"/>
    <w:rsid w:val="00991B34"/>
    <w:rsid w:val="009A280E"/>
    <w:rsid w:val="009B5297"/>
    <w:rsid w:val="009C16FD"/>
    <w:rsid w:val="009C197D"/>
    <w:rsid w:val="009C1DCF"/>
    <w:rsid w:val="009C1F40"/>
    <w:rsid w:val="009C520E"/>
    <w:rsid w:val="009C794D"/>
    <w:rsid w:val="009E47FD"/>
    <w:rsid w:val="009E590A"/>
    <w:rsid w:val="009F23B0"/>
    <w:rsid w:val="009F4920"/>
    <w:rsid w:val="009F7371"/>
    <w:rsid w:val="00A06EFA"/>
    <w:rsid w:val="00A077A6"/>
    <w:rsid w:val="00A113C5"/>
    <w:rsid w:val="00A13DFB"/>
    <w:rsid w:val="00A14BAF"/>
    <w:rsid w:val="00A15D8E"/>
    <w:rsid w:val="00A16981"/>
    <w:rsid w:val="00A225FC"/>
    <w:rsid w:val="00A27B64"/>
    <w:rsid w:val="00A30C31"/>
    <w:rsid w:val="00A332BF"/>
    <w:rsid w:val="00A43BF0"/>
    <w:rsid w:val="00A45092"/>
    <w:rsid w:val="00A55006"/>
    <w:rsid w:val="00A64EBE"/>
    <w:rsid w:val="00A65AE7"/>
    <w:rsid w:val="00A71FC1"/>
    <w:rsid w:val="00A74227"/>
    <w:rsid w:val="00A75858"/>
    <w:rsid w:val="00A77B90"/>
    <w:rsid w:val="00A83A2C"/>
    <w:rsid w:val="00A977CE"/>
    <w:rsid w:val="00AA0074"/>
    <w:rsid w:val="00AA04C4"/>
    <w:rsid w:val="00AA15BA"/>
    <w:rsid w:val="00AA3661"/>
    <w:rsid w:val="00AA5126"/>
    <w:rsid w:val="00AC05BA"/>
    <w:rsid w:val="00AC06AB"/>
    <w:rsid w:val="00AC3363"/>
    <w:rsid w:val="00AC49D1"/>
    <w:rsid w:val="00AD1B31"/>
    <w:rsid w:val="00AD20AA"/>
    <w:rsid w:val="00AE4BA0"/>
    <w:rsid w:val="00AF14BB"/>
    <w:rsid w:val="00AF21BE"/>
    <w:rsid w:val="00AF32DE"/>
    <w:rsid w:val="00B02271"/>
    <w:rsid w:val="00B052E0"/>
    <w:rsid w:val="00B1628D"/>
    <w:rsid w:val="00B221CD"/>
    <w:rsid w:val="00B27B98"/>
    <w:rsid w:val="00B338B2"/>
    <w:rsid w:val="00B36686"/>
    <w:rsid w:val="00B37A87"/>
    <w:rsid w:val="00B37D91"/>
    <w:rsid w:val="00B42109"/>
    <w:rsid w:val="00B43FF6"/>
    <w:rsid w:val="00B4451E"/>
    <w:rsid w:val="00B449CD"/>
    <w:rsid w:val="00B469F5"/>
    <w:rsid w:val="00B516BA"/>
    <w:rsid w:val="00B632E8"/>
    <w:rsid w:val="00B76F41"/>
    <w:rsid w:val="00B82645"/>
    <w:rsid w:val="00B83791"/>
    <w:rsid w:val="00B839E7"/>
    <w:rsid w:val="00B856A2"/>
    <w:rsid w:val="00B94104"/>
    <w:rsid w:val="00BA19E8"/>
    <w:rsid w:val="00BA43B2"/>
    <w:rsid w:val="00BB0311"/>
    <w:rsid w:val="00BB34CF"/>
    <w:rsid w:val="00BB729E"/>
    <w:rsid w:val="00BD3AD6"/>
    <w:rsid w:val="00BD47EF"/>
    <w:rsid w:val="00BD4DCE"/>
    <w:rsid w:val="00BE34F8"/>
    <w:rsid w:val="00BE4052"/>
    <w:rsid w:val="00BE5757"/>
    <w:rsid w:val="00BF0F3F"/>
    <w:rsid w:val="00BF325B"/>
    <w:rsid w:val="00BF36F0"/>
    <w:rsid w:val="00C01F7F"/>
    <w:rsid w:val="00C06861"/>
    <w:rsid w:val="00C11F06"/>
    <w:rsid w:val="00C20312"/>
    <w:rsid w:val="00C25155"/>
    <w:rsid w:val="00C33CA0"/>
    <w:rsid w:val="00C420B9"/>
    <w:rsid w:val="00C50854"/>
    <w:rsid w:val="00C51B53"/>
    <w:rsid w:val="00C545DF"/>
    <w:rsid w:val="00C57971"/>
    <w:rsid w:val="00C603C3"/>
    <w:rsid w:val="00C629CA"/>
    <w:rsid w:val="00C65783"/>
    <w:rsid w:val="00C658B5"/>
    <w:rsid w:val="00C712BE"/>
    <w:rsid w:val="00C73342"/>
    <w:rsid w:val="00C75C28"/>
    <w:rsid w:val="00C760AA"/>
    <w:rsid w:val="00C77CBF"/>
    <w:rsid w:val="00C77DCC"/>
    <w:rsid w:val="00C80FB8"/>
    <w:rsid w:val="00C81880"/>
    <w:rsid w:val="00C81881"/>
    <w:rsid w:val="00C85935"/>
    <w:rsid w:val="00C87722"/>
    <w:rsid w:val="00CA0709"/>
    <w:rsid w:val="00CA1A87"/>
    <w:rsid w:val="00CA6617"/>
    <w:rsid w:val="00CB074C"/>
    <w:rsid w:val="00CB16F7"/>
    <w:rsid w:val="00CB58A5"/>
    <w:rsid w:val="00CB6C74"/>
    <w:rsid w:val="00CB724B"/>
    <w:rsid w:val="00CC498E"/>
    <w:rsid w:val="00CD7CE1"/>
    <w:rsid w:val="00CE1E49"/>
    <w:rsid w:val="00CE54F3"/>
    <w:rsid w:val="00CE7D2F"/>
    <w:rsid w:val="00CF0A02"/>
    <w:rsid w:val="00CF1D5A"/>
    <w:rsid w:val="00CF3ACE"/>
    <w:rsid w:val="00D01015"/>
    <w:rsid w:val="00D07302"/>
    <w:rsid w:val="00D0752D"/>
    <w:rsid w:val="00D075B0"/>
    <w:rsid w:val="00D16C82"/>
    <w:rsid w:val="00D22C71"/>
    <w:rsid w:val="00D22F40"/>
    <w:rsid w:val="00D26F89"/>
    <w:rsid w:val="00D2708F"/>
    <w:rsid w:val="00D270A1"/>
    <w:rsid w:val="00D311A2"/>
    <w:rsid w:val="00D40065"/>
    <w:rsid w:val="00D42E9F"/>
    <w:rsid w:val="00D44779"/>
    <w:rsid w:val="00D44798"/>
    <w:rsid w:val="00D4694C"/>
    <w:rsid w:val="00D513B9"/>
    <w:rsid w:val="00D521AE"/>
    <w:rsid w:val="00D57A59"/>
    <w:rsid w:val="00D663A0"/>
    <w:rsid w:val="00D66A29"/>
    <w:rsid w:val="00D66EE5"/>
    <w:rsid w:val="00D841EE"/>
    <w:rsid w:val="00D86952"/>
    <w:rsid w:val="00D93E61"/>
    <w:rsid w:val="00D9611B"/>
    <w:rsid w:val="00DA4887"/>
    <w:rsid w:val="00DA6B7E"/>
    <w:rsid w:val="00DB3F25"/>
    <w:rsid w:val="00DB3F3F"/>
    <w:rsid w:val="00DB5A53"/>
    <w:rsid w:val="00DC035E"/>
    <w:rsid w:val="00DC40B5"/>
    <w:rsid w:val="00DC633B"/>
    <w:rsid w:val="00DD128C"/>
    <w:rsid w:val="00DD1616"/>
    <w:rsid w:val="00DD37EB"/>
    <w:rsid w:val="00DF296D"/>
    <w:rsid w:val="00E074CC"/>
    <w:rsid w:val="00E11BFD"/>
    <w:rsid w:val="00E11C12"/>
    <w:rsid w:val="00E13547"/>
    <w:rsid w:val="00E136F7"/>
    <w:rsid w:val="00E17C2A"/>
    <w:rsid w:val="00E217C8"/>
    <w:rsid w:val="00E22617"/>
    <w:rsid w:val="00E24BA0"/>
    <w:rsid w:val="00E26341"/>
    <w:rsid w:val="00E35C8A"/>
    <w:rsid w:val="00E51688"/>
    <w:rsid w:val="00E531D5"/>
    <w:rsid w:val="00E5473C"/>
    <w:rsid w:val="00E66D2B"/>
    <w:rsid w:val="00E67450"/>
    <w:rsid w:val="00E719E0"/>
    <w:rsid w:val="00E75031"/>
    <w:rsid w:val="00E81489"/>
    <w:rsid w:val="00E85A1F"/>
    <w:rsid w:val="00E86E85"/>
    <w:rsid w:val="00E87C68"/>
    <w:rsid w:val="00E90191"/>
    <w:rsid w:val="00E92097"/>
    <w:rsid w:val="00E96118"/>
    <w:rsid w:val="00EA00C9"/>
    <w:rsid w:val="00EA084F"/>
    <w:rsid w:val="00EA3DB3"/>
    <w:rsid w:val="00EB4BAE"/>
    <w:rsid w:val="00EB547A"/>
    <w:rsid w:val="00EC14B1"/>
    <w:rsid w:val="00EC54FA"/>
    <w:rsid w:val="00ED1123"/>
    <w:rsid w:val="00ED392A"/>
    <w:rsid w:val="00ED6F16"/>
    <w:rsid w:val="00EE3CE2"/>
    <w:rsid w:val="00EF24EA"/>
    <w:rsid w:val="00EF67CF"/>
    <w:rsid w:val="00F0655B"/>
    <w:rsid w:val="00F0692A"/>
    <w:rsid w:val="00F14A61"/>
    <w:rsid w:val="00F171C4"/>
    <w:rsid w:val="00F2021C"/>
    <w:rsid w:val="00F203C2"/>
    <w:rsid w:val="00F26F05"/>
    <w:rsid w:val="00F26FD3"/>
    <w:rsid w:val="00F27B26"/>
    <w:rsid w:val="00F32AFE"/>
    <w:rsid w:val="00F42B85"/>
    <w:rsid w:val="00F4333F"/>
    <w:rsid w:val="00F44117"/>
    <w:rsid w:val="00F44512"/>
    <w:rsid w:val="00F45F6F"/>
    <w:rsid w:val="00F5082F"/>
    <w:rsid w:val="00F537E1"/>
    <w:rsid w:val="00F54477"/>
    <w:rsid w:val="00F64742"/>
    <w:rsid w:val="00F65FFC"/>
    <w:rsid w:val="00F705F7"/>
    <w:rsid w:val="00F75785"/>
    <w:rsid w:val="00F7644B"/>
    <w:rsid w:val="00F82494"/>
    <w:rsid w:val="00F846CA"/>
    <w:rsid w:val="00F9799F"/>
    <w:rsid w:val="00FA14E4"/>
    <w:rsid w:val="00FA4C1A"/>
    <w:rsid w:val="00FB3840"/>
    <w:rsid w:val="00FB4372"/>
    <w:rsid w:val="00FC167B"/>
    <w:rsid w:val="00FC71EF"/>
    <w:rsid w:val="00FD054D"/>
    <w:rsid w:val="00FD453C"/>
    <w:rsid w:val="00FD5FE8"/>
    <w:rsid w:val="011E7031"/>
    <w:rsid w:val="01684A02"/>
    <w:rsid w:val="02E1485A"/>
    <w:rsid w:val="03D73C80"/>
    <w:rsid w:val="09291252"/>
    <w:rsid w:val="0D4B8F5B"/>
    <w:rsid w:val="0D7DFDD4"/>
    <w:rsid w:val="0D89DD55"/>
    <w:rsid w:val="0E3EFC56"/>
    <w:rsid w:val="103EB733"/>
    <w:rsid w:val="14AD2DDC"/>
    <w:rsid w:val="153ECFF2"/>
    <w:rsid w:val="155642F3"/>
    <w:rsid w:val="2351BD7E"/>
    <w:rsid w:val="2A1FB405"/>
    <w:rsid w:val="2C25A31B"/>
    <w:rsid w:val="2D2D0B9B"/>
    <w:rsid w:val="308802B6"/>
    <w:rsid w:val="34EEECD2"/>
    <w:rsid w:val="386CDF69"/>
    <w:rsid w:val="3959B978"/>
    <w:rsid w:val="3BEC7247"/>
    <w:rsid w:val="40D03B4D"/>
    <w:rsid w:val="41C2352D"/>
    <w:rsid w:val="4331D796"/>
    <w:rsid w:val="45B48CB9"/>
    <w:rsid w:val="4610C3C9"/>
    <w:rsid w:val="481A519F"/>
    <w:rsid w:val="4893D6A7"/>
    <w:rsid w:val="4C42FA1E"/>
    <w:rsid w:val="4CE964FF"/>
    <w:rsid w:val="4D628F40"/>
    <w:rsid w:val="50E7706B"/>
    <w:rsid w:val="5A62F318"/>
    <w:rsid w:val="5AD8692D"/>
    <w:rsid w:val="5F734578"/>
    <w:rsid w:val="6607990A"/>
    <w:rsid w:val="663A45DE"/>
    <w:rsid w:val="6A796142"/>
    <w:rsid w:val="6D5F75C1"/>
    <w:rsid w:val="6FBDFE17"/>
    <w:rsid w:val="7101AF0D"/>
    <w:rsid w:val="71EF20B2"/>
    <w:rsid w:val="72042B1A"/>
    <w:rsid w:val="7320AE57"/>
    <w:rsid w:val="750AB216"/>
    <w:rsid w:val="7655A778"/>
    <w:rsid w:val="78D6CE4F"/>
    <w:rsid w:val="7EBEFAF6"/>
    <w:rsid w:val="7F2D639B"/>
    <w:rsid w:val="7FC132FD"/>
    <w:rsid w:val="7FEF42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04A9E8"/>
  <w15:docId w15:val="{4F0835CE-DAE0-49BD-BE97-AE2B282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47" w:hanging="353"/>
    </w:pPr>
  </w:style>
  <w:style w:type="paragraph" w:customStyle="1" w:styleId="TableParagraph">
    <w:name w:val="Table Paragraph"/>
    <w:basedOn w:val="Normal"/>
    <w:uiPriority w:val="1"/>
    <w:qFormat/>
  </w:style>
  <w:style w:type="paragraph" w:styleId="Revision">
    <w:name w:val="Revision"/>
    <w:hidden/>
    <w:uiPriority w:val="99"/>
    <w:semiHidden/>
    <w:rsid w:val="006F0C2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7C7728"/>
    <w:rPr>
      <w:color w:val="0000FF" w:themeColor="hyperlink"/>
      <w:u w:val="single"/>
    </w:rPr>
  </w:style>
  <w:style w:type="character" w:styleId="UnresolvedMention">
    <w:name w:val="Unresolved Mention"/>
    <w:basedOn w:val="DefaultParagraphFont"/>
    <w:uiPriority w:val="99"/>
    <w:semiHidden/>
    <w:unhideWhenUsed/>
    <w:rsid w:val="007C7728"/>
    <w:rPr>
      <w:color w:val="605E5C"/>
      <w:shd w:val="clear" w:color="auto" w:fill="E1DFDD"/>
    </w:rPr>
  </w:style>
  <w:style w:type="paragraph" w:styleId="Header">
    <w:name w:val="header"/>
    <w:basedOn w:val="Normal"/>
    <w:link w:val="HeaderChar"/>
    <w:uiPriority w:val="99"/>
    <w:unhideWhenUsed/>
    <w:rsid w:val="00D66EE5"/>
    <w:pPr>
      <w:tabs>
        <w:tab w:val="center" w:pos="4680"/>
        <w:tab w:val="right" w:pos="9360"/>
      </w:tabs>
    </w:pPr>
  </w:style>
  <w:style w:type="character" w:customStyle="1" w:styleId="HeaderChar">
    <w:name w:val="Header Char"/>
    <w:basedOn w:val="DefaultParagraphFont"/>
    <w:link w:val="Header"/>
    <w:uiPriority w:val="99"/>
    <w:rsid w:val="00D66EE5"/>
    <w:rPr>
      <w:rFonts w:ascii="Times New Roman" w:eastAsia="Times New Roman" w:hAnsi="Times New Roman" w:cs="Times New Roman"/>
    </w:rPr>
  </w:style>
  <w:style w:type="paragraph" w:styleId="Footer">
    <w:name w:val="footer"/>
    <w:basedOn w:val="Normal"/>
    <w:link w:val="FooterChar"/>
    <w:uiPriority w:val="99"/>
    <w:unhideWhenUsed/>
    <w:rsid w:val="00D66EE5"/>
    <w:pPr>
      <w:tabs>
        <w:tab w:val="center" w:pos="4680"/>
        <w:tab w:val="right" w:pos="9360"/>
      </w:tabs>
    </w:pPr>
  </w:style>
  <w:style w:type="character" w:customStyle="1" w:styleId="FooterChar">
    <w:name w:val="Footer Char"/>
    <w:basedOn w:val="DefaultParagraphFont"/>
    <w:link w:val="Footer"/>
    <w:uiPriority w:val="99"/>
    <w:rsid w:val="00D66EE5"/>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66EE5"/>
    <w:rPr>
      <w:rFonts w:ascii="Times New Roman" w:eastAsia="Times New Roman" w:hAnsi="Times New Roman" w:cs="Times New Roman"/>
      <w:sz w:val="24"/>
      <w:szCs w:val="24"/>
    </w:rPr>
  </w:style>
  <w:style w:type="paragraph" w:customStyle="1" w:styleId="Level1">
    <w:name w:val="Level 1"/>
    <w:basedOn w:val="Normal"/>
    <w:rsid w:val="00755A4A"/>
    <w:pPr>
      <w:adjustRightInd w:val="0"/>
      <w:ind w:left="360" w:hanging="360"/>
    </w:pPr>
    <w:rPr>
      <w:sz w:val="24"/>
      <w:szCs w:val="24"/>
    </w:rPr>
  </w:style>
  <w:style w:type="character" w:styleId="CommentReference">
    <w:name w:val="annotation reference"/>
    <w:rsid w:val="00755A4A"/>
    <w:rPr>
      <w:sz w:val="16"/>
      <w:szCs w:val="16"/>
    </w:rPr>
  </w:style>
  <w:style w:type="paragraph" w:styleId="CommentText">
    <w:name w:val="annotation text"/>
    <w:basedOn w:val="Normal"/>
    <w:link w:val="CommentTextChar"/>
    <w:rsid w:val="00755A4A"/>
    <w:pPr>
      <w:adjustRightInd w:val="0"/>
    </w:pPr>
    <w:rPr>
      <w:rFonts w:ascii="Courier 12cpi" w:hAnsi="Courier 12cpi"/>
      <w:sz w:val="20"/>
      <w:szCs w:val="20"/>
    </w:rPr>
  </w:style>
  <w:style w:type="character" w:customStyle="1" w:styleId="CommentTextChar">
    <w:name w:val="Comment Text Char"/>
    <w:basedOn w:val="DefaultParagraphFont"/>
    <w:link w:val="CommentText"/>
    <w:rsid w:val="00755A4A"/>
    <w:rPr>
      <w:rFonts w:ascii="Courier 12cpi" w:eastAsia="Times New Roman" w:hAnsi="Courier 12cpi" w:cs="Times New Roman"/>
      <w:sz w:val="20"/>
      <w:szCs w:val="20"/>
    </w:rPr>
  </w:style>
  <w:style w:type="table" w:styleId="TableGrid">
    <w:name w:val="Table Grid"/>
    <w:basedOn w:val="TableNormal"/>
    <w:uiPriority w:val="59"/>
    <w:rsid w:val="00755A4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835A3"/>
    <w:pPr>
      <w:adjustRightInd/>
    </w:pPr>
    <w:rPr>
      <w:rFonts w:ascii="Times New Roman" w:hAnsi="Times New Roman"/>
      <w:b/>
      <w:bCs/>
    </w:rPr>
  </w:style>
  <w:style w:type="character" w:customStyle="1" w:styleId="CommentSubjectChar">
    <w:name w:val="Comment Subject Char"/>
    <w:basedOn w:val="CommentTextChar"/>
    <w:link w:val="CommentSubject"/>
    <w:uiPriority w:val="99"/>
    <w:semiHidden/>
    <w:rsid w:val="001835A3"/>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1835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Props1.xml><?xml version="1.0" encoding="utf-8"?>
<ds:datastoreItem xmlns:ds="http://schemas.openxmlformats.org/officeDocument/2006/customXml" ds:itemID="{529B7CE0-BD3B-4E8D-BC54-1FABDD3C60F0}">
  <ds:schemaRefs>
    <ds:schemaRef ds:uri="http://schemas.microsoft.com/sharepoint/v3/contenttype/forms"/>
  </ds:schemaRefs>
</ds:datastoreItem>
</file>

<file path=customXml/itemProps2.xml><?xml version="1.0" encoding="utf-8"?>
<ds:datastoreItem xmlns:ds="http://schemas.openxmlformats.org/officeDocument/2006/customXml" ds:itemID="{96D8896D-7B4F-4220-82C5-0D584FC9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2EE52-4F09-40C5-A677-5D5431BEE507}">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Application to Transport Interstate or Temp Export Certain NFA Firearms ATF Form 5320.20</vt:lpstr>
    </vt:vector>
  </TitlesOfParts>
  <Company>ATF</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Transport Interstate or Temp Export Certain NFA Firearms ATF Form 5320.20</dc:title>
  <dc:subject>Application to Transport Interstate or Temp Export Certain NFA Firearms ATF Form 5320.20</dc:subject>
  <dc:creator>ATF</dc:creator>
  <cp:keywords>Application to Transport Interstate or Temp Export Certain NFA Firearms ATF Form 5320.20</cp:keywords>
  <cp:lastModifiedBy>Arceo, Darwin (JMD)</cp:lastModifiedBy>
  <cp:revision>4</cp:revision>
  <cp:lastPrinted>2025-07-29T00:13:00Z</cp:lastPrinted>
  <dcterms:created xsi:type="dcterms:W3CDTF">2025-11-24T12:06:00Z</dcterms:created>
  <dcterms:modified xsi:type="dcterms:W3CDTF">2026-01-23T14:25:00Z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Created">
    <vt:filetime>2022-06-30T00:00:00Z</vt:filetime>
  </property>
  <property fmtid="{D5CDD505-2E9C-101B-9397-08002B2CF9AE}" pid="4" name="Creator">
    <vt:lpwstr>Acrobat PDFMaker 22 for Word</vt:lpwstr>
  </property>
  <property fmtid="{D5CDD505-2E9C-101B-9397-08002B2CF9AE}" pid="5" name="LastSaved">
    <vt:filetime>2022-07-21T00:00:00Z</vt:filetime>
  </property>
  <property fmtid="{D5CDD505-2E9C-101B-9397-08002B2CF9AE}" pid="6" name="MediaServiceImageTags">
    <vt:lpwstr/>
  </property>
  <property fmtid="{D5CDD505-2E9C-101B-9397-08002B2CF9AE}" pid="7" name="Producer">
    <vt:lpwstr>Adobe Acrobat Pro DC (32-bit) 22 Paper Capture Plug-in</vt:lpwstr>
  </property>
  <property fmtid="{D5CDD505-2E9C-101B-9397-08002B2CF9AE}" pid="8" name="SourceModified">
    <vt:lpwstr>D:20220630193731</vt:lpwstr>
  </property>
  <property fmtid="{D5CDD505-2E9C-101B-9397-08002B2CF9AE}" pid="9" name="_NewReviewCycle">
    <vt:lpwstr/>
  </property>
</Properties>
</file>