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0DBD" w14:paraId="1735072D" w14:textId="77777777">
      <w:pPr>
        <w:jc w:val="center"/>
      </w:pPr>
    </w:p>
    <w:p w:rsidR="002F0DBD" w14:paraId="6C937387" w14:textId="77777777">
      <w:pPr>
        <w:jc w:val="center"/>
      </w:pPr>
    </w:p>
    <w:p w:rsidR="002F0DBD" w14:paraId="4BC55195" w14:textId="77777777">
      <w:pPr>
        <w:jc w:val="center"/>
      </w:pPr>
    </w:p>
    <w:p w:rsidR="00EB55B4" w14:paraId="44F3296F" w14:textId="6FC3F61B">
      <w:pPr>
        <w:jc w:val="center"/>
      </w:pPr>
      <w:r>
        <w:t>Department of Justice</w:t>
      </w:r>
    </w:p>
    <w:p w:rsidR="00EB55B4" w14:paraId="3F8965E2" w14:textId="47E51395">
      <w:pPr>
        <w:jc w:val="center"/>
      </w:pPr>
      <w:r>
        <w:t>Bureau of Alcohol, Tobacco, Firearms</w:t>
      </w:r>
      <w:r w:rsidR="00E87D14">
        <w:t>,</w:t>
      </w:r>
      <w:r>
        <w:t xml:space="preserve"> and Explosives</w:t>
      </w:r>
      <w:r w:rsidR="00E87D14">
        <w:t xml:space="preserve"> (ATF)</w:t>
      </w:r>
    </w:p>
    <w:p w:rsidR="00EB55B4" w14:paraId="151671C9" w14:textId="51CB3890">
      <w:pPr>
        <w:jc w:val="center"/>
      </w:pPr>
      <w:r>
        <w:t>Information Collection Request</w:t>
      </w:r>
      <w:r w:rsidR="00E87D14">
        <w:t xml:space="preserve"> (ICR)</w:t>
      </w:r>
    </w:p>
    <w:p w:rsidR="00EB55B4" w14:paraId="1917E7F7" w14:textId="17EA698A">
      <w:pPr>
        <w:jc w:val="center"/>
      </w:pPr>
      <w:r>
        <w:t>OMB 1140-0055</w:t>
      </w:r>
    </w:p>
    <w:p w:rsidR="00EB55B4" w14:paraId="452AAE32" w14:textId="64E1587C">
      <w:pPr>
        <w:jc w:val="center"/>
        <w:rPr>
          <w:b/>
          <w:bCs/>
        </w:rPr>
      </w:pPr>
      <w:r>
        <w:rPr>
          <w:b/>
          <w:bCs/>
        </w:rPr>
        <w:t>Identifying</w:t>
      </w:r>
      <w:r w:rsidR="008E71B8">
        <w:rPr>
          <w:b/>
          <w:bCs/>
        </w:rPr>
        <w:t>/</w:t>
      </w:r>
      <w:r w:rsidR="000B7870">
        <w:rPr>
          <w:b/>
          <w:bCs/>
        </w:rPr>
        <w:t>Marking</w:t>
      </w:r>
      <w:r w:rsidRPr="00577C2E" w:rsidR="004D552F">
        <w:rPr>
          <w:b/>
          <w:bCs/>
        </w:rPr>
        <w:t xml:space="preserve"> Explosive Materials</w:t>
      </w:r>
    </w:p>
    <w:p w:rsidR="00577C2E" w:rsidRPr="00577C2E" w14:paraId="5E4B5150" w14:textId="77777777">
      <w:pPr>
        <w:jc w:val="center"/>
        <w:rPr>
          <w:b/>
          <w:bCs/>
        </w:rPr>
      </w:pPr>
    </w:p>
    <w:p w:rsidR="00EB55B4" w:rsidRPr="002F0DBD" w:rsidP="00F344ED" w14:paraId="1169883D" w14:textId="286F6740">
      <w:pPr>
        <w:spacing w:after="480"/>
        <w:jc w:val="center"/>
        <w:rPr>
          <w:b/>
          <w:bCs/>
        </w:rPr>
      </w:pPr>
      <w:r w:rsidRPr="002F0DBD">
        <w:rPr>
          <w:b/>
          <w:bCs/>
        </w:rPr>
        <w:t>SUPPORTING STATEMENT</w:t>
      </w:r>
    </w:p>
    <w:p w:rsidR="00EB55B4" w:rsidRPr="00E87D14" w:rsidP="00E87D14" w14:paraId="189C37FF" w14:textId="45FA86C9">
      <w:pPr>
        <w:widowControl w:val="0"/>
        <w:rPr>
          <w:b/>
          <w:bCs/>
        </w:rPr>
      </w:pPr>
      <w:r>
        <w:rPr>
          <w:b/>
          <w:bCs/>
        </w:rPr>
        <w:t xml:space="preserve">A. </w:t>
      </w:r>
      <w:r w:rsidRPr="00E87D14" w:rsidR="00920C1F">
        <w:rPr>
          <w:b/>
          <w:bCs/>
        </w:rPr>
        <w:t>JUSTIFICATION</w:t>
      </w:r>
    </w:p>
    <w:p w:rsidR="00E87D14" w:rsidP="00E87D14" w14:paraId="66C0FD2F" w14:textId="77777777">
      <w:pPr>
        <w:pStyle w:val="ListParagraph"/>
        <w:widowControl w:val="0"/>
        <w:ind w:left="0"/>
        <w:rPr>
          <w:b/>
          <w:bCs/>
        </w:rPr>
      </w:pPr>
    </w:p>
    <w:p w:rsidR="00144781" w:rsidRPr="00712EE9" w:rsidP="00712EE9" w14:paraId="122C71FF" w14:textId="77777777">
      <w:pPr>
        <w:widowControl w:val="0"/>
        <w:contextualSpacing/>
        <w:rPr>
          <w:b/>
          <w:bCs/>
        </w:rPr>
      </w:pPr>
      <w:r w:rsidRPr="00712EE9">
        <w:rPr>
          <w:b/>
          <w:bCs/>
        </w:rPr>
        <w:t>1. Explain the circumstances that make the information collection necessary.</w:t>
      </w:r>
    </w:p>
    <w:p w:rsidR="00901CAF" w:rsidP="00712EE9" w14:paraId="71312AD3" w14:textId="77777777">
      <w:pPr>
        <w:widowControl w:val="0"/>
        <w:contextualSpacing/>
      </w:pPr>
    </w:p>
    <w:p w:rsidR="00EB55B4" w:rsidP="00E87D14" w14:paraId="3C1CEF14" w14:textId="1DD8F590">
      <w:pPr>
        <w:widowControl w:val="0"/>
        <w:contextualSpacing/>
      </w:pPr>
      <w:r>
        <w:t>ATF is responsible for enforcing Title XI of the Organized Crime Control Act of 1970</w:t>
      </w:r>
      <w:r w:rsidR="00F32A44">
        <w:t xml:space="preserve"> (the Act) </w:t>
      </w:r>
      <w:r>
        <w:t xml:space="preserve">and implementing regulations at 27 CFR </w:t>
      </w:r>
      <w:r w:rsidR="00F32A44">
        <w:t>p</w:t>
      </w:r>
      <w:r>
        <w:t>art 55</w:t>
      </w:r>
      <w:r w:rsidR="00E57A18">
        <w:t>5</w:t>
      </w:r>
      <w:r>
        <w:t xml:space="preserve">. One </w:t>
      </w:r>
      <w:r w:rsidR="00F32A44">
        <w:t>purpose</w:t>
      </w:r>
      <w:r>
        <w:t xml:space="preserve"> of the Act was to reduce the hazards to persons and property arising from </w:t>
      </w:r>
      <w:r w:rsidR="003461B8">
        <w:t>misusing</w:t>
      </w:r>
      <w:r>
        <w:t xml:space="preserve"> explosive materials.</w:t>
      </w:r>
      <w:r w:rsidR="2BFD5404">
        <w:t xml:space="preserve"> </w:t>
      </w:r>
      <w:r w:rsidR="003461B8">
        <w:t xml:space="preserve">ATF may prescribe such </w:t>
      </w:r>
      <w:r w:rsidR="00FE2E85">
        <w:t xml:space="preserve">rules and </w:t>
      </w:r>
      <w:r w:rsidR="003461B8">
        <w:t>r</w:t>
      </w:r>
      <w:r w:rsidR="003B64AD">
        <w:t>eg</w:t>
      </w:r>
      <w:r w:rsidR="003461B8">
        <w:t>ulations as</w:t>
      </w:r>
      <w:r w:rsidR="00CD4857">
        <w:t xml:space="preserve"> are</w:t>
      </w:r>
      <w:r w:rsidR="003461B8">
        <w:t xml:space="preserve"> reasonably necessary to carry </w:t>
      </w:r>
      <w:r w:rsidR="008F212C">
        <w:t>out Title XI of the Act.</w:t>
      </w:r>
      <w:r w:rsidR="009A781E">
        <w:t xml:space="preserve"> 18 U.S.C. 847.</w:t>
      </w:r>
    </w:p>
    <w:p w:rsidR="00C6305C" w:rsidP="00712EE9" w14:paraId="3ADE9E55" w14:textId="77777777">
      <w:pPr>
        <w:widowControl w:val="0"/>
        <w:contextualSpacing/>
      </w:pPr>
    </w:p>
    <w:p w:rsidR="00A550CB" w:rsidP="00E87D14" w14:paraId="3B2C020E" w14:textId="0AD75CC1">
      <w:pPr>
        <w:widowControl w:val="0"/>
        <w:contextualSpacing/>
        <w:rPr>
          <w:color w:val="000000"/>
        </w:rPr>
      </w:pPr>
      <w:r>
        <w:t>In an effort to</w:t>
      </w:r>
      <w:r>
        <w:t xml:space="preserve"> protect the public from misuse of explosive materials, </w:t>
      </w:r>
      <w:r w:rsidR="003B64AD">
        <w:t>the implementing regulations at § 555.109</w:t>
      </w:r>
      <w:r>
        <w:t xml:space="preserve"> require explosives </w:t>
      </w:r>
      <w:r w:rsidR="0007344F">
        <w:t>licensee</w:t>
      </w:r>
      <w:r>
        <w:t>s</w:t>
      </w:r>
      <w:r>
        <w:t>/</w:t>
      </w:r>
      <w:r w:rsidR="009E0B35">
        <w:t>permittees</w:t>
      </w:r>
      <w:r>
        <w:t xml:space="preserve"> </w:t>
      </w:r>
      <w:r w:rsidR="00A96F6E">
        <w:t xml:space="preserve">to legibly and permanently </w:t>
      </w:r>
      <w:r w:rsidR="0098713A">
        <w:rPr>
          <w:color w:val="000000"/>
        </w:rPr>
        <w:t>mark explosives they manufacture or import</w:t>
      </w:r>
      <w:r w:rsidR="003A42F5">
        <w:rPr>
          <w:color w:val="000000"/>
        </w:rPr>
        <w:t>.</w:t>
      </w:r>
      <w:r w:rsidR="003A2CBB">
        <w:rPr>
          <w:color w:val="000000"/>
        </w:rPr>
        <w:t xml:space="preserve"> </w:t>
      </w:r>
      <w:r w:rsidR="006F1092">
        <w:rPr>
          <w:color w:val="000000"/>
        </w:rPr>
        <w:t xml:space="preserve">27 CFR part 555, subpart G, requires that licensees/permittees include the same information in their required records that they use to identify the explosive materials. </w:t>
      </w:r>
      <w:r w:rsidRPr="001535A3" w:rsidR="001535A3">
        <w:rPr>
          <w:i/>
          <w:iCs/>
          <w:color w:val="000000"/>
        </w:rPr>
        <w:t>See, e.g.,</w:t>
      </w:r>
      <w:r w:rsidR="001535A3">
        <w:rPr>
          <w:color w:val="000000"/>
        </w:rPr>
        <w:t xml:space="preserve"> § 555.121. </w:t>
      </w:r>
      <w:r w:rsidR="003A2CBB">
        <w:t xml:space="preserve">The </w:t>
      </w:r>
      <w:r w:rsidR="003A42F5">
        <w:t xml:space="preserve">specific </w:t>
      </w:r>
      <w:r w:rsidR="003A2CBB">
        <w:t>markings include</w:t>
      </w:r>
      <w:r w:rsidR="008B170F">
        <w:t xml:space="preserve"> the </w:t>
      </w:r>
      <w:r w:rsidR="008B170F">
        <w:t>manufacturer’s</w:t>
      </w:r>
      <w:r w:rsidR="008B170F">
        <w:t xml:space="preserve"> </w:t>
      </w:r>
      <w:r w:rsidR="00CD6072">
        <w:t>and</w:t>
      </w:r>
      <w:r w:rsidR="008B170F">
        <w:t xml:space="preserve"> importer’s name, </w:t>
      </w:r>
      <w:r w:rsidR="00B37025">
        <w:t xml:space="preserve">the country </w:t>
      </w:r>
      <w:r w:rsidR="00817161">
        <w:t xml:space="preserve">in which they were manufactured if not the U.S., </w:t>
      </w:r>
      <w:r w:rsidR="00221AC6">
        <w:t xml:space="preserve">the </w:t>
      </w:r>
      <w:r w:rsidR="00221AC6">
        <w:t>manufacturer’s</w:t>
      </w:r>
      <w:r w:rsidR="00221AC6">
        <w:t xml:space="preserve"> and importer’s location, </w:t>
      </w:r>
      <w:r w:rsidR="00F64BE3">
        <w:t>and the</w:t>
      </w:r>
      <w:r w:rsidR="008B170F">
        <w:t xml:space="preserve"> </w:t>
      </w:r>
      <w:r w:rsidR="00F344ED">
        <w:t xml:space="preserve">date and shift </w:t>
      </w:r>
      <w:r w:rsidR="00F64BE3">
        <w:t>at which the</w:t>
      </w:r>
      <w:r w:rsidR="00B15594">
        <w:t xml:space="preserve"> licensee</w:t>
      </w:r>
      <w:r w:rsidR="00FF343F">
        <w:t>/permittee</w:t>
      </w:r>
      <w:r w:rsidR="00B15594">
        <w:t xml:space="preserve"> manufactured or imported the</w:t>
      </w:r>
      <w:r w:rsidR="00F64BE3">
        <w:t xml:space="preserve"> explosives</w:t>
      </w:r>
      <w:r w:rsidR="00F344ED">
        <w:t>.</w:t>
      </w:r>
      <w:r w:rsidR="009E0B35">
        <w:t xml:space="preserve"> </w:t>
      </w:r>
      <w:r w:rsidR="009E0B35">
        <w:rPr>
          <w:color w:val="000000"/>
        </w:rPr>
        <w:t xml:space="preserve">This section also </w:t>
      </w:r>
      <w:r w:rsidR="009E0B35">
        <w:rPr>
          <w:color w:val="000000"/>
        </w:rPr>
        <w:t>mandates</w:t>
      </w:r>
      <w:r w:rsidR="009E0B35">
        <w:rPr>
          <w:color w:val="000000"/>
        </w:rPr>
        <w:t xml:space="preserve"> that licensees</w:t>
      </w:r>
      <w:r w:rsidR="00E82991">
        <w:rPr>
          <w:color w:val="000000"/>
        </w:rPr>
        <w:t>/permittees</w:t>
      </w:r>
      <w:r w:rsidR="009E0B35">
        <w:rPr>
          <w:color w:val="000000"/>
        </w:rPr>
        <w:t xml:space="preserve"> must place the required marks on each cartridge, bag, or other immediate container of any explosive materials </w:t>
      </w:r>
      <w:r w:rsidR="00053433">
        <w:rPr>
          <w:color w:val="000000"/>
        </w:rPr>
        <w:t>they sell or distribute</w:t>
      </w:r>
      <w:r w:rsidR="009E0B35">
        <w:rPr>
          <w:color w:val="000000"/>
        </w:rPr>
        <w:t>, as well as on the outside container, if any, that is used for their packaging.</w:t>
      </w:r>
    </w:p>
    <w:p w:rsidR="00A550CB" w:rsidP="00E87D14" w14:paraId="1A64ECB8" w14:textId="77777777">
      <w:pPr>
        <w:widowControl w:val="0"/>
        <w:contextualSpacing/>
        <w:rPr>
          <w:color w:val="000000"/>
        </w:rPr>
      </w:pPr>
    </w:p>
    <w:p w:rsidR="00EB55B4" w:rsidP="00E87D14" w14:paraId="3D0CAA02" w14:textId="2F68D167">
      <w:pPr>
        <w:widowControl w:val="0"/>
        <w:contextualSpacing/>
      </w:pPr>
      <w:r>
        <w:rPr>
          <w:color w:val="000000"/>
        </w:rPr>
        <w:t>ATF guidance to licensees/permittees</w:t>
      </w:r>
      <w:r w:rsidR="00451DDB">
        <w:rPr>
          <w:color w:val="000000"/>
        </w:rPr>
        <w:t xml:space="preserve"> also identifies certain explosive materials that are excepted from the marking requirements, such as detonators</w:t>
      </w:r>
      <w:r w:rsidR="00387BAB">
        <w:rPr>
          <w:color w:val="000000"/>
        </w:rPr>
        <w:t xml:space="preserve"> and pyrotechnic fuses, because they are to</w:t>
      </w:r>
      <w:r w:rsidR="00E13ED0">
        <w:rPr>
          <w:color w:val="000000"/>
        </w:rPr>
        <w:t>o</w:t>
      </w:r>
      <w:r w:rsidR="00387BAB">
        <w:rPr>
          <w:color w:val="000000"/>
        </w:rPr>
        <w:t xml:space="preserve"> small or difficult to reasonabl</w:t>
      </w:r>
      <w:r>
        <w:rPr>
          <w:color w:val="000000"/>
        </w:rPr>
        <w:t>y</w:t>
      </w:r>
      <w:r w:rsidR="00387BAB">
        <w:rPr>
          <w:color w:val="000000"/>
        </w:rPr>
        <w:t xml:space="preserve"> mark. </w:t>
      </w:r>
      <w:r w:rsidR="00E13ED0">
        <w:rPr>
          <w:color w:val="000000"/>
        </w:rPr>
        <w:t xml:space="preserve">Additionally, certain explosive materials are in a form that cannot be marked or placed into containers, such as </w:t>
      </w:r>
      <w:r w:rsidR="005C356C">
        <w:rPr>
          <w:color w:val="000000"/>
        </w:rPr>
        <w:t xml:space="preserve">certain kinds of </w:t>
      </w:r>
      <w:r w:rsidR="00644676">
        <w:rPr>
          <w:color w:val="000000"/>
        </w:rPr>
        <w:t>bulk explosives</w:t>
      </w:r>
      <w:r w:rsidR="005C356C">
        <w:rPr>
          <w:color w:val="000000"/>
        </w:rPr>
        <w:t xml:space="preserve">. </w:t>
      </w:r>
      <w:r w:rsidR="009B2662">
        <w:rPr>
          <w:color w:val="000000"/>
        </w:rPr>
        <w:t xml:space="preserve">This information is being incorporated into ATF’s regulations at § 555.109, including exceptions and </w:t>
      </w:r>
      <w:r w:rsidR="00FC0215">
        <w:rPr>
          <w:color w:val="000000"/>
        </w:rPr>
        <w:t>allowing alternative marking methods that the industry commonly requests.</w:t>
      </w:r>
    </w:p>
    <w:p w:rsidR="003C2CB7" w:rsidP="00712EE9" w14:paraId="60720303" w14:textId="77777777">
      <w:pPr>
        <w:widowControl w:val="0"/>
        <w:contextualSpacing/>
      </w:pPr>
    </w:p>
    <w:p w:rsidR="00700C7B" w:rsidRPr="00295973" w:rsidP="00295973" w14:paraId="29DC6C03" w14:textId="77777777">
      <w:pPr>
        <w:widowControl w:val="0"/>
        <w:contextualSpacing/>
        <w:rPr>
          <w:b/>
          <w:bCs/>
        </w:rPr>
      </w:pPr>
      <w:r w:rsidRPr="00295973">
        <w:rPr>
          <w:b/>
          <w:bCs/>
        </w:rPr>
        <w:t xml:space="preserve">2. Indicate how, by whom, and for what purpose the information will be used. </w:t>
      </w:r>
    </w:p>
    <w:p w:rsidR="00953B63" w:rsidP="00E87D14" w14:paraId="1AF1B789" w14:textId="77777777">
      <w:pPr>
        <w:widowControl w:val="0"/>
        <w:contextualSpacing/>
      </w:pPr>
    </w:p>
    <w:p w:rsidR="00EB55B4" w:rsidP="00E87D14" w14:paraId="7F490822" w14:textId="7C10684A">
      <w:pPr>
        <w:widowControl w:val="0"/>
        <w:contextualSpacing/>
      </w:pPr>
      <w:r>
        <w:t xml:space="preserve">These requirements help ensure that </w:t>
      </w:r>
      <w:r w:rsidR="00553B05">
        <w:t>law enforcement</w:t>
      </w:r>
      <w:r>
        <w:t xml:space="preserve"> can effectively </w:t>
      </w:r>
      <w:r w:rsidR="00553B05">
        <w:t xml:space="preserve">identify and </w:t>
      </w:r>
      <w:r>
        <w:t xml:space="preserve">trace explosive materials </w:t>
      </w:r>
      <w:r w:rsidR="00553B05">
        <w:t>which are recovered or otherwise obtained through</w:t>
      </w:r>
      <w:r>
        <w:t xml:space="preserve"> criminal enforcement </w:t>
      </w:r>
      <w:r w:rsidR="00553B05">
        <w:t>activities</w:t>
      </w:r>
      <w:r>
        <w:t xml:space="preserve">. </w:t>
      </w:r>
      <w:r w:rsidR="00553B05">
        <w:t xml:space="preserve">In addition, when explosives have been lost or stolen, industry members report the associated </w:t>
      </w:r>
      <w:r w:rsidR="00553B05">
        <w:t>marking to ATF.</w:t>
      </w:r>
      <w:r>
        <w:t xml:space="preserve"> </w:t>
      </w:r>
      <w:r w:rsidR="000F20A5">
        <w:t xml:space="preserve">If law enforcement recovers the explosives, they can identify the lost or stolen explosives </w:t>
      </w:r>
      <w:r w:rsidR="00D067D9">
        <w:t xml:space="preserve">from their markings and associate them with a specific theft or loss. </w:t>
      </w:r>
      <w:r>
        <w:t xml:space="preserve">Additionally, </w:t>
      </w:r>
      <w:r w:rsidR="00D067D9">
        <w:t>identi</w:t>
      </w:r>
      <w:r w:rsidR="00D524F2">
        <w:t>fying</w:t>
      </w:r>
      <w:r w:rsidR="00D067D9">
        <w:t xml:space="preserve"> markings on explosive materials</w:t>
      </w:r>
      <w:r>
        <w:t xml:space="preserve"> often provides valuable information for explosion and bombing investigations and is </w:t>
      </w:r>
      <w:r w:rsidR="009E0BA8">
        <w:t>a standardized way for</w:t>
      </w:r>
      <w:r>
        <w:t xml:space="preserve"> </w:t>
      </w:r>
      <w:r w:rsidR="005E7CBA">
        <w:t>licensees/permittees to</w:t>
      </w:r>
      <w:r w:rsidR="009E0BA8">
        <w:t xml:space="preserve"> conduct an inventory of their materials, and for ATF to do the same </w:t>
      </w:r>
      <w:r>
        <w:t>during compliance inspections.</w:t>
      </w:r>
      <w:r w:rsidR="00E506F2">
        <w:t xml:space="preserve"> </w:t>
      </w:r>
      <w:r w:rsidR="0019131A">
        <w:t xml:space="preserve">During a trace, ATF and law enforcement use the identifying markings </w:t>
      </w:r>
      <w:r w:rsidR="003C20C1">
        <w:t>to track explosives through the records licensees/permittees maintain, which include the same information.</w:t>
      </w:r>
    </w:p>
    <w:p w:rsidR="003954CA" w:rsidP="00E87D14" w14:paraId="7C494B69" w14:textId="77777777">
      <w:pPr>
        <w:widowControl w:val="0"/>
        <w:contextualSpacing/>
      </w:pPr>
    </w:p>
    <w:p w:rsidR="003954CA" w:rsidP="00E87D14" w14:paraId="5E15A5D2" w14:textId="298CB9B3">
      <w:pPr>
        <w:widowControl w:val="0"/>
        <w:contextualSpacing/>
      </w:pPr>
      <w:r>
        <w:t>Manufacturers are required to apply manufacturing identification on explosives or packaging whenever feasible.</w:t>
      </w:r>
      <w:r w:rsidR="00F04729">
        <w:t xml:space="preserve"> Importers are required to apply importer information on explosives or packaging for explosives they import, but the foreign manufacturers typically apply importer markings as well as their own manufacturer markings.</w:t>
      </w:r>
    </w:p>
    <w:p w:rsidR="0092522F" w:rsidP="00E87D14" w14:paraId="41766E6B" w14:textId="02D794F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bookmarkStart w:id="0" w:name="_Hlk188869116"/>
    </w:p>
    <w:p w:rsidR="00A52312" w:rsidRPr="00A725DD" w:rsidP="00E87D14" w14:paraId="080EB130" w14:textId="3159148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Pr>
          <w:b/>
          <w:bCs/>
        </w:rPr>
        <w:t xml:space="preserve">3. </w:t>
      </w:r>
      <w:r w:rsidRPr="00A725DD">
        <w:rPr>
          <w:b/>
          <w:bCs/>
        </w:rPr>
        <w:t xml:space="preserve">Describe whether, and to what extent, the information collection involves using automated, electronic, mechanical, or other technological collection techniques or other forms of information technology, </w:t>
      </w:r>
      <w:r w:rsidRPr="00A725DD">
        <w:rPr>
          <w:b/>
          <w:bCs/>
          <w:i/>
        </w:rPr>
        <w:t>e.g.</w:t>
      </w:r>
      <w:r w:rsidRPr="00A725DD">
        <w:rPr>
          <w:b/>
          <w:bCs/>
        </w:rPr>
        <w:t>, permitting electronic submission of responses, and the basis for the decision to adopt this means of collection.</w:t>
      </w:r>
      <w:bookmarkEnd w:id="0"/>
    </w:p>
    <w:p w:rsidR="0092522F" w:rsidP="00E87D14" w14:paraId="199B1177" w14:textId="77777777">
      <w:pPr>
        <w:widowControl w:val="0"/>
        <w:contextualSpacing/>
      </w:pPr>
    </w:p>
    <w:p w:rsidR="00EB55B4" w:rsidP="00E87D14" w14:paraId="70341F68" w14:textId="07A1BAEF">
      <w:pPr>
        <w:widowControl w:val="0"/>
        <w:contextualSpacing/>
      </w:pPr>
      <w:r>
        <w:t xml:space="preserve">There are no forms </w:t>
      </w:r>
      <w:r w:rsidR="00C11C97">
        <w:t>o</w:t>
      </w:r>
      <w:r w:rsidR="007170D3">
        <w:t>r</w:t>
      </w:r>
      <w:r w:rsidR="00C11C97">
        <w:t xml:space="preserve"> other collection instruments </w:t>
      </w:r>
      <w:r>
        <w:t xml:space="preserve">associated with this </w:t>
      </w:r>
      <w:r w:rsidR="00C34FCF">
        <w:t>collection</w:t>
      </w:r>
      <w:r w:rsidR="00C11C97">
        <w:t>.</w:t>
      </w:r>
      <w:r>
        <w:t xml:space="preserve"> </w:t>
      </w:r>
      <w:r w:rsidR="00C11C97">
        <w:t xml:space="preserve">In addition, the information collection requires respondents to </w:t>
      </w:r>
      <w:r w:rsidR="004344CF">
        <w:t xml:space="preserve">permanently mark explosive materials of a wide variety of materials and forms. </w:t>
      </w:r>
      <w:r w:rsidR="00A27B47">
        <w:t xml:space="preserve">Licensees/permittees may mark explosive materials in a variety of ways, including </w:t>
      </w:r>
      <w:r w:rsidR="009C60C1">
        <w:t xml:space="preserve">by applying </w:t>
      </w:r>
      <w:r w:rsidR="00A27B47">
        <w:t xml:space="preserve">sticky labels, </w:t>
      </w:r>
      <w:r w:rsidR="009C60C1">
        <w:t xml:space="preserve">writing with a permanent marker, or </w:t>
      </w:r>
      <w:r w:rsidR="0053283C">
        <w:t>packaging</w:t>
      </w:r>
      <w:r w:rsidR="00611335">
        <w:t xml:space="preserve">. However, ATF does not </w:t>
      </w:r>
      <w:r w:rsidR="00B54EC5">
        <w:t xml:space="preserve">require respondents to use any </w:t>
      </w:r>
      <w:r w:rsidR="00B54EC5">
        <w:t>particular device</w:t>
      </w:r>
      <w:r w:rsidR="00B54EC5">
        <w:t xml:space="preserve"> for accomplishing the requisite markings</w:t>
      </w:r>
      <w:r w:rsidR="0053283C">
        <w:t xml:space="preserve"> because of the variety of size, shape, and material involved</w:t>
      </w:r>
      <w:r w:rsidR="00B54EC5">
        <w:t xml:space="preserve">, and industry </w:t>
      </w:r>
      <w:r w:rsidR="0053283C">
        <w:t xml:space="preserve">members </w:t>
      </w:r>
      <w:r>
        <w:t>therefore</w:t>
      </w:r>
      <w:r w:rsidR="00D042B4">
        <w:t xml:space="preserve"> </w:t>
      </w:r>
      <w:r w:rsidR="0053283C">
        <w:t>use</w:t>
      </w:r>
      <w:r w:rsidR="00C06CE7">
        <w:t xml:space="preserve"> the </w:t>
      </w:r>
      <w:r w:rsidR="00D65771">
        <w:t>the</w:t>
      </w:r>
      <w:r w:rsidR="00D65771">
        <w:t xml:space="preserve"> marking methods they consider </w:t>
      </w:r>
      <w:r w:rsidR="00C06CE7">
        <w:t>most efficient and economical</w:t>
      </w:r>
      <w:r w:rsidR="00F344ED">
        <w:t>.</w:t>
      </w:r>
    </w:p>
    <w:p w:rsidR="0013244D" w:rsidP="00E87D14" w14:paraId="45340D8B" w14:textId="77777777">
      <w:pPr>
        <w:widowControl w:val="0"/>
        <w:contextualSpacing/>
      </w:pPr>
    </w:p>
    <w:p w:rsidR="00A42F9F" w:rsidRPr="00F705F7" w:rsidP="00E87D14" w14:paraId="3CEB6187"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F705F7">
        <w:rPr>
          <w:b/>
          <w:bCs/>
        </w:rPr>
        <w:t>4. Describe efforts to identify duplication.</w:t>
      </w:r>
    </w:p>
    <w:p w:rsidR="00CE67F9" w:rsidP="00E87D14" w14:paraId="4C56AA70" w14:textId="77777777">
      <w:pPr>
        <w:widowControl w:val="0"/>
        <w:contextualSpacing/>
      </w:pPr>
    </w:p>
    <w:p w:rsidR="00EB55B4" w:rsidP="00E87D14" w14:paraId="1AA5CC9F" w14:textId="13096A58">
      <w:pPr>
        <w:widowControl w:val="0"/>
        <w:contextualSpacing/>
      </w:pPr>
      <w:r w:rsidRPr="015F4C7F">
        <w:t>This information is not duplicative</w:t>
      </w:r>
      <w:r w:rsidR="0038403C">
        <w:t xml:space="preserve">; it </w:t>
      </w:r>
      <w:r w:rsidRPr="015F4C7F">
        <w:t xml:space="preserve">requires </w:t>
      </w:r>
      <w:r w:rsidR="00F40C34">
        <w:t>explosives manufacturers and importers</w:t>
      </w:r>
      <w:r w:rsidR="003C6CDC">
        <w:t xml:space="preserve"> to place certain standardized identifying </w:t>
      </w:r>
      <w:r w:rsidR="003C6CDC">
        <w:t>markings</w:t>
      </w:r>
      <w:r w:rsidR="003C6CDC">
        <w:t xml:space="preserve"> on </w:t>
      </w:r>
      <w:r w:rsidR="00C84198">
        <w:t>explosives</w:t>
      </w:r>
      <w:r w:rsidR="003C6CDC">
        <w:t xml:space="preserve"> they either manufacture or import</w:t>
      </w:r>
      <w:r w:rsidR="0038403C">
        <w:t xml:space="preserve"> so the explosive materials can be </w:t>
      </w:r>
      <w:r w:rsidR="00D349E7">
        <w:t xml:space="preserve">traced through the commerce stream and identified if involved in an explosion or other </w:t>
      </w:r>
      <w:r w:rsidR="00124F49">
        <w:t>situation</w:t>
      </w:r>
      <w:r w:rsidR="00D349E7">
        <w:t xml:space="preserve"> that places public safety at risk</w:t>
      </w:r>
      <w:r w:rsidRPr="015F4C7F">
        <w:t xml:space="preserve">. </w:t>
      </w:r>
      <w:r w:rsidR="004D552F">
        <w:t xml:space="preserve">ATF is the only </w:t>
      </w:r>
      <w:r w:rsidR="008B3EF0">
        <w:t xml:space="preserve">agency </w:t>
      </w:r>
      <w:r w:rsidR="004D552F">
        <w:t xml:space="preserve">charged with enforcing </w:t>
      </w:r>
      <w:r w:rsidR="004D552F">
        <w:t>the implementing</w:t>
      </w:r>
      <w:r w:rsidR="004D552F">
        <w:t xml:space="preserve"> regulations for </w:t>
      </w:r>
      <w:r w:rsidR="00777972">
        <w:t>explosive materials</w:t>
      </w:r>
      <w:r w:rsidR="00C84198">
        <w:t>, and th</w:t>
      </w:r>
      <w:r w:rsidR="005949C2">
        <w:t>is information is therefore not duplicative</w:t>
      </w:r>
      <w:r w:rsidR="00B531F8">
        <w:t>.</w:t>
      </w:r>
    </w:p>
    <w:p w:rsidR="00263D62" w:rsidP="00E87D14" w14:paraId="00AB5C8B" w14:textId="77777777">
      <w:pPr>
        <w:widowControl w:val="0"/>
        <w:contextualSpacing/>
      </w:pPr>
    </w:p>
    <w:p w:rsidR="00342689" w:rsidRPr="00F705F7" w:rsidP="00E87D14" w14:paraId="159E7A2C" w14:textId="463D8CDD">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F705F7">
        <w:rPr>
          <w:b/>
          <w:bCs/>
        </w:rPr>
        <w:t>5.</w:t>
      </w:r>
      <w:r w:rsidRPr="00F705F7">
        <w:t xml:space="preserve"> </w:t>
      </w:r>
      <w:r w:rsidRPr="00F705F7">
        <w:rPr>
          <w:b/>
          <w:bCs/>
        </w:rPr>
        <w:t>If the information collection impacts small businesses or other small entities,</w:t>
      </w:r>
      <w:r w:rsidR="00263D62">
        <w:rPr>
          <w:b/>
          <w:bCs/>
        </w:rPr>
        <w:t xml:space="preserve"> </w:t>
      </w:r>
      <w:r w:rsidRPr="00F705F7">
        <w:rPr>
          <w:b/>
          <w:bCs/>
        </w:rPr>
        <w:t>describe any methods used to minimize burden.</w:t>
      </w:r>
    </w:p>
    <w:p w:rsidR="00342689" w:rsidRPr="00F705F7" w:rsidP="00E87D14" w14:paraId="7BC1A0D4"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p>
    <w:p w:rsidR="009742F9" w:rsidP="00E87D14" w14:paraId="4354D032" w14:textId="188E1600">
      <w:pPr>
        <w:widowControl w:val="0"/>
        <w:contextualSpacing/>
      </w:pPr>
      <w:r w:rsidRPr="00F705F7">
        <w:t>This information collection does not have a significant impact on small entities.</w:t>
      </w:r>
      <w:r w:rsidR="007D018A">
        <w:t xml:space="preserve"> Although small entities </w:t>
      </w:r>
      <w:r w:rsidR="006D4DD8">
        <w:t xml:space="preserve">make up a sizable portion of </w:t>
      </w:r>
      <w:r w:rsidR="00833EA4">
        <w:t>explosives licensees/permittees</w:t>
      </w:r>
      <w:r w:rsidR="007D018A">
        <w:t>, v</w:t>
      </w:r>
      <w:r w:rsidR="00E619A1">
        <w:t xml:space="preserve">irtually none of </w:t>
      </w:r>
      <w:r w:rsidR="00E619A1">
        <w:t>the them</w:t>
      </w:r>
      <w:r w:rsidR="00E619A1">
        <w:t xml:space="preserve"> would </w:t>
      </w:r>
      <w:r w:rsidR="006D4DD8">
        <w:t xml:space="preserve">be marking explosives. </w:t>
      </w:r>
      <w:r w:rsidRPr="009D0467" w:rsidR="009D0467">
        <w:t>The infrastructure required to manufacture and distribute explosive products at scale, and the amount of engineering that goes into creating a predictable and consistent explosive product, is not something that lends itself to small time operations. </w:t>
      </w:r>
      <w:r w:rsidR="00AC1A61">
        <w:t>So small entities are largely unaffected by any marking requirements.</w:t>
      </w:r>
    </w:p>
    <w:p w:rsidR="004E21C1" w:rsidP="00E87D14" w14:paraId="09580F4D" w14:textId="77777777">
      <w:pPr>
        <w:widowControl w:val="0"/>
        <w:contextualSpacing/>
      </w:pPr>
    </w:p>
    <w:p w:rsidR="004A29FF" w:rsidP="00E87D14" w14:paraId="2FE566E2"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7170D3">
        <w:rPr>
          <w:b/>
          <w:bCs/>
        </w:rPr>
        <w:t xml:space="preserve">6. Describe the consequences </w:t>
      </w:r>
      <w:r w:rsidRPr="007170D3">
        <w:rPr>
          <w:b/>
          <w:bCs/>
        </w:rPr>
        <w:t>to</w:t>
      </w:r>
      <w:r w:rsidRPr="007170D3">
        <w:rPr>
          <w:b/>
          <w:bCs/>
        </w:rPr>
        <w:t xml:space="preserve"> federal programs or policy activities if the collection is not </w:t>
      </w:r>
      <w:r w:rsidRPr="007170D3">
        <w:rPr>
          <w:b/>
          <w:bCs/>
        </w:rPr>
        <w:t>conducted or is conducted less frequently, as well as any technical or legal obstacles to reducing burden.</w:t>
      </w:r>
    </w:p>
    <w:p w:rsidR="004A29FF" w:rsidP="00E87D14" w14:paraId="0A0353AD"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p>
    <w:p w:rsidR="00EB55B4" w:rsidP="00E87D14" w14:paraId="6FE57683" w14:textId="3F6607C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r>
        <w:t>Failure to collect this information would hinder explosive</w:t>
      </w:r>
      <w:r w:rsidR="00392D59">
        <w:t>s</w:t>
      </w:r>
      <w:r>
        <w:t xml:space="preserve"> trace efforts for criminal enforcement cases</w:t>
      </w:r>
      <w:r w:rsidR="001C6464">
        <w:t xml:space="preserve"> or to identify explosive materials that have been lost or stolen</w:t>
      </w:r>
      <w:r>
        <w:t xml:space="preserve">. </w:t>
      </w:r>
      <w:r w:rsidR="00E80752">
        <w:t xml:space="preserve">The statute requires licensees/permittees to report explosives thefts and losses, which would be more difficult without standard identifying markings, </w:t>
      </w:r>
      <w:r w:rsidR="0019024B">
        <w:t xml:space="preserve">as would conducting their required annual inventories. </w:t>
      </w:r>
      <w:r>
        <w:t>Additionally, compliance inspection activities, such as inventory verifications for public safety, would be adversely affected.</w:t>
      </w:r>
    </w:p>
    <w:p w:rsidR="00045318" w:rsidP="00E87D14" w14:paraId="1BC96AE6"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p>
    <w:p w:rsidR="00045318" w:rsidRPr="00F705F7" w:rsidP="00E87D14" w14:paraId="794E1341" w14:textId="77777777">
      <w:pPr>
        <w:widowControl w:val="0"/>
        <w:contextualSpacing/>
      </w:pPr>
      <w:r w:rsidRPr="00F705F7">
        <w:rPr>
          <w:b/>
          <w:bCs/>
        </w:rPr>
        <w:t>7. Explain any special circumstances that would cause the information collection to be conducted in a manner inconsistent with 5 CFR 1320.6.</w:t>
      </w:r>
    </w:p>
    <w:p w:rsidR="00EB55B4" w:rsidP="00E87D14" w14:paraId="51007AD9" w14:textId="778CDF32">
      <w:pPr>
        <w:widowControl w:val="0"/>
        <w:tabs>
          <w:tab w:val="left" w:pos="1080"/>
        </w:tabs>
        <w:contextualSpacing/>
      </w:pPr>
      <w:r w:rsidRPr="00495704">
        <w:t xml:space="preserve">Respondents do not report the information. However, to the extent that </w:t>
      </w:r>
      <w:r w:rsidRPr="00495704" w:rsidR="00C95659">
        <w:t>marking the explosive materials constitutes ‘reporting’ the information, the regulations require r</w:t>
      </w:r>
      <w:r w:rsidRPr="00495704" w:rsidR="004D552F">
        <w:t xml:space="preserve">espondents </w:t>
      </w:r>
      <w:r w:rsidRPr="00495704" w:rsidR="00495704">
        <w:t xml:space="preserve">to </w:t>
      </w:r>
      <w:r w:rsidRPr="00495704" w:rsidR="0025064E">
        <w:t xml:space="preserve">mark explosives as frequently as they manufacture or import them, but only once </w:t>
      </w:r>
      <w:r w:rsidRPr="00495704" w:rsidR="00A06104">
        <w:t>per explosive.</w:t>
      </w:r>
    </w:p>
    <w:p w:rsidR="00A36E28" w:rsidP="00E87D14" w14:paraId="0398F6EE" w14:textId="77777777">
      <w:pPr>
        <w:widowControl w:val="0"/>
        <w:tabs>
          <w:tab w:val="left" w:pos="1080"/>
        </w:tabs>
        <w:contextualSpacing/>
      </w:pPr>
    </w:p>
    <w:p w:rsidR="000C6A08" w:rsidP="00E87D14" w14:paraId="71A27068" w14:textId="7C5E313D">
      <w:pPr>
        <w:widowControl w:val="0"/>
        <w:tabs>
          <w:tab w:val="left" w:pos="1080"/>
        </w:tabs>
        <w:contextualSpacing/>
      </w:pPr>
      <w:r w:rsidRPr="00F705F7">
        <w:t>There are no other special circumstances associated with this information collection, which is otherwise conducted in a manner consistent with 5 CFR 1320.6.</w:t>
      </w:r>
    </w:p>
    <w:p w:rsidR="00926117" w:rsidP="00E87D14" w14:paraId="377BD734" w14:textId="77777777">
      <w:pPr>
        <w:widowControl w:val="0"/>
        <w:tabs>
          <w:tab w:val="left" w:pos="1080"/>
        </w:tabs>
        <w:contextualSpacing/>
      </w:pPr>
    </w:p>
    <w:p w:rsidR="00A36E28" w:rsidP="00E87D14" w14:paraId="51554C58"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0C6A08">
        <w:rPr>
          <w:b/>
          <w:bCs/>
        </w:rPr>
        <w:t xml:space="preserve">8. </w:t>
      </w:r>
      <w:bookmarkStart w:id="1" w:name="_Hlk188869254"/>
      <w:r w:rsidRPr="000C6A08">
        <w:rPr>
          <w:b/>
          <w:bCs/>
        </w:rPr>
        <w:t xml:space="preserve">If applicable, provide a copy, and identify the date and page number, of the agency’s </w:t>
      </w:r>
    </w:p>
    <w:p w:rsidR="00764DFE" w:rsidRPr="000C6A08" w:rsidP="00E87D14" w14:paraId="3B41E482" w14:textId="3206FE44">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0C6A08">
        <w:rPr>
          <w:b/>
          <w:bCs/>
        </w:rPr>
        <w:t xml:space="preserve">notice published in the </w:t>
      </w:r>
      <w:r w:rsidRPr="000C6A08">
        <w:rPr>
          <w:rStyle w:val="Heading2Char"/>
          <w:rFonts w:ascii="Times New Roman" w:hAnsi="Times New Roman" w:cs="Times New Roman"/>
          <w:bCs w:val="0"/>
          <w:sz w:val="24"/>
          <w:szCs w:val="24"/>
        </w:rPr>
        <w:t>Federal Register</w:t>
      </w:r>
      <w:r w:rsidRPr="000C6A08">
        <w:rPr>
          <w:b/>
          <w:bCs/>
        </w:rPr>
        <w:t>, as required by 5 CFR 1320.8(d), soliciting comments on the information collection prior to submission to OMB.</w:t>
      </w:r>
      <w:bookmarkEnd w:id="1"/>
    </w:p>
    <w:p w:rsidR="00764DFE" w:rsidRPr="000C6A08" w:rsidP="00E87D14" w14:paraId="1FF534E1" w14:textId="77777777">
      <w:pPr>
        <w:widowControl w:val="0"/>
        <w:tabs>
          <w:tab w:val="left" w:pos="1080"/>
        </w:tabs>
        <w:contextualSpacing/>
      </w:pPr>
    </w:p>
    <w:p w:rsidR="00E435CC" w:rsidRPr="000C6A08" w:rsidP="00E87D14" w14:paraId="65C24D03" w14:textId="33914DA4">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r w:rsidRPr="0060420F">
        <w:t>The 60-</w:t>
      </w:r>
      <w:r w:rsidRPr="0060420F" w:rsidR="00926117">
        <w:t>d</w:t>
      </w:r>
      <w:r w:rsidRPr="0060420F">
        <w:t xml:space="preserve">ay </w:t>
      </w:r>
      <w:r w:rsidRPr="0060420F" w:rsidR="00926117">
        <w:t>n</w:t>
      </w:r>
      <w:r w:rsidRPr="0060420F">
        <w:t xml:space="preserve">otice was published in the </w:t>
      </w:r>
      <w:r w:rsidRPr="0060420F">
        <w:rPr>
          <w:i/>
          <w:iCs/>
        </w:rPr>
        <w:t>Federal Register</w:t>
      </w:r>
      <w:r w:rsidRPr="0060420F">
        <w:t xml:space="preserve"> on [</w:t>
      </w:r>
      <w:r w:rsidRPr="0060420F" w:rsidR="0060420F">
        <w:t>11/28/2025</w:t>
      </w:r>
      <w:r w:rsidRPr="0060420F">
        <w:t>] (</w:t>
      </w:r>
      <w:r w:rsidRPr="0060420F" w:rsidR="0060420F">
        <w:t>90</w:t>
      </w:r>
      <w:r w:rsidRPr="0060420F">
        <w:t xml:space="preserve"> FR </w:t>
      </w:r>
      <w:r w:rsidRPr="0060420F" w:rsidR="0060420F">
        <w:t>54762</w:t>
      </w:r>
      <w:r w:rsidRPr="0060420F">
        <w:t>). The comment period ended on [</w:t>
      </w:r>
      <w:r w:rsidRPr="0060420F" w:rsidR="0060420F">
        <w:t>01/27/2026</w:t>
      </w:r>
      <w:r w:rsidRPr="0060420F">
        <w:t>].</w:t>
      </w:r>
      <w:r w:rsidRPr="000C6A08">
        <w:t xml:space="preserve"> ATF received no comments.</w:t>
      </w:r>
    </w:p>
    <w:p w:rsidR="00645485" w:rsidRPr="000C6A08" w:rsidP="000C6A08" w14:paraId="25770463" w14:textId="77777777">
      <w:pPr>
        <w:widowControl w:val="0"/>
        <w:contextualSpacing/>
      </w:pPr>
    </w:p>
    <w:p w:rsidR="00645485" w:rsidRPr="000C6A08" w:rsidP="000C6A08" w14:paraId="6BD1DDDF"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0C6A08">
        <w:rPr>
          <w:b/>
          <w:bCs/>
        </w:rPr>
        <w:t>9. Explain any decision to provide any payments or gifts to respondents, other than remuneration of contractors or grantees.</w:t>
      </w:r>
    </w:p>
    <w:p w:rsidR="00645485" w:rsidRPr="000C6A08" w:rsidP="000C6A08" w14:paraId="6D39A440" w14:textId="77777777">
      <w:pPr>
        <w:pStyle w:val="ListParagraph"/>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0"/>
        <w:rPr>
          <w:b/>
          <w:bCs/>
        </w:rPr>
      </w:pPr>
    </w:p>
    <w:p w:rsidR="0070212A" w:rsidRPr="000C6A08" w:rsidP="0070212A" w14:paraId="12DC11CA" w14:textId="77777777">
      <w:pPr>
        <w:widowControl w:val="0"/>
        <w:contextualSpacing/>
      </w:pPr>
      <w:r w:rsidRPr="000C6A08">
        <w:t>ATF does not provide payments or gifts in connection with this collection.</w:t>
      </w:r>
    </w:p>
    <w:p w:rsidR="000C6A08" w:rsidP="0070212A" w14:paraId="49AA21AD" w14:textId="77777777">
      <w:pPr>
        <w:widowControl w:val="0"/>
        <w:contextualSpacing/>
        <w:rPr>
          <w:b/>
          <w:bCs/>
        </w:rPr>
      </w:pPr>
    </w:p>
    <w:p w:rsidR="00AE225A" w:rsidRPr="000C6A08" w:rsidP="0070212A" w14:paraId="133053CF" w14:textId="0A571415">
      <w:pPr>
        <w:widowControl w:val="0"/>
        <w:contextualSpacing/>
      </w:pPr>
      <w:r w:rsidRPr="000C6A08">
        <w:rPr>
          <w:b/>
          <w:bCs/>
        </w:rPr>
        <w:t>10. Describe any assurance of confidentiality provided to respondents and the basis for the assurance in statute, regulation, or agency policy.</w:t>
      </w:r>
    </w:p>
    <w:p w:rsidR="0070212A" w:rsidRPr="000C6A08" w:rsidP="00E87D14" w14:paraId="07DA5455"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p>
    <w:p w:rsidR="00AE225A" w:rsidRPr="000C6A08" w:rsidP="00E87D14" w14:paraId="24318EC5" w14:textId="4D0304C2">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r w:rsidRPr="000C6A08">
        <w:t xml:space="preserve">This information collection does not collect protected </w:t>
      </w:r>
      <w:r w:rsidRPr="000C6A08">
        <w:t>information</w:t>
      </w:r>
      <w:r w:rsidRPr="000C6A08">
        <w:t xml:space="preserve"> and ATF has not assured respondents of confidentiality.</w:t>
      </w:r>
    </w:p>
    <w:p w:rsidR="002A5654" w:rsidRPr="000C6A08" w:rsidP="00E87D14" w14:paraId="05F3C684" w14:textId="7D774496">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r w:rsidRPr="000C6A08">
        <w:t xml:space="preserve"> </w:t>
      </w:r>
    </w:p>
    <w:p w:rsidR="00E10F28" w:rsidP="00E87D14" w14:paraId="0A3E47A2"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F705F7">
        <w:rPr>
          <w:b/>
          <w:bCs/>
        </w:rPr>
        <w:t>11. Provide additional justification for any questions of a sensitive nature, such as sexual behavior and attitudes, religious beliefs, and other matters that are commonly considered private.</w:t>
      </w:r>
    </w:p>
    <w:p w:rsidR="00E10F28" w:rsidRPr="00F705F7" w:rsidP="00E87D14" w14:paraId="57BD7B29"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p>
    <w:p w:rsidR="00EC6875" w:rsidP="00E87D14" w14:paraId="6844EF6C"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bookmarkStart w:id="2" w:name="_Hlk188869322"/>
      <w:r w:rsidRPr="00F705F7">
        <w:t>This information collection does not ask questions or require information of a sensitive nature.</w:t>
      </w:r>
      <w:bookmarkEnd w:id="2"/>
    </w:p>
    <w:p w:rsidR="0058040D" w:rsidRPr="00F705F7" w:rsidP="00E87D14" w14:paraId="4A44C85A"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p>
    <w:p w:rsidR="009412CB" w:rsidRPr="00F705F7" w:rsidP="00E87D14" w14:paraId="29812629"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F705F7">
        <w:rPr>
          <w:b/>
          <w:bCs/>
        </w:rPr>
        <w:t>12. Provide estimates of the information collection’s hour burden.</w:t>
      </w:r>
    </w:p>
    <w:p w:rsidR="009412CB" w:rsidP="00E87D14" w14:paraId="6889FDC5" w14:textId="77777777">
      <w:pPr>
        <w:widowControl w:val="0"/>
        <w:tabs>
          <w:tab w:val="left" w:pos="1080"/>
        </w:tabs>
        <w:contextualSpacing/>
      </w:pPr>
    </w:p>
    <w:p w:rsidR="0061143B" w:rsidP="00E87D14" w14:paraId="70A56EFC" w14:textId="41D8844C">
      <w:pPr>
        <w:widowControl w:val="0"/>
        <w:tabs>
          <w:tab w:val="left" w:pos="1080"/>
        </w:tabs>
        <w:contextualSpacing/>
      </w:pPr>
      <w:r w:rsidRPr="00C62752">
        <w:t>There are</w:t>
      </w:r>
      <w:r w:rsidRPr="00C62752" w:rsidR="00430E02">
        <w:t xml:space="preserve"> </w:t>
      </w:r>
      <w:r w:rsidRPr="00C62752" w:rsidR="000A17CC">
        <w:t>2,0</w:t>
      </w:r>
      <w:r w:rsidRPr="00C62752" w:rsidR="00F756A5">
        <w:t>54</w:t>
      </w:r>
      <w:r w:rsidRPr="00C62752" w:rsidR="000A17CC">
        <w:t xml:space="preserve"> </w:t>
      </w:r>
      <w:r w:rsidRPr="00C62752" w:rsidR="00683C7C">
        <w:t>licensee/permittees</w:t>
      </w:r>
      <w:r w:rsidRPr="00C62752" w:rsidR="002C5ABE">
        <w:t xml:space="preserve"> that are licensed to manufacture or import explosives.</w:t>
      </w:r>
      <w:r w:rsidR="00723360">
        <w:t xml:space="preserve"> </w:t>
      </w:r>
      <w:r w:rsidR="002C5ABE">
        <w:t xml:space="preserve">However, a </w:t>
      </w:r>
      <w:r w:rsidR="00F53078">
        <w:t xml:space="preserve">substantial portion of such </w:t>
      </w:r>
      <w:r w:rsidR="00F53078">
        <w:t>licensees</w:t>
      </w:r>
      <w:r w:rsidR="00F53078">
        <w:t xml:space="preserve"> </w:t>
      </w:r>
      <w:r w:rsidR="00730FAA">
        <w:t xml:space="preserve">don’t then manufacture, even though licensed to do so. In addition, </w:t>
      </w:r>
      <w:r w:rsidR="00FC2823">
        <w:t>many of those who do manufacture</w:t>
      </w:r>
      <w:r w:rsidR="00622F41">
        <w:t xml:space="preserve"> are engaged in activities like</w:t>
      </w:r>
      <w:r w:rsidR="00A52D67">
        <w:t>, for example,</w:t>
      </w:r>
      <w:r w:rsidR="00622F41">
        <w:t xml:space="preserve"> bulk </w:t>
      </w:r>
      <w:r w:rsidR="0063240B">
        <w:t>ammonium nitrate/fuel oil (ANFO)</w:t>
      </w:r>
      <w:r w:rsidR="00622F41">
        <w:t xml:space="preserve"> mixing, which can’t be marked</w:t>
      </w:r>
      <w:r w:rsidR="0063240B">
        <w:t xml:space="preserve"> (</w:t>
      </w:r>
      <w:r w:rsidR="00A52D67">
        <w:t>it is mixed and delivered in large quantities via specialized trucks and typically mixed on-site before loading into blast holes)</w:t>
      </w:r>
      <w:r w:rsidR="00E60913">
        <w:t xml:space="preserve">, or they are manufacturing solely for their own use. </w:t>
      </w:r>
    </w:p>
    <w:p w:rsidR="0061143B" w:rsidP="00E87D14" w14:paraId="2997C417" w14:textId="77777777">
      <w:pPr>
        <w:widowControl w:val="0"/>
        <w:tabs>
          <w:tab w:val="left" w:pos="1080"/>
        </w:tabs>
        <w:contextualSpacing/>
      </w:pPr>
    </w:p>
    <w:p w:rsidR="00CE5FE4" w:rsidP="00E87D14" w14:paraId="61B51363" w14:textId="159FAC0A">
      <w:pPr>
        <w:widowControl w:val="0"/>
        <w:tabs>
          <w:tab w:val="left" w:pos="1080"/>
        </w:tabs>
        <w:contextualSpacing/>
      </w:pPr>
      <w:r>
        <w:t>Based on</w:t>
      </w:r>
      <w:r w:rsidR="00F06C3E">
        <w:t xml:space="preserve"> field experience and inspections, ATF estimates that only </w:t>
      </w:r>
      <w:r w:rsidR="00E217B5">
        <w:t>five percent</w:t>
      </w:r>
      <w:r w:rsidR="006D2D82">
        <w:t xml:space="preserve"> (0.05)</w:t>
      </w:r>
      <w:r w:rsidR="00F06C3E">
        <w:t xml:space="preserve"> of the 2,054 licensees/permittees </w:t>
      </w:r>
      <w:r w:rsidR="00494230">
        <w:t>manufacture</w:t>
      </w:r>
      <w:r w:rsidR="00737030">
        <w:t>, import,</w:t>
      </w:r>
      <w:r w:rsidR="00494230">
        <w:t xml:space="preserve"> and distribute</w:t>
      </w:r>
      <w:r w:rsidR="00537308">
        <w:t xml:space="preserve"> explosive materials they must mark</w:t>
      </w:r>
      <w:r w:rsidR="00494230">
        <w:t>.</w:t>
      </w:r>
      <w:r w:rsidR="004D552F">
        <w:t xml:space="preserve"> </w:t>
      </w:r>
      <w:r w:rsidR="00D9670F">
        <w:t xml:space="preserve">The number of respondents for this ICR is therefore </w:t>
      </w:r>
      <w:r w:rsidR="008966D6">
        <w:t xml:space="preserve">103 </w:t>
      </w:r>
      <w:r w:rsidR="006D291E">
        <w:t xml:space="preserve">(rounded) </w:t>
      </w:r>
      <w:r w:rsidR="008966D6">
        <w:t xml:space="preserve">(0.05 </w:t>
      </w:r>
      <w:r w:rsidR="006D2D82">
        <w:t>licensees</w:t>
      </w:r>
      <w:r w:rsidR="006D291E">
        <w:t>/permittees</w:t>
      </w:r>
      <w:r w:rsidR="006D2D82">
        <w:t xml:space="preserve"> who mark * </w:t>
      </w:r>
      <w:r w:rsidR="006D291E">
        <w:t>2,054 total licensees/permittees).</w:t>
      </w:r>
    </w:p>
    <w:p w:rsidR="00CE5FE4" w:rsidP="00E87D14" w14:paraId="268EEA2B" w14:textId="77777777">
      <w:pPr>
        <w:widowControl w:val="0"/>
        <w:tabs>
          <w:tab w:val="left" w:pos="1080"/>
        </w:tabs>
        <w:contextualSpacing/>
      </w:pPr>
    </w:p>
    <w:p w:rsidR="00EB55B4" w:rsidRPr="008918D0" w:rsidP="00E87D14" w14:paraId="7BE8EF7B" w14:textId="6C058401">
      <w:pPr>
        <w:widowControl w:val="0"/>
        <w:tabs>
          <w:tab w:val="left" w:pos="1080"/>
        </w:tabs>
        <w:contextualSpacing/>
      </w:pPr>
      <w:r>
        <w:t>T</w:t>
      </w:r>
      <w:r w:rsidR="00F05880">
        <w:t xml:space="preserve">he number of explosives a given respondent manufactures or imports </w:t>
      </w:r>
      <w:r w:rsidR="00AB60C7">
        <w:t>can vary widely depending upon the size of the</w:t>
      </w:r>
      <w:r w:rsidR="00E951DE">
        <w:t xml:space="preserve"> respondent’s operations, the segment of the explosives industry in which they operate, and the kinds of explosive materials they manufacture or import</w:t>
      </w:r>
      <w:r>
        <w:t xml:space="preserve">. Therefore, ATF </w:t>
      </w:r>
      <w:r w:rsidR="000E17BB">
        <w:t xml:space="preserve">uses an estimated average </w:t>
      </w:r>
      <w:r w:rsidR="003C2F67">
        <w:t xml:space="preserve">frequency of </w:t>
      </w:r>
      <w:r w:rsidR="00C6580A">
        <w:t>520</w:t>
      </w:r>
      <w:r w:rsidR="004D552F">
        <w:t xml:space="preserve"> time</w:t>
      </w:r>
      <w:r w:rsidR="00C6580A">
        <w:t>s</w:t>
      </w:r>
      <w:r w:rsidR="00482001">
        <w:t xml:space="preserve"> per respondent, which </w:t>
      </w:r>
      <w:r w:rsidR="003C2F67">
        <w:t>is</w:t>
      </w:r>
      <w:r w:rsidR="00482001">
        <w:t xml:space="preserve"> high for some </w:t>
      </w:r>
      <w:r w:rsidRPr="008918D0" w:rsidR="00482001">
        <w:t>and low for others</w:t>
      </w:r>
      <w:r w:rsidRPr="008918D0" w:rsidR="004D552F">
        <w:t xml:space="preserve">. </w:t>
      </w:r>
      <w:r w:rsidRPr="008918D0" w:rsidR="00E57A18">
        <w:t xml:space="preserve">The total number of responses </w:t>
      </w:r>
      <w:r w:rsidRPr="008918D0" w:rsidR="00E929B3">
        <w:t>is therefore</w:t>
      </w:r>
      <w:r w:rsidRPr="008918D0" w:rsidR="00E57A18">
        <w:t xml:space="preserve"> </w:t>
      </w:r>
      <w:r w:rsidRPr="008918D0" w:rsidR="004F0777">
        <w:t>53,560</w:t>
      </w:r>
      <w:r w:rsidRPr="008918D0" w:rsidR="00EE321B">
        <w:t xml:space="preserve"> (</w:t>
      </w:r>
      <w:r w:rsidRPr="008918D0" w:rsidR="00E929B3">
        <w:t>103</w:t>
      </w:r>
      <w:r w:rsidRPr="008918D0" w:rsidR="003551A4">
        <w:t xml:space="preserve"> respondents * 520 responses</w:t>
      </w:r>
      <w:r w:rsidRPr="008918D0" w:rsidR="006674E3">
        <w:t xml:space="preserve"> each</w:t>
      </w:r>
      <w:r w:rsidRPr="008918D0" w:rsidR="003551A4">
        <w:t>)</w:t>
      </w:r>
      <w:r w:rsidRPr="008918D0" w:rsidR="00C666FB">
        <w:t>.</w:t>
      </w:r>
      <w:r w:rsidRPr="008918D0" w:rsidR="00E57A18">
        <w:t xml:space="preserve"> </w:t>
      </w:r>
      <w:r w:rsidRPr="008918D0" w:rsidR="006674E3">
        <w:t>On</w:t>
      </w:r>
      <w:r w:rsidRPr="008918D0" w:rsidR="004D552F">
        <w:t xml:space="preserve"> average</w:t>
      </w:r>
      <w:r w:rsidRPr="008918D0" w:rsidR="006674E3">
        <w:t>, it takes</w:t>
      </w:r>
      <w:r w:rsidRPr="008918D0" w:rsidR="002E65CE">
        <w:t xml:space="preserve"> three seconds (0.00083</w:t>
      </w:r>
      <w:r w:rsidRPr="008918D0" w:rsidR="00423F39">
        <w:t>4</w:t>
      </w:r>
      <w:r w:rsidRPr="008918D0" w:rsidR="002E65CE">
        <w:t xml:space="preserve"> hours</w:t>
      </w:r>
      <w:r w:rsidRPr="008918D0" w:rsidR="00423F39">
        <w:t>, rounded</w:t>
      </w:r>
      <w:r w:rsidRPr="008918D0" w:rsidR="002E65CE">
        <w:t xml:space="preserve">) to do each marking, </w:t>
      </w:r>
      <w:r w:rsidRPr="008918D0" w:rsidR="00711C32">
        <w:t xml:space="preserve">for </w:t>
      </w:r>
      <w:r w:rsidRPr="008918D0" w:rsidR="00473B59">
        <w:t xml:space="preserve">a total annual </w:t>
      </w:r>
      <w:r w:rsidRPr="008918D0" w:rsidR="00B75BAF">
        <w:t xml:space="preserve">time </w:t>
      </w:r>
      <w:r w:rsidRPr="008918D0" w:rsidR="00473B59">
        <w:t xml:space="preserve">burden </w:t>
      </w:r>
      <w:r w:rsidRPr="008918D0" w:rsidR="00B75BAF">
        <w:t xml:space="preserve">for all respondents </w:t>
      </w:r>
      <w:r w:rsidRPr="008918D0" w:rsidR="00473B59">
        <w:t>of</w:t>
      </w:r>
      <w:r w:rsidRPr="008918D0" w:rsidR="009D5454">
        <w:t xml:space="preserve"> </w:t>
      </w:r>
      <w:r w:rsidRPr="008918D0" w:rsidR="00BB3F05">
        <w:t>45 hours</w:t>
      </w:r>
      <w:r w:rsidRPr="008918D0" w:rsidR="00C666FB">
        <w:t xml:space="preserve"> (</w:t>
      </w:r>
      <w:r w:rsidRPr="008918D0" w:rsidR="001F656F">
        <w:t xml:space="preserve">rounded) </w:t>
      </w:r>
      <w:r w:rsidRPr="008918D0" w:rsidR="00473B59">
        <w:t>(</w:t>
      </w:r>
      <w:r w:rsidRPr="008918D0" w:rsidR="00BB3F05">
        <w:t>103</w:t>
      </w:r>
      <w:r w:rsidRPr="008918D0" w:rsidR="009D5454">
        <w:t xml:space="preserve"> </w:t>
      </w:r>
      <w:r w:rsidRPr="008918D0" w:rsidR="00473B59">
        <w:t xml:space="preserve">respondents </w:t>
      </w:r>
      <w:r w:rsidRPr="008918D0" w:rsidR="00577C23">
        <w:t>*</w:t>
      </w:r>
      <w:r w:rsidRPr="008918D0" w:rsidR="00473B59">
        <w:t xml:space="preserve"> </w:t>
      </w:r>
      <w:r w:rsidRPr="008918D0" w:rsidR="00B75BAF">
        <w:t>520 responses</w:t>
      </w:r>
      <w:r w:rsidRPr="008918D0" w:rsidR="001F656F">
        <w:t xml:space="preserve"> </w:t>
      </w:r>
      <w:r w:rsidRPr="008918D0" w:rsidR="00577C23">
        <w:t>*</w:t>
      </w:r>
      <w:r w:rsidRPr="008918D0" w:rsidR="001F656F">
        <w:t xml:space="preserve"> </w:t>
      </w:r>
      <w:r w:rsidRPr="008918D0" w:rsidR="00E42D5B">
        <w:t>0.00</w:t>
      </w:r>
      <w:r w:rsidRPr="008918D0" w:rsidR="00B75BAF">
        <w:t>0834</w:t>
      </w:r>
      <w:r w:rsidRPr="008918D0" w:rsidR="00E42D5B">
        <w:t xml:space="preserve"> hours)</w:t>
      </w:r>
      <w:r w:rsidRPr="008918D0" w:rsidR="00F344ED">
        <w:t>.</w:t>
      </w:r>
    </w:p>
    <w:p w:rsidR="00BD0BC5" w:rsidRPr="008918D0" w:rsidP="00E87D14" w14:paraId="75E5777E" w14:textId="77777777">
      <w:pPr>
        <w:widowControl w:val="0"/>
        <w:tabs>
          <w:tab w:val="left" w:pos="1080"/>
        </w:tabs>
        <w:contextualSpacing/>
      </w:pPr>
    </w:p>
    <w:p w:rsidR="00C75A9B" w:rsidRPr="008918D0" w:rsidP="00E87D14" w14:paraId="51ECF797" w14:textId="086B164C">
      <w:pPr>
        <w:widowControl w:val="0"/>
        <w:tabs>
          <w:tab w:val="left" w:pos="1080"/>
        </w:tabs>
        <w:contextualSpacing/>
      </w:pPr>
      <w:r w:rsidRPr="008918D0">
        <w:t>In order to</w:t>
      </w:r>
      <w:r w:rsidRPr="008918D0">
        <w:t xml:space="preserve"> calculate hourly wage burdens for this ICR, ATF uses the wage rates for Explosives Workers, Ordnance Handling Experts, and Blasters for May 2023, as determined by the U.S. Department of Labor, Bureau of Labor Statistics</w:t>
      </w:r>
      <w:r w:rsidRPr="008918D0" w:rsidR="00C74CBF">
        <w:t>.</w:t>
      </w:r>
      <w:r>
        <w:rPr>
          <w:rStyle w:val="FootnoteReference"/>
        </w:rPr>
        <w:footnoteReference w:id="2"/>
      </w:r>
      <w:r w:rsidRPr="008918D0">
        <w:t xml:space="preserve"> The Bureau of Labor Statistics determined the average hourly </w:t>
      </w:r>
      <w:r w:rsidRPr="008918D0" w:rsidR="000E515C">
        <w:t>pay</w:t>
      </w:r>
      <w:r w:rsidRPr="008918D0">
        <w:t xml:space="preserve"> for </w:t>
      </w:r>
      <w:r w:rsidRPr="008918D0" w:rsidR="00CE44E5">
        <w:t>private sector</w:t>
      </w:r>
      <w:r w:rsidRPr="008918D0">
        <w:t xml:space="preserve"> workers to be $31.54. </w:t>
      </w:r>
      <w:r w:rsidRPr="008918D0" w:rsidR="00CE44E5">
        <w:t>They also determined that a</w:t>
      </w:r>
      <w:r w:rsidRPr="008918D0">
        <w:t xml:space="preserve"> load rate of 1.42 was </w:t>
      </w:r>
      <w:r w:rsidRPr="008918D0" w:rsidR="00CE44E5">
        <w:t>appropriate</w:t>
      </w:r>
      <w:r w:rsidRPr="008918D0">
        <w:t xml:space="preserve"> to account for benefits, making the loaded wage rate $44.79 (</w:t>
      </w:r>
      <w:r w:rsidRPr="008918D0" w:rsidR="00052864">
        <w:t>$</w:t>
      </w:r>
      <w:r w:rsidRPr="008918D0">
        <w:t>31.54 * 1.42).</w:t>
      </w:r>
      <w:r>
        <w:rPr>
          <w:rStyle w:val="FootnoteReference"/>
        </w:rPr>
        <w:footnoteReference w:id="3"/>
      </w:r>
      <w:r w:rsidRPr="008918D0">
        <w:t xml:space="preserve"> </w:t>
      </w:r>
      <w:r w:rsidRPr="008918D0" w:rsidR="00A401F6">
        <w:t xml:space="preserve">The </w:t>
      </w:r>
      <w:r w:rsidRPr="008918D0" w:rsidR="00CC03FF">
        <w:t>monetized value</w:t>
      </w:r>
      <w:r w:rsidRPr="008918D0" w:rsidR="00547158">
        <w:t xml:space="preserve"> </w:t>
      </w:r>
      <w:r w:rsidRPr="008918D0" w:rsidR="00CC03FF">
        <w:t>for</w:t>
      </w:r>
      <w:r w:rsidRPr="008918D0" w:rsidR="00547158">
        <w:t xml:space="preserve"> this ICR </w:t>
      </w:r>
      <w:r w:rsidRPr="008918D0" w:rsidR="00A401F6">
        <w:t>is therefore</w:t>
      </w:r>
      <w:r w:rsidRPr="008918D0" w:rsidR="00CC03FF">
        <w:t xml:space="preserve"> </w:t>
      </w:r>
      <w:r w:rsidRPr="008918D0" w:rsidR="009E23A6">
        <w:t>$</w:t>
      </w:r>
      <w:r w:rsidRPr="008918D0" w:rsidR="00524374">
        <w:t>2,016</w:t>
      </w:r>
      <w:r w:rsidRPr="008918D0" w:rsidR="009E23A6">
        <w:t xml:space="preserve"> </w:t>
      </w:r>
      <w:r w:rsidRPr="008918D0" w:rsidR="001803A8">
        <w:t>annually</w:t>
      </w:r>
      <w:r w:rsidRPr="008918D0" w:rsidR="00524374">
        <w:t xml:space="preserve"> (rounded)</w:t>
      </w:r>
      <w:r w:rsidRPr="008918D0" w:rsidR="001803A8">
        <w:t xml:space="preserve"> ($</w:t>
      </w:r>
      <w:r w:rsidRPr="008918D0" w:rsidR="00A01DC6">
        <w:t xml:space="preserve">44.79 loaded hourly wage rate * </w:t>
      </w:r>
      <w:r w:rsidRPr="008918D0" w:rsidR="00695D9A">
        <w:t>45</w:t>
      </w:r>
      <w:r w:rsidRPr="008918D0" w:rsidR="00CC03FF">
        <w:t xml:space="preserve"> hours</w:t>
      </w:r>
      <w:r w:rsidRPr="008918D0" w:rsidR="005C5EDA">
        <w:t>).</w:t>
      </w:r>
    </w:p>
    <w:p w:rsidR="006577A7" w:rsidRPr="008918D0" w:rsidP="00E87D14" w14:paraId="74E8FDF3" w14:textId="77777777">
      <w:pPr>
        <w:widowControl w:val="0"/>
        <w:tabs>
          <w:tab w:val="left" w:pos="1080"/>
        </w:tabs>
        <w:contextualSpacing/>
      </w:pPr>
    </w:p>
    <w:p w:rsidR="003E287D" w:rsidRPr="008918D0" w:rsidP="006577A7" w14:paraId="1A831739" w14:textId="3DD0A1C5">
      <w:pPr>
        <w:widowControl w:val="0"/>
        <w:tabs>
          <w:tab w:val="left" w:pos="1080"/>
        </w:tabs>
        <w:contextualSpacing/>
        <w:jc w:val="center"/>
        <w:rPr>
          <w:b/>
          <w:bCs/>
        </w:rPr>
      </w:pPr>
      <w:r w:rsidRPr="008918D0">
        <w:rPr>
          <w:b/>
          <w:bCs/>
        </w:rPr>
        <w:t>Table 1. Estimated annualized respondent cost and hour burden</w:t>
      </w:r>
      <w:r w:rsidRPr="008918D0" w:rsidR="00000644">
        <w:rPr>
          <w:b/>
          <w:bCs/>
        </w:rPr>
        <w:t xml:space="preserve"> (rounded)</w:t>
      </w:r>
    </w:p>
    <w:tbl>
      <w:tblPr>
        <w:tblStyle w:val="TableGrid"/>
        <w:tblW w:w="9350" w:type="dxa"/>
        <w:tblLayout w:type="fixed"/>
        <w:tblLook w:val="04A0"/>
      </w:tblPr>
      <w:tblGrid>
        <w:gridCol w:w="1388"/>
        <w:gridCol w:w="1279"/>
        <w:gridCol w:w="1140"/>
        <w:gridCol w:w="1061"/>
        <w:gridCol w:w="987"/>
        <w:gridCol w:w="862"/>
        <w:gridCol w:w="1449"/>
        <w:gridCol w:w="1184"/>
      </w:tblGrid>
      <w:tr w14:paraId="4786EB95" w14:textId="77777777" w:rsidTr="000C7F9C">
        <w:tblPrEx>
          <w:tblW w:w="9350" w:type="dxa"/>
          <w:tblLayout w:type="fixed"/>
          <w:tblLook w:val="04A0"/>
        </w:tblPrEx>
        <w:tc>
          <w:tcPr>
            <w:tcW w:w="1388" w:type="dxa"/>
            <w:shd w:val="clear" w:color="auto" w:fill="9CC2E5" w:themeFill="accent1" w:themeFillTint="99"/>
            <w:vAlign w:val="center"/>
          </w:tcPr>
          <w:p w:rsidR="001F636D" w:rsidRPr="008918D0" w:rsidP="000C7F9C" w14:paraId="7B1F52F5" w14:textId="77777777">
            <w:pPr>
              <w:jc w:val="center"/>
              <w:rPr>
                <w:b/>
                <w:sz w:val="20"/>
                <w:szCs w:val="20"/>
              </w:rPr>
            </w:pPr>
            <w:r w:rsidRPr="008918D0">
              <w:rPr>
                <w:b/>
                <w:sz w:val="20"/>
                <w:szCs w:val="20"/>
              </w:rPr>
              <w:t>Activity</w:t>
            </w:r>
          </w:p>
          <w:p w:rsidR="000C7F9C" w:rsidRPr="008918D0" w:rsidP="000C7F9C" w14:paraId="549AE3AA" w14:textId="77777777">
            <w:pPr>
              <w:jc w:val="center"/>
              <w:rPr>
                <w:b/>
                <w:sz w:val="20"/>
                <w:szCs w:val="20"/>
              </w:rPr>
            </w:pPr>
          </w:p>
        </w:tc>
        <w:tc>
          <w:tcPr>
            <w:tcW w:w="1279" w:type="dxa"/>
            <w:shd w:val="clear" w:color="auto" w:fill="9CC2E5" w:themeFill="accent1" w:themeFillTint="99"/>
            <w:vAlign w:val="center"/>
          </w:tcPr>
          <w:p w:rsidR="001F636D" w:rsidRPr="008918D0" w:rsidP="000C7F9C" w14:paraId="551CE352" w14:textId="77777777">
            <w:pPr>
              <w:jc w:val="center"/>
              <w:rPr>
                <w:b/>
                <w:sz w:val="20"/>
                <w:szCs w:val="20"/>
              </w:rPr>
            </w:pPr>
            <w:r w:rsidRPr="008918D0">
              <w:rPr>
                <w:b/>
                <w:sz w:val="20"/>
                <w:szCs w:val="20"/>
              </w:rPr>
              <w:t>Number of respondents</w:t>
            </w:r>
          </w:p>
        </w:tc>
        <w:tc>
          <w:tcPr>
            <w:tcW w:w="1140" w:type="dxa"/>
            <w:shd w:val="clear" w:color="auto" w:fill="9CC2E5" w:themeFill="accent1" w:themeFillTint="99"/>
            <w:vAlign w:val="center"/>
          </w:tcPr>
          <w:p w:rsidR="001F636D" w:rsidRPr="008918D0" w:rsidP="000C7F9C" w14:paraId="5049B693" w14:textId="77777777">
            <w:pPr>
              <w:jc w:val="center"/>
              <w:rPr>
                <w:b/>
                <w:sz w:val="20"/>
                <w:szCs w:val="20"/>
              </w:rPr>
            </w:pPr>
            <w:r w:rsidRPr="008918D0">
              <w:rPr>
                <w:b/>
                <w:sz w:val="20"/>
                <w:szCs w:val="20"/>
              </w:rPr>
              <w:t>Frequency</w:t>
            </w:r>
          </w:p>
        </w:tc>
        <w:tc>
          <w:tcPr>
            <w:tcW w:w="1061" w:type="dxa"/>
            <w:shd w:val="clear" w:color="auto" w:fill="9CC2E5" w:themeFill="accent1" w:themeFillTint="99"/>
            <w:vAlign w:val="center"/>
          </w:tcPr>
          <w:p w:rsidR="001F636D" w:rsidRPr="008918D0" w:rsidP="000C7F9C" w14:paraId="36EE13EC" w14:textId="77777777">
            <w:pPr>
              <w:jc w:val="center"/>
              <w:rPr>
                <w:b/>
                <w:sz w:val="20"/>
                <w:szCs w:val="20"/>
              </w:rPr>
            </w:pPr>
            <w:r w:rsidRPr="008918D0">
              <w:rPr>
                <w:b/>
                <w:sz w:val="20"/>
                <w:szCs w:val="20"/>
              </w:rPr>
              <w:t>Total annual responses</w:t>
            </w:r>
          </w:p>
        </w:tc>
        <w:tc>
          <w:tcPr>
            <w:tcW w:w="987" w:type="dxa"/>
            <w:shd w:val="clear" w:color="auto" w:fill="9CC2E5" w:themeFill="accent1" w:themeFillTint="99"/>
            <w:vAlign w:val="center"/>
          </w:tcPr>
          <w:p w:rsidR="001F636D" w:rsidRPr="008918D0" w:rsidP="000C7F9C" w14:paraId="667F1B80" w14:textId="6D622BA8">
            <w:pPr>
              <w:jc w:val="center"/>
              <w:rPr>
                <w:b/>
                <w:sz w:val="20"/>
                <w:szCs w:val="20"/>
              </w:rPr>
            </w:pPr>
            <w:r w:rsidRPr="008918D0">
              <w:rPr>
                <w:b/>
                <w:sz w:val="20"/>
                <w:szCs w:val="20"/>
              </w:rPr>
              <w:t>Time per response</w:t>
            </w:r>
            <w:r w:rsidRPr="008918D0" w:rsidR="002A400E">
              <w:rPr>
                <w:b/>
                <w:sz w:val="20"/>
                <w:szCs w:val="20"/>
              </w:rPr>
              <w:t xml:space="preserve"> (hours)</w:t>
            </w:r>
          </w:p>
        </w:tc>
        <w:tc>
          <w:tcPr>
            <w:tcW w:w="862" w:type="dxa"/>
            <w:shd w:val="clear" w:color="auto" w:fill="9CC2E5" w:themeFill="accent1" w:themeFillTint="99"/>
            <w:vAlign w:val="center"/>
          </w:tcPr>
          <w:p w:rsidR="001F636D" w:rsidRPr="008918D0" w:rsidP="000C7F9C" w14:paraId="354EE461" w14:textId="77777777">
            <w:pPr>
              <w:jc w:val="center"/>
              <w:rPr>
                <w:b/>
                <w:sz w:val="20"/>
                <w:szCs w:val="20"/>
              </w:rPr>
            </w:pPr>
            <w:r w:rsidRPr="008918D0">
              <w:rPr>
                <w:b/>
                <w:sz w:val="20"/>
                <w:szCs w:val="20"/>
              </w:rPr>
              <w:t>Total annual burden (hours)</w:t>
            </w:r>
          </w:p>
        </w:tc>
        <w:tc>
          <w:tcPr>
            <w:tcW w:w="1449" w:type="dxa"/>
            <w:shd w:val="clear" w:color="auto" w:fill="9CC2E5" w:themeFill="accent1" w:themeFillTint="99"/>
            <w:vAlign w:val="center"/>
          </w:tcPr>
          <w:p w:rsidR="001F636D" w:rsidRPr="008918D0" w:rsidP="000C7F9C" w14:paraId="2E9C1FC7" w14:textId="77777777">
            <w:pPr>
              <w:jc w:val="center"/>
              <w:rPr>
                <w:b/>
                <w:sz w:val="20"/>
                <w:szCs w:val="20"/>
              </w:rPr>
            </w:pPr>
            <w:r w:rsidRPr="008918D0">
              <w:rPr>
                <w:b/>
                <w:sz w:val="20"/>
                <w:szCs w:val="20"/>
              </w:rPr>
              <w:t>Hourly rate*</w:t>
            </w:r>
          </w:p>
        </w:tc>
        <w:tc>
          <w:tcPr>
            <w:tcW w:w="1184" w:type="dxa"/>
            <w:shd w:val="clear" w:color="auto" w:fill="9CC2E5" w:themeFill="accent1" w:themeFillTint="99"/>
            <w:vAlign w:val="center"/>
          </w:tcPr>
          <w:p w:rsidR="001F636D" w:rsidRPr="008918D0" w:rsidP="000C7F9C" w14:paraId="367BD429" w14:textId="77777777">
            <w:pPr>
              <w:jc w:val="center"/>
              <w:rPr>
                <w:b/>
                <w:sz w:val="20"/>
                <w:szCs w:val="20"/>
              </w:rPr>
            </w:pPr>
            <w:r w:rsidRPr="008918D0">
              <w:rPr>
                <w:b/>
                <w:sz w:val="20"/>
                <w:szCs w:val="20"/>
              </w:rPr>
              <w:t>Monetized value of respondent time</w:t>
            </w:r>
          </w:p>
        </w:tc>
      </w:tr>
      <w:tr w14:paraId="03707B93" w14:textId="77777777" w:rsidTr="00C52C03">
        <w:tblPrEx>
          <w:tblW w:w="9350" w:type="dxa"/>
          <w:tblLayout w:type="fixed"/>
          <w:tblLook w:val="04A0"/>
        </w:tblPrEx>
        <w:tc>
          <w:tcPr>
            <w:tcW w:w="1388" w:type="dxa"/>
            <w:vAlign w:val="center"/>
          </w:tcPr>
          <w:p w:rsidR="001F636D" w:rsidRPr="008918D0" w:rsidP="00C475D5" w14:paraId="1E087FEF" w14:textId="6433C807">
            <w:pPr>
              <w:rPr>
                <w:sz w:val="20"/>
                <w:szCs w:val="20"/>
              </w:rPr>
            </w:pPr>
            <w:r w:rsidRPr="008918D0">
              <w:rPr>
                <w:sz w:val="20"/>
                <w:szCs w:val="20"/>
              </w:rPr>
              <w:t xml:space="preserve">Marking </w:t>
            </w:r>
            <w:r w:rsidRPr="008918D0">
              <w:rPr>
                <w:sz w:val="20"/>
                <w:szCs w:val="20"/>
              </w:rPr>
              <w:t>esplosive</w:t>
            </w:r>
            <w:r w:rsidRPr="008918D0">
              <w:rPr>
                <w:sz w:val="20"/>
                <w:szCs w:val="20"/>
              </w:rPr>
              <w:t xml:space="preserve"> materials</w:t>
            </w:r>
          </w:p>
        </w:tc>
        <w:tc>
          <w:tcPr>
            <w:tcW w:w="1279" w:type="dxa"/>
            <w:vAlign w:val="center"/>
          </w:tcPr>
          <w:p w:rsidR="001F636D" w:rsidRPr="008918D0" w:rsidP="00C475D5" w14:paraId="4720AE45" w14:textId="2ED540C6">
            <w:pPr>
              <w:jc w:val="center"/>
              <w:rPr>
                <w:sz w:val="20"/>
                <w:szCs w:val="20"/>
              </w:rPr>
            </w:pPr>
            <w:r w:rsidRPr="008918D0">
              <w:rPr>
                <w:sz w:val="20"/>
                <w:szCs w:val="20"/>
              </w:rPr>
              <w:t>103</w:t>
            </w:r>
          </w:p>
        </w:tc>
        <w:tc>
          <w:tcPr>
            <w:tcW w:w="1140" w:type="dxa"/>
            <w:vAlign w:val="center"/>
          </w:tcPr>
          <w:p w:rsidR="001F636D" w:rsidRPr="008918D0" w:rsidP="00C475D5" w14:paraId="4BCA5A9E" w14:textId="463B9176">
            <w:pPr>
              <w:jc w:val="center"/>
              <w:rPr>
                <w:sz w:val="20"/>
                <w:szCs w:val="20"/>
              </w:rPr>
            </w:pPr>
            <w:r w:rsidRPr="008918D0">
              <w:rPr>
                <w:sz w:val="20"/>
                <w:szCs w:val="20"/>
              </w:rPr>
              <w:t>520 times/ year</w:t>
            </w:r>
          </w:p>
        </w:tc>
        <w:tc>
          <w:tcPr>
            <w:tcW w:w="1061" w:type="dxa"/>
            <w:vAlign w:val="center"/>
          </w:tcPr>
          <w:p w:rsidR="001F636D" w:rsidRPr="008918D0" w:rsidP="00C475D5" w14:paraId="2D03392A" w14:textId="6F0C5806">
            <w:pPr>
              <w:jc w:val="center"/>
              <w:rPr>
                <w:sz w:val="20"/>
                <w:szCs w:val="20"/>
              </w:rPr>
            </w:pPr>
            <w:r w:rsidRPr="008918D0">
              <w:rPr>
                <w:sz w:val="20"/>
                <w:szCs w:val="20"/>
              </w:rPr>
              <w:t>53,560</w:t>
            </w:r>
          </w:p>
        </w:tc>
        <w:tc>
          <w:tcPr>
            <w:tcW w:w="987" w:type="dxa"/>
            <w:vAlign w:val="center"/>
          </w:tcPr>
          <w:p w:rsidR="001F636D" w:rsidRPr="008918D0" w:rsidP="00C475D5" w14:paraId="6FB4CAF5" w14:textId="5599D8F7">
            <w:pPr>
              <w:jc w:val="center"/>
              <w:rPr>
                <w:sz w:val="20"/>
                <w:szCs w:val="20"/>
              </w:rPr>
            </w:pPr>
            <w:r w:rsidRPr="008918D0">
              <w:rPr>
                <w:sz w:val="20"/>
                <w:szCs w:val="20"/>
              </w:rPr>
              <w:t>0.00</w:t>
            </w:r>
            <w:r w:rsidRPr="008918D0" w:rsidR="00ED0C9B">
              <w:rPr>
                <w:sz w:val="20"/>
                <w:szCs w:val="20"/>
              </w:rPr>
              <w:t>0</w:t>
            </w:r>
            <w:r w:rsidRPr="008918D0" w:rsidR="00484C92">
              <w:rPr>
                <w:sz w:val="20"/>
                <w:szCs w:val="20"/>
              </w:rPr>
              <w:t>83</w:t>
            </w:r>
            <w:r w:rsidRPr="008918D0" w:rsidR="00C52C03">
              <w:rPr>
                <w:sz w:val="20"/>
                <w:szCs w:val="20"/>
              </w:rPr>
              <w:t>4</w:t>
            </w:r>
          </w:p>
        </w:tc>
        <w:tc>
          <w:tcPr>
            <w:tcW w:w="862" w:type="dxa"/>
            <w:vAlign w:val="center"/>
          </w:tcPr>
          <w:p w:rsidR="001F636D" w:rsidRPr="008918D0" w:rsidP="00C475D5" w14:paraId="05DB1CE2" w14:textId="236A98A1">
            <w:pPr>
              <w:jc w:val="center"/>
              <w:rPr>
                <w:sz w:val="20"/>
                <w:szCs w:val="20"/>
              </w:rPr>
            </w:pPr>
            <w:r w:rsidRPr="008918D0">
              <w:rPr>
                <w:sz w:val="20"/>
                <w:szCs w:val="20"/>
              </w:rPr>
              <w:t>45</w:t>
            </w:r>
          </w:p>
        </w:tc>
        <w:tc>
          <w:tcPr>
            <w:tcW w:w="1449" w:type="dxa"/>
            <w:vAlign w:val="center"/>
          </w:tcPr>
          <w:p w:rsidR="001F636D" w:rsidRPr="008918D0" w:rsidP="00C475D5" w14:paraId="41EFB197" w14:textId="40CAC55D">
            <w:pPr>
              <w:jc w:val="center"/>
              <w:rPr>
                <w:sz w:val="20"/>
                <w:szCs w:val="20"/>
              </w:rPr>
            </w:pPr>
            <w:r w:rsidRPr="008918D0">
              <w:rPr>
                <w:sz w:val="20"/>
                <w:szCs w:val="20"/>
              </w:rPr>
              <w:t>$44.7</w:t>
            </w:r>
            <w:r w:rsidRPr="008918D0" w:rsidR="00D634F1">
              <w:rPr>
                <w:sz w:val="20"/>
                <w:szCs w:val="20"/>
              </w:rPr>
              <w:t>9</w:t>
            </w:r>
          </w:p>
        </w:tc>
        <w:tc>
          <w:tcPr>
            <w:tcW w:w="1184" w:type="dxa"/>
            <w:vAlign w:val="center"/>
          </w:tcPr>
          <w:p w:rsidR="001F636D" w:rsidRPr="008918D0" w:rsidP="00C475D5" w14:paraId="237CBD22" w14:textId="2724D38F">
            <w:pPr>
              <w:jc w:val="center"/>
              <w:rPr>
                <w:sz w:val="20"/>
                <w:szCs w:val="20"/>
              </w:rPr>
            </w:pPr>
            <w:r w:rsidRPr="008918D0">
              <w:rPr>
                <w:sz w:val="20"/>
                <w:szCs w:val="20"/>
              </w:rPr>
              <w:t>$</w:t>
            </w:r>
            <w:r w:rsidRPr="008918D0" w:rsidR="008918D0">
              <w:rPr>
                <w:sz w:val="20"/>
                <w:szCs w:val="20"/>
              </w:rPr>
              <w:t>2,016</w:t>
            </w:r>
          </w:p>
        </w:tc>
      </w:tr>
      <w:tr w14:paraId="67FAE9EB" w14:textId="77777777" w:rsidTr="004C7130">
        <w:tblPrEx>
          <w:tblW w:w="9350" w:type="dxa"/>
          <w:tblLayout w:type="fixed"/>
          <w:tblLook w:val="04A0"/>
        </w:tblPrEx>
        <w:tc>
          <w:tcPr>
            <w:tcW w:w="1388" w:type="dxa"/>
            <w:vAlign w:val="center"/>
          </w:tcPr>
          <w:p w:rsidR="001F636D" w:rsidRPr="008918D0" w:rsidP="004C7130" w14:paraId="20FD127A" w14:textId="77777777">
            <w:pPr>
              <w:jc w:val="right"/>
              <w:rPr>
                <w:b/>
                <w:iCs/>
                <w:sz w:val="20"/>
                <w:szCs w:val="20"/>
              </w:rPr>
            </w:pPr>
            <w:r w:rsidRPr="008918D0">
              <w:rPr>
                <w:b/>
                <w:iCs/>
                <w:sz w:val="20"/>
                <w:szCs w:val="20"/>
              </w:rPr>
              <w:t>Unduplicated totals</w:t>
            </w:r>
          </w:p>
        </w:tc>
        <w:tc>
          <w:tcPr>
            <w:tcW w:w="1279" w:type="dxa"/>
            <w:vAlign w:val="center"/>
          </w:tcPr>
          <w:p w:rsidR="001F636D" w:rsidRPr="008918D0" w:rsidP="004C7130" w14:paraId="27BAA62B" w14:textId="700BF3E7">
            <w:pPr>
              <w:jc w:val="center"/>
              <w:rPr>
                <w:b/>
                <w:iCs/>
                <w:sz w:val="20"/>
                <w:szCs w:val="20"/>
              </w:rPr>
            </w:pPr>
            <w:r>
              <w:rPr>
                <w:b/>
                <w:iCs/>
                <w:sz w:val="20"/>
                <w:szCs w:val="20"/>
              </w:rPr>
              <w:t>103</w:t>
            </w:r>
          </w:p>
        </w:tc>
        <w:tc>
          <w:tcPr>
            <w:tcW w:w="1140" w:type="dxa"/>
            <w:vAlign w:val="center"/>
          </w:tcPr>
          <w:p w:rsidR="001F636D" w:rsidRPr="008918D0" w:rsidP="004C7130" w14:paraId="3E857CEA" w14:textId="77777777">
            <w:pPr>
              <w:jc w:val="center"/>
              <w:rPr>
                <w:b/>
                <w:iCs/>
                <w:sz w:val="20"/>
                <w:szCs w:val="20"/>
              </w:rPr>
            </w:pPr>
          </w:p>
        </w:tc>
        <w:tc>
          <w:tcPr>
            <w:tcW w:w="1061" w:type="dxa"/>
            <w:vAlign w:val="center"/>
          </w:tcPr>
          <w:p w:rsidR="001F636D" w:rsidRPr="008918D0" w:rsidP="004C7130" w14:paraId="2215E6D0" w14:textId="2F0A4739">
            <w:pPr>
              <w:jc w:val="center"/>
              <w:rPr>
                <w:b/>
                <w:iCs/>
                <w:sz w:val="20"/>
                <w:szCs w:val="20"/>
              </w:rPr>
            </w:pPr>
            <w:r w:rsidRPr="008918D0">
              <w:rPr>
                <w:b/>
                <w:iCs/>
                <w:sz w:val="20"/>
                <w:szCs w:val="20"/>
              </w:rPr>
              <w:t>53,560</w:t>
            </w:r>
          </w:p>
        </w:tc>
        <w:tc>
          <w:tcPr>
            <w:tcW w:w="987" w:type="dxa"/>
            <w:vAlign w:val="center"/>
          </w:tcPr>
          <w:p w:rsidR="001F636D" w:rsidRPr="008918D0" w:rsidP="004C7130" w14:paraId="3D44902E" w14:textId="4CF71350">
            <w:pPr>
              <w:jc w:val="center"/>
              <w:rPr>
                <w:b/>
                <w:iCs/>
                <w:sz w:val="20"/>
                <w:szCs w:val="20"/>
              </w:rPr>
            </w:pPr>
            <w:r w:rsidRPr="008918D0">
              <w:rPr>
                <w:b/>
                <w:iCs/>
                <w:sz w:val="20"/>
                <w:szCs w:val="20"/>
              </w:rPr>
              <w:t>0.00</w:t>
            </w:r>
            <w:r w:rsidRPr="008918D0" w:rsidR="00484C92">
              <w:rPr>
                <w:b/>
                <w:iCs/>
                <w:sz w:val="20"/>
                <w:szCs w:val="20"/>
              </w:rPr>
              <w:t>083</w:t>
            </w:r>
            <w:r w:rsidRPr="008918D0" w:rsidR="00C52C03">
              <w:rPr>
                <w:b/>
                <w:iCs/>
                <w:sz w:val="20"/>
                <w:szCs w:val="20"/>
              </w:rPr>
              <w:t>4</w:t>
            </w:r>
            <w:r w:rsidRPr="008918D0" w:rsidR="00EE125B">
              <w:rPr>
                <w:b/>
                <w:iCs/>
                <w:sz w:val="20"/>
                <w:szCs w:val="20"/>
              </w:rPr>
              <w:t xml:space="preserve"> (</w:t>
            </w:r>
            <w:r w:rsidRPr="008918D0" w:rsidR="00484C92">
              <w:rPr>
                <w:b/>
                <w:iCs/>
                <w:sz w:val="20"/>
                <w:szCs w:val="20"/>
              </w:rPr>
              <w:t>three</w:t>
            </w:r>
            <w:r w:rsidRPr="008918D0" w:rsidR="00EE125B">
              <w:rPr>
                <w:b/>
                <w:iCs/>
                <w:sz w:val="20"/>
                <w:szCs w:val="20"/>
              </w:rPr>
              <w:t xml:space="preserve"> seconds)</w:t>
            </w:r>
          </w:p>
        </w:tc>
        <w:tc>
          <w:tcPr>
            <w:tcW w:w="862" w:type="dxa"/>
            <w:vAlign w:val="center"/>
          </w:tcPr>
          <w:p w:rsidR="001F636D" w:rsidRPr="008918D0" w:rsidP="004C7130" w14:paraId="0A5C0DA8" w14:textId="1D341600">
            <w:pPr>
              <w:jc w:val="center"/>
              <w:rPr>
                <w:b/>
                <w:iCs/>
                <w:sz w:val="20"/>
                <w:szCs w:val="20"/>
              </w:rPr>
            </w:pPr>
            <w:r w:rsidRPr="008918D0">
              <w:rPr>
                <w:b/>
                <w:iCs/>
                <w:sz w:val="20"/>
                <w:szCs w:val="20"/>
              </w:rPr>
              <w:t>45</w:t>
            </w:r>
          </w:p>
        </w:tc>
        <w:tc>
          <w:tcPr>
            <w:tcW w:w="1449" w:type="dxa"/>
            <w:vAlign w:val="center"/>
          </w:tcPr>
          <w:p w:rsidR="001F636D" w:rsidRPr="008918D0" w:rsidP="004C7130" w14:paraId="08848A73" w14:textId="1598DBFB">
            <w:pPr>
              <w:jc w:val="center"/>
              <w:rPr>
                <w:b/>
                <w:iCs/>
                <w:sz w:val="20"/>
                <w:szCs w:val="20"/>
              </w:rPr>
            </w:pPr>
          </w:p>
        </w:tc>
        <w:tc>
          <w:tcPr>
            <w:tcW w:w="1184" w:type="dxa"/>
            <w:vAlign w:val="center"/>
          </w:tcPr>
          <w:p w:rsidR="001F636D" w:rsidRPr="008918D0" w:rsidP="004C7130" w14:paraId="5FC01BE4" w14:textId="14ED8D74">
            <w:pPr>
              <w:jc w:val="center"/>
              <w:rPr>
                <w:b/>
                <w:iCs/>
                <w:sz w:val="20"/>
                <w:szCs w:val="20"/>
              </w:rPr>
            </w:pPr>
            <w:r w:rsidRPr="008918D0">
              <w:rPr>
                <w:b/>
                <w:iCs/>
                <w:sz w:val="20"/>
                <w:szCs w:val="20"/>
              </w:rPr>
              <w:t>$</w:t>
            </w:r>
            <w:r w:rsidRPr="008918D0" w:rsidR="008918D0">
              <w:rPr>
                <w:b/>
                <w:iCs/>
                <w:sz w:val="20"/>
                <w:szCs w:val="20"/>
              </w:rPr>
              <w:t>2,016</w:t>
            </w:r>
          </w:p>
        </w:tc>
      </w:tr>
    </w:tbl>
    <w:p w:rsidR="003E287D" w:rsidRPr="003E287D" w:rsidP="00E87D14" w14:paraId="19F3D8DD" w14:textId="77777777">
      <w:pPr>
        <w:widowControl w:val="0"/>
        <w:tabs>
          <w:tab w:val="left" w:pos="1080"/>
        </w:tabs>
        <w:contextualSpacing/>
      </w:pPr>
    </w:p>
    <w:p w:rsidR="00CC04B2" w:rsidRPr="00F90828" w:rsidP="00E87D14" w14:paraId="72E5BAB2"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F90828">
        <w:rPr>
          <w:b/>
          <w:bCs/>
        </w:rPr>
        <w:t>13. Provide an estimate of the total annual cost burden to respondents or record-keepers resulting from the information collection. (Do not include the cost of any hour burden shown in Items 12 and 14).</w:t>
      </w:r>
    </w:p>
    <w:p w:rsidR="00767734" w:rsidRPr="00F90828" w:rsidP="00E87D14" w14:paraId="3BB66245"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p>
    <w:p w:rsidR="00EB55B4" w:rsidRPr="00F90828" w:rsidP="00E87D14" w14:paraId="2FF4794A" w14:textId="52A74883">
      <w:pPr>
        <w:widowControl w:val="0"/>
        <w:tabs>
          <w:tab w:val="left" w:pos="1080"/>
        </w:tabs>
        <w:contextualSpacing/>
      </w:pPr>
      <w:r w:rsidRPr="00F90828">
        <w:t xml:space="preserve">There </w:t>
      </w:r>
      <w:r w:rsidRPr="00F90828" w:rsidR="003F205C">
        <w:t>are</w:t>
      </w:r>
      <w:r w:rsidRPr="00F90828">
        <w:t xml:space="preserve"> no </w:t>
      </w:r>
      <w:r w:rsidRPr="00F90828" w:rsidR="003F205C">
        <w:t>additional</w:t>
      </w:r>
      <w:r w:rsidRPr="00F90828" w:rsidR="009404D4">
        <w:t xml:space="preserve"> cost</w:t>
      </w:r>
      <w:r w:rsidRPr="00F90828" w:rsidR="003F205C">
        <w:t>s</w:t>
      </w:r>
      <w:r w:rsidRPr="00F90828">
        <w:t xml:space="preserve"> to the respondent for this </w:t>
      </w:r>
      <w:r w:rsidR="00694626">
        <w:t>information collection</w:t>
      </w:r>
      <w:r w:rsidRPr="00F90828">
        <w:t>.</w:t>
      </w:r>
      <w:r w:rsidRPr="00F90828" w:rsidR="00587F0E">
        <w:t xml:space="preserve"> Existing costs are considered sunk costs.</w:t>
      </w:r>
    </w:p>
    <w:p w:rsidR="00F90828" w:rsidRPr="00F90828" w:rsidP="00E87D14" w14:paraId="7978F2ED" w14:textId="77777777">
      <w:pPr>
        <w:widowControl w:val="0"/>
        <w:tabs>
          <w:tab w:val="left" w:pos="1080"/>
        </w:tabs>
        <w:contextualSpacing/>
      </w:pPr>
    </w:p>
    <w:p w:rsidR="00066B31" w:rsidRPr="00F90828" w:rsidP="00E87D14" w14:paraId="163EA057"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F90828">
        <w:rPr>
          <w:b/>
          <w:bCs/>
        </w:rPr>
        <w:t>14. Provide estimates of the annualized cost to the federal government.</w:t>
      </w:r>
    </w:p>
    <w:p w:rsidR="00066B31" w:rsidRPr="00F90828" w:rsidP="00E87D14" w14:paraId="7B51A2C0" w14:textId="77777777">
      <w:pPr>
        <w:widowControl w:val="0"/>
        <w:tabs>
          <w:tab w:val="left" w:pos="1080"/>
        </w:tabs>
        <w:contextualSpacing/>
      </w:pPr>
    </w:p>
    <w:p w:rsidR="002A26AB" w:rsidP="002A26AB" w14:paraId="5AA2DCD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B62F6">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F90828" w:rsidRPr="00F90828" w:rsidP="00E87D14" w14:paraId="60C22755" w14:textId="77777777">
      <w:pPr>
        <w:widowControl w:val="0"/>
        <w:tabs>
          <w:tab w:val="left" w:pos="1080"/>
        </w:tabs>
        <w:contextualSpacing/>
      </w:pPr>
    </w:p>
    <w:p w:rsidR="000B5752" w:rsidRPr="00F90828" w:rsidP="00E87D14" w14:paraId="5F340023"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F90828">
        <w:rPr>
          <w:b/>
          <w:bCs/>
        </w:rPr>
        <w:t>15. Explain the reasons for any program changes or adjustments.</w:t>
      </w:r>
    </w:p>
    <w:p w:rsidR="000B5752" w:rsidP="00E87D14" w14:paraId="426EAB26" w14:textId="77777777">
      <w:pPr>
        <w:widowControl w:val="0"/>
        <w:tabs>
          <w:tab w:val="left" w:pos="1080"/>
        </w:tabs>
        <w:contextualSpacing/>
      </w:pPr>
    </w:p>
    <w:p w:rsidR="00EB55B4" w:rsidP="00E87D14" w14:paraId="69E87137" w14:textId="51A7F99F">
      <w:pPr>
        <w:widowControl w:val="0"/>
        <w:tabs>
          <w:tab w:val="left" w:pos="1080"/>
        </w:tabs>
        <w:contextualSpacing/>
      </w:pPr>
      <w:r>
        <w:t>This information collection previously covered only manufacturer markings, and another information collection, 1140-0062</w:t>
      </w:r>
      <w:r w:rsidR="00533F62">
        <w:t>,</w:t>
      </w:r>
      <w:r>
        <w:t xml:space="preserve"> covered importer markings. However, due to </w:t>
      </w:r>
      <w:r w:rsidR="0063187B">
        <w:t xml:space="preserve">changes to the explosives regulations that are creating standardized markings across all types of licensees/permittees, ATF has decided to combine the two ICRs into this combined </w:t>
      </w:r>
      <w:r w:rsidR="0063187B">
        <w:t>one</w:t>
      </w:r>
      <w:r w:rsidR="00007A3A">
        <w:t>, and</w:t>
      </w:r>
      <w:r w:rsidR="00007A3A">
        <w:t xml:space="preserve"> has </w:t>
      </w:r>
      <w:r w:rsidR="00272F2F">
        <w:t xml:space="preserve">slightly </w:t>
      </w:r>
      <w:r w:rsidR="00007A3A">
        <w:t xml:space="preserve">revised the title to </w:t>
      </w:r>
      <w:r w:rsidR="00272F2F">
        <w:t>no longer limit it to manufacturers</w:t>
      </w:r>
      <w:r w:rsidR="0063187B">
        <w:t xml:space="preserve">. </w:t>
      </w:r>
      <w:r w:rsidR="001A2D23">
        <w:t xml:space="preserve">In addition, the number of </w:t>
      </w:r>
      <w:r w:rsidR="00FB53DF">
        <w:t>licensees/permittees</w:t>
      </w:r>
      <w:r w:rsidR="001A2D23">
        <w:t xml:space="preserve"> in both groups has decreased since the last re</w:t>
      </w:r>
      <w:r w:rsidR="00B91C0F">
        <w:t>n</w:t>
      </w:r>
      <w:r w:rsidR="001A2D23">
        <w:t>ewal for each ICR</w:t>
      </w:r>
      <w:r w:rsidR="00B91C0F">
        <w:t xml:space="preserve">, for a </w:t>
      </w:r>
      <w:r w:rsidRPr="00227EDD" w:rsidR="00205DC8">
        <w:t>combined</w:t>
      </w:r>
      <w:r w:rsidRPr="00227EDD" w:rsidR="00B91C0F">
        <w:t xml:space="preserve"> decrease in </w:t>
      </w:r>
      <w:r w:rsidRPr="00227EDD" w:rsidR="00FB53DF">
        <w:t>licensees/permittees</w:t>
      </w:r>
      <w:r w:rsidRPr="00227EDD" w:rsidR="00B91C0F">
        <w:t xml:space="preserve"> from 2,066 to 2,054, or</w:t>
      </w:r>
      <w:r w:rsidRPr="00227EDD" w:rsidR="00205DC8">
        <w:t xml:space="preserve"> </w:t>
      </w:r>
      <w:r w:rsidRPr="00227EDD" w:rsidR="00380ECB">
        <w:t xml:space="preserve">a decrease of </w:t>
      </w:r>
      <w:r w:rsidRPr="00227EDD" w:rsidR="00205DC8">
        <w:t>12.</w:t>
      </w:r>
      <w:r w:rsidRPr="00227EDD" w:rsidR="00B91C0F">
        <w:t xml:space="preserve"> </w:t>
      </w:r>
      <w:r w:rsidRPr="00227EDD" w:rsidR="00D474E8">
        <w:t xml:space="preserve">In addition, ATF has updated the ICR to account for </w:t>
      </w:r>
      <w:r w:rsidRPr="00227EDD" w:rsidR="00FB53DF">
        <w:t>only the portion of these licensees/permittees that actually manufacture or import</w:t>
      </w:r>
      <w:r w:rsidRPr="00227EDD" w:rsidR="007A0DF3">
        <w:t xml:space="preserve"> and distribute the kinds of explosives they are required to mark</w:t>
      </w:r>
      <w:r w:rsidRPr="00227EDD" w:rsidR="00DD3822">
        <w:t>, which is five percent of</w:t>
      </w:r>
      <w:r w:rsidRPr="00227EDD" w:rsidR="00722E66">
        <w:t xml:space="preserve"> the total licensees/permittees registered to manufacture or import, resulting in a further decrease in respondents</w:t>
      </w:r>
      <w:r w:rsidRPr="00227EDD" w:rsidR="00E91597">
        <w:t xml:space="preserve"> affected by this ICR</w:t>
      </w:r>
      <w:r w:rsidRPr="00227EDD" w:rsidR="00722E66">
        <w:t xml:space="preserve"> to</w:t>
      </w:r>
      <w:r w:rsidRPr="00227EDD" w:rsidR="00E91597">
        <w:t xml:space="preserve"> 103 total.</w:t>
      </w:r>
      <w:r w:rsidRPr="00227EDD" w:rsidR="00D474E8">
        <w:t xml:space="preserve"> </w:t>
      </w:r>
      <w:r w:rsidRPr="00227EDD" w:rsidR="001E7B54">
        <w:t>Consequently, the total responses and burden hours have</w:t>
      </w:r>
      <w:r w:rsidRPr="00227EDD" w:rsidR="00152D4C">
        <w:t xml:space="preserve"> </w:t>
      </w:r>
      <w:r w:rsidRPr="00227EDD" w:rsidR="0072088E">
        <w:t xml:space="preserve">also decreased due to the reduced number of respondents, from </w:t>
      </w:r>
      <w:r w:rsidRPr="00227EDD" w:rsidR="006D27BA">
        <w:t xml:space="preserve">895 hours to </w:t>
      </w:r>
      <w:r w:rsidRPr="00227EDD" w:rsidR="00E91597">
        <w:t>45</w:t>
      </w:r>
      <w:r w:rsidRPr="00227EDD" w:rsidR="006D27BA">
        <w:t xml:space="preserve">, or a reduction of </w:t>
      </w:r>
      <w:r w:rsidRPr="00227EDD" w:rsidR="00227EDD">
        <w:t>850</w:t>
      </w:r>
      <w:r w:rsidRPr="00227EDD" w:rsidR="006D27BA">
        <w:t xml:space="preserve"> hours.</w:t>
      </w:r>
      <w:r w:rsidRPr="00227EDD" w:rsidR="001E7B54">
        <w:t xml:space="preserve"> </w:t>
      </w:r>
      <w:r w:rsidRPr="00227EDD" w:rsidR="006D27BA">
        <w:t>In addition, due to a new request by OMB, the agency is including in this ICR a monetized value for the time, which it had not included in previous ICRs.</w:t>
      </w:r>
    </w:p>
    <w:p w:rsidR="00C979A7" w:rsidP="00E87D14" w14:paraId="53D8E01D" w14:textId="77777777">
      <w:pPr>
        <w:widowControl w:val="0"/>
        <w:tabs>
          <w:tab w:val="left" w:pos="1080"/>
        </w:tabs>
        <w:contextualSpacing/>
      </w:pPr>
    </w:p>
    <w:p w:rsidR="00EA299C" w:rsidRPr="0060397C" w:rsidP="00E87D14" w14:paraId="6C164C76"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rPr>
      </w:pPr>
      <w:r w:rsidRPr="0060397C">
        <w:rPr>
          <w:b/>
          <w:bCs/>
        </w:rPr>
        <w:t>16. For information collections whose results will be published, outline plans for tabulations and publication.</w:t>
      </w:r>
    </w:p>
    <w:p w:rsidR="006D27BA" w:rsidP="00E87D14" w14:paraId="31DF2E6B" w14:textId="77777777">
      <w:pPr>
        <w:widowControl w:val="0"/>
        <w:tabs>
          <w:tab w:val="left" w:pos="1080"/>
        </w:tabs>
        <w:contextualSpacing/>
      </w:pPr>
    </w:p>
    <w:p w:rsidR="00EB55B4" w:rsidP="00E87D14" w14:paraId="154C402C" w14:textId="380BA5AA">
      <w:pPr>
        <w:widowControl w:val="0"/>
        <w:tabs>
          <w:tab w:val="left" w:pos="1080"/>
        </w:tabs>
        <w:contextualSpacing/>
      </w:pPr>
      <w:r w:rsidRPr="0060397C">
        <w:t xml:space="preserve">ATF </w:t>
      </w:r>
      <w:r w:rsidR="00992CFD">
        <w:t>does</w:t>
      </w:r>
      <w:r w:rsidRPr="0060397C">
        <w:t xml:space="preserve"> not publish the results </w:t>
      </w:r>
      <w:r w:rsidRPr="0060397C">
        <w:t>if</w:t>
      </w:r>
      <w:r w:rsidRPr="0060397C">
        <w:t xml:space="preserve"> this collection.</w:t>
      </w:r>
    </w:p>
    <w:p w:rsidR="0060397C" w:rsidRPr="0060397C" w:rsidP="00E87D14" w14:paraId="4CD2C91E" w14:textId="77777777">
      <w:pPr>
        <w:widowControl w:val="0"/>
        <w:tabs>
          <w:tab w:val="left" w:pos="1080"/>
        </w:tabs>
        <w:contextualSpacing/>
      </w:pPr>
    </w:p>
    <w:p w:rsidR="00C33FF3" w:rsidRPr="0060397C" w:rsidP="00E87D14" w14:paraId="57AFC89B" w14:textId="77777777">
      <w:pPr>
        <w:widowControl w:val="0"/>
        <w:contextualSpacing/>
      </w:pPr>
      <w:r w:rsidRPr="0060397C">
        <w:rPr>
          <w:b/>
          <w:bCs/>
        </w:rPr>
        <w:t>17.</w:t>
      </w:r>
      <w:r w:rsidRPr="0060397C">
        <w:t xml:space="preserve"> </w:t>
      </w:r>
      <w:r w:rsidRPr="0060397C">
        <w:rPr>
          <w:b/>
          <w:bCs/>
        </w:rPr>
        <w:t>If seeking approval to not display the expiration date for the information collection, explain the reasons that display would be inappropriate.</w:t>
      </w:r>
    </w:p>
    <w:p w:rsidR="00C33FF3" w:rsidRPr="0060397C" w:rsidP="00E87D14" w14:paraId="0DAFB81B"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p>
    <w:p w:rsidR="00C33FF3" w:rsidRPr="0060397C" w:rsidP="00E87D14" w14:paraId="4C68A18F" w14:textId="43E771EA">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r w:rsidRPr="0060397C">
        <w:t xml:space="preserve">This information collection does not involve a form or other collection instrument upon which ATF could display the expiration date. It requires industry to </w:t>
      </w:r>
      <w:r w:rsidR="00F128CD">
        <w:t>place identifying markings on explosives</w:t>
      </w:r>
      <w:r w:rsidR="006D44A0">
        <w:t xml:space="preserve">, which involves no </w:t>
      </w:r>
      <w:r w:rsidR="007047B4">
        <w:t xml:space="preserve">transmission of the information </w:t>
      </w:r>
      <w:r w:rsidR="0038050F">
        <w:t>or a</w:t>
      </w:r>
      <w:r w:rsidR="00AB40E1">
        <w:t>ny</w:t>
      </w:r>
      <w:r w:rsidR="0038050F">
        <w:t xml:space="preserve"> need to </w:t>
      </w:r>
      <w:r w:rsidR="00AB40E1">
        <w:t xml:space="preserve">access the ATF website for </w:t>
      </w:r>
      <w:r w:rsidR="002177B0">
        <w:t>information</w:t>
      </w:r>
      <w:r w:rsidRPr="0060397C">
        <w:t xml:space="preserve">. </w:t>
      </w:r>
      <w:r w:rsidR="00081281">
        <w:t xml:space="preserve">ATF’s website does not have a section associated with marking. </w:t>
      </w:r>
      <w:r w:rsidRPr="0060397C">
        <w:t xml:space="preserve">As a result, ATF </w:t>
      </w:r>
      <w:r w:rsidRPr="0060397C">
        <w:t>is not able to</w:t>
      </w:r>
      <w:r w:rsidRPr="0060397C">
        <w:t xml:space="preserve"> display an expiration date</w:t>
      </w:r>
      <w:r w:rsidR="002177B0">
        <w:t>.</w:t>
      </w:r>
    </w:p>
    <w:p w:rsidR="00C33FF3" w:rsidRPr="0060397C" w:rsidP="00E87D14" w14:paraId="650AC217"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p>
    <w:p w:rsidR="00A334BE" w:rsidRPr="0060397C" w:rsidP="00E87D14" w14:paraId="2C083D34"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rPr>
      </w:pPr>
      <w:r w:rsidRPr="0060397C">
        <w:rPr>
          <w:b/>
        </w:rPr>
        <w:t>18. Explain each exception to the certification statement.</w:t>
      </w:r>
    </w:p>
    <w:p w:rsidR="00A334BE" w:rsidRPr="0060397C" w:rsidP="00E87D14" w14:paraId="5320ABA3"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p>
    <w:p w:rsidR="00A334BE" w:rsidRPr="0060397C" w:rsidP="00E87D14" w14:paraId="27656B73"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r w:rsidRPr="0060397C">
        <w:t>This information collection does not include any exceptions to the certification statement.</w:t>
      </w:r>
    </w:p>
    <w:p w:rsidR="00A334BE" w:rsidRPr="0060397C" w:rsidP="00E87D14" w14:paraId="78D7EF71"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pPr>
    </w:p>
    <w:p w:rsidR="00C6305C" w:rsidRPr="0060397C" w:rsidP="00E87D14" w14:paraId="1BFB1A7A" w14:textId="77777777">
      <w:pPr>
        <w:widowControl w:val="0"/>
        <w:contextualSpacing/>
      </w:pPr>
      <w:bookmarkStart w:id="3" w:name="_Hlk188988292"/>
      <w:r w:rsidRPr="0060397C">
        <w:rPr>
          <w:b/>
          <w:bCs/>
        </w:rPr>
        <w:t>B. INFORMATION COLLECTIONS EMPLOYING STATISTICAL METHODS.</w:t>
      </w:r>
    </w:p>
    <w:bookmarkEnd w:id="3"/>
    <w:p w:rsidR="00C6305C" w:rsidRPr="0060397C" w:rsidP="00E87D14" w14:paraId="0B3376A4" w14:textId="77777777">
      <w:pPr>
        <w:widowControl w:val="0"/>
        <w:contextualSpacing/>
      </w:pPr>
    </w:p>
    <w:p w:rsidR="00C6305C" w:rsidRPr="0060397C" w:rsidP="00E87D14" w14:paraId="505B2D85" w14:textId="77777777">
      <w:pPr>
        <w:widowControl w:val="0"/>
        <w:contextualSpacing/>
      </w:pPr>
      <w:r w:rsidRPr="0060397C">
        <w:t>This collection does not employ statistical methods.</w:t>
      </w:r>
    </w:p>
    <w:p w:rsidR="00EB55B4" w:rsidP="00E87D14" w14:paraId="4CE1EDD3" w14:textId="229E2639">
      <w:pPr>
        <w:widowControl w:val="0"/>
        <w:contextualSpacing/>
      </w:pPr>
    </w:p>
    <w:sectPr w:rsidSect="00263D62">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5B4" w14:paraId="3CD4773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55B4" w14:paraId="3DEDFF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5B4" w14:paraId="16BDE5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D41">
      <w:rPr>
        <w:rStyle w:val="PageNumber"/>
        <w:noProof/>
      </w:rPr>
      <w:t>1</w:t>
    </w:r>
    <w:r>
      <w:rPr>
        <w:rStyle w:val="PageNumber"/>
      </w:rPr>
      <w:fldChar w:fldCharType="end"/>
    </w:r>
  </w:p>
  <w:p w:rsidR="00EB55B4" w14:paraId="0E0778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5CBB" w14:paraId="3240BAFA" w14:textId="77777777">
      <w:r>
        <w:separator/>
      </w:r>
    </w:p>
  </w:footnote>
  <w:footnote w:type="continuationSeparator" w:id="1">
    <w:p w:rsidR="00D35CBB" w14:paraId="775A6B9C" w14:textId="77777777">
      <w:r>
        <w:continuationSeparator/>
      </w:r>
    </w:p>
  </w:footnote>
  <w:footnote w:id="2">
    <w:p w:rsidR="00C75A9B" w:rsidRPr="00BD0BC5" w14:paraId="0A1205F8" w14:textId="6F2711D6">
      <w:pPr>
        <w:pStyle w:val="FootnoteText"/>
      </w:pPr>
      <w:r w:rsidRPr="00BD0BC5">
        <w:rPr>
          <w:rStyle w:val="FootnoteReference"/>
        </w:rPr>
        <w:footnoteRef/>
      </w:r>
      <w:r w:rsidRPr="00BD0BC5">
        <w:t xml:space="preserve"> </w:t>
      </w:r>
      <w:r w:rsidR="00BD0BC5">
        <w:t>h</w:t>
      </w:r>
      <w:hyperlink r:id="rId1" w:tgtFrame="_blank" w:tooltip="https://www.bls.gov/oes/2023/may/oes475032.htm" w:history="1">
        <w:r w:rsidRPr="00BD0BC5" w:rsidR="000E0650">
          <w:rPr>
            <w:rStyle w:val="Hyperlink"/>
            <w:color w:val="auto"/>
            <w:u w:val="none"/>
          </w:rPr>
          <w:t>ttps://www.bls.gov/oes/2023/may/oes475032.htm</w:t>
        </w:r>
      </w:hyperlink>
      <w:r w:rsidRPr="00BD0BC5" w:rsidR="000E0650">
        <w:t>.</w:t>
      </w:r>
    </w:p>
  </w:footnote>
  <w:footnote w:id="3">
    <w:p w:rsidR="00052864" w14:paraId="352522DC" w14:textId="35CA2AE6">
      <w:pPr>
        <w:pStyle w:val="FootnoteText"/>
      </w:pPr>
      <w:r>
        <w:rPr>
          <w:rStyle w:val="FootnoteReference"/>
        </w:rPr>
        <w:footnoteRef/>
      </w:r>
      <w:r>
        <w:t xml:space="preserve"> </w:t>
      </w:r>
      <w:r w:rsidRPr="00EE125B">
        <w:t>https://data.bls.gov/pdq/SurveyOutputServlet</w:t>
      </w:r>
      <w:r w:rsidRPr="00052864">
        <w:t xml:space="preserve"> using codes: total compensation code CMU2010000000000D and wages and salaries code CMU2020000000000D.  Load rate of 1.42 = $41.62 average total compensation / $29.35 wages and salaries.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DBD" w:rsidRPr="00E91B29" w14:paraId="06811E10" w14:textId="241B9661">
    <w:pPr>
      <w:pStyle w:val="Header"/>
      <w:rPr>
        <w:sz w:val="20"/>
        <w:szCs w:val="20"/>
      </w:rPr>
    </w:pPr>
    <w:r>
      <w:rPr>
        <w:sz w:val="20"/>
        <w:szCs w:val="20"/>
      </w:rPr>
      <w:t xml:space="preserve">Identifying </w:t>
    </w:r>
    <w:r w:rsidR="000B7870">
      <w:rPr>
        <w:sz w:val="20"/>
        <w:szCs w:val="20"/>
      </w:rPr>
      <w:t xml:space="preserve">and Marking </w:t>
    </w:r>
    <w:r w:rsidRPr="00E91B29">
      <w:rPr>
        <w:sz w:val="20"/>
        <w:szCs w:val="20"/>
      </w:rPr>
      <w:t>Explosive Materials</w:t>
    </w:r>
  </w:p>
  <w:p w:rsidR="00DD02FA" w:rsidRPr="00E91B29" w14:paraId="37DB50A2" w14:textId="3C420ED8">
    <w:pPr>
      <w:pStyle w:val="Header"/>
      <w:rPr>
        <w:sz w:val="20"/>
        <w:szCs w:val="20"/>
      </w:rPr>
    </w:pPr>
    <w:r w:rsidRPr="00E91B29">
      <w:rPr>
        <w:sz w:val="20"/>
        <w:szCs w:val="20"/>
      </w:rPr>
      <w:t xml:space="preserve">OMB </w:t>
    </w:r>
    <w:r w:rsidR="00252853">
      <w:rPr>
        <w:sz w:val="20"/>
        <w:szCs w:val="20"/>
      </w:rPr>
      <w:t>c</w:t>
    </w:r>
    <w:r w:rsidRPr="00E91B29">
      <w:rPr>
        <w:sz w:val="20"/>
        <w:szCs w:val="20"/>
      </w:rPr>
      <w:t xml:space="preserve">ontrol </w:t>
    </w:r>
    <w:r w:rsidR="00252853">
      <w:rPr>
        <w:sz w:val="20"/>
        <w:szCs w:val="20"/>
      </w:rPr>
      <w:t>n</w:t>
    </w:r>
    <w:r w:rsidRPr="00E91B29">
      <w:rPr>
        <w:sz w:val="20"/>
        <w:szCs w:val="20"/>
      </w:rPr>
      <w:t>umber: 1140-0055</w:t>
    </w:r>
  </w:p>
  <w:p w:rsidR="00DD02FA" w14:paraId="71960576" w14:textId="622A689D">
    <w:pPr>
      <w:pStyle w:val="Header"/>
      <w:rPr>
        <w:sz w:val="20"/>
        <w:szCs w:val="20"/>
      </w:rPr>
    </w:pPr>
    <w:r w:rsidRPr="00E91B29">
      <w:rPr>
        <w:sz w:val="20"/>
        <w:szCs w:val="20"/>
      </w:rPr>
      <w:t xml:space="preserve">Expiration </w:t>
    </w:r>
    <w:r w:rsidR="00252853">
      <w:rPr>
        <w:sz w:val="20"/>
        <w:szCs w:val="20"/>
      </w:rPr>
      <w:t>d</w:t>
    </w:r>
    <w:r w:rsidRPr="00E91B29">
      <w:rPr>
        <w:sz w:val="20"/>
        <w:szCs w:val="20"/>
      </w:rPr>
      <w:t xml:space="preserve">ate:  </w:t>
    </w:r>
    <w:r w:rsidR="00252853">
      <w:rPr>
        <w:sz w:val="20"/>
        <w:szCs w:val="20"/>
      </w:rPr>
      <w:t>2-28-26</w:t>
    </w:r>
  </w:p>
  <w:p w:rsidR="00777972" w:rsidRPr="00E91B29" w14:paraId="3A5FC22B"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21F0686"/>
    <w:multiLevelType w:val="hybridMultilevel"/>
    <w:tmpl w:val="03482EC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E1691C"/>
    <w:multiLevelType w:val="hybridMultilevel"/>
    <w:tmpl w:val="C7DA747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110A99"/>
    <w:multiLevelType w:val="hybridMultilevel"/>
    <w:tmpl w:val="2F80C2E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253D9F"/>
    <w:multiLevelType w:val="hybridMultilevel"/>
    <w:tmpl w:val="7F0A3C36"/>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1270D3A"/>
    <w:multiLevelType w:val="hybridMultilevel"/>
    <w:tmpl w:val="98DC955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F75F31"/>
    <w:multiLevelType w:val="hybridMultilevel"/>
    <w:tmpl w:val="4134CE66"/>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C7710C1"/>
    <w:multiLevelType w:val="hybridMultilevel"/>
    <w:tmpl w:val="4F1C505E"/>
    <w:lvl w:ilvl="0">
      <w:start w:val="1"/>
      <w:numFmt w:val="upp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5C303C"/>
    <w:multiLevelType w:val="hybridMultilevel"/>
    <w:tmpl w:val="C3DEBBB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4722DFC"/>
    <w:multiLevelType w:val="hybridMultilevel"/>
    <w:tmpl w:val="F0407EE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72A7453"/>
    <w:multiLevelType w:val="hybridMultilevel"/>
    <w:tmpl w:val="F198E0F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7A501F9"/>
    <w:multiLevelType w:val="hybridMultilevel"/>
    <w:tmpl w:val="EC50530C"/>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7B607DC"/>
    <w:multiLevelType w:val="hybridMultilevel"/>
    <w:tmpl w:val="35BE39C6"/>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B11B12"/>
    <w:multiLevelType w:val="hybridMultilevel"/>
    <w:tmpl w:val="7F3A459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87650D"/>
    <w:multiLevelType w:val="hybridMultilevel"/>
    <w:tmpl w:val="2FAE7A8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B15551"/>
    <w:multiLevelType w:val="hybridMultilevel"/>
    <w:tmpl w:val="F7A04DA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5B574C7"/>
    <w:multiLevelType w:val="hybridMultilevel"/>
    <w:tmpl w:val="675A4700"/>
    <w:lvl w:ilvl="0">
      <w:start w:val="1"/>
      <w:numFmt w:val="upperLetter"/>
      <w:lvlText w:val="%1."/>
      <w:lvlJc w:val="left"/>
      <w:pPr>
        <w:ind w:left="360" w:hanging="360"/>
      </w:pPr>
      <w:rPr>
        <w:rFonts w:ascii="Times New Roman" w:eastAsia="Times New Roman" w:hAnsi="Times New Roman" w:cs="Times New Roman"/>
      </w:rPr>
    </w:lvl>
    <w:lvl w:ilvl="1">
      <w:start w:val="1"/>
      <w:numFmt w:val="decimal"/>
      <w:lvlText w:val="%2."/>
      <w:lvlJc w:val="left"/>
      <w:pPr>
        <w:ind w:left="1500" w:hanging="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E5C56B4"/>
    <w:multiLevelType w:val="hybridMultilevel"/>
    <w:tmpl w:val="00586AA6"/>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3A7655B"/>
    <w:multiLevelType w:val="hybridMultilevel"/>
    <w:tmpl w:val="21D670E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3CC723D"/>
    <w:multiLevelType w:val="hybridMultilevel"/>
    <w:tmpl w:val="6FB87FB2"/>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A9C691F"/>
    <w:multiLevelType w:val="hybridMultilevel"/>
    <w:tmpl w:val="473E900E"/>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B33AEF"/>
    <w:multiLevelType w:val="hybridMultilevel"/>
    <w:tmpl w:val="AD1CBFC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0637366"/>
    <w:multiLevelType w:val="hybridMultilevel"/>
    <w:tmpl w:val="8AA695B8"/>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BD47AE5"/>
    <w:multiLevelType w:val="hybridMultilevel"/>
    <w:tmpl w:val="FCAA89F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D1C0797"/>
    <w:multiLevelType w:val="hybridMultilevel"/>
    <w:tmpl w:val="3B569D7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0D43B34"/>
    <w:multiLevelType w:val="hybridMultilevel"/>
    <w:tmpl w:val="2700994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3944057"/>
    <w:multiLevelType w:val="hybridMultilevel"/>
    <w:tmpl w:val="36E69C20"/>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6240EDD"/>
    <w:multiLevelType w:val="hybridMultilevel"/>
    <w:tmpl w:val="63320A7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D980676"/>
    <w:multiLevelType w:val="hybridMultilevel"/>
    <w:tmpl w:val="F858061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5630655">
    <w:abstractNumId w:val="28"/>
  </w:num>
  <w:num w:numId="2" w16cid:durableId="795177620">
    <w:abstractNumId w:val="3"/>
  </w:num>
  <w:num w:numId="3" w16cid:durableId="1812096315">
    <w:abstractNumId w:val="27"/>
  </w:num>
  <w:num w:numId="4" w16cid:durableId="797913402">
    <w:abstractNumId w:val="10"/>
  </w:num>
  <w:num w:numId="5" w16cid:durableId="1756365742">
    <w:abstractNumId w:val="1"/>
  </w:num>
  <w:num w:numId="6" w16cid:durableId="766779531">
    <w:abstractNumId w:val="8"/>
  </w:num>
  <w:num w:numId="7" w16cid:durableId="360517334">
    <w:abstractNumId w:val="24"/>
  </w:num>
  <w:num w:numId="8" w16cid:durableId="418137159">
    <w:abstractNumId w:val="15"/>
  </w:num>
  <w:num w:numId="9" w16cid:durableId="834495273">
    <w:abstractNumId w:val="14"/>
  </w:num>
  <w:num w:numId="10" w16cid:durableId="2035960338">
    <w:abstractNumId w:val="18"/>
  </w:num>
  <w:num w:numId="11" w16cid:durableId="371266524">
    <w:abstractNumId w:val="23"/>
  </w:num>
  <w:num w:numId="12" w16cid:durableId="514803386">
    <w:abstractNumId w:val="20"/>
  </w:num>
  <w:num w:numId="13" w16cid:durableId="1040282644">
    <w:abstractNumId w:val="25"/>
  </w:num>
  <w:num w:numId="14" w16cid:durableId="1937053159">
    <w:abstractNumId w:val="19"/>
  </w:num>
  <w:num w:numId="15" w16cid:durableId="1960333167">
    <w:abstractNumId w:val="4"/>
  </w:num>
  <w:num w:numId="16" w16cid:durableId="963317707">
    <w:abstractNumId w:val="26"/>
  </w:num>
  <w:num w:numId="17" w16cid:durableId="1464351108">
    <w:abstractNumId w:val="2"/>
  </w:num>
  <w:num w:numId="18" w16cid:durableId="930312137">
    <w:abstractNumId w:val="13"/>
  </w:num>
  <w:num w:numId="19" w16cid:durableId="1044670819">
    <w:abstractNumId w:val="11"/>
  </w:num>
  <w:num w:numId="20" w16cid:durableId="1531527847">
    <w:abstractNumId w:val="6"/>
  </w:num>
  <w:num w:numId="21" w16cid:durableId="2046171130">
    <w:abstractNumId w:val="17"/>
  </w:num>
  <w:num w:numId="22" w16cid:durableId="662854130">
    <w:abstractNumId w:val="22"/>
  </w:num>
  <w:num w:numId="23" w16cid:durableId="1511871080">
    <w:abstractNumId w:val="12"/>
  </w:num>
  <w:num w:numId="24" w16cid:durableId="1374309539">
    <w:abstractNumId w:val="9"/>
  </w:num>
  <w:num w:numId="25" w16cid:durableId="945771816">
    <w:abstractNumId w:val="5"/>
  </w:num>
  <w:num w:numId="26" w16cid:durableId="422607348">
    <w:abstractNumId w:val="21"/>
  </w:num>
  <w:num w:numId="27" w16cid:durableId="688071927">
    <w:abstractNumId w:val="16"/>
  </w:num>
  <w:num w:numId="28" w16cid:durableId="627442120">
    <w:abstractNumId w:val="7"/>
  </w:num>
  <w:num w:numId="29"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18"/>
    <w:rsid w:val="00000243"/>
    <w:rsid w:val="00000644"/>
    <w:rsid w:val="00007A3A"/>
    <w:rsid w:val="00011038"/>
    <w:rsid w:val="00013B8E"/>
    <w:rsid w:val="0001642B"/>
    <w:rsid w:val="000169F4"/>
    <w:rsid w:val="00016D2D"/>
    <w:rsid w:val="00027FAF"/>
    <w:rsid w:val="00033149"/>
    <w:rsid w:val="00036F8F"/>
    <w:rsid w:val="00037FE8"/>
    <w:rsid w:val="00043E35"/>
    <w:rsid w:val="00045318"/>
    <w:rsid w:val="00052864"/>
    <w:rsid w:val="00053433"/>
    <w:rsid w:val="00054CE8"/>
    <w:rsid w:val="000601A8"/>
    <w:rsid w:val="00066B31"/>
    <w:rsid w:val="000670D4"/>
    <w:rsid w:val="0007344F"/>
    <w:rsid w:val="00074F48"/>
    <w:rsid w:val="00081281"/>
    <w:rsid w:val="00092574"/>
    <w:rsid w:val="000927A9"/>
    <w:rsid w:val="000944EE"/>
    <w:rsid w:val="00094A23"/>
    <w:rsid w:val="0009746F"/>
    <w:rsid w:val="000A09FC"/>
    <w:rsid w:val="000A17CC"/>
    <w:rsid w:val="000B5752"/>
    <w:rsid w:val="000B7870"/>
    <w:rsid w:val="000C6A08"/>
    <w:rsid w:val="000C7F9C"/>
    <w:rsid w:val="000D24B9"/>
    <w:rsid w:val="000E0650"/>
    <w:rsid w:val="000E17BB"/>
    <w:rsid w:val="000E36B0"/>
    <w:rsid w:val="000E515C"/>
    <w:rsid w:val="000F20A5"/>
    <w:rsid w:val="0011334C"/>
    <w:rsid w:val="00113918"/>
    <w:rsid w:val="0011495D"/>
    <w:rsid w:val="00124F49"/>
    <w:rsid w:val="00126A12"/>
    <w:rsid w:val="00126E46"/>
    <w:rsid w:val="0013244D"/>
    <w:rsid w:val="00144781"/>
    <w:rsid w:val="00152D4C"/>
    <w:rsid w:val="001535A3"/>
    <w:rsid w:val="001571C1"/>
    <w:rsid w:val="001623E5"/>
    <w:rsid w:val="00174140"/>
    <w:rsid w:val="001772E6"/>
    <w:rsid w:val="001803A8"/>
    <w:rsid w:val="0019024B"/>
    <w:rsid w:val="0019131A"/>
    <w:rsid w:val="00197D6C"/>
    <w:rsid w:val="001A2D23"/>
    <w:rsid w:val="001A59FF"/>
    <w:rsid w:val="001B50FB"/>
    <w:rsid w:val="001C1311"/>
    <w:rsid w:val="001C157D"/>
    <w:rsid w:val="001C16A6"/>
    <w:rsid w:val="001C6464"/>
    <w:rsid w:val="001C693F"/>
    <w:rsid w:val="001C79F5"/>
    <w:rsid w:val="001E480A"/>
    <w:rsid w:val="001E61EA"/>
    <w:rsid w:val="001E7B54"/>
    <w:rsid w:val="001F4FD2"/>
    <w:rsid w:val="001F636D"/>
    <w:rsid w:val="001F656F"/>
    <w:rsid w:val="00205DC8"/>
    <w:rsid w:val="0020636B"/>
    <w:rsid w:val="002177B0"/>
    <w:rsid w:val="00220F1E"/>
    <w:rsid w:val="00221AC6"/>
    <w:rsid w:val="0022720D"/>
    <w:rsid w:val="00227EDD"/>
    <w:rsid w:val="00232F49"/>
    <w:rsid w:val="00236CEB"/>
    <w:rsid w:val="00242B0D"/>
    <w:rsid w:val="00243EFC"/>
    <w:rsid w:val="00244E18"/>
    <w:rsid w:val="0025064E"/>
    <w:rsid w:val="00252853"/>
    <w:rsid w:val="002554C1"/>
    <w:rsid w:val="00256086"/>
    <w:rsid w:val="00257F57"/>
    <w:rsid w:val="00260C9B"/>
    <w:rsid w:val="00263D62"/>
    <w:rsid w:val="00264D0E"/>
    <w:rsid w:val="00272F2F"/>
    <w:rsid w:val="0027391E"/>
    <w:rsid w:val="00284D0A"/>
    <w:rsid w:val="00292C07"/>
    <w:rsid w:val="00295973"/>
    <w:rsid w:val="002A26AB"/>
    <w:rsid w:val="002A400E"/>
    <w:rsid w:val="002A5654"/>
    <w:rsid w:val="002B2F6F"/>
    <w:rsid w:val="002C4255"/>
    <w:rsid w:val="002C5ABE"/>
    <w:rsid w:val="002D5D80"/>
    <w:rsid w:val="002E1943"/>
    <w:rsid w:val="002E65CE"/>
    <w:rsid w:val="002E75C2"/>
    <w:rsid w:val="002F0DBD"/>
    <w:rsid w:val="002F1E8F"/>
    <w:rsid w:val="002F3271"/>
    <w:rsid w:val="002F7EAB"/>
    <w:rsid w:val="00310402"/>
    <w:rsid w:val="00316A88"/>
    <w:rsid w:val="00320A29"/>
    <w:rsid w:val="00323CC5"/>
    <w:rsid w:val="0033324B"/>
    <w:rsid w:val="00333889"/>
    <w:rsid w:val="00341462"/>
    <w:rsid w:val="00342689"/>
    <w:rsid w:val="003461B8"/>
    <w:rsid w:val="00351EA4"/>
    <w:rsid w:val="003551A4"/>
    <w:rsid w:val="00355710"/>
    <w:rsid w:val="00355D74"/>
    <w:rsid w:val="00363203"/>
    <w:rsid w:val="00363AAD"/>
    <w:rsid w:val="0036517D"/>
    <w:rsid w:val="00370C25"/>
    <w:rsid w:val="00372C02"/>
    <w:rsid w:val="0038050F"/>
    <w:rsid w:val="00380ECB"/>
    <w:rsid w:val="0038403C"/>
    <w:rsid w:val="00386EBB"/>
    <w:rsid w:val="00387BAB"/>
    <w:rsid w:val="00391801"/>
    <w:rsid w:val="00392D59"/>
    <w:rsid w:val="003954CA"/>
    <w:rsid w:val="003A2CBB"/>
    <w:rsid w:val="003A42F5"/>
    <w:rsid w:val="003A5260"/>
    <w:rsid w:val="003B62F6"/>
    <w:rsid w:val="003B64AD"/>
    <w:rsid w:val="003C20C1"/>
    <w:rsid w:val="003C2CB7"/>
    <w:rsid w:val="003C2F67"/>
    <w:rsid w:val="003C32FE"/>
    <w:rsid w:val="003C6CDC"/>
    <w:rsid w:val="003D10AD"/>
    <w:rsid w:val="003D7F15"/>
    <w:rsid w:val="003E287D"/>
    <w:rsid w:val="003E5052"/>
    <w:rsid w:val="003E76FF"/>
    <w:rsid w:val="003F0A1D"/>
    <w:rsid w:val="003F205C"/>
    <w:rsid w:val="003F4BF7"/>
    <w:rsid w:val="004207E9"/>
    <w:rsid w:val="004232B4"/>
    <w:rsid w:val="00423F39"/>
    <w:rsid w:val="00430E02"/>
    <w:rsid w:val="004344CF"/>
    <w:rsid w:val="00440A19"/>
    <w:rsid w:val="00447EE3"/>
    <w:rsid w:val="00451DDB"/>
    <w:rsid w:val="00457CB2"/>
    <w:rsid w:val="0046450C"/>
    <w:rsid w:val="00473B59"/>
    <w:rsid w:val="0048154C"/>
    <w:rsid w:val="00482001"/>
    <w:rsid w:val="00484C92"/>
    <w:rsid w:val="004860FB"/>
    <w:rsid w:val="00494230"/>
    <w:rsid w:val="00495704"/>
    <w:rsid w:val="004A29FF"/>
    <w:rsid w:val="004B5D2F"/>
    <w:rsid w:val="004C039B"/>
    <w:rsid w:val="004C0513"/>
    <w:rsid w:val="004C5038"/>
    <w:rsid w:val="004C6FC4"/>
    <w:rsid w:val="004C7130"/>
    <w:rsid w:val="004D05DF"/>
    <w:rsid w:val="004D552F"/>
    <w:rsid w:val="004E21C1"/>
    <w:rsid w:val="004E3007"/>
    <w:rsid w:val="004E3423"/>
    <w:rsid w:val="004E6092"/>
    <w:rsid w:val="004E76A5"/>
    <w:rsid w:val="004F0777"/>
    <w:rsid w:val="004F0D05"/>
    <w:rsid w:val="0050036E"/>
    <w:rsid w:val="00522CA4"/>
    <w:rsid w:val="00524374"/>
    <w:rsid w:val="00527E97"/>
    <w:rsid w:val="00531D8E"/>
    <w:rsid w:val="0053283C"/>
    <w:rsid w:val="005335FF"/>
    <w:rsid w:val="005337A1"/>
    <w:rsid w:val="00533F62"/>
    <w:rsid w:val="00537308"/>
    <w:rsid w:val="00537827"/>
    <w:rsid w:val="00537FEB"/>
    <w:rsid w:val="00544EC7"/>
    <w:rsid w:val="00547100"/>
    <w:rsid w:val="00547158"/>
    <w:rsid w:val="00547CED"/>
    <w:rsid w:val="00553B05"/>
    <w:rsid w:val="00555BC6"/>
    <w:rsid w:val="00560D52"/>
    <w:rsid w:val="00567F5E"/>
    <w:rsid w:val="005709AA"/>
    <w:rsid w:val="005767B0"/>
    <w:rsid w:val="00577C23"/>
    <w:rsid w:val="00577C2E"/>
    <w:rsid w:val="0058040D"/>
    <w:rsid w:val="00587F0E"/>
    <w:rsid w:val="005949C2"/>
    <w:rsid w:val="005A3B34"/>
    <w:rsid w:val="005B4E06"/>
    <w:rsid w:val="005C356C"/>
    <w:rsid w:val="005C5EDA"/>
    <w:rsid w:val="005D10A0"/>
    <w:rsid w:val="005E1E16"/>
    <w:rsid w:val="005E21DD"/>
    <w:rsid w:val="005E4C55"/>
    <w:rsid w:val="005E7CBA"/>
    <w:rsid w:val="005F2CFE"/>
    <w:rsid w:val="005F596E"/>
    <w:rsid w:val="0060224F"/>
    <w:rsid w:val="0060397C"/>
    <w:rsid w:val="0060420F"/>
    <w:rsid w:val="00611335"/>
    <w:rsid w:val="0061143B"/>
    <w:rsid w:val="00615872"/>
    <w:rsid w:val="00617B2C"/>
    <w:rsid w:val="00622F41"/>
    <w:rsid w:val="0063187B"/>
    <w:rsid w:val="0063240B"/>
    <w:rsid w:val="00632DA7"/>
    <w:rsid w:val="00633541"/>
    <w:rsid w:val="00643A03"/>
    <w:rsid w:val="00644676"/>
    <w:rsid w:val="00645485"/>
    <w:rsid w:val="0065083B"/>
    <w:rsid w:val="006557A6"/>
    <w:rsid w:val="006577A7"/>
    <w:rsid w:val="00661C13"/>
    <w:rsid w:val="00663379"/>
    <w:rsid w:val="00663582"/>
    <w:rsid w:val="006674E3"/>
    <w:rsid w:val="00683C7C"/>
    <w:rsid w:val="00694626"/>
    <w:rsid w:val="00695D9A"/>
    <w:rsid w:val="006A0838"/>
    <w:rsid w:val="006B41D3"/>
    <w:rsid w:val="006B41DF"/>
    <w:rsid w:val="006C1167"/>
    <w:rsid w:val="006C732D"/>
    <w:rsid w:val="006D27BA"/>
    <w:rsid w:val="006D291E"/>
    <w:rsid w:val="006D2D82"/>
    <w:rsid w:val="006D3338"/>
    <w:rsid w:val="006D44A0"/>
    <w:rsid w:val="006D4DD8"/>
    <w:rsid w:val="006E2322"/>
    <w:rsid w:val="006E6548"/>
    <w:rsid w:val="006F1092"/>
    <w:rsid w:val="006F3413"/>
    <w:rsid w:val="006F48B5"/>
    <w:rsid w:val="006F5118"/>
    <w:rsid w:val="006F55C5"/>
    <w:rsid w:val="00700C7B"/>
    <w:rsid w:val="0070212A"/>
    <w:rsid w:val="0070306F"/>
    <w:rsid w:val="00703BC5"/>
    <w:rsid w:val="007047B4"/>
    <w:rsid w:val="00705221"/>
    <w:rsid w:val="00706CEA"/>
    <w:rsid w:val="00711C32"/>
    <w:rsid w:val="00712EE9"/>
    <w:rsid w:val="00716262"/>
    <w:rsid w:val="007170D3"/>
    <w:rsid w:val="0072088E"/>
    <w:rsid w:val="00722E66"/>
    <w:rsid w:val="00723360"/>
    <w:rsid w:val="00730FAA"/>
    <w:rsid w:val="00733F42"/>
    <w:rsid w:val="00734785"/>
    <w:rsid w:val="00737030"/>
    <w:rsid w:val="007566C6"/>
    <w:rsid w:val="00756B94"/>
    <w:rsid w:val="00764DFE"/>
    <w:rsid w:val="00765579"/>
    <w:rsid w:val="00767734"/>
    <w:rsid w:val="00777972"/>
    <w:rsid w:val="007843B8"/>
    <w:rsid w:val="00785A37"/>
    <w:rsid w:val="007918E4"/>
    <w:rsid w:val="00794865"/>
    <w:rsid w:val="007A0DF3"/>
    <w:rsid w:val="007D018A"/>
    <w:rsid w:val="007D594F"/>
    <w:rsid w:val="007D7801"/>
    <w:rsid w:val="007E1295"/>
    <w:rsid w:val="007F036D"/>
    <w:rsid w:val="007F1FDF"/>
    <w:rsid w:val="00805F06"/>
    <w:rsid w:val="00813E3D"/>
    <w:rsid w:val="00817161"/>
    <w:rsid w:val="008225D4"/>
    <w:rsid w:val="00823038"/>
    <w:rsid w:val="008309CA"/>
    <w:rsid w:val="00831044"/>
    <w:rsid w:val="008312EF"/>
    <w:rsid w:val="00833EA4"/>
    <w:rsid w:val="00862162"/>
    <w:rsid w:val="00864733"/>
    <w:rsid w:val="00876A74"/>
    <w:rsid w:val="00881B17"/>
    <w:rsid w:val="00884A5E"/>
    <w:rsid w:val="00886F0A"/>
    <w:rsid w:val="008918D0"/>
    <w:rsid w:val="00895044"/>
    <w:rsid w:val="008966D6"/>
    <w:rsid w:val="008A039E"/>
    <w:rsid w:val="008A5B8F"/>
    <w:rsid w:val="008A7A64"/>
    <w:rsid w:val="008B170F"/>
    <w:rsid w:val="008B3EF0"/>
    <w:rsid w:val="008B5543"/>
    <w:rsid w:val="008C0AE0"/>
    <w:rsid w:val="008C0FD2"/>
    <w:rsid w:val="008D2630"/>
    <w:rsid w:val="008E0C58"/>
    <w:rsid w:val="008E1BDC"/>
    <w:rsid w:val="008E5375"/>
    <w:rsid w:val="008E562D"/>
    <w:rsid w:val="008E71B8"/>
    <w:rsid w:val="008F212C"/>
    <w:rsid w:val="008F338C"/>
    <w:rsid w:val="008F71E7"/>
    <w:rsid w:val="00901CAF"/>
    <w:rsid w:val="00910099"/>
    <w:rsid w:val="00911EF6"/>
    <w:rsid w:val="0091610B"/>
    <w:rsid w:val="00917C8E"/>
    <w:rsid w:val="00920C1F"/>
    <w:rsid w:val="00923F07"/>
    <w:rsid w:val="0092522F"/>
    <w:rsid w:val="00926117"/>
    <w:rsid w:val="009404D4"/>
    <w:rsid w:val="009412CB"/>
    <w:rsid w:val="0094173F"/>
    <w:rsid w:val="00953B63"/>
    <w:rsid w:val="009568C5"/>
    <w:rsid w:val="00956EB0"/>
    <w:rsid w:val="00970E15"/>
    <w:rsid w:val="009742F9"/>
    <w:rsid w:val="00976197"/>
    <w:rsid w:val="0098713A"/>
    <w:rsid w:val="00992CFD"/>
    <w:rsid w:val="009A29E2"/>
    <w:rsid w:val="009A781E"/>
    <w:rsid w:val="009B2662"/>
    <w:rsid w:val="009C2CFD"/>
    <w:rsid w:val="009C60C1"/>
    <w:rsid w:val="009D0467"/>
    <w:rsid w:val="009D5454"/>
    <w:rsid w:val="009E083F"/>
    <w:rsid w:val="009E0B35"/>
    <w:rsid w:val="009E0BA8"/>
    <w:rsid w:val="009E23A6"/>
    <w:rsid w:val="009E5C47"/>
    <w:rsid w:val="009E6575"/>
    <w:rsid w:val="009E6D4D"/>
    <w:rsid w:val="009F0DC8"/>
    <w:rsid w:val="00A003A7"/>
    <w:rsid w:val="00A01DC6"/>
    <w:rsid w:val="00A06104"/>
    <w:rsid w:val="00A0690E"/>
    <w:rsid w:val="00A07517"/>
    <w:rsid w:val="00A10E42"/>
    <w:rsid w:val="00A16ED8"/>
    <w:rsid w:val="00A23004"/>
    <w:rsid w:val="00A246D9"/>
    <w:rsid w:val="00A2664B"/>
    <w:rsid w:val="00A26B5E"/>
    <w:rsid w:val="00A27B47"/>
    <w:rsid w:val="00A334BE"/>
    <w:rsid w:val="00A353D8"/>
    <w:rsid w:val="00A369AF"/>
    <w:rsid w:val="00A36E28"/>
    <w:rsid w:val="00A401F6"/>
    <w:rsid w:val="00A42F9F"/>
    <w:rsid w:val="00A52312"/>
    <w:rsid w:val="00A52D67"/>
    <w:rsid w:val="00A550CB"/>
    <w:rsid w:val="00A63882"/>
    <w:rsid w:val="00A65762"/>
    <w:rsid w:val="00A725DD"/>
    <w:rsid w:val="00A8182D"/>
    <w:rsid w:val="00A96D41"/>
    <w:rsid w:val="00A96F6E"/>
    <w:rsid w:val="00AA07A7"/>
    <w:rsid w:val="00AB1854"/>
    <w:rsid w:val="00AB2BC4"/>
    <w:rsid w:val="00AB40E1"/>
    <w:rsid w:val="00AB60C7"/>
    <w:rsid w:val="00AC1A61"/>
    <w:rsid w:val="00AE225A"/>
    <w:rsid w:val="00AF1F7A"/>
    <w:rsid w:val="00AF5695"/>
    <w:rsid w:val="00AF7666"/>
    <w:rsid w:val="00B0665E"/>
    <w:rsid w:val="00B12F53"/>
    <w:rsid w:val="00B14877"/>
    <w:rsid w:val="00B15594"/>
    <w:rsid w:val="00B24E2B"/>
    <w:rsid w:val="00B26CEC"/>
    <w:rsid w:val="00B2703A"/>
    <w:rsid w:val="00B30AFB"/>
    <w:rsid w:val="00B37025"/>
    <w:rsid w:val="00B46575"/>
    <w:rsid w:val="00B531F8"/>
    <w:rsid w:val="00B54EC5"/>
    <w:rsid w:val="00B63741"/>
    <w:rsid w:val="00B70D5A"/>
    <w:rsid w:val="00B75BAF"/>
    <w:rsid w:val="00B77B5B"/>
    <w:rsid w:val="00B80AF9"/>
    <w:rsid w:val="00B86B1B"/>
    <w:rsid w:val="00B91C0F"/>
    <w:rsid w:val="00B92079"/>
    <w:rsid w:val="00B97B3F"/>
    <w:rsid w:val="00BA2D25"/>
    <w:rsid w:val="00BA4C5D"/>
    <w:rsid w:val="00BA52DD"/>
    <w:rsid w:val="00BB09F5"/>
    <w:rsid w:val="00BB1CEB"/>
    <w:rsid w:val="00BB26F5"/>
    <w:rsid w:val="00BB3F05"/>
    <w:rsid w:val="00BB546D"/>
    <w:rsid w:val="00BB7366"/>
    <w:rsid w:val="00BC5C02"/>
    <w:rsid w:val="00BC621E"/>
    <w:rsid w:val="00BD0BC5"/>
    <w:rsid w:val="00BD1215"/>
    <w:rsid w:val="00BD3E6E"/>
    <w:rsid w:val="00BE1F8D"/>
    <w:rsid w:val="00BE7D37"/>
    <w:rsid w:val="00BF5A87"/>
    <w:rsid w:val="00BF6C37"/>
    <w:rsid w:val="00BF6E05"/>
    <w:rsid w:val="00C05934"/>
    <w:rsid w:val="00C06CE7"/>
    <w:rsid w:val="00C10DF5"/>
    <w:rsid w:val="00C1134C"/>
    <w:rsid w:val="00C11C97"/>
    <w:rsid w:val="00C33FF3"/>
    <w:rsid w:val="00C34FCF"/>
    <w:rsid w:val="00C35D5D"/>
    <w:rsid w:val="00C475D5"/>
    <w:rsid w:val="00C514F2"/>
    <w:rsid w:val="00C52C03"/>
    <w:rsid w:val="00C62752"/>
    <w:rsid w:val="00C6305C"/>
    <w:rsid w:val="00C6580A"/>
    <w:rsid w:val="00C666FB"/>
    <w:rsid w:val="00C74CBF"/>
    <w:rsid w:val="00C75A9B"/>
    <w:rsid w:val="00C84198"/>
    <w:rsid w:val="00C95659"/>
    <w:rsid w:val="00C979A7"/>
    <w:rsid w:val="00CB1911"/>
    <w:rsid w:val="00CC03FF"/>
    <w:rsid w:val="00CC04B2"/>
    <w:rsid w:val="00CC0DF6"/>
    <w:rsid w:val="00CC5278"/>
    <w:rsid w:val="00CD4857"/>
    <w:rsid w:val="00CD6072"/>
    <w:rsid w:val="00CD6911"/>
    <w:rsid w:val="00CE3E2B"/>
    <w:rsid w:val="00CE44E5"/>
    <w:rsid w:val="00CE5FE4"/>
    <w:rsid w:val="00CE6484"/>
    <w:rsid w:val="00CE67F9"/>
    <w:rsid w:val="00CF42ED"/>
    <w:rsid w:val="00CF7DE9"/>
    <w:rsid w:val="00D00997"/>
    <w:rsid w:val="00D025E0"/>
    <w:rsid w:val="00D02D20"/>
    <w:rsid w:val="00D034DC"/>
    <w:rsid w:val="00D042B4"/>
    <w:rsid w:val="00D067D9"/>
    <w:rsid w:val="00D1014A"/>
    <w:rsid w:val="00D110DD"/>
    <w:rsid w:val="00D224A4"/>
    <w:rsid w:val="00D22D2A"/>
    <w:rsid w:val="00D23C4C"/>
    <w:rsid w:val="00D32019"/>
    <w:rsid w:val="00D349E7"/>
    <w:rsid w:val="00D35CBB"/>
    <w:rsid w:val="00D36027"/>
    <w:rsid w:val="00D41965"/>
    <w:rsid w:val="00D474E8"/>
    <w:rsid w:val="00D524F2"/>
    <w:rsid w:val="00D56624"/>
    <w:rsid w:val="00D634F1"/>
    <w:rsid w:val="00D65771"/>
    <w:rsid w:val="00D7019A"/>
    <w:rsid w:val="00D74C54"/>
    <w:rsid w:val="00D85B85"/>
    <w:rsid w:val="00D91984"/>
    <w:rsid w:val="00D9670F"/>
    <w:rsid w:val="00DA6D5C"/>
    <w:rsid w:val="00DC1637"/>
    <w:rsid w:val="00DD02FA"/>
    <w:rsid w:val="00DD3822"/>
    <w:rsid w:val="00DE75DE"/>
    <w:rsid w:val="00DF08E2"/>
    <w:rsid w:val="00E06700"/>
    <w:rsid w:val="00E10F28"/>
    <w:rsid w:val="00E13ED0"/>
    <w:rsid w:val="00E217B5"/>
    <w:rsid w:val="00E365D4"/>
    <w:rsid w:val="00E42D5B"/>
    <w:rsid w:val="00E435CC"/>
    <w:rsid w:val="00E4465F"/>
    <w:rsid w:val="00E506F2"/>
    <w:rsid w:val="00E5282B"/>
    <w:rsid w:val="00E57A18"/>
    <w:rsid w:val="00E60913"/>
    <w:rsid w:val="00E619A1"/>
    <w:rsid w:val="00E632A2"/>
    <w:rsid w:val="00E65055"/>
    <w:rsid w:val="00E66C2D"/>
    <w:rsid w:val="00E80752"/>
    <w:rsid w:val="00E824B5"/>
    <w:rsid w:val="00E82991"/>
    <w:rsid w:val="00E8625C"/>
    <w:rsid w:val="00E87D14"/>
    <w:rsid w:val="00E91597"/>
    <w:rsid w:val="00E91B29"/>
    <w:rsid w:val="00E91BFF"/>
    <w:rsid w:val="00E929B3"/>
    <w:rsid w:val="00E939AB"/>
    <w:rsid w:val="00E951DE"/>
    <w:rsid w:val="00E97A39"/>
    <w:rsid w:val="00EA299C"/>
    <w:rsid w:val="00EA4921"/>
    <w:rsid w:val="00EA4A56"/>
    <w:rsid w:val="00EA7246"/>
    <w:rsid w:val="00EB5403"/>
    <w:rsid w:val="00EB55B4"/>
    <w:rsid w:val="00EB7FAB"/>
    <w:rsid w:val="00EC21C6"/>
    <w:rsid w:val="00EC4EB3"/>
    <w:rsid w:val="00EC6875"/>
    <w:rsid w:val="00ED0C9B"/>
    <w:rsid w:val="00EE125B"/>
    <w:rsid w:val="00EE321B"/>
    <w:rsid w:val="00EF203A"/>
    <w:rsid w:val="00EF257C"/>
    <w:rsid w:val="00F04729"/>
    <w:rsid w:val="00F05880"/>
    <w:rsid w:val="00F06C3E"/>
    <w:rsid w:val="00F075AA"/>
    <w:rsid w:val="00F10847"/>
    <w:rsid w:val="00F1093B"/>
    <w:rsid w:val="00F128CD"/>
    <w:rsid w:val="00F32A44"/>
    <w:rsid w:val="00F344ED"/>
    <w:rsid w:val="00F34DAC"/>
    <w:rsid w:val="00F36DAD"/>
    <w:rsid w:val="00F40C34"/>
    <w:rsid w:val="00F44150"/>
    <w:rsid w:val="00F45F6F"/>
    <w:rsid w:val="00F4644F"/>
    <w:rsid w:val="00F52C0F"/>
    <w:rsid w:val="00F53078"/>
    <w:rsid w:val="00F53904"/>
    <w:rsid w:val="00F64BE3"/>
    <w:rsid w:val="00F705F7"/>
    <w:rsid w:val="00F756A5"/>
    <w:rsid w:val="00F90828"/>
    <w:rsid w:val="00F9530D"/>
    <w:rsid w:val="00F966CF"/>
    <w:rsid w:val="00FA55E9"/>
    <w:rsid w:val="00FB4A60"/>
    <w:rsid w:val="00FB53DF"/>
    <w:rsid w:val="00FC0215"/>
    <w:rsid w:val="00FC2823"/>
    <w:rsid w:val="00FC5467"/>
    <w:rsid w:val="00FE259B"/>
    <w:rsid w:val="00FE2E85"/>
    <w:rsid w:val="00FE671B"/>
    <w:rsid w:val="00FE7B81"/>
    <w:rsid w:val="00FF2BFF"/>
    <w:rsid w:val="00FF343F"/>
    <w:rsid w:val="015F4C7F"/>
    <w:rsid w:val="1374AA8E"/>
    <w:rsid w:val="18413551"/>
    <w:rsid w:val="21203CB1"/>
    <w:rsid w:val="2558AF05"/>
    <w:rsid w:val="289ABE2C"/>
    <w:rsid w:val="2BFD5404"/>
    <w:rsid w:val="2C54F6C0"/>
    <w:rsid w:val="327C936A"/>
    <w:rsid w:val="3612C4FB"/>
    <w:rsid w:val="3BDEAF20"/>
    <w:rsid w:val="4A66F3DB"/>
    <w:rsid w:val="54F73D77"/>
    <w:rsid w:val="599017E5"/>
    <w:rsid w:val="5AF31474"/>
    <w:rsid w:val="5BE7E673"/>
    <w:rsid w:val="5F22E134"/>
    <w:rsid w:val="6272CA1E"/>
    <w:rsid w:val="734878FF"/>
    <w:rsid w:val="75E05305"/>
    <w:rsid w:val="7765A3C4"/>
    <w:rsid w:val="7DE37D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A23AAE9"/>
  <w15:docId w15:val="{6D9F0B35-C35C-462B-8E10-DF988CD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764DFE"/>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0601A8"/>
    <w:rPr>
      <w:sz w:val="16"/>
      <w:szCs w:val="16"/>
    </w:rPr>
  </w:style>
  <w:style w:type="paragraph" w:styleId="CommentText">
    <w:name w:val="annotation text"/>
    <w:basedOn w:val="Normal"/>
    <w:link w:val="CommentTextChar"/>
    <w:rsid w:val="000601A8"/>
    <w:rPr>
      <w:sz w:val="20"/>
      <w:szCs w:val="20"/>
    </w:rPr>
  </w:style>
  <w:style w:type="character" w:customStyle="1" w:styleId="CommentTextChar">
    <w:name w:val="Comment Text Char"/>
    <w:basedOn w:val="DefaultParagraphFont"/>
    <w:link w:val="CommentText"/>
    <w:rsid w:val="000601A8"/>
  </w:style>
  <w:style w:type="paragraph" w:styleId="CommentSubject">
    <w:name w:val="annotation subject"/>
    <w:basedOn w:val="CommentText"/>
    <w:next w:val="CommentText"/>
    <w:link w:val="CommentSubjectChar"/>
    <w:rsid w:val="000601A8"/>
    <w:rPr>
      <w:b/>
      <w:bCs/>
      <w:lang w:val="x-none" w:eastAsia="x-none"/>
    </w:rPr>
  </w:style>
  <w:style w:type="character" w:customStyle="1" w:styleId="CommentSubjectChar">
    <w:name w:val="Comment Subject Char"/>
    <w:link w:val="CommentSubject"/>
    <w:rsid w:val="000601A8"/>
    <w:rPr>
      <w:b/>
      <w:bCs/>
    </w:rPr>
  </w:style>
  <w:style w:type="paragraph" w:styleId="BalloonText">
    <w:name w:val="Balloon Text"/>
    <w:basedOn w:val="Normal"/>
    <w:link w:val="BalloonTextChar"/>
    <w:rsid w:val="000601A8"/>
    <w:rPr>
      <w:rFonts w:ascii="Tahoma" w:hAnsi="Tahoma"/>
      <w:sz w:val="16"/>
      <w:szCs w:val="16"/>
      <w:lang w:val="x-none" w:eastAsia="x-none"/>
    </w:rPr>
  </w:style>
  <w:style w:type="character" w:customStyle="1" w:styleId="BalloonTextChar">
    <w:name w:val="Balloon Text Char"/>
    <w:link w:val="BalloonText"/>
    <w:rsid w:val="000601A8"/>
    <w:rPr>
      <w:rFonts w:ascii="Tahoma" w:hAnsi="Tahoma" w:cs="Tahoma"/>
      <w:sz w:val="16"/>
      <w:szCs w:val="16"/>
    </w:rPr>
  </w:style>
  <w:style w:type="paragraph" w:styleId="ListParagraph">
    <w:name w:val="List Paragraph"/>
    <w:basedOn w:val="Normal"/>
    <w:uiPriority w:val="34"/>
    <w:qFormat/>
    <w:rsid w:val="00E42D5B"/>
    <w:pPr>
      <w:ind w:left="720"/>
      <w:contextualSpacing/>
    </w:pPr>
  </w:style>
  <w:style w:type="paragraph" w:styleId="Revision">
    <w:name w:val="Revision"/>
    <w:hidden/>
    <w:uiPriority w:val="99"/>
    <w:semiHidden/>
    <w:rsid w:val="009D5454"/>
    <w:rPr>
      <w:sz w:val="24"/>
      <w:szCs w:val="24"/>
    </w:rPr>
  </w:style>
  <w:style w:type="paragraph" w:styleId="Header">
    <w:name w:val="header"/>
    <w:basedOn w:val="Normal"/>
    <w:link w:val="HeaderChar"/>
    <w:unhideWhenUsed/>
    <w:rsid w:val="002F0DBD"/>
    <w:pPr>
      <w:tabs>
        <w:tab w:val="center" w:pos="4680"/>
        <w:tab w:val="right" w:pos="9360"/>
      </w:tabs>
    </w:pPr>
  </w:style>
  <w:style w:type="character" w:customStyle="1" w:styleId="HeaderChar">
    <w:name w:val="Header Char"/>
    <w:basedOn w:val="DefaultParagraphFont"/>
    <w:link w:val="Header"/>
    <w:rsid w:val="002F0DBD"/>
    <w:rPr>
      <w:sz w:val="24"/>
      <w:szCs w:val="24"/>
    </w:rPr>
  </w:style>
  <w:style w:type="character" w:customStyle="1" w:styleId="Heading2Char">
    <w:name w:val="Heading 2 Char"/>
    <w:basedOn w:val="DefaultParagraphFont"/>
    <w:link w:val="Heading2"/>
    <w:rsid w:val="00764DFE"/>
    <w:rPr>
      <w:rFonts w:ascii="Arial" w:hAnsi="Arial" w:cs="Arial"/>
      <w:b/>
      <w:bCs/>
      <w:i/>
      <w:iCs/>
      <w:sz w:val="28"/>
      <w:szCs w:val="28"/>
    </w:rPr>
  </w:style>
  <w:style w:type="paragraph" w:styleId="FootnoteText">
    <w:name w:val="footnote text"/>
    <w:basedOn w:val="Normal"/>
    <w:link w:val="FootnoteTextChar"/>
    <w:semiHidden/>
    <w:unhideWhenUsed/>
    <w:rsid w:val="005767B0"/>
    <w:rPr>
      <w:sz w:val="20"/>
      <w:szCs w:val="20"/>
    </w:rPr>
  </w:style>
  <w:style w:type="character" w:customStyle="1" w:styleId="FootnoteTextChar">
    <w:name w:val="Footnote Text Char"/>
    <w:basedOn w:val="DefaultParagraphFont"/>
    <w:link w:val="FootnoteText"/>
    <w:semiHidden/>
    <w:rsid w:val="005767B0"/>
  </w:style>
  <w:style w:type="character" w:styleId="FootnoteReference">
    <w:name w:val="footnote reference"/>
    <w:basedOn w:val="DefaultParagraphFont"/>
    <w:semiHidden/>
    <w:unhideWhenUsed/>
    <w:rsid w:val="005767B0"/>
    <w:rPr>
      <w:vertAlign w:val="superscript"/>
    </w:rPr>
  </w:style>
  <w:style w:type="character" w:styleId="Hyperlink">
    <w:name w:val="Hyperlink"/>
    <w:basedOn w:val="DefaultParagraphFont"/>
    <w:unhideWhenUsed/>
    <w:rsid w:val="001C157D"/>
    <w:rPr>
      <w:color w:val="0563C1" w:themeColor="hyperlink"/>
      <w:u w:val="single"/>
    </w:rPr>
  </w:style>
  <w:style w:type="character" w:styleId="UnresolvedMention">
    <w:name w:val="Unresolved Mention"/>
    <w:basedOn w:val="DefaultParagraphFont"/>
    <w:uiPriority w:val="99"/>
    <w:semiHidden/>
    <w:unhideWhenUsed/>
    <w:rsid w:val="001C157D"/>
    <w:rPr>
      <w:color w:val="605E5C"/>
      <w:shd w:val="clear" w:color="auto" w:fill="E1DFDD"/>
    </w:rPr>
  </w:style>
  <w:style w:type="table" w:styleId="TableGrid">
    <w:name w:val="Table Grid"/>
    <w:basedOn w:val="TableNormal"/>
    <w:uiPriority w:val="59"/>
    <w:rsid w:val="0054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A0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47503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22AEC1E8-DEA0-474C-B4C3-E25A60EADD05}">
  <ds:schemaRefs>
    <ds:schemaRef ds:uri="http://schemas.openxmlformats.org/officeDocument/2006/bibliography"/>
  </ds:schemaRefs>
</ds:datastoreItem>
</file>

<file path=customXml/itemProps2.xml><?xml version="1.0" encoding="utf-8"?>
<ds:datastoreItem xmlns:ds="http://schemas.openxmlformats.org/officeDocument/2006/customXml" ds:itemID="{3E3A170B-A65E-4199-B911-21CDB22C3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A8BC6-8EC1-4398-8D34-6715698D7625}">
  <ds:schemaRefs>
    <ds:schemaRef ds:uri="http://schemas.microsoft.com/sharepoint/v3/contenttype/forms"/>
  </ds:schemaRefs>
</ds:datastoreItem>
</file>

<file path=customXml/itemProps4.xml><?xml version="1.0" encoding="utf-8"?>
<ds:datastoreItem xmlns:ds="http://schemas.openxmlformats.org/officeDocument/2006/customXml" ds:itemID="{540014EC-5401-4647-A3B5-48FA14D44BB6}">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Davalos, Jeana (ATF)</dc:creator>
  <cp:lastModifiedBy>Holmes-Brooks, Colette N. (ATF) (CTR)</cp:lastModifiedBy>
  <cp:revision>2</cp:revision>
  <dcterms:created xsi:type="dcterms:W3CDTF">2026-01-21T20:38:00Z</dcterms:created>
  <dcterms:modified xsi:type="dcterms:W3CDTF">2026-01-21T20:38:00Z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y fmtid="{D5CDD505-2E9C-101B-9397-08002B2CF9AE}" pid="4" name="_NewReviewCycle">
    <vt:lpwstr/>
  </property>
</Properties>
</file>