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15F2A" w:rsidRPr="00F13168" w:rsidP="00106997" w14:paraId="0D3E3392" w14:textId="77777777">
      <w:pPr>
        <w:pStyle w:val="Heading1"/>
        <w:keepNext w:val="0"/>
        <w:widowControl w:val="0"/>
        <w:tabs>
          <w:tab w:val="left" w:pos="2790"/>
        </w:tabs>
        <w:contextualSpacing/>
        <w:rPr>
          <w:sz w:val="24"/>
        </w:rPr>
      </w:pPr>
      <w:r w:rsidRPr="00F13168">
        <w:rPr>
          <w:sz w:val="24"/>
        </w:rPr>
        <w:t>Department of Justice</w:t>
      </w:r>
    </w:p>
    <w:p w:rsidR="00415F2A" w:rsidRPr="00F13168" w:rsidP="00106997" w14:paraId="264D2BB4" w14:textId="79B73F04">
      <w:pPr>
        <w:pStyle w:val="Heading1"/>
        <w:keepNext w:val="0"/>
        <w:widowControl w:val="0"/>
        <w:contextualSpacing/>
        <w:rPr>
          <w:sz w:val="24"/>
        </w:rPr>
      </w:pPr>
      <w:r w:rsidRPr="00F13168">
        <w:rPr>
          <w:sz w:val="24"/>
        </w:rPr>
        <w:t>Bureau of Alcohol, Tobacco, Firearms</w:t>
      </w:r>
      <w:r w:rsidR="00E67D1F">
        <w:rPr>
          <w:sz w:val="24"/>
        </w:rPr>
        <w:t>,</w:t>
      </w:r>
      <w:r w:rsidRPr="00F13168">
        <w:rPr>
          <w:sz w:val="24"/>
        </w:rPr>
        <w:t xml:space="preserve"> and Explosives</w:t>
      </w:r>
      <w:r w:rsidR="002B5125">
        <w:rPr>
          <w:sz w:val="24"/>
        </w:rPr>
        <w:t xml:space="preserve"> (ATF)</w:t>
      </w:r>
    </w:p>
    <w:p w:rsidR="002B5125" w:rsidRPr="002B5125" w:rsidP="00106997" w14:paraId="4B4184A8" w14:textId="6B047E04">
      <w:pPr>
        <w:widowControl w:val="0"/>
        <w:contextualSpacing/>
        <w:jc w:val="center"/>
      </w:pPr>
      <w:r>
        <w:t>Information Collection Request (ICR)</w:t>
      </w:r>
    </w:p>
    <w:p w:rsidR="00415F2A" w:rsidRPr="00F13168" w:rsidP="00106997" w14:paraId="2F3D1BD6" w14:textId="176E9B5F">
      <w:pPr>
        <w:widowControl w:val="0"/>
        <w:contextualSpacing/>
        <w:jc w:val="center"/>
      </w:pPr>
      <w:r>
        <w:t>OMB 1140-0091</w:t>
      </w:r>
    </w:p>
    <w:p w:rsidR="00415F2A" w:rsidRPr="0010231E" w:rsidP="00106997" w14:paraId="5661B376" w14:textId="7FE31ABF">
      <w:pPr>
        <w:widowControl w:val="0"/>
        <w:contextualSpacing/>
        <w:jc w:val="center"/>
        <w:rPr>
          <w:b/>
        </w:rPr>
      </w:pPr>
      <w:r>
        <w:rPr>
          <w:b/>
        </w:rPr>
        <w:t>National Response Team</w:t>
      </w:r>
      <w:r w:rsidR="009372C6">
        <w:rPr>
          <w:b/>
        </w:rPr>
        <w:t xml:space="preserve"> (NRT)</w:t>
      </w:r>
      <w:r>
        <w:rPr>
          <w:b/>
        </w:rPr>
        <w:t xml:space="preserve"> Customer Satisfaction Survey</w:t>
      </w:r>
    </w:p>
    <w:p w:rsidR="006366BF" w:rsidP="00106997" w14:paraId="035B689D" w14:textId="77777777">
      <w:pPr>
        <w:widowControl w:val="0"/>
        <w:contextualSpacing/>
      </w:pPr>
    </w:p>
    <w:p w:rsidR="00595830" w:rsidRPr="006366BF" w:rsidP="00106997" w14:paraId="26F2DF20" w14:textId="34AE0932">
      <w:pPr>
        <w:widowControl w:val="0"/>
        <w:contextualSpacing/>
        <w:jc w:val="center"/>
        <w:rPr>
          <w:b/>
          <w:bCs/>
        </w:rPr>
      </w:pPr>
      <w:r>
        <w:rPr>
          <w:b/>
          <w:bCs/>
        </w:rPr>
        <w:t>SUPPORTING STATEMENT</w:t>
      </w:r>
    </w:p>
    <w:p w:rsidR="00DB09BE" w:rsidRPr="00F13168" w:rsidP="00106997" w14:paraId="0159C141" w14:textId="288CDA38">
      <w:pPr>
        <w:widowControl w:val="0"/>
        <w:tabs>
          <w:tab w:val="left" w:pos="3410"/>
        </w:tabs>
        <w:contextualSpacing/>
      </w:pPr>
      <w:r>
        <w:tab/>
      </w:r>
    </w:p>
    <w:p w:rsidR="00415F2A" w:rsidRPr="00810884" w:rsidP="00106997" w14:paraId="6B578565" w14:textId="18F91A37">
      <w:pPr>
        <w:rPr>
          <w:b/>
          <w:bCs/>
        </w:rPr>
      </w:pPr>
      <w:r w:rsidRPr="00810884">
        <w:rPr>
          <w:b/>
          <w:bCs/>
        </w:rPr>
        <w:t xml:space="preserve">A. </w:t>
      </w:r>
      <w:r w:rsidRPr="00810884" w:rsidR="00064742">
        <w:rPr>
          <w:b/>
          <w:bCs/>
        </w:rPr>
        <w:t>JUSTIFICATION</w:t>
      </w:r>
    </w:p>
    <w:p w:rsidR="00415F2A" w:rsidRPr="00F13168" w:rsidP="00106997" w14:paraId="17A56908" w14:textId="77777777">
      <w:pPr>
        <w:pStyle w:val="BodyText"/>
        <w:widowControl w:val="0"/>
        <w:contextualSpacing/>
        <w:rPr>
          <w:sz w:val="24"/>
        </w:rPr>
      </w:pPr>
    </w:p>
    <w:p w:rsidR="00064742" w:rsidRPr="00C23CAC" w:rsidP="00106997" w14:paraId="3AA7F8A9" w14:textId="23539A19">
      <w:pPr>
        <w:pStyle w:val="BodyText"/>
        <w:widowControl w:val="0"/>
        <w:contextualSpacing/>
        <w:rPr>
          <w:sz w:val="22"/>
          <w:szCs w:val="22"/>
        </w:rPr>
      </w:pPr>
      <w:r>
        <w:rPr>
          <w:b/>
          <w:bCs/>
          <w:sz w:val="24"/>
          <w:szCs w:val="22"/>
        </w:rPr>
        <w:t>1.</w:t>
      </w:r>
      <w:r w:rsidR="007031D8">
        <w:rPr>
          <w:b/>
          <w:bCs/>
          <w:sz w:val="24"/>
          <w:szCs w:val="22"/>
        </w:rPr>
        <w:t xml:space="preserve"> </w:t>
      </w:r>
      <w:r w:rsidRPr="00C23CAC" w:rsidR="001D4785">
        <w:rPr>
          <w:b/>
          <w:bCs/>
          <w:sz w:val="24"/>
          <w:szCs w:val="22"/>
        </w:rPr>
        <w:t>Explain the circumstances that make the information collection necessary.</w:t>
      </w:r>
    </w:p>
    <w:p w:rsidR="008924FD" w:rsidP="00106997" w14:paraId="04C354E4" w14:textId="77777777">
      <w:pPr>
        <w:pStyle w:val="BodyText"/>
        <w:widowControl w:val="0"/>
        <w:contextualSpacing/>
        <w:rPr>
          <w:sz w:val="24"/>
        </w:rPr>
      </w:pPr>
    </w:p>
    <w:p w:rsidR="00415F2A" w:rsidP="00106997" w14:paraId="3FBB2828" w14:textId="55069ABF">
      <w:pPr>
        <w:pStyle w:val="BodyText"/>
        <w:widowControl w:val="0"/>
        <w:contextualSpacing/>
        <w:rPr>
          <w:sz w:val="24"/>
        </w:rPr>
      </w:pPr>
      <w:r w:rsidRPr="0024481D">
        <w:rPr>
          <w:sz w:val="24"/>
        </w:rPr>
        <w:t xml:space="preserve">The </w:t>
      </w:r>
      <w:r w:rsidRPr="0024481D" w:rsidR="0024481D">
        <w:rPr>
          <w:sz w:val="24"/>
        </w:rPr>
        <w:t xml:space="preserve">Government Performance and Results Act (GPRA) of 1993 </w:t>
      </w:r>
      <w:r w:rsidRPr="0024481D" w:rsidR="00C73237">
        <w:rPr>
          <w:sz w:val="24"/>
        </w:rPr>
        <w:t>require</w:t>
      </w:r>
      <w:r w:rsidR="00C73237">
        <w:rPr>
          <w:sz w:val="24"/>
        </w:rPr>
        <w:t>s</w:t>
      </w:r>
      <w:r w:rsidRPr="0024481D" w:rsidR="00C73237">
        <w:rPr>
          <w:sz w:val="24"/>
        </w:rPr>
        <w:t xml:space="preserve"> </w:t>
      </w:r>
      <w:r w:rsidRPr="0024481D" w:rsidR="0024481D">
        <w:rPr>
          <w:sz w:val="24"/>
        </w:rPr>
        <w:t xml:space="preserve">that each </w:t>
      </w:r>
      <w:r w:rsidR="00FB51B9">
        <w:rPr>
          <w:sz w:val="24"/>
        </w:rPr>
        <w:t>g</w:t>
      </w:r>
      <w:r w:rsidRPr="0024481D" w:rsidR="0024481D">
        <w:rPr>
          <w:sz w:val="24"/>
        </w:rPr>
        <w:t>overnment agency maximize resources, establish clear focus, set priorities, develop more realistic goals or more innovative measurements, and permit the allocation and use of available resources for specific priorities. The purpose of performance measure</w:t>
      </w:r>
      <w:r w:rsidR="002E0549">
        <w:rPr>
          <w:sz w:val="24"/>
        </w:rPr>
        <w:t>ment</w:t>
      </w:r>
      <w:r w:rsidR="00C73237">
        <w:rPr>
          <w:sz w:val="24"/>
        </w:rPr>
        <w:t xml:space="preserve"> initiatives</w:t>
      </w:r>
      <w:r w:rsidRPr="0024481D" w:rsidR="0024481D">
        <w:rPr>
          <w:sz w:val="24"/>
        </w:rPr>
        <w:t xml:space="preserve"> is to capture data that permits </w:t>
      </w:r>
      <w:r w:rsidR="005E72A7">
        <w:rPr>
          <w:sz w:val="24"/>
        </w:rPr>
        <w:t xml:space="preserve">an </w:t>
      </w:r>
      <w:r w:rsidRPr="0024481D" w:rsidR="0024481D">
        <w:rPr>
          <w:sz w:val="24"/>
        </w:rPr>
        <w:t>accurate assessment of program activities.</w:t>
      </w:r>
      <w:r w:rsidR="00C73237">
        <w:rPr>
          <w:sz w:val="24"/>
        </w:rPr>
        <w:t xml:space="preserve"> </w:t>
      </w:r>
      <w:r w:rsidR="00FB51B9">
        <w:rPr>
          <w:sz w:val="24"/>
        </w:rPr>
        <w:t>ATF uses t</w:t>
      </w:r>
      <w:r w:rsidRPr="0024481D" w:rsidR="0024481D">
        <w:rPr>
          <w:sz w:val="24"/>
        </w:rPr>
        <w:t>he National Response Team (NRT) survey to support a performance measure</w:t>
      </w:r>
      <w:r w:rsidR="002E0549">
        <w:rPr>
          <w:sz w:val="24"/>
        </w:rPr>
        <w:t>ment</w:t>
      </w:r>
      <w:r w:rsidRPr="0024481D" w:rsidR="0024481D">
        <w:rPr>
          <w:sz w:val="24"/>
        </w:rPr>
        <w:t xml:space="preserve"> </w:t>
      </w:r>
      <w:r w:rsidR="00F52DB2">
        <w:rPr>
          <w:sz w:val="24"/>
        </w:rPr>
        <w:t>mechanism</w:t>
      </w:r>
      <w:r w:rsidR="005E72A7">
        <w:rPr>
          <w:sz w:val="24"/>
        </w:rPr>
        <w:t xml:space="preserve"> </w:t>
      </w:r>
      <w:r w:rsidRPr="0024481D" w:rsidR="005E72A7">
        <w:rPr>
          <w:sz w:val="24"/>
        </w:rPr>
        <w:t>and</w:t>
      </w:r>
      <w:r w:rsidR="005E72A7">
        <w:rPr>
          <w:sz w:val="24"/>
        </w:rPr>
        <w:t xml:space="preserve"> </w:t>
      </w:r>
      <w:r w:rsidRPr="0024481D" w:rsidR="0024481D">
        <w:rPr>
          <w:sz w:val="24"/>
        </w:rPr>
        <w:t xml:space="preserve">to assess strengths and weaknesses of </w:t>
      </w:r>
      <w:r w:rsidR="005560E6">
        <w:rPr>
          <w:sz w:val="24"/>
        </w:rPr>
        <w:t>this</w:t>
      </w:r>
      <w:r w:rsidRPr="0024481D" w:rsidR="0024481D">
        <w:rPr>
          <w:sz w:val="24"/>
        </w:rPr>
        <w:t xml:space="preserve"> major program.  </w:t>
      </w:r>
    </w:p>
    <w:p w:rsidR="0024481D" w:rsidRPr="0024481D" w:rsidP="00106997" w14:paraId="01E53E2B" w14:textId="77777777">
      <w:pPr>
        <w:pStyle w:val="BodyText"/>
        <w:widowControl w:val="0"/>
        <w:tabs>
          <w:tab w:val="num" w:pos="360"/>
        </w:tabs>
        <w:contextualSpacing/>
        <w:rPr>
          <w:sz w:val="24"/>
        </w:rPr>
      </w:pPr>
    </w:p>
    <w:p w:rsidR="008F7FEC" w:rsidP="00106997" w14:paraId="610C99FB" w14:textId="72FC3DEC">
      <w:pPr>
        <w:pStyle w:val="BodyTextIndent3"/>
        <w:widowControl w:val="0"/>
        <w:ind w:left="0" w:firstLine="0"/>
        <w:contextualSpacing/>
        <w:rPr>
          <w:b/>
          <w:bCs/>
          <w:sz w:val="24"/>
        </w:rPr>
      </w:pPr>
      <w:r>
        <w:rPr>
          <w:b/>
          <w:bCs/>
          <w:sz w:val="24"/>
        </w:rPr>
        <w:t>2.</w:t>
      </w:r>
      <w:r w:rsidR="007031D8">
        <w:rPr>
          <w:b/>
          <w:bCs/>
          <w:sz w:val="24"/>
        </w:rPr>
        <w:t xml:space="preserve"> </w:t>
      </w:r>
      <w:r w:rsidRPr="008F7FEC">
        <w:rPr>
          <w:b/>
          <w:bCs/>
          <w:sz w:val="24"/>
        </w:rPr>
        <w:t>Indicate how, by whom, and for what purpose the information will be used.</w:t>
      </w:r>
    </w:p>
    <w:p w:rsidR="008924FD" w:rsidP="00106997" w14:paraId="07C3EF55" w14:textId="77777777">
      <w:pPr>
        <w:pStyle w:val="BodyTextIndent3"/>
        <w:widowControl w:val="0"/>
        <w:ind w:left="0" w:firstLine="0"/>
        <w:contextualSpacing/>
        <w:rPr>
          <w:sz w:val="24"/>
        </w:rPr>
      </w:pPr>
    </w:p>
    <w:p w:rsidR="00415F2A" w:rsidRPr="00F13168" w:rsidP="00106997" w14:paraId="528EA361" w14:textId="0C736FCB">
      <w:pPr>
        <w:pStyle w:val="BodyTextIndent3"/>
        <w:widowControl w:val="0"/>
        <w:ind w:left="0" w:firstLine="0"/>
        <w:contextualSpacing/>
        <w:rPr>
          <w:sz w:val="24"/>
        </w:rPr>
      </w:pPr>
      <w:r w:rsidRPr="00F13168">
        <w:rPr>
          <w:sz w:val="24"/>
        </w:rPr>
        <w:t>ATF’s arson and explosives</w:t>
      </w:r>
      <w:r w:rsidRPr="00F13168" w:rsidR="00F77B38">
        <w:rPr>
          <w:sz w:val="24"/>
        </w:rPr>
        <w:t xml:space="preserve"> </w:t>
      </w:r>
      <w:r w:rsidRPr="00F13168" w:rsidR="00A0582B">
        <w:rPr>
          <w:sz w:val="24"/>
        </w:rPr>
        <w:t>NRT</w:t>
      </w:r>
      <w:r w:rsidR="00A31F33">
        <w:rPr>
          <w:sz w:val="24"/>
        </w:rPr>
        <w:t>s</w:t>
      </w:r>
      <w:r w:rsidRPr="00F13168" w:rsidR="00A0582B">
        <w:rPr>
          <w:sz w:val="24"/>
        </w:rPr>
        <w:t xml:space="preserve"> </w:t>
      </w:r>
      <w:r w:rsidRPr="00F13168" w:rsidR="00F77B38">
        <w:rPr>
          <w:sz w:val="24"/>
        </w:rPr>
        <w:t xml:space="preserve">provide explosives and fire investigative resources and expertise on incidents and investigations that are beyond </w:t>
      </w:r>
      <w:r w:rsidR="005E72A7">
        <w:rPr>
          <w:sz w:val="24"/>
        </w:rPr>
        <w:t>the existing capacity o</w:t>
      </w:r>
      <w:r w:rsidR="00105149">
        <w:rPr>
          <w:sz w:val="24"/>
        </w:rPr>
        <w:t>f</w:t>
      </w:r>
      <w:r w:rsidR="005E72A7">
        <w:rPr>
          <w:sz w:val="24"/>
        </w:rPr>
        <w:t xml:space="preserve"> o</w:t>
      </w:r>
      <w:r w:rsidRPr="00F13168" w:rsidR="00F77B38">
        <w:rPr>
          <w:sz w:val="24"/>
        </w:rPr>
        <w:t xml:space="preserve">ther </w:t>
      </w:r>
      <w:r w:rsidR="00A31F33">
        <w:rPr>
          <w:sz w:val="24"/>
        </w:rPr>
        <w:t>f</w:t>
      </w:r>
      <w:r w:rsidRPr="00F13168" w:rsidR="00F77B38">
        <w:rPr>
          <w:sz w:val="24"/>
        </w:rPr>
        <w:t xml:space="preserve">ederal, </w:t>
      </w:r>
      <w:r w:rsidR="00A31F33">
        <w:rPr>
          <w:sz w:val="24"/>
        </w:rPr>
        <w:t>s</w:t>
      </w:r>
      <w:r w:rsidRPr="00F13168" w:rsidR="00F77B38">
        <w:rPr>
          <w:sz w:val="24"/>
        </w:rPr>
        <w:t xml:space="preserve">tate, and local agencies and/or ATF field divisions. The NRT </w:t>
      </w:r>
      <w:r w:rsidR="009C02EF">
        <w:rPr>
          <w:sz w:val="24"/>
        </w:rPr>
        <w:t>ensures</w:t>
      </w:r>
      <w:r w:rsidRPr="00F13168" w:rsidR="00F77B38">
        <w:rPr>
          <w:sz w:val="24"/>
        </w:rPr>
        <w:t xml:space="preserve"> immediate and sustained nationwide response to </w:t>
      </w:r>
      <w:r w:rsidR="00A7481A">
        <w:rPr>
          <w:sz w:val="24"/>
        </w:rPr>
        <w:t>these</w:t>
      </w:r>
      <w:r w:rsidRPr="00F13168" w:rsidR="00A7481A">
        <w:rPr>
          <w:sz w:val="24"/>
        </w:rPr>
        <w:t xml:space="preserve"> </w:t>
      </w:r>
      <w:r w:rsidRPr="00F13168" w:rsidR="00F77B38">
        <w:rPr>
          <w:sz w:val="24"/>
        </w:rPr>
        <w:t xml:space="preserve">situations </w:t>
      </w:r>
      <w:r w:rsidR="00C73237">
        <w:rPr>
          <w:sz w:val="24"/>
        </w:rPr>
        <w:t>by</w:t>
      </w:r>
      <w:r w:rsidRPr="00F13168" w:rsidR="00C73237">
        <w:rPr>
          <w:sz w:val="24"/>
        </w:rPr>
        <w:t xml:space="preserve"> </w:t>
      </w:r>
      <w:r w:rsidRPr="00F13168" w:rsidR="00F77B38">
        <w:rPr>
          <w:sz w:val="24"/>
        </w:rPr>
        <w:t xml:space="preserve">the most qualified </w:t>
      </w:r>
      <w:r w:rsidR="00C73237">
        <w:rPr>
          <w:sz w:val="24"/>
        </w:rPr>
        <w:t xml:space="preserve">ATF </w:t>
      </w:r>
      <w:r w:rsidRPr="00F13168" w:rsidR="00F77B38">
        <w:rPr>
          <w:sz w:val="24"/>
        </w:rPr>
        <w:t xml:space="preserve">personnel. </w:t>
      </w:r>
      <w:r w:rsidR="00C73237">
        <w:rPr>
          <w:sz w:val="24"/>
        </w:rPr>
        <w:t xml:space="preserve">In particular, </w:t>
      </w:r>
      <w:r w:rsidRPr="00F13168" w:rsidR="00F77B38">
        <w:rPr>
          <w:sz w:val="24"/>
        </w:rPr>
        <w:t>NRT</w:t>
      </w:r>
      <w:r w:rsidRPr="00F13168" w:rsidR="00F77B38">
        <w:rPr>
          <w:sz w:val="24"/>
        </w:rPr>
        <w:t xml:space="preserve"> </w:t>
      </w:r>
      <w:r w:rsidR="00B166F3">
        <w:rPr>
          <w:sz w:val="24"/>
        </w:rPr>
        <w:t xml:space="preserve">personnel </w:t>
      </w:r>
      <w:r w:rsidRPr="00F13168" w:rsidR="00F77B38">
        <w:rPr>
          <w:sz w:val="24"/>
        </w:rPr>
        <w:t xml:space="preserve">work </w:t>
      </w:r>
      <w:r w:rsidR="00B166F3">
        <w:rPr>
          <w:sz w:val="24"/>
        </w:rPr>
        <w:t xml:space="preserve">alongside </w:t>
      </w:r>
      <w:r w:rsidRPr="00F13168" w:rsidR="00F77B38">
        <w:rPr>
          <w:sz w:val="24"/>
        </w:rPr>
        <w:t xml:space="preserve">the members of other agencies </w:t>
      </w:r>
      <w:r w:rsidR="005415B3">
        <w:rPr>
          <w:sz w:val="24"/>
        </w:rPr>
        <w:t>during difficult</w:t>
      </w:r>
      <w:r w:rsidRPr="00F13168" w:rsidR="00F77B38">
        <w:rPr>
          <w:sz w:val="24"/>
        </w:rPr>
        <w:t xml:space="preserve"> circumstances</w:t>
      </w:r>
      <w:r w:rsidR="009C02EF">
        <w:rPr>
          <w:sz w:val="24"/>
        </w:rPr>
        <w:t xml:space="preserve"> to </w:t>
      </w:r>
      <w:r w:rsidR="00A7481A">
        <w:rPr>
          <w:sz w:val="24"/>
        </w:rPr>
        <w:t xml:space="preserve">execute </w:t>
      </w:r>
      <w:r w:rsidR="009C02EF">
        <w:rPr>
          <w:sz w:val="24"/>
        </w:rPr>
        <w:t>their responsibilities.</w:t>
      </w:r>
    </w:p>
    <w:p w:rsidR="00EB2125" w:rsidP="00106997" w14:paraId="4CE9199C" w14:textId="77777777">
      <w:pPr>
        <w:pStyle w:val="BodyTextIndent3"/>
        <w:widowControl w:val="0"/>
        <w:ind w:left="0" w:firstLine="0"/>
        <w:contextualSpacing/>
        <w:rPr>
          <w:sz w:val="24"/>
        </w:rPr>
      </w:pPr>
    </w:p>
    <w:p w:rsidR="00EB2125" w:rsidRPr="00BC1324" w:rsidP="00106997" w14:paraId="797BE4F7" w14:textId="60BDFC24">
      <w:pPr>
        <w:pStyle w:val="BodyTextIndent3"/>
        <w:widowControl w:val="0"/>
        <w:ind w:left="0" w:firstLine="0"/>
        <w:contextualSpacing/>
        <w:rPr>
          <w:sz w:val="22"/>
          <w:szCs w:val="22"/>
        </w:rPr>
      </w:pPr>
      <w:r w:rsidRPr="00BC1324">
        <w:rPr>
          <w:sz w:val="24"/>
          <w:szCs w:val="22"/>
        </w:rPr>
        <w:t>ATF seeks every opportunity to identify and resolve all obstacles that may challenge the efficiency</w:t>
      </w:r>
      <w:r w:rsidR="00FB5CA6">
        <w:rPr>
          <w:sz w:val="24"/>
          <w:szCs w:val="22"/>
        </w:rPr>
        <w:t xml:space="preserve"> and</w:t>
      </w:r>
      <w:r w:rsidRPr="00BC1324">
        <w:rPr>
          <w:sz w:val="24"/>
          <w:szCs w:val="22"/>
        </w:rPr>
        <w:t xml:space="preserve"> proficiency</w:t>
      </w:r>
      <w:r w:rsidR="00FB5CA6">
        <w:rPr>
          <w:sz w:val="24"/>
          <w:szCs w:val="22"/>
        </w:rPr>
        <w:t xml:space="preserve"> of responses</w:t>
      </w:r>
      <w:r w:rsidRPr="00BC1324">
        <w:rPr>
          <w:sz w:val="24"/>
          <w:szCs w:val="22"/>
        </w:rPr>
        <w:t xml:space="preserve"> and </w:t>
      </w:r>
      <w:r w:rsidR="00122195">
        <w:rPr>
          <w:sz w:val="24"/>
          <w:szCs w:val="22"/>
        </w:rPr>
        <w:t xml:space="preserve">the </w:t>
      </w:r>
      <w:r w:rsidRPr="00BC1324">
        <w:rPr>
          <w:sz w:val="24"/>
          <w:szCs w:val="22"/>
        </w:rPr>
        <w:t xml:space="preserve">inter-agency cooperation which are critical to NRT operations. To that end, ATF has been administering surveys </w:t>
      </w:r>
      <w:r w:rsidR="00F52DB2">
        <w:rPr>
          <w:sz w:val="24"/>
          <w:szCs w:val="22"/>
        </w:rPr>
        <w:t xml:space="preserve">after all NRT responses </w:t>
      </w:r>
      <w:r w:rsidRPr="00BC1324">
        <w:rPr>
          <w:sz w:val="24"/>
          <w:szCs w:val="22"/>
        </w:rPr>
        <w:t xml:space="preserve">to </w:t>
      </w:r>
      <w:r w:rsidR="00122195">
        <w:rPr>
          <w:sz w:val="24"/>
          <w:szCs w:val="22"/>
        </w:rPr>
        <w:t>organizations</w:t>
      </w:r>
      <w:r w:rsidRPr="00BC1324">
        <w:rPr>
          <w:sz w:val="24"/>
          <w:szCs w:val="22"/>
        </w:rPr>
        <w:t xml:space="preserve"> that request NRT assistance. </w:t>
      </w:r>
      <w:r w:rsidR="00F52DB2">
        <w:rPr>
          <w:sz w:val="24"/>
          <w:szCs w:val="22"/>
        </w:rPr>
        <w:t>ATF uses the</w:t>
      </w:r>
      <w:r w:rsidRPr="00BC1324">
        <w:rPr>
          <w:sz w:val="24"/>
          <w:szCs w:val="22"/>
        </w:rPr>
        <w:t xml:space="preserve"> information captured by the surveys is used to support a performance measurement mechanism, and to ensure that the services provided by the NRT continue to be relevant and of the highest caliber.</w:t>
      </w:r>
    </w:p>
    <w:p w:rsidR="00F77B38" w:rsidRPr="00BC1324" w:rsidP="00106997" w14:paraId="451E9D14" w14:textId="77777777">
      <w:pPr>
        <w:pStyle w:val="BodyTextIndent3"/>
        <w:widowControl w:val="0"/>
        <w:tabs>
          <w:tab w:val="num" w:pos="360"/>
          <w:tab w:val="left" w:pos="450"/>
          <w:tab w:val="num" w:pos="540"/>
        </w:tabs>
        <w:ind w:left="0" w:firstLine="0"/>
        <w:contextualSpacing/>
        <w:rPr>
          <w:sz w:val="22"/>
          <w:szCs w:val="22"/>
        </w:rPr>
      </w:pPr>
    </w:p>
    <w:p w:rsidR="008F7FEC" w:rsidP="00106997" w14:paraId="200034E4" w14:textId="5DA1E642">
      <w:pPr>
        <w:widowControl w:val="0"/>
        <w:contextualSpacing/>
        <w:rPr>
          <w:b/>
          <w:bCs/>
        </w:rPr>
      </w:pPr>
      <w:r>
        <w:rPr>
          <w:b/>
          <w:bCs/>
        </w:rPr>
        <w:t>3.</w:t>
      </w:r>
      <w:r w:rsidR="007031D8">
        <w:rPr>
          <w:b/>
          <w:bCs/>
        </w:rPr>
        <w:t xml:space="preserve"> </w:t>
      </w:r>
      <w:r w:rsidRPr="00A14388" w:rsidR="00A14388">
        <w:rPr>
          <w:b/>
          <w:bCs/>
        </w:rPr>
        <w:t xml:space="preserve">Describe whether, and to what extent, the information collection involves using automated, electronic, mechanical, or other technological collection techniques or other forms of information technology, </w:t>
      </w:r>
      <w:r w:rsidRPr="00A917A9" w:rsidR="00A14388">
        <w:rPr>
          <w:b/>
          <w:bCs/>
          <w:i/>
          <w:iCs/>
        </w:rPr>
        <w:t>e.g</w:t>
      </w:r>
      <w:r w:rsidRPr="00A14388" w:rsidR="00A14388">
        <w:rPr>
          <w:b/>
          <w:bCs/>
        </w:rPr>
        <w:t xml:space="preserve">., permitting electronic submission of responses, and the basis for the decision </w:t>
      </w:r>
      <w:r w:rsidRPr="00A14388" w:rsidR="00A14388">
        <w:rPr>
          <w:b/>
          <w:bCs/>
        </w:rPr>
        <w:t>for adopting</w:t>
      </w:r>
      <w:r w:rsidRPr="00A14388" w:rsidR="00A14388">
        <w:rPr>
          <w:b/>
          <w:bCs/>
        </w:rPr>
        <w:t xml:space="preserve"> this means of collection.</w:t>
      </w:r>
    </w:p>
    <w:p w:rsidR="00AB18B6" w:rsidP="00724273" w14:paraId="5AF0C5B2" w14:textId="77777777">
      <w:pPr>
        <w:widowControl w:val="0"/>
        <w:contextualSpacing/>
      </w:pPr>
    </w:p>
    <w:p w:rsidR="00A0582B" w:rsidRPr="00F13168" w:rsidP="00106997" w14:paraId="427CD4C5" w14:textId="521C19C3">
      <w:pPr>
        <w:widowControl w:val="0"/>
        <w:contextualSpacing/>
      </w:pPr>
      <w:r>
        <w:t xml:space="preserve">ATF initially sent the surveys by mail, but the response and return rates were often low and unpredictable. </w:t>
      </w:r>
      <w:r>
        <w:t>In order to</w:t>
      </w:r>
      <w:r>
        <w:t xml:space="preserve"> improve the response rate and reduce the cost burden to the </w:t>
      </w:r>
      <w:r w:rsidR="00453FC1">
        <w:t>g</w:t>
      </w:r>
      <w:r>
        <w:t xml:space="preserve">overnment and the </w:t>
      </w:r>
      <w:r>
        <w:t>respondent</w:t>
      </w:r>
      <w:r>
        <w:t xml:space="preserve">, </w:t>
      </w:r>
      <w:r w:rsidR="00824323">
        <w:t xml:space="preserve">ATF </w:t>
      </w:r>
      <w:r w:rsidR="00DB424E">
        <w:t>created</w:t>
      </w:r>
      <w:r w:rsidR="009A40A7">
        <w:t xml:space="preserve"> a web-based survey for respondents to submit</w:t>
      </w:r>
      <w:r>
        <w:t xml:space="preserve">. Specifically, </w:t>
      </w:r>
      <w:r w:rsidR="00E13FD8">
        <w:t>the survey software designed for this purpose sends a</w:t>
      </w:r>
      <w:r w:rsidR="00DB424E">
        <w:t xml:space="preserve"> link to the survey</w:t>
      </w:r>
      <w:r>
        <w:t xml:space="preserve"> to a knowledgeable member of a</w:t>
      </w:r>
      <w:r w:rsidR="00453FC1">
        <w:t xml:space="preserve">n organization </w:t>
      </w:r>
      <w:r>
        <w:t xml:space="preserve">that requested NRT assistance. </w:t>
      </w:r>
      <w:r w:rsidR="2C32BBDB">
        <w:t>Previously</w:t>
      </w:r>
      <w:r w:rsidR="00685FCD">
        <w:t>,</w:t>
      </w:r>
      <w:r w:rsidR="2C32BBDB">
        <w:t xml:space="preserve"> </w:t>
      </w:r>
      <w:r w:rsidR="00453FC1">
        <w:t xml:space="preserve">ATF sent </w:t>
      </w:r>
      <w:r w:rsidR="4CD95AD5">
        <w:t>a</w:t>
      </w:r>
      <w:r>
        <w:t xml:space="preserve">n informational email to the </w:t>
      </w:r>
      <w:r>
        <w:t>participant</w:t>
      </w:r>
      <w:r>
        <w:t xml:space="preserve"> beforehand, notifying them about the imminent arrival of the survey along with an invitation for them or another knowledgeable member of their </w:t>
      </w:r>
      <w:r w:rsidR="000D155F">
        <w:t xml:space="preserve">organization </w:t>
      </w:r>
      <w:r>
        <w:t>to respond</w:t>
      </w:r>
      <w:r w:rsidR="00DE2080">
        <w:t xml:space="preserve">, and then </w:t>
      </w:r>
      <w:r w:rsidR="00DE2080">
        <w:t>sent</w:t>
      </w:r>
      <w:r w:rsidR="00DE2080">
        <w:t xml:space="preserve"> the survey by email</w:t>
      </w:r>
      <w:r>
        <w:t>.</w:t>
      </w:r>
      <w:r w:rsidR="00952DD5">
        <w:t xml:space="preserve"> </w:t>
      </w:r>
      <w:r w:rsidR="5432F42D">
        <w:t xml:space="preserve">To streamline the process, </w:t>
      </w:r>
      <w:r w:rsidR="00952DD5">
        <w:t>respondents now receive</w:t>
      </w:r>
      <w:r w:rsidR="000D155F">
        <w:t xml:space="preserve"> </w:t>
      </w:r>
      <w:r w:rsidR="5432F42D">
        <w:t xml:space="preserve">one email </w:t>
      </w:r>
      <w:r w:rsidR="000D155F">
        <w:t>that</w:t>
      </w:r>
      <w:r w:rsidR="00DE2080">
        <w:t xml:space="preserve"> informs them of the survey and</w:t>
      </w:r>
      <w:r w:rsidR="000D155F">
        <w:t xml:space="preserve"> includes the</w:t>
      </w:r>
      <w:r w:rsidR="5432F42D">
        <w:t xml:space="preserve"> </w:t>
      </w:r>
      <w:r w:rsidR="00DE2080">
        <w:t>link</w:t>
      </w:r>
      <w:r w:rsidR="5432F42D">
        <w:t xml:space="preserve">. </w:t>
      </w:r>
      <w:r w:rsidR="00B472F0">
        <w:t>It asks for their response</w:t>
      </w:r>
      <w:r w:rsidR="008A3F65">
        <w:t xml:space="preserve"> within</w:t>
      </w:r>
      <w:r>
        <w:t xml:space="preserve"> two weeks. </w:t>
      </w:r>
      <w:r w:rsidR="00952DD5">
        <w:t>Unresponsive respondents receive</w:t>
      </w:r>
      <w:r w:rsidR="008A3F65">
        <w:t xml:space="preserve"> a</w:t>
      </w:r>
      <w:r>
        <w:t xml:space="preserve"> reminder email when the allotted two weeks </w:t>
      </w:r>
      <w:r>
        <w:t>has</w:t>
      </w:r>
      <w:r>
        <w:t xml:space="preserve"> elapsed. To date, the response to the </w:t>
      </w:r>
      <w:r w:rsidR="00467011">
        <w:t>online</w:t>
      </w:r>
      <w:r>
        <w:t xml:space="preserve"> surveys has been excellent.</w:t>
      </w:r>
    </w:p>
    <w:p w:rsidR="00415F2A" w:rsidRPr="00F13168" w:rsidP="00106997" w14:paraId="49FB4E80" w14:textId="77777777">
      <w:pPr>
        <w:pStyle w:val="BodyText"/>
        <w:widowControl w:val="0"/>
        <w:tabs>
          <w:tab w:val="num" w:pos="360"/>
          <w:tab w:val="left" w:pos="450"/>
          <w:tab w:val="num" w:pos="540"/>
        </w:tabs>
        <w:contextualSpacing/>
        <w:rPr>
          <w:sz w:val="24"/>
        </w:rPr>
      </w:pPr>
    </w:p>
    <w:p w:rsidR="00E444B8" w:rsidP="00106997" w14:paraId="4EDA39C1" w14:textId="67B01155">
      <w:pPr>
        <w:pStyle w:val="BodyText"/>
        <w:widowControl w:val="0"/>
        <w:contextualSpacing/>
        <w:rPr>
          <w:b/>
          <w:bCs/>
          <w:sz w:val="24"/>
        </w:rPr>
      </w:pPr>
      <w:r>
        <w:rPr>
          <w:b/>
          <w:bCs/>
          <w:sz w:val="24"/>
        </w:rPr>
        <w:t>4.</w:t>
      </w:r>
      <w:r w:rsidR="007031D8">
        <w:rPr>
          <w:b/>
          <w:bCs/>
          <w:sz w:val="24"/>
        </w:rPr>
        <w:t xml:space="preserve"> </w:t>
      </w:r>
      <w:r w:rsidRPr="00175C39" w:rsidR="00175C39">
        <w:rPr>
          <w:b/>
          <w:bCs/>
          <w:sz w:val="24"/>
        </w:rPr>
        <w:t>Describe efforts to identify duplication.</w:t>
      </w:r>
    </w:p>
    <w:p w:rsidR="00AB18B6" w:rsidP="00724273" w14:paraId="45C264FC" w14:textId="77777777">
      <w:pPr>
        <w:pStyle w:val="BodyTextIndent"/>
        <w:widowControl w:val="0"/>
        <w:ind w:left="0" w:firstLine="0"/>
        <w:contextualSpacing/>
        <w:rPr>
          <w:sz w:val="24"/>
        </w:rPr>
      </w:pPr>
    </w:p>
    <w:p w:rsidR="00415F2A" w:rsidP="00106997" w14:paraId="534496A7" w14:textId="3B7E713C">
      <w:pPr>
        <w:widowControl w:val="0"/>
        <w:tabs>
          <w:tab w:val="num" w:pos="360"/>
          <w:tab w:val="left" w:pos="450"/>
          <w:tab w:val="num" w:pos="540"/>
        </w:tabs>
        <w:contextualSpacing/>
      </w:pPr>
      <w:r w:rsidRPr="015F4C7F">
        <w:t>This information is not duplicative</w:t>
      </w:r>
      <w:r w:rsidR="00AE6033">
        <w:t>.</w:t>
      </w:r>
      <w:r w:rsidRPr="015F4C7F">
        <w:t xml:space="preserve"> </w:t>
      </w:r>
      <w:r w:rsidR="00CB231F">
        <w:t xml:space="preserve">Because the purpose of this ICR is to evaluate NRT performance, </w:t>
      </w:r>
      <w:r w:rsidR="008A6D7E">
        <w:t>the information must be requested from each organization and for each event in which NRT participates. It</w:t>
      </w:r>
      <w:r w:rsidR="00423754">
        <w:t xml:space="preserve">s performance could change from event to event or </w:t>
      </w:r>
      <w:r w:rsidR="00423754">
        <w:t>over time</w:t>
      </w:r>
      <w:r w:rsidR="00423754">
        <w:t>, so requesting only</w:t>
      </w:r>
      <w:r w:rsidR="00332FFF">
        <w:t xml:space="preserve"> in some cases would not be sufficient. </w:t>
      </w:r>
      <w:r w:rsidR="00190DE0">
        <w:t xml:space="preserve">The automated system ensures that only one </w:t>
      </w:r>
      <w:r w:rsidR="002914E8">
        <w:t xml:space="preserve">invitation is sent to each organization, thus avoiding duplication per respondent group, but it is necessary to request feedback from each of the organizations NRT might work with during a given event </w:t>
      </w:r>
      <w:r w:rsidR="002914E8">
        <w:t>in order to</w:t>
      </w:r>
      <w:r w:rsidR="002914E8">
        <w:t xml:space="preserve"> have f</w:t>
      </w:r>
      <w:r w:rsidR="007C0865">
        <w:t>ull assessment</w:t>
      </w:r>
      <w:r w:rsidRPr="015F4C7F">
        <w:t>.</w:t>
      </w:r>
      <w:r w:rsidR="00B16519">
        <w:t xml:space="preserve"> </w:t>
      </w:r>
      <w:r w:rsidR="00F6022D">
        <w:t>ATF does not request feedback on NRT responses by any other means, thereby also avoiding duplication.</w:t>
      </w:r>
    </w:p>
    <w:p w:rsidR="00520EE6" w:rsidRPr="00F13168" w:rsidP="00106997" w14:paraId="31BA5ACF" w14:textId="77777777">
      <w:pPr>
        <w:widowControl w:val="0"/>
        <w:tabs>
          <w:tab w:val="num" w:pos="360"/>
          <w:tab w:val="left" w:pos="450"/>
          <w:tab w:val="num" w:pos="540"/>
        </w:tabs>
        <w:contextualSpacing/>
      </w:pPr>
    </w:p>
    <w:p w:rsidR="00A91CCB" w:rsidP="00106997" w14:paraId="64A8EE8F" w14:textId="4AC33A72">
      <w:pPr>
        <w:pStyle w:val="BodyTextIndent"/>
        <w:widowControl w:val="0"/>
        <w:ind w:left="0" w:firstLine="0"/>
        <w:contextualSpacing/>
        <w:rPr>
          <w:b/>
          <w:bCs/>
          <w:sz w:val="24"/>
        </w:rPr>
      </w:pPr>
      <w:r>
        <w:rPr>
          <w:b/>
          <w:bCs/>
          <w:sz w:val="24"/>
        </w:rPr>
        <w:t>5.</w:t>
      </w:r>
      <w:r w:rsidR="007031D8">
        <w:rPr>
          <w:b/>
          <w:bCs/>
          <w:sz w:val="24"/>
        </w:rPr>
        <w:t xml:space="preserve"> </w:t>
      </w:r>
      <w:r w:rsidRPr="00F349E3" w:rsidR="00F349E3">
        <w:rPr>
          <w:b/>
          <w:bCs/>
          <w:sz w:val="24"/>
        </w:rPr>
        <w:t>If the information collection impacts small businesses or other small entities, describe any methods used to minimize burden.</w:t>
      </w:r>
    </w:p>
    <w:p w:rsidR="00E55573" w:rsidP="00724273" w14:paraId="1F0C0B7D" w14:textId="77777777">
      <w:pPr>
        <w:pStyle w:val="BodyTextIndent"/>
        <w:widowControl w:val="0"/>
        <w:ind w:left="0" w:firstLine="0"/>
        <w:contextualSpacing/>
        <w:rPr>
          <w:sz w:val="24"/>
        </w:rPr>
      </w:pPr>
    </w:p>
    <w:p w:rsidR="00415F2A" w:rsidRPr="00F13168" w:rsidP="00322F5E" w14:paraId="09547165" w14:textId="68E383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705F7">
        <w:t>This information collection does not have a significant impact on small entities.</w:t>
      </w:r>
    </w:p>
    <w:p w:rsidR="00415F2A" w:rsidRPr="00F13168" w:rsidP="00106997" w14:paraId="078ED250" w14:textId="77777777">
      <w:pPr>
        <w:widowControl w:val="0"/>
        <w:tabs>
          <w:tab w:val="num" w:pos="360"/>
          <w:tab w:val="left" w:pos="450"/>
          <w:tab w:val="num" w:pos="540"/>
        </w:tabs>
        <w:contextualSpacing/>
      </w:pPr>
    </w:p>
    <w:p w:rsidR="00FA29C9" w:rsidP="00106997" w14:paraId="31E14F93" w14:textId="05428875">
      <w:pPr>
        <w:widowControl w:val="0"/>
        <w:autoSpaceDE w:val="0"/>
        <w:autoSpaceDN w:val="0"/>
        <w:adjustRightInd w:val="0"/>
        <w:contextualSpacing/>
        <w:rPr>
          <w:b/>
          <w:bCs/>
        </w:rPr>
      </w:pPr>
      <w:r>
        <w:rPr>
          <w:b/>
          <w:bCs/>
        </w:rPr>
        <w:t>6.</w:t>
      </w:r>
      <w:r w:rsidR="007031D8">
        <w:rPr>
          <w:b/>
          <w:bCs/>
        </w:rPr>
        <w:t xml:space="preserve"> </w:t>
      </w:r>
      <w:r w:rsidRPr="00D94A44" w:rsidR="00D94A44">
        <w:rPr>
          <w:b/>
          <w:bCs/>
        </w:rPr>
        <w:t xml:space="preserve">Describe the consequences </w:t>
      </w:r>
      <w:r w:rsidRPr="00D94A44" w:rsidR="00D94A44">
        <w:rPr>
          <w:b/>
          <w:bCs/>
        </w:rPr>
        <w:t>to</w:t>
      </w:r>
      <w:r w:rsidRPr="00D94A44" w:rsidR="00D94A44">
        <w:rPr>
          <w:b/>
          <w:bCs/>
        </w:rPr>
        <w:t xml:space="preserve"> federal programs or policy activities if the collection is not conducted or is conducted less frequently, as well as any technical or legal obstacles to reducing burden.</w:t>
      </w:r>
    </w:p>
    <w:p w:rsidR="00E55573" w:rsidP="00724273" w14:paraId="767A8B6A" w14:textId="77777777">
      <w:pPr>
        <w:widowControl w:val="0"/>
        <w:autoSpaceDE w:val="0"/>
        <w:autoSpaceDN w:val="0"/>
        <w:adjustRightInd w:val="0"/>
        <w:contextualSpacing/>
      </w:pPr>
    </w:p>
    <w:p w:rsidR="00415F2A" w:rsidRPr="00F13168" w:rsidP="00106997" w14:paraId="0D26F765" w14:textId="0D342F46">
      <w:pPr>
        <w:widowControl w:val="0"/>
        <w:autoSpaceDE w:val="0"/>
        <w:autoSpaceDN w:val="0"/>
        <w:adjustRightInd w:val="0"/>
        <w:contextualSpacing/>
      </w:pPr>
      <w:r w:rsidRPr="00F13168">
        <w:t xml:space="preserve">The NRT Program was subject </w:t>
      </w:r>
      <w:r w:rsidR="003B703B">
        <w:t xml:space="preserve">to an audit by the </w:t>
      </w:r>
      <w:r w:rsidRPr="00F13168">
        <w:t>Department of Justice</w:t>
      </w:r>
      <w:r w:rsidR="00A7481A">
        <w:t>’s</w:t>
      </w:r>
      <w:r w:rsidRPr="00F13168">
        <w:t xml:space="preserve"> Office of Inspector General </w:t>
      </w:r>
      <w:r w:rsidR="003B703B">
        <w:t xml:space="preserve">(OIG) </w:t>
      </w:r>
      <w:r w:rsidRPr="00F13168">
        <w:t xml:space="preserve">in January 2011. In </w:t>
      </w:r>
      <w:r w:rsidR="003B703B">
        <w:t xml:space="preserve">item </w:t>
      </w:r>
      <w:r w:rsidRPr="00F13168">
        <w:t>5 of that report, the OIG recommended</w:t>
      </w:r>
      <w:r w:rsidRPr="00F13168" w:rsidR="006C580F">
        <w:t xml:space="preserve"> that</w:t>
      </w:r>
      <w:r w:rsidR="00A7481A">
        <w:t xml:space="preserve"> “[</w:t>
      </w:r>
      <w:r w:rsidRPr="00F13168" w:rsidR="006C580F">
        <w:t>ATF</w:t>
      </w:r>
      <w:r w:rsidR="00A7481A">
        <w:t>] p</w:t>
      </w:r>
      <w:r w:rsidRPr="00F13168" w:rsidR="006C580F">
        <w:t xml:space="preserve">lace a greater emphasis on the </w:t>
      </w:r>
      <w:r w:rsidR="00462069">
        <w:t>s</w:t>
      </w:r>
      <w:r w:rsidRPr="00F13168" w:rsidR="006C580F">
        <w:t xml:space="preserve">tate and local agency </w:t>
      </w:r>
      <w:r w:rsidRPr="00F13168" w:rsidR="00507DA0">
        <w:t>satisfaction surveys</w:t>
      </w:r>
      <w:r w:rsidRPr="00F13168" w:rsidR="006C580F">
        <w:t xml:space="preserve">, establish a process for following up with non-respondents, and share with NRT members the feedback received through the surveys.” </w:t>
      </w:r>
      <w:r w:rsidR="00E7653F">
        <w:t>Issuing</w:t>
      </w:r>
      <w:r w:rsidRPr="00F13168" w:rsidR="006C580F">
        <w:t xml:space="preserve"> electronic surveys </w:t>
      </w:r>
      <w:r w:rsidR="003B703B">
        <w:t>is a direct response to</w:t>
      </w:r>
      <w:r w:rsidR="00B166F3">
        <w:t xml:space="preserve"> one of</w:t>
      </w:r>
      <w:r w:rsidR="003B703B">
        <w:t xml:space="preserve"> the recommendations of this </w:t>
      </w:r>
      <w:r w:rsidRPr="00F13168" w:rsidR="006C580F">
        <w:t xml:space="preserve">audit. </w:t>
      </w:r>
      <w:r w:rsidRPr="00F13168" w:rsidR="00E1278C">
        <w:t xml:space="preserve">If the collection is not approved, ATF will be unable to meet </w:t>
      </w:r>
      <w:r w:rsidR="009372C6">
        <w:t>t</w:t>
      </w:r>
      <w:r w:rsidRPr="00F13168" w:rsidR="00E1278C">
        <w:t xml:space="preserve">he requirements of </w:t>
      </w:r>
      <w:r w:rsidR="009372C6">
        <w:t xml:space="preserve">both </w:t>
      </w:r>
      <w:r w:rsidRPr="00F13168" w:rsidR="00E1278C">
        <w:t xml:space="preserve">the corrective action plan </w:t>
      </w:r>
      <w:r w:rsidRPr="00F13168" w:rsidR="006C580F">
        <w:t xml:space="preserve">and </w:t>
      </w:r>
      <w:r w:rsidR="00B166F3">
        <w:t xml:space="preserve">its </w:t>
      </w:r>
      <w:r w:rsidR="00A7481A">
        <w:t xml:space="preserve">data </w:t>
      </w:r>
      <w:r w:rsidRPr="00F13168" w:rsidR="00E1278C">
        <w:t>collect</w:t>
      </w:r>
      <w:r w:rsidR="00A7481A">
        <w:t xml:space="preserve">ion </w:t>
      </w:r>
      <w:r w:rsidR="00B166F3">
        <w:t xml:space="preserve">initiatives </w:t>
      </w:r>
      <w:r w:rsidR="00A7481A">
        <w:t xml:space="preserve">that </w:t>
      </w:r>
      <w:r w:rsidRPr="00F13168" w:rsidR="00E1278C">
        <w:t xml:space="preserve">support </w:t>
      </w:r>
      <w:r w:rsidR="00A7481A">
        <w:t xml:space="preserve">the </w:t>
      </w:r>
      <w:r w:rsidR="00DE7ADD">
        <w:t>Bureau</w:t>
      </w:r>
      <w:r w:rsidR="00A7481A">
        <w:t xml:space="preserve">’s </w:t>
      </w:r>
      <w:r w:rsidRPr="00F13168" w:rsidR="00E1278C">
        <w:t>performance measure</w:t>
      </w:r>
      <w:r w:rsidR="00A7481A">
        <w:t>ment system.</w:t>
      </w:r>
    </w:p>
    <w:p w:rsidR="17EB41C8" w:rsidP="00106997" w14:paraId="07C04A6F" w14:textId="01D4FD63">
      <w:pPr>
        <w:widowControl w:val="0"/>
        <w:contextualSpacing/>
      </w:pPr>
    </w:p>
    <w:p w:rsidR="00415F2A" w:rsidRPr="000E36EA" w:rsidP="00106997" w14:paraId="2AED973D" w14:textId="6C6AE49A">
      <w:pPr>
        <w:widowControl w:val="0"/>
        <w:contextualSpacing/>
      </w:pPr>
      <w:r w:rsidRPr="000E36EA">
        <w:t xml:space="preserve">In </w:t>
      </w:r>
      <w:r w:rsidRPr="000E36EA" w:rsidR="1BC0A85A">
        <w:t xml:space="preserve">2019, </w:t>
      </w:r>
      <w:r w:rsidRPr="00106997" w:rsidR="1BC0A85A">
        <w:rPr>
          <w:rFonts w:eastAsia="Century Gothic"/>
          <w:color w:val="404040" w:themeColor="text1" w:themeTint="BF"/>
        </w:rPr>
        <w:t xml:space="preserve">The NRT was the first certified agency under the </w:t>
      </w:r>
      <w:r w:rsidR="00E7653F">
        <w:rPr>
          <w:rFonts w:eastAsia="Century Gothic"/>
          <w:color w:val="404040" w:themeColor="text1" w:themeTint="BF"/>
        </w:rPr>
        <w:t xml:space="preserve">International </w:t>
      </w:r>
      <w:r w:rsidR="00B40E00">
        <w:rPr>
          <w:rFonts w:eastAsia="Century Gothic"/>
          <w:color w:val="404040" w:themeColor="text1" w:themeTint="BF"/>
        </w:rPr>
        <w:t>Organization for Standardization (ISO)</w:t>
      </w:r>
      <w:r w:rsidR="00A41234">
        <w:rPr>
          <w:rFonts w:eastAsia="Century Gothic"/>
          <w:color w:val="404040" w:themeColor="text1" w:themeTint="BF"/>
        </w:rPr>
        <w:t xml:space="preserve">/International Electrotechnical </w:t>
      </w:r>
      <w:r w:rsidR="00C75344">
        <w:rPr>
          <w:rFonts w:eastAsia="Century Gothic"/>
          <w:color w:val="404040" w:themeColor="text1" w:themeTint="BF"/>
        </w:rPr>
        <w:t>Commission’s (IEC) joint</w:t>
      </w:r>
      <w:r w:rsidR="008C6806">
        <w:rPr>
          <w:rFonts w:eastAsia="Century Gothic"/>
          <w:color w:val="404040" w:themeColor="text1" w:themeTint="BF"/>
        </w:rPr>
        <w:t xml:space="preserve"> </w:t>
      </w:r>
      <w:r w:rsidRPr="00106997" w:rsidR="1BC0A85A">
        <w:rPr>
          <w:rFonts w:eastAsia="Century Gothic"/>
          <w:color w:val="404040" w:themeColor="text1" w:themeTint="BF"/>
        </w:rPr>
        <w:t>ISO/IEC Standard 17020:2012</w:t>
      </w:r>
      <w:r w:rsidR="008C6806">
        <w:rPr>
          <w:rFonts w:eastAsia="Century Gothic"/>
          <w:color w:val="404040" w:themeColor="text1" w:themeTint="BF"/>
        </w:rPr>
        <w:t>,</w:t>
      </w:r>
      <w:r w:rsidRPr="00106997" w:rsidR="1BC0A85A">
        <w:rPr>
          <w:rFonts w:eastAsia="Century Gothic"/>
          <w:color w:val="404040" w:themeColor="text1" w:themeTint="BF"/>
        </w:rPr>
        <w:t xml:space="preserve"> recognizing its technical competence in the field of forensic inspection/scene documentation. The agency then adopted the </w:t>
      </w:r>
      <w:r w:rsidR="00D05C7B">
        <w:rPr>
          <w:rFonts w:eastAsia="Century Gothic"/>
          <w:color w:val="404040" w:themeColor="text1" w:themeTint="BF"/>
        </w:rPr>
        <w:t>American Society for Quality (ASQ)</w:t>
      </w:r>
      <w:r w:rsidR="00010841">
        <w:rPr>
          <w:rFonts w:eastAsia="Century Gothic"/>
          <w:color w:val="404040" w:themeColor="text1" w:themeTint="BF"/>
        </w:rPr>
        <w:t>/American National Standards Institute</w:t>
      </w:r>
      <w:r w:rsidR="0065524C">
        <w:rPr>
          <w:rFonts w:eastAsia="Century Gothic"/>
          <w:color w:val="404040" w:themeColor="text1" w:themeTint="BF"/>
        </w:rPr>
        <w:t>’s</w:t>
      </w:r>
      <w:r w:rsidR="00010841">
        <w:rPr>
          <w:rFonts w:eastAsia="Century Gothic"/>
          <w:color w:val="404040" w:themeColor="text1" w:themeTint="BF"/>
        </w:rPr>
        <w:t xml:space="preserve"> (</w:t>
      </w:r>
      <w:r w:rsidR="0065524C">
        <w:rPr>
          <w:rFonts w:eastAsia="Century Gothic"/>
          <w:color w:val="404040" w:themeColor="text1" w:themeTint="BF"/>
        </w:rPr>
        <w:t xml:space="preserve">ANSI) </w:t>
      </w:r>
      <w:r w:rsidR="00680DFD">
        <w:rPr>
          <w:rFonts w:eastAsia="Century Gothic"/>
          <w:color w:val="404040" w:themeColor="text1" w:themeTint="BF"/>
        </w:rPr>
        <w:t>joint national</w:t>
      </w:r>
      <w:r w:rsidR="00010841">
        <w:rPr>
          <w:rFonts w:eastAsia="Century Gothic"/>
          <w:color w:val="404040" w:themeColor="text1" w:themeTint="BF"/>
        </w:rPr>
        <w:t xml:space="preserve"> </w:t>
      </w:r>
      <w:r w:rsidRPr="00106997" w:rsidR="1BC0A85A">
        <w:rPr>
          <w:rFonts w:eastAsia="Century Gothic"/>
          <w:color w:val="404040" w:themeColor="text1" w:themeTint="BF"/>
        </w:rPr>
        <w:t>ASQ/ANSI G1:2021 Standard</w:t>
      </w:r>
      <w:r w:rsidR="005B6C21">
        <w:rPr>
          <w:rFonts w:eastAsia="Century Gothic"/>
          <w:color w:val="404040" w:themeColor="text1" w:themeTint="BF"/>
        </w:rPr>
        <w:t xml:space="preserve">. </w:t>
      </w:r>
      <w:r w:rsidR="005B6C21">
        <w:rPr>
          <w:rFonts w:eastAsia="Century Gothic"/>
          <w:color w:val="404040" w:themeColor="text1" w:themeTint="BF"/>
        </w:rPr>
        <w:t>In order to</w:t>
      </w:r>
      <w:r w:rsidR="005B6C21">
        <w:rPr>
          <w:rFonts w:eastAsia="Century Gothic"/>
          <w:color w:val="404040" w:themeColor="text1" w:themeTint="BF"/>
        </w:rPr>
        <w:t xml:space="preserve"> maintain NRT’s accreditation,</w:t>
      </w:r>
      <w:r w:rsidR="00557E67">
        <w:rPr>
          <w:rFonts w:eastAsia="Century Gothic"/>
          <w:color w:val="404040" w:themeColor="text1" w:themeTint="BF"/>
        </w:rPr>
        <w:t xml:space="preserve"> ATF </w:t>
      </w:r>
      <w:r w:rsidR="0093288B">
        <w:rPr>
          <w:rFonts w:eastAsia="Century Gothic"/>
          <w:color w:val="404040" w:themeColor="text1" w:themeTint="BF"/>
        </w:rPr>
        <w:t xml:space="preserve">shares the survey responses with ATF’s Accreditation Center of Excellence (ACE) </w:t>
      </w:r>
      <w:r w:rsidR="0093288B">
        <w:rPr>
          <w:rFonts w:eastAsia="Century Gothic"/>
          <w:color w:val="404040" w:themeColor="text1" w:themeTint="BF"/>
        </w:rPr>
        <w:t>Branch</w:t>
      </w:r>
      <w:r w:rsidR="00557E67">
        <w:rPr>
          <w:rFonts w:eastAsia="Century Gothic"/>
          <w:color w:val="404040" w:themeColor="text1" w:themeTint="BF"/>
        </w:rPr>
        <w:t>, but</w:t>
      </w:r>
      <w:r w:rsidR="00557E67">
        <w:rPr>
          <w:rFonts w:eastAsia="Century Gothic"/>
          <w:color w:val="404040" w:themeColor="text1" w:themeTint="BF"/>
        </w:rPr>
        <w:t xml:space="preserve"> also shares </w:t>
      </w:r>
      <w:r w:rsidR="00FB2B8A">
        <w:rPr>
          <w:rFonts w:eastAsia="Century Gothic"/>
          <w:color w:val="404040" w:themeColor="text1" w:themeTint="BF"/>
        </w:rPr>
        <w:t>summarized information</w:t>
      </w:r>
      <w:r w:rsidR="00557E67">
        <w:rPr>
          <w:rFonts w:eastAsia="Century Gothic"/>
          <w:color w:val="404040" w:themeColor="text1" w:themeTint="BF"/>
        </w:rPr>
        <w:t xml:space="preserve"> with the ANSI</w:t>
      </w:r>
      <w:r w:rsidR="00FE3B7B">
        <w:rPr>
          <w:rFonts w:eastAsia="Century Gothic"/>
          <w:color w:val="404040" w:themeColor="text1" w:themeTint="BF"/>
        </w:rPr>
        <w:t>-ASQ National Accreditation Board (ANAB)</w:t>
      </w:r>
      <w:r w:rsidR="00FB2B8A">
        <w:rPr>
          <w:rFonts w:eastAsia="Century Gothic"/>
          <w:color w:val="404040" w:themeColor="text1" w:themeTint="BF"/>
        </w:rPr>
        <w:t>, which conducts internal audits for ATF’s ACE Branch</w:t>
      </w:r>
      <w:r w:rsidR="004E343F">
        <w:rPr>
          <w:rFonts w:eastAsia="Century Gothic"/>
          <w:color w:val="404040" w:themeColor="text1" w:themeTint="BF"/>
        </w:rPr>
        <w:t>.</w:t>
      </w:r>
      <w:r w:rsidR="00FB2B8A">
        <w:rPr>
          <w:rFonts w:eastAsia="Century Gothic"/>
          <w:color w:val="404040" w:themeColor="text1" w:themeTint="BF"/>
        </w:rPr>
        <w:t xml:space="preserve"> The information is not shared externally or published in any reports</w:t>
      </w:r>
      <w:r w:rsidR="003934D1">
        <w:rPr>
          <w:rFonts w:eastAsia="Century Gothic"/>
          <w:color w:val="404040" w:themeColor="text1" w:themeTint="BF"/>
        </w:rPr>
        <w:t>.</w:t>
      </w:r>
      <w:r w:rsidR="00722652">
        <w:rPr>
          <w:rFonts w:eastAsia="Century Gothic"/>
          <w:color w:val="404040" w:themeColor="text1" w:themeTint="BF"/>
        </w:rPr>
        <w:t xml:space="preserve"> </w:t>
      </w:r>
      <w:r w:rsidRPr="000E36EA" w:rsidR="1BC0A85A">
        <w:t xml:space="preserve">To maintain </w:t>
      </w:r>
      <w:r w:rsidRPr="000E36EA" w:rsidR="21AD560B">
        <w:t xml:space="preserve">this </w:t>
      </w:r>
      <w:r w:rsidRPr="000E36EA" w:rsidR="1BC0A85A">
        <w:t>accredi</w:t>
      </w:r>
      <w:r w:rsidRPr="000E36EA" w:rsidR="47E6BD81">
        <w:t>t</w:t>
      </w:r>
      <w:r w:rsidRPr="000E36EA" w:rsidR="1BC0A85A">
        <w:t xml:space="preserve">ation, the NRT </w:t>
      </w:r>
      <w:r w:rsidR="007417E5">
        <w:t>must</w:t>
      </w:r>
      <w:r w:rsidRPr="00106997" w:rsidR="646D6347">
        <w:t xml:space="preserve"> send </w:t>
      </w:r>
      <w:r w:rsidRPr="00106997" w:rsidR="1BC0A85A">
        <w:t xml:space="preserve">customer satisfaction surveys </w:t>
      </w:r>
      <w:r w:rsidRPr="00106997" w:rsidR="050ACCF9">
        <w:t>to</w:t>
      </w:r>
      <w:r w:rsidRPr="00106997" w:rsidR="1BC0A85A">
        <w:t xml:space="preserve"> stakeholders involved in an NRT callout</w:t>
      </w:r>
      <w:r w:rsidRPr="00106997" w:rsidR="3F5D9214">
        <w:t xml:space="preserve"> and </w:t>
      </w:r>
      <w:r w:rsidR="007417E5">
        <w:t>must receive an</w:t>
      </w:r>
      <w:r w:rsidRPr="00106997" w:rsidR="1BC0A85A">
        <w:t xml:space="preserve"> overall average customer satisfaction rating </w:t>
      </w:r>
      <w:r w:rsidR="007417E5">
        <w:t>of</w:t>
      </w:r>
      <w:r w:rsidRPr="00106997" w:rsidR="1BC0A85A">
        <w:t xml:space="preserve"> a 4.0 (80 percentile) or higher. Because this is an overall average</w:t>
      </w:r>
      <w:r w:rsidR="007417E5">
        <w:t>,</w:t>
      </w:r>
      <w:r w:rsidR="002920D5">
        <w:t xml:space="preserve"> NRT must report</w:t>
      </w:r>
      <w:r w:rsidRPr="00106997" w:rsidR="1BC0A85A">
        <w:t xml:space="preserve"> the number of survey responses </w:t>
      </w:r>
      <w:r w:rsidR="002920D5">
        <w:t>and the aggregate ratings</w:t>
      </w:r>
      <w:r w:rsidR="00120290">
        <w:t xml:space="preserve"> to ACE</w:t>
      </w:r>
      <w:r w:rsidRPr="00106997" w:rsidR="1BC0A85A">
        <w:t>.</w:t>
      </w:r>
      <w:r w:rsidR="002920D5">
        <w:t xml:space="preserve"> </w:t>
      </w:r>
      <w:r w:rsidRPr="00106997" w:rsidR="7B94F9DA">
        <w:t>If the collection is not approved, ATF will be unable to meet the</w:t>
      </w:r>
      <w:r w:rsidR="00823479">
        <w:t>se</w:t>
      </w:r>
      <w:r w:rsidRPr="00106997" w:rsidR="7B94F9DA">
        <w:t xml:space="preserve"> requirements and the NRT</w:t>
      </w:r>
      <w:r w:rsidRPr="00106997" w:rsidR="66873A14">
        <w:t xml:space="preserve"> </w:t>
      </w:r>
      <w:r w:rsidRPr="00106997" w:rsidR="1B275D06">
        <w:t xml:space="preserve">will </w:t>
      </w:r>
      <w:r w:rsidRPr="00106997" w:rsidR="66873A14">
        <w:t>los</w:t>
      </w:r>
      <w:r w:rsidRPr="00106997" w:rsidR="05CB6833">
        <w:t>e</w:t>
      </w:r>
      <w:r w:rsidRPr="00106997" w:rsidR="66873A14">
        <w:t xml:space="preserve"> its accreditation.</w:t>
      </w:r>
      <w:r w:rsidR="00823479">
        <w:t xml:space="preserve"> In addition, ATF would have insufficient information from which to assess </w:t>
      </w:r>
      <w:r w:rsidR="00120290">
        <w:t>this team’s performance.</w:t>
      </w:r>
    </w:p>
    <w:p w:rsidR="00E74D52" w:rsidRPr="00C21D0B" w:rsidP="00106997" w14:paraId="12B25342" w14:textId="15E4399A">
      <w:pPr>
        <w:widowControl w:val="0"/>
        <w:contextualSpacing/>
        <w:rPr>
          <w:b/>
          <w:bCs/>
        </w:rPr>
      </w:pPr>
      <w:r>
        <w:rPr>
          <w:b/>
          <w:bCs/>
        </w:rPr>
        <w:t>7.</w:t>
      </w:r>
      <w:r w:rsidR="007031D8">
        <w:rPr>
          <w:b/>
          <w:bCs/>
        </w:rPr>
        <w:t xml:space="preserve"> </w:t>
      </w:r>
      <w:r w:rsidRPr="008B19C3" w:rsidR="008B19C3">
        <w:rPr>
          <w:b/>
          <w:bCs/>
        </w:rPr>
        <w:t>Explain any special circumstances that would cause the information collection to be conducted in a manner inconsistent with 5 CFR 1320.6.</w:t>
      </w:r>
    </w:p>
    <w:p w:rsidR="0080662A" w:rsidP="0080662A" w14:paraId="0F324334" w14:textId="77777777">
      <w:pPr>
        <w:pStyle w:val="BodyTextIndent"/>
        <w:widowControl w:val="0"/>
        <w:ind w:left="0" w:firstLine="0"/>
        <w:contextualSpacing/>
        <w:rPr>
          <w:sz w:val="24"/>
        </w:rPr>
      </w:pPr>
    </w:p>
    <w:p w:rsidR="00F17A96" w:rsidRPr="00F705F7" w:rsidP="00F17A96" w14:paraId="0C30B0C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705F7">
        <w:t>There are no special circumstances associated with this information collection, which is conducted in a manner consistent with 5 CFR 1320.6.</w:t>
      </w:r>
    </w:p>
    <w:p w:rsidR="00964678" w:rsidP="00106997" w14:paraId="057A69D3" w14:textId="77777777">
      <w:pPr>
        <w:pStyle w:val="BodyTextIndent"/>
        <w:widowControl w:val="0"/>
        <w:ind w:left="0" w:firstLine="0"/>
        <w:contextualSpacing/>
        <w:rPr>
          <w:sz w:val="24"/>
        </w:rPr>
      </w:pPr>
    </w:p>
    <w:p w:rsidR="00F06EC2" w:rsidP="00106997" w14:paraId="08E42E1A" w14:textId="30F84D70">
      <w:pPr>
        <w:pStyle w:val="BodyTextIndent"/>
        <w:widowControl w:val="0"/>
        <w:ind w:left="0" w:firstLine="0"/>
        <w:contextualSpacing/>
        <w:rPr>
          <w:b/>
          <w:bCs/>
          <w:sz w:val="24"/>
        </w:rPr>
      </w:pPr>
      <w:r>
        <w:rPr>
          <w:b/>
          <w:bCs/>
          <w:sz w:val="24"/>
        </w:rPr>
        <w:t>8.</w:t>
      </w:r>
      <w:r w:rsidR="007031D8">
        <w:rPr>
          <w:b/>
          <w:bCs/>
          <w:sz w:val="24"/>
        </w:rPr>
        <w:t xml:space="preserve"> </w:t>
      </w:r>
      <w:r w:rsidRPr="00F06EC2">
        <w:rPr>
          <w:b/>
          <w:bCs/>
          <w:sz w:val="24"/>
        </w:rPr>
        <w:t xml:space="preserve">If applicable, provide a copy, and identify the date and page number, of the agency’s notice published in the </w:t>
      </w:r>
      <w:r w:rsidRPr="000C7625">
        <w:rPr>
          <w:b/>
          <w:bCs/>
          <w:i/>
          <w:iCs/>
          <w:sz w:val="24"/>
        </w:rPr>
        <w:t>Federal Register</w:t>
      </w:r>
      <w:r w:rsidRPr="00F06EC2">
        <w:rPr>
          <w:b/>
          <w:bCs/>
          <w:sz w:val="24"/>
        </w:rPr>
        <w:t>, as required by 5 CFR 1320.8(d), soliciting comments on the information collection prior to submission to OMB.</w:t>
      </w:r>
    </w:p>
    <w:p w:rsidR="0080662A" w:rsidP="0080662A" w14:paraId="6E06367C" w14:textId="77777777">
      <w:pPr>
        <w:pStyle w:val="BodyTextIndent"/>
        <w:widowControl w:val="0"/>
        <w:ind w:left="0" w:firstLine="0"/>
        <w:contextualSpacing/>
        <w:rPr>
          <w:sz w:val="24"/>
        </w:rPr>
      </w:pPr>
    </w:p>
    <w:p w:rsidR="00415F2A" w:rsidRPr="00BF068E" w:rsidP="00106997" w14:paraId="7BD10A03" w14:textId="1FC1BD11">
      <w:pPr>
        <w:pStyle w:val="BodyTextIndent"/>
        <w:widowControl w:val="0"/>
        <w:ind w:left="0" w:firstLine="0"/>
        <w:contextualSpacing/>
        <w:rPr>
          <w:sz w:val="24"/>
        </w:rPr>
      </w:pPr>
      <w:r w:rsidRPr="008B6859">
        <w:rPr>
          <w:sz w:val="24"/>
        </w:rPr>
        <w:t xml:space="preserve">The 60-Day Notice </w:t>
      </w:r>
      <w:r w:rsidRPr="00BF068E">
        <w:rPr>
          <w:sz w:val="24"/>
        </w:rPr>
        <w:t xml:space="preserve">was published in the </w:t>
      </w:r>
      <w:r w:rsidRPr="00BF068E">
        <w:rPr>
          <w:i/>
          <w:iCs/>
          <w:sz w:val="24"/>
        </w:rPr>
        <w:t>Federal Register</w:t>
      </w:r>
      <w:r w:rsidRPr="00BF068E">
        <w:rPr>
          <w:sz w:val="24"/>
        </w:rPr>
        <w:t xml:space="preserve"> on [</w:t>
      </w:r>
      <w:r w:rsidRPr="00BF068E" w:rsidR="00BF068E">
        <w:rPr>
          <w:sz w:val="24"/>
        </w:rPr>
        <w:t>11</w:t>
      </w:r>
      <w:r w:rsidRPr="00BF068E">
        <w:rPr>
          <w:sz w:val="24"/>
        </w:rPr>
        <w:t>/</w:t>
      </w:r>
      <w:r w:rsidRPr="00BF068E" w:rsidR="00BF068E">
        <w:rPr>
          <w:sz w:val="24"/>
        </w:rPr>
        <w:t>28</w:t>
      </w:r>
      <w:r w:rsidRPr="00BF068E">
        <w:rPr>
          <w:sz w:val="24"/>
        </w:rPr>
        <w:t>/</w:t>
      </w:r>
      <w:r w:rsidRPr="00BF068E" w:rsidR="00BF068E">
        <w:rPr>
          <w:sz w:val="24"/>
        </w:rPr>
        <w:t>2025</w:t>
      </w:r>
      <w:r w:rsidRPr="00BF068E">
        <w:rPr>
          <w:sz w:val="24"/>
        </w:rPr>
        <w:t>] (</w:t>
      </w:r>
      <w:r w:rsidRPr="00BF068E" w:rsidR="00BF068E">
        <w:rPr>
          <w:sz w:val="24"/>
        </w:rPr>
        <w:t>90</w:t>
      </w:r>
      <w:r w:rsidRPr="00BF068E">
        <w:rPr>
          <w:sz w:val="24"/>
        </w:rPr>
        <w:t xml:space="preserve"> FR </w:t>
      </w:r>
      <w:r w:rsidRPr="00BF068E" w:rsidR="00BF068E">
        <w:rPr>
          <w:sz w:val="24"/>
        </w:rPr>
        <w:t>54763</w:t>
      </w:r>
      <w:r w:rsidRPr="00BF068E">
        <w:rPr>
          <w:sz w:val="24"/>
        </w:rPr>
        <w:t>). The comment period ended on [</w:t>
      </w:r>
      <w:r w:rsidRPr="00BF068E" w:rsidR="00BF068E">
        <w:rPr>
          <w:sz w:val="24"/>
        </w:rPr>
        <w:t>01</w:t>
      </w:r>
      <w:r w:rsidRPr="00BF068E">
        <w:rPr>
          <w:sz w:val="24"/>
        </w:rPr>
        <w:t>/</w:t>
      </w:r>
      <w:r w:rsidRPr="00BF068E" w:rsidR="00BF068E">
        <w:rPr>
          <w:sz w:val="24"/>
        </w:rPr>
        <w:t>27</w:t>
      </w:r>
      <w:r w:rsidRPr="00BF068E">
        <w:rPr>
          <w:sz w:val="24"/>
        </w:rPr>
        <w:t>/</w:t>
      </w:r>
      <w:r w:rsidRPr="00BF068E" w:rsidR="00BF068E">
        <w:rPr>
          <w:sz w:val="24"/>
        </w:rPr>
        <w:t>2026</w:t>
      </w:r>
      <w:r w:rsidRPr="00BF068E">
        <w:rPr>
          <w:sz w:val="24"/>
        </w:rPr>
        <w:t>]. ATF received no comments.</w:t>
      </w:r>
      <w:r w:rsidRPr="00BF068E" w:rsidR="00306E2A">
        <w:rPr>
          <w:sz w:val="24"/>
        </w:rPr>
        <w:t xml:space="preserve">  </w:t>
      </w:r>
    </w:p>
    <w:p w:rsidR="00415F2A" w:rsidRPr="00BF068E" w:rsidP="00106997" w14:paraId="1D7A0483" w14:textId="77777777">
      <w:pPr>
        <w:widowControl w:val="0"/>
        <w:tabs>
          <w:tab w:val="num" w:pos="360"/>
          <w:tab w:val="left" w:pos="450"/>
          <w:tab w:val="num" w:pos="540"/>
        </w:tabs>
        <w:contextualSpacing/>
      </w:pPr>
    </w:p>
    <w:p w:rsidR="00DC4A53" w:rsidRPr="000D306F" w:rsidP="00106997" w14:paraId="7A35F582" w14:textId="5FBB0B86">
      <w:pPr>
        <w:pStyle w:val="BodyTextIndent"/>
        <w:widowControl w:val="0"/>
        <w:ind w:left="0" w:firstLine="0"/>
        <w:contextualSpacing/>
        <w:rPr>
          <w:b/>
          <w:bCs/>
          <w:sz w:val="24"/>
        </w:rPr>
      </w:pPr>
      <w:r w:rsidRPr="00BF068E">
        <w:rPr>
          <w:b/>
          <w:bCs/>
          <w:sz w:val="24"/>
        </w:rPr>
        <w:t>9.</w:t>
      </w:r>
      <w:r w:rsidRPr="00BF068E" w:rsidR="007031D8">
        <w:rPr>
          <w:b/>
          <w:bCs/>
          <w:sz w:val="24"/>
        </w:rPr>
        <w:t xml:space="preserve"> </w:t>
      </w:r>
      <w:r w:rsidRPr="00BF068E" w:rsidR="008C27A3">
        <w:rPr>
          <w:b/>
          <w:bCs/>
          <w:sz w:val="24"/>
        </w:rPr>
        <w:t>Explain any decision to provide any payments or gifts to respondents, other than remuneration of contractors or grantees.</w:t>
      </w:r>
    </w:p>
    <w:p w:rsidR="00961179" w:rsidP="00961179" w14:paraId="6BDB6098" w14:textId="77777777">
      <w:pPr>
        <w:pStyle w:val="BodyTextIndent"/>
        <w:widowControl w:val="0"/>
        <w:ind w:left="0" w:firstLine="0"/>
        <w:contextualSpacing/>
        <w:rPr>
          <w:sz w:val="24"/>
        </w:rPr>
      </w:pPr>
    </w:p>
    <w:p w:rsidR="00324F17" w:rsidRPr="00F705F7" w:rsidP="00324F17" w14:paraId="788152A4" w14:textId="77777777">
      <w:r w:rsidRPr="015F4C7F">
        <w:t>ATF does not provide payments or gifts in connection with this collection.</w:t>
      </w:r>
    </w:p>
    <w:p w:rsidR="00415F2A" w:rsidRPr="00F13168" w:rsidP="00016853" w14:paraId="78C2DC1F" w14:textId="77777777">
      <w:pPr>
        <w:widowControl w:val="0"/>
        <w:tabs>
          <w:tab w:val="num" w:pos="360"/>
          <w:tab w:val="left" w:pos="450"/>
          <w:tab w:val="num" w:pos="540"/>
        </w:tabs>
        <w:contextualSpacing/>
      </w:pPr>
    </w:p>
    <w:p w:rsidR="008E62AC" w:rsidP="00016853" w14:paraId="3FF1CF74" w14:textId="59736C66">
      <w:pPr>
        <w:pStyle w:val="BodyTextIndent"/>
        <w:widowControl w:val="0"/>
        <w:ind w:left="0" w:firstLine="0"/>
        <w:contextualSpacing/>
        <w:rPr>
          <w:b/>
          <w:bCs/>
          <w:sz w:val="24"/>
        </w:rPr>
      </w:pPr>
      <w:r>
        <w:rPr>
          <w:b/>
          <w:bCs/>
          <w:sz w:val="24"/>
        </w:rPr>
        <w:t>10.</w:t>
      </w:r>
      <w:r w:rsidR="007031D8">
        <w:rPr>
          <w:b/>
          <w:bCs/>
          <w:sz w:val="24"/>
        </w:rPr>
        <w:t xml:space="preserve"> </w:t>
      </w:r>
      <w:r w:rsidRPr="00C70141" w:rsidR="00C70141">
        <w:rPr>
          <w:b/>
          <w:bCs/>
          <w:sz w:val="24"/>
        </w:rPr>
        <w:t>Describe any assurance of confidentiality provided to respondents and the basis for the assurance in statute, regulation, or agency policy.</w:t>
      </w:r>
    </w:p>
    <w:p w:rsidR="00961179" w:rsidP="00961179" w14:paraId="27C3A051" w14:textId="77777777">
      <w:pPr>
        <w:pStyle w:val="BodyTextIndent"/>
        <w:widowControl w:val="0"/>
        <w:ind w:left="0" w:firstLine="0"/>
        <w:contextualSpacing/>
        <w:rPr>
          <w:sz w:val="24"/>
        </w:rPr>
      </w:pPr>
    </w:p>
    <w:p w:rsidR="00415F2A" w:rsidRPr="00F13168" w:rsidP="00016853" w14:paraId="66837AAF" w14:textId="41F570E5">
      <w:pPr>
        <w:pStyle w:val="BodyTextIndent"/>
        <w:widowControl w:val="0"/>
        <w:ind w:left="0" w:firstLine="0"/>
        <w:contextualSpacing/>
        <w:rPr>
          <w:sz w:val="24"/>
        </w:rPr>
      </w:pPr>
      <w:r w:rsidRPr="00C6030C">
        <w:rPr>
          <w:sz w:val="24"/>
        </w:rPr>
        <w:t xml:space="preserve">This information collection does not collect protected </w:t>
      </w:r>
      <w:r w:rsidRPr="00C6030C">
        <w:rPr>
          <w:sz w:val="24"/>
        </w:rPr>
        <w:t>information</w:t>
      </w:r>
      <w:r w:rsidRPr="00C6030C">
        <w:rPr>
          <w:sz w:val="24"/>
        </w:rPr>
        <w:t xml:space="preserve"> and ATF has not assured respondents of confidentiality.</w:t>
      </w:r>
      <w:r w:rsidR="00374835">
        <w:t xml:space="preserve"> </w:t>
      </w:r>
      <w:r w:rsidR="00571C9B">
        <w:rPr>
          <w:sz w:val="24"/>
        </w:rPr>
        <w:t>The survey does not ask for individuals’ names</w:t>
      </w:r>
      <w:r w:rsidR="0041564C">
        <w:rPr>
          <w:sz w:val="24"/>
        </w:rPr>
        <w:t xml:space="preserve"> or other personal information. </w:t>
      </w:r>
      <w:r w:rsidR="00412EE3">
        <w:rPr>
          <w:sz w:val="24"/>
        </w:rPr>
        <w:t>It requests only</w:t>
      </w:r>
      <w:r w:rsidR="00030D53">
        <w:rPr>
          <w:sz w:val="24"/>
        </w:rPr>
        <w:t xml:space="preserve"> the name of </w:t>
      </w:r>
      <w:r w:rsidR="00FB651F">
        <w:rPr>
          <w:sz w:val="24"/>
        </w:rPr>
        <w:t xml:space="preserve">the </w:t>
      </w:r>
      <w:r w:rsidR="00030D53">
        <w:rPr>
          <w:sz w:val="24"/>
        </w:rPr>
        <w:t>police department</w:t>
      </w:r>
      <w:r w:rsidR="00422238">
        <w:rPr>
          <w:sz w:val="24"/>
        </w:rPr>
        <w:t xml:space="preserve"> or other organization</w:t>
      </w:r>
      <w:r w:rsidR="00030D53">
        <w:rPr>
          <w:sz w:val="24"/>
        </w:rPr>
        <w:t>, and</w:t>
      </w:r>
      <w:r w:rsidR="008313B2">
        <w:rPr>
          <w:sz w:val="24"/>
        </w:rPr>
        <w:t xml:space="preserve"> including the organization’s name is optional. </w:t>
      </w:r>
      <w:r w:rsidRPr="00F13168" w:rsidR="00E1278C">
        <w:rPr>
          <w:sz w:val="24"/>
        </w:rPr>
        <w:t xml:space="preserve">Respondents </w:t>
      </w:r>
      <w:r w:rsidRPr="00F13168" w:rsidR="006C580F">
        <w:rPr>
          <w:sz w:val="24"/>
        </w:rPr>
        <w:t xml:space="preserve">are </w:t>
      </w:r>
      <w:r w:rsidR="009372C6">
        <w:rPr>
          <w:sz w:val="24"/>
        </w:rPr>
        <w:t xml:space="preserve">informed that </w:t>
      </w:r>
      <w:r w:rsidRPr="00F13168" w:rsidR="006C580F">
        <w:rPr>
          <w:sz w:val="24"/>
        </w:rPr>
        <w:t xml:space="preserve">they may </w:t>
      </w:r>
      <w:r w:rsidRPr="00F13168" w:rsidR="00E1278C">
        <w:rPr>
          <w:sz w:val="24"/>
        </w:rPr>
        <w:t>ask any knowledgeable member to complete the survey</w:t>
      </w:r>
      <w:r w:rsidR="008313B2">
        <w:rPr>
          <w:sz w:val="24"/>
        </w:rPr>
        <w:t>.</w:t>
      </w:r>
      <w:r w:rsidRPr="00F13168" w:rsidR="006C580F">
        <w:rPr>
          <w:sz w:val="24"/>
        </w:rPr>
        <w:t xml:space="preserve">  </w:t>
      </w:r>
      <w:r w:rsidRPr="00F13168" w:rsidR="00E1278C">
        <w:rPr>
          <w:sz w:val="24"/>
        </w:rPr>
        <w:t xml:space="preserve"> </w:t>
      </w:r>
    </w:p>
    <w:p w:rsidR="00415F2A" w:rsidRPr="00F13168" w:rsidP="00016853" w14:paraId="5D067B4A" w14:textId="77777777">
      <w:pPr>
        <w:widowControl w:val="0"/>
        <w:tabs>
          <w:tab w:val="num" w:pos="360"/>
          <w:tab w:val="left" w:pos="450"/>
          <w:tab w:val="num" w:pos="540"/>
        </w:tabs>
        <w:contextualSpacing/>
      </w:pPr>
    </w:p>
    <w:p w:rsidR="00EB77AC" w:rsidP="00016853" w14:paraId="42804FB1" w14:textId="7E9D4AF5">
      <w:pPr>
        <w:pStyle w:val="BodyTextIndent"/>
        <w:widowControl w:val="0"/>
        <w:ind w:left="0" w:firstLine="0"/>
        <w:contextualSpacing/>
        <w:rPr>
          <w:b/>
          <w:bCs/>
          <w:sz w:val="24"/>
        </w:rPr>
      </w:pPr>
      <w:r>
        <w:rPr>
          <w:b/>
          <w:bCs/>
          <w:sz w:val="24"/>
        </w:rPr>
        <w:t>1</w:t>
      </w:r>
      <w:r w:rsidR="007F05BA">
        <w:rPr>
          <w:b/>
          <w:bCs/>
          <w:sz w:val="24"/>
        </w:rPr>
        <w:t>1</w:t>
      </w:r>
      <w:r>
        <w:rPr>
          <w:b/>
          <w:bCs/>
          <w:sz w:val="24"/>
        </w:rPr>
        <w:t>.</w:t>
      </w:r>
      <w:r w:rsidR="007031D8">
        <w:rPr>
          <w:b/>
          <w:bCs/>
          <w:sz w:val="24"/>
        </w:rPr>
        <w:t xml:space="preserve"> </w:t>
      </w:r>
      <w:r w:rsidRPr="00EB77AC">
        <w:rPr>
          <w:b/>
          <w:bCs/>
          <w:sz w:val="24"/>
        </w:rPr>
        <w:t>Provide additional justification for any questions of a sensitive nature, such as sexual behavior and attitudes, religious beliefs, and other matters that are commonly considered private.</w:t>
      </w:r>
    </w:p>
    <w:p w:rsidR="00961179" w:rsidP="00961179" w14:paraId="218C62E9" w14:textId="77777777">
      <w:pPr>
        <w:pStyle w:val="BodyTextIndent"/>
        <w:widowControl w:val="0"/>
        <w:ind w:left="0" w:firstLine="0"/>
        <w:contextualSpacing/>
        <w:rPr>
          <w:sz w:val="24"/>
        </w:rPr>
      </w:pPr>
    </w:p>
    <w:p w:rsidR="004F7C7E" w:rsidRPr="00F705F7" w:rsidP="004F7C7E" w14:paraId="29990443"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0" w:name="_Hlk188869322"/>
      <w:r w:rsidRPr="00F705F7">
        <w:t>This information collection does not ask questions or require information of a sensitive nature.</w:t>
      </w:r>
      <w:bookmarkEnd w:id="0"/>
    </w:p>
    <w:p w:rsidR="00415F2A" w:rsidRPr="00F13168" w:rsidP="00016853" w14:paraId="1D20372D" w14:textId="77777777">
      <w:pPr>
        <w:widowControl w:val="0"/>
        <w:tabs>
          <w:tab w:val="num" w:pos="360"/>
          <w:tab w:val="left" w:pos="450"/>
          <w:tab w:val="num" w:pos="540"/>
        </w:tabs>
        <w:contextualSpacing/>
      </w:pPr>
    </w:p>
    <w:p w:rsidR="00F433D0" w:rsidP="00016853" w14:paraId="243D12C6" w14:textId="32F0AEBF">
      <w:pPr>
        <w:pStyle w:val="BodyText"/>
        <w:widowControl w:val="0"/>
        <w:tabs>
          <w:tab w:val="left" w:pos="360"/>
        </w:tabs>
        <w:contextualSpacing/>
        <w:rPr>
          <w:sz w:val="24"/>
        </w:rPr>
      </w:pPr>
      <w:r>
        <w:rPr>
          <w:b/>
          <w:bCs/>
          <w:sz w:val="24"/>
        </w:rPr>
        <w:t>12.</w:t>
      </w:r>
      <w:r>
        <w:rPr>
          <w:b/>
          <w:bCs/>
          <w:sz w:val="24"/>
        </w:rPr>
        <w:tab/>
      </w:r>
      <w:r w:rsidRPr="00F433D0">
        <w:rPr>
          <w:b/>
          <w:bCs/>
          <w:sz w:val="24"/>
        </w:rPr>
        <w:t>Provide estimates of the information collection’s hour burden.</w:t>
      </w:r>
    </w:p>
    <w:p w:rsidR="00961179" w:rsidP="00961179" w14:paraId="5EBC5365" w14:textId="77777777">
      <w:pPr>
        <w:pStyle w:val="BodyText"/>
        <w:widowControl w:val="0"/>
        <w:tabs>
          <w:tab w:val="left" w:pos="360"/>
        </w:tabs>
        <w:contextualSpacing/>
        <w:rPr>
          <w:sz w:val="24"/>
        </w:rPr>
      </w:pPr>
    </w:p>
    <w:p w:rsidR="00415F2A" w:rsidP="00016853" w14:paraId="77F181E0" w14:textId="16EFF56F">
      <w:pPr>
        <w:pStyle w:val="BodyText"/>
        <w:widowControl w:val="0"/>
        <w:tabs>
          <w:tab w:val="left" w:pos="360"/>
        </w:tabs>
        <w:contextualSpacing/>
        <w:rPr>
          <w:sz w:val="24"/>
        </w:rPr>
      </w:pPr>
      <w:r>
        <w:rPr>
          <w:sz w:val="24"/>
        </w:rPr>
        <w:t xml:space="preserve">There </w:t>
      </w:r>
      <w:r>
        <w:rPr>
          <w:sz w:val="24"/>
        </w:rPr>
        <w:t>are</w:t>
      </w:r>
      <w:r>
        <w:rPr>
          <w:sz w:val="24"/>
        </w:rPr>
        <w:t xml:space="preserve"> an average of 18 annual</w:t>
      </w:r>
      <w:r w:rsidRPr="2EF34D00" w:rsidR="00397491">
        <w:rPr>
          <w:sz w:val="24"/>
        </w:rPr>
        <w:t xml:space="preserve"> respondents</w:t>
      </w:r>
      <w:r w:rsidRPr="2EF34D00" w:rsidR="005415B3">
        <w:rPr>
          <w:sz w:val="24"/>
        </w:rPr>
        <w:t xml:space="preserve"> to</w:t>
      </w:r>
      <w:r w:rsidRPr="2EF34D00" w:rsidR="00B02055">
        <w:rPr>
          <w:sz w:val="24"/>
        </w:rPr>
        <w:t xml:space="preserve"> this </w:t>
      </w:r>
      <w:r w:rsidRPr="2EF34D00" w:rsidR="009372C6">
        <w:rPr>
          <w:sz w:val="24"/>
        </w:rPr>
        <w:t>information collection (IC)</w:t>
      </w:r>
      <w:r w:rsidRPr="2EF34D00" w:rsidR="00397491">
        <w:rPr>
          <w:sz w:val="24"/>
        </w:rPr>
        <w:t xml:space="preserve">. Each respondent </w:t>
      </w:r>
      <w:r>
        <w:rPr>
          <w:sz w:val="24"/>
        </w:rPr>
        <w:t>completes</w:t>
      </w:r>
      <w:r w:rsidRPr="2EF34D00" w:rsidR="00397491">
        <w:rPr>
          <w:sz w:val="24"/>
        </w:rPr>
        <w:t xml:space="preserve"> </w:t>
      </w:r>
      <w:r w:rsidRPr="2EF34D00" w:rsidR="00B02055">
        <w:rPr>
          <w:sz w:val="24"/>
        </w:rPr>
        <w:t xml:space="preserve">the survey </w:t>
      </w:r>
      <w:r w:rsidRPr="2EF34D00" w:rsidR="00397491">
        <w:rPr>
          <w:sz w:val="24"/>
        </w:rPr>
        <w:t>on</w:t>
      </w:r>
      <w:r w:rsidRPr="2EF34D00" w:rsidR="00B02055">
        <w:rPr>
          <w:sz w:val="24"/>
        </w:rPr>
        <w:t>ce</w:t>
      </w:r>
      <w:r w:rsidRPr="2EF34D00" w:rsidR="009372C6">
        <w:rPr>
          <w:sz w:val="24"/>
        </w:rPr>
        <w:t xml:space="preserve"> per incident</w:t>
      </w:r>
      <w:r w:rsidRPr="2EF34D00" w:rsidR="00C52F21">
        <w:rPr>
          <w:sz w:val="24"/>
        </w:rPr>
        <w:t xml:space="preserve">. It </w:t>
      </w:r>
      <w:r>
        <w:rPr>
          <w:sz w:val="24"/>
        </w:rPr>
        <w:t>takes</w:t>
      </w:r>
      <w:r w:rsidRPr="2EF34D00" w:rsidR="00C52F21">
        <w:rPr>
          <w:sz w:val="24"/>
        </w:rPr>
        <w:t xml:space="preserve"> each respondent</w:t>
      </w:r>
      <w:r w:rsidRPr="2EF34D00" w:rsidR="00B02055">
        <w:rPr>
          <w:sz w:val="24"/>
        </w:rPr>
        <w:t xml:space="preserve"> approximately </w:t>
      </w:r>
      <w:r w:rsidRPr="2EF34D00" w:rsidR="00C2140F">
        <w:rPr>
          <w:sz w:val="24"/>
        </w:rPr>
        <w:t>1</w:t>
      </w:r>
      <w:r w:rsidRPr="2EF34D00" w:rsidR="00B02055">
        <w:rPr>
          <w:sz w:val="24"/>
        </w:rPr>
        <w:t>5</w:t>
      </w:r>
      <w:r w:rsidRPr="2EF34D00" w:rsidR="006C580F">
        <w:rPr>
          <w:sz w:val="24"/>
        </w:rPr>
        <w:t xml:space="preserve"> minutes</w:t>
      </w:r>
      <w:r w:rsidRPr="2EF34D00" w:rsidR="00B02055">
        <w:rPr>
          <w:sz w:val="24"/>
        </w:rPr>
        <w:t xml:space="preserve"> </w:t>
      </w:r>
      <w:r w:rsidRPr="2EF34D00" w:rsidR="003E6977">
        <w:rPr>
          <w:sz w:val="24"/>
        </w:rPr>
        <w:t>(0.</w:t>
      </w:r>
      <w:r w:rsidRPr="2EF34D00" w:rsidR="16EBE9EC">
        <w:rPr>
          <w:sz w:val="24"/>
        </w:rPr>
        <w:t>2</w:t>
      </w:r>
      <w:r w:rsidRPr="2EF34D00" w:rsidR="003E6977">
        <w:rPr>
          <w:sz w:val="24"/>
        </w:rPr>
        <w:t xml:space="preserve">5 hours) </w:t>
      </w:r>
      <w:r w:rsidRPr="2EF34D00" w:rsidR="00B02055">
        <w:rPr>
          <w:sz w:val="24"/>
        </w:rPr>
        <w:t xml:space="preserve">to </w:t>
      </w:r>
      <w:r w:rsidRPr="2EF34D00" w:rsidR="00DE43D3">
        <w:rPr>
          <w:sz w:val="24"/>
        </w:rPr>
        <w:t>respond</w:t>
      </w:r>
      <w:r w:rsidRPr="2EF34D00" w:rsidR="00B02055">
        <w:rPr>
          <w:sz w:val="24"/>
        </w:rPr>
        <w:t>. Therefore, t</w:t>
      </w:r>
      <w:r w:rsidRPr="2EF34D00" w:rsidR="00397491">
        <w:rPr>
          <w:sz w:val="24"/>
        </w:rPr>
        <w:t xml:space="preserve">he total </w:t>
      </w:r>
      <w:r w:rsidRPr="2EF34D00" w:rsidR="00F13168">
        <w:rPr>
          <w:sz w:val="24"/>
        </w:rPr>
        <w:t>annual</w:t>
      </w:r>
      <w:r w:rsidRPr="2EF34D00" w:rsidR="00B02055">
        <w:rPr>
          <w:sz w:val="24"/>
        </w:rPr>
        <w:t xml:space="preserve"> public</w:t>
      </w:r>
      <w:r w:rsidRPr="2EF34D00" w:rsidR="00F13168">
        <w:rPr>
          <w:sz w:val="24"/>
        </w:rPr>
        <w:t xml:space="preserve"> </w:t>
      </w:r>
      <w:r w:rsidRPr="2EF34D00" w:rsidR="00397491">
        <w:rPr>
          <w:sz w:val="24"/>
        </w:rPr>
        <w:t>burden</w:t>
      </w:r>
      <w:r w:rsidRPr="2EF34D00" w:rsidR="00B02055">
        <w:rPr>
          <w:sz w:val="24"/>
        </w:rPr>
        <w:t xml:space="preserve"> for this IC is</w:t>
      </w:r>
      <w:r w:rsidRPr="2EF34D00" w:rsidR="00306E2A">
        <w:rPr>
          <w:sz w:val="24"/>
        </w:rPr>
        <w:t xml:space="preserve"> approximately </w:t>
      </w:r>
      <w:r w:rsidR="00426636">
        <w:rPr>
          <w:sz w:val="24"/>
        </w:rPr>
        <w:t>five</w:t>
      </w:r>
      <w:r w:rsidRPr="2EF34D00" w:rsidR="00B02055">
        <w:rPr>
          <w:sz w:val="24"/>
        </w:rPr>
        <w:t xml:space="preserve"> </w:t>
      </w:r>
      <w:r w:rsidRPr="2EF34D00" w:rsidR="00397491">
        <w:rPr>
          <w:sz w:val="24"/>
        </w:rPr>
        <w:t>hours</w:t>
      </w:r>
      <w:r w:rsidRPr="2EF34D00" w:rsidR="00E5308D">
        <w:rPr>
          <w:sz w:val="24"/>
        </w:rPr>
        <w:t xml:space="preserve"> (</w:t>
      </w:r>
      <w:r w:rsidRPr="2EF34D00" w:rsidR="7D50107F">
        <w:rPr>
          <w:sz w:val="24"/>
        </w:rPr>
        <w:t>18</w:t>
      </w:r>
      <w:r w:rsidRPr="2EF34D00" w:rsidR="00E5308D">
        <w:rPr>
          <w:sz w:val="24"/>
        </w:rPr>
        <w:t xml:space="preserve"> respondents * 0.</w:t>
      </w:r>
      <w:r w:rsidRPr="2EF34D00" w:rsidR="1FA45723">
        <w:rPr>
          <w:sz w:val="24"/>
        </w:rPr>
        <w:t>2</w:t>
      </w:r>
      <w:r w:rsidRPr="2EF34D00" w:rsidR="00E5308D">
        <w:rPr>
          <w:sz w:val="24"/>
        </w:rPr>
        <w:t>5 hours)</w:t>
      </w:r>
      <w:r w:rsidRPr="2EF34D00" w:rsidR="00397491">
        <w:rPr>
          <w:sz w:val="24"/>
        </w:rPr>
        <w:t xml:space="preserve">. </w:t>
      </w:r>
      <w:r w:rsidR="00426636">
        <w:rPr>
          <w:sz w:val="24"/>
        </w:rPr>
        <w:t>Should an</w:t>
      </w:r>
      <w:r w:rsidRPr="2EF34D00" w:rsidR="00C52F21">
        <w:rPr>
          <w:sz w:val="24"/>
        </w:rPr>
        <w:t xml:space="preserve"> </w:t>
      </w:r>
      <w:r w:rsidR="00426636">
        <w:rPr>
          <w:sz w:val="24"/>
        </w:rPr>
        <w:t>organization</w:t>
      </w:r>
      <w:r w:rsidRPr="2EF34D00" w:rsidR="00C52F21">
        <w:rPr>
          <w:sz w:val="24"/>
        </w:rPr>
        <w:t xml:space="preserve"> </w:t>
      </w:r>
      <w:r w:rsidRPr="2EF34D00" w:rsidR="00397491">
        <w:rPr>
          <w:sz w:val="24"/>
        </w:rPr>
        <w:t xml:space="preserve">request NRT assistance </w:t>
      </w:r>
      <w:r w:rsidR="00152E12">
        <w:rPr>
          <w:sz w:val="24"/>
        </w:rPr>
        <w:t>more than once</w:t>
      </w:r>
      <w:r w:rsidRPr="2EF34D00" w:rsidR="005415B3">
        <w:rPr>
          <w:sz w:val="24"/>
        </w:rPr>
        <w:t xml:space="preserve"> with</w:t>
      </w:r>
      <w:r w:rsidRPr="2EF34D00" w:rsidR="00C52F21">
        <w:rPr>
          <w:sz w:val="24"/>
        </w:rPr>
        <w:t>in the same</w:t>
      </w:r>
      <w:r w:rsidRPr="2EF34D00" w:rsidR="005415B3">
        <w:rPr>
          <w:sz w:val="24"/>
        </w:rPr>
        <w:t xml:space="preserve"> year</w:t>
      </w:r>
      <w:r w:rsidR="00426636">
        <w:rPr>
          <w:sz w:val="24"/>
        </w:rPr>
        <w:t>, they</w:t>
      </w:r>
      <w:r w:rsidRPr="2EF34D00" w:rsidR="00C52F21">
        <w:rPr>
          <w:sz w:val="24"/>
        </w:rPr>
        <w:t xml:space="preserve"> </w:t>
      </w:r>
      <w:r w:rsidRPr="2EF34D00" w:rsidR="005415B3">
        <w:rPr>
          <w:sz w:val="24"/>
        </w:rPr>
        <w:t xml:space="preserve">may </w:t>
      </w:r>
      <w:r w:rsidRPr="2EF34D00" w:rsidR="00397491">
        <w:rPr>
          <w:sz w:val="24"/>
        </w:rPr>
        <w:t>voluntarily complete multiple surveys</w:t>
      </w:r>
      <w:r w:rsidR="00D0477A">
        <w:rPr>
          <w:sz w:val="24"/>
        </w:rPr>
        <w:t xml:space="preserve">, </w:t>
      </w:r>
      <w:r w:rsidR="00D0477A">
        <w:rPr>
          <w:sz w:val="24"/>
        </w:rPr>
        <w:t>but this is rare</w:t>
      </w:r>
      <w:r w:rsidRPr="2EF34D00" w:rsidR="00B02055">
        <w:rPr>
          <w:sz w:val="24"/>
        </w:rPr>
        <w:t>. However</w:t>
      </w:r>
      <w:r w:rsidRPr="2EF34D00" w:rsidR="00397491">
        <w:rPr>
          <w:sz w:val="24"/>
        </w:rPr>
        <w:t xml:space="preserve">, this collection effort is not redundant because each survey </w:t>
      </w:r>
      <w:r w:rsidR="00152E12">
        <w:rPr>
          <w:sz w:val="24"/>
        </w:rPr>
        <w:t>would generate</w:t>
      </w:r>
      <w:r w:rsidRPr="2EF34D00" w:rsidR="00DE43D3">
        <w:rPr>
          <w:sz w:val="24"/>
        </w:rPr>
        <w:t xml:space="preserve"> </w:t>
      </w:r>
      <w:r w:rsidRPr="2EF34D00" w:rsidR="00B02055">
        <w:rPr>
          <w:sz w:val="24"/>
        </w:rPr>
        <w:t xml:space="preserve">unique </w:t>
      </w:r>
      <w:r w:rsidRPr="2EF34D00" w:rsidR="00397491">
        <w:rPr>
          <w:sz w:val="24"/>
        </w:rPr>
        <w:t xml:space="preserve">answers to a particular instance (NRT callout). </w:t>
      </w:r>
    </w:p>
    <w:p w:rsidR="00B85908" w:rsidP="00016853" w14:paraId="10232920" w14:textId="77777777">
      <w:pPr>
        <w:pStyle w:val="BodyText"/>
        <w:widowControl w:val="0"/>
        <w:tabs>
          <w:tab w:val="left" w:pos="360"/>
        </w:tabs>
        <w:contextualSpacing/>
        <w:rPr>
          <w:sz w:val="24"/>
        </w:rPr>
      </w:pPr>
    </w:p>
    <w:p w:rsidR="00B85908" w:rsidRPr="00F13168" w:rsidP="00016853" w14:paraId="4E92182E" w14:textId="226DBF6D">
      <w:pPr>
        <w:pStyle w:val="BodyText"/>
        <w:widowControl w:val="0"/>
        <w:tabs>
          <w:tab w:val="left" w:pos="360"/>
        </w:tabs>
        <w:contextualSpacing/>
        <w:rPr>
          <w:sz w:val="24"/>
        </w:rPr>
      </w:pPr>
      <w:r w:rsidRPr="2EF34D00">
        <w:rPr>
          <w:sz w:val="24"/>
        </w:rPr>
        <w:t xml:space="preserve">ATF bases the monetized hourly burden on </w:t>
      </w:r>
      <w:r w:rsidR="00D0477A">
        <w:rPr>
          <w:sz w:val="24"/>
        </w:rPr>
        <w:t>s</w:t>
      </w:r>
      <w:r w:rsidRPr="2EF34D00" w:rsidR="000C18CD">
        <w:rPr>
          <w:sz w:val="24"/>
        </w:rPr>
        <w:t>tate civilian pay, which</w:t>
      </w:r>
      <w:r w:rsidR="00D0477A">
        <w:rPr>
          <w:sz w:val="24"/>
        </w:rPr>
        <w:t>,</w:t>
      </w:r>
      <w:r w:rsidRPr="2EF34D00" w:rsidR="000C18CD">
        <w:rPr>
          <w:sz w:val="24"/>
        </w:rPr>
        <w:t xml:space="preserve"> according to the Bureau of Labor Statistics</w:t>
      </w:r>
      <w:r w:rsidR="00D0477A">
        <w:rPr>
          <w:sz w:val="24"/>
        </w:rPr>
        <w:t>,</w:t>
      </w:r>
      <w:r w:rsidRPr="2EF34D00" w:rsidR="000C18CD">
        <w:rPr>
          <w:sz w:val="24"/>
        </w:rPr>
        <w:t xml:space="preserve"> is $47.92 per hour.</w:t>
      </w:r>
      <w:r>
        <w:rPr>
          <w:rStyle w:val="FootnoteReference"/>
          <w:sz w:val="24"/>
        </w:rPr>
        <w:footnoteReference w:id="2"/>
      </w:r>
      <w:r w:rsidRPr="2EF34D00" w:rsidR="000C18CD">
        <w:rPr>
          <w:sz w:val="24"/>
        </w:rPr>
        <w:t xml:space="preserve"> Multiplying the </w:t>
      </w:r>
      <w:r w:rsidRPr="2EF34D00" w:rsidR="002353F7">
        <w:rPr>
          <w:sz w:val="24"/>
        </w:rPr>
        <w:t xml:space="preserve">total hourly burden times the hourly wage rate, the </w:t>
      </w:r>
      <w:r w:rsidRPr="2EF34D00" w:rsidR="00992787">
        <w:rPr>
          <w:sz w:val="24"/>
        </w:rPr>
        <w:t xml:space="preserve">monetized hourly burden </w:t>
      </w:r>
      <w:r w:rsidR="00040257">
        <w:rPr>
          <w:sz w:val="24"/>
        </w:rPr>
        <w:t>for</w:t>
      </w:r>
      <w:r w:rsidRPr="2EF34D00" w:rsidR="00992787">
        <w:rPr>
          <w:sz w:val="24"/>
        </w:rPr>
        <w:t xml:space="preserve"> this ICR is $</w:t>
      </w:r>
      <w:r w:rsidRPr="2EF34D00" w:rsidR="7B4B2C3F">
        <w:rPr>
          <w:sz w:val="24"/>
        </w:rPr>
        <w:t>216</w:t>
      </w:r>
      <w:r w:rsidRPr="2EF34D00" w:rsidR="00992787">
        <w:rPr>
          <w:sz w:val="24"/>
        </w:rPr>
        <w:t xml:space="preserve"> (</w:t>
      </w:r>
      <w:r w:rsidRPr="2EF34D00" w:rsidR="0077279D">
        <w:rPr>
          <w:sz w:val="24"/>
        </w:rPr>
        <w:t>$47.92 civilian wage rate * 0.</w:t>
      </w:r>
      <w:r w:rsidRPr="2EF34D00" w:rsidR="4A3D996D">
        <w:rPr>
          <w:sz w:val="24"/>
        </w:rPr>
        <w:t>2</w:t>
      </w:r>
      <w:r w:rsidRPr="2EF34D00" w:rsidR="0077279D">
        <w:rPr>
          <w:sz w:val="24"/>
        </w:rPr>
        <w:t>5 hours</w:t>
      </w:r>
      <w:r w:rsidRPr="2EF34D00" w:rsidR="004F108D">
        <w:rPr>
          <w:sz w:val="24"/>
        </w:rPr>
        <w:t xml:space="preserve"> per response * </w:t>
      </w:r>
      <w:r w:rsidRPr="2EF34D00" w:rsidR="37BFC359">
        <w:rPr>
          <w:sz w:val="24"/>
        </w:rPr>
        <w:t>18</w:t>
      </w:r>
      <w:r w:rsidRPr="2EF34D00" w:rsidR="00D212B3">
        <w:rPr>
          <w:sz w:val="24"/>
        </w:rPr>
        <w:t xml:space="preserve"> responses</w:t>
      </w:r>
      <w:r w:rsidRPr="2EF34D00" w:rsidR="0077279D">
        <w:rPr>
          <w:sz w:val="24"/>
        </w:rPr>
        <w:t>)</w:t>
      </w:r>
    </w:p>
    <w:p w:rsidR="00415F2A" w:rsidRPr="00F13168" w:rsidP="00016853" w14:paraId="071067FD" w14:textId="77777777">
      <w:pPr>
        <w:widowControl w:val="0"/>
        <w:tabs>
          <w:tab w:val="num" w:pos="360"/>
          <w:tab w:val="left" w:pos="450"/>
        </w:tabs>
        <w:contextualSpacing/>
      </w:pPr>
    </w:p>
    <w:tbl>
      <w:tblPr>
        <w:tblStyle w:val="TableGrid"/>
        <w:tblW w:w="9625" w:type="dxa"/>
        <w:tblLook w:val="04A0"/>
      </w:tblPr>
      <w:tblGrid>
        <w:gridCol w:w="1451"/>
        <w:gridCol w:w="1413"/>
        <w:gridCol w:w="1218"/>
        <w:gridCol w:w="1180"/>
        <w:gridCol w:w="1095"/>
        <w:gridCol w:w="949"/>
        <w:gridCol w:w="888"/>
        <w:gridCol w:w="1431"/>
      </w:tblGrid>
      <w:tr w14:paraId="5E7C1584" w14:textId="77777777" w:rsidTr="00886F14">
        <w:tblPrEx>
          <w:tblW w:w="9625" w:type="dxa"/>
          <w:tblLook w:val="04A0"/>
        </w:tblPrEx>
        <w:tc>
          <w:tcPr>
            <w:tcW w:w="1451" w:type="dxa"/>
            <w:shd w:val="clear" w:color="auto" w:fill="95B3D7" w:themeFill="accent1" w:themeFillTint="99"/>
            <w:vAlign w:val="center"/>
          </w:tcPr>
          <w:p w:rsidR="0060768C" w:rsidRPr="00F705F7" w:rsidP="00016853" w14:paraId="3A093637" w14:textId="77777777">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Activity</w:t>
            </w:r>
          </w:p>
        </w:tc>
        <w:tc>
          <w:tcPr>
            <w:tcW w:w="1413" w:type="dxa"/>
            <w:shd w:val="clear" w:color="auto" w:fill="95B3D7" w:themeFill="accent1" w:themeFillTint="99"/>
            <w:vAlign w:val="center"/>
          </w:tcPr>
          <w:p w:rsidR="0060768C" w:rsidRPr="00F705F7" w:rsidP="00016853" w14:paraId="0E71BEAB" w14:textId="77777777">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Number of respondents</w:t>
            </w:r>
          </w:p>
        </w:tc>
        <w:tc>
          <w:tcPr>
            <w:tcW w:w="1218" w:type="dxa"/>
            <w:shd w:val="clear" w:color="auto" w:fill="95B3D7" w:themeFill="accent1" w:themeFillTint="99"/>
            <w:vAlign w:val="center"/>
          </w:tcPr>
          <w:p w:rsidR="0060768C" w:rsidRPr="00F705F7" w:rsidP="00016853" w14:paraId="3CAC52B4" w14:textId="77777777">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Frequency</w:t>
            </w:r>
          </w:p>
        </w:tc>
        <w:tc>
          <w:tcPr>
            <w:tcW w:w="1180" w:type="dxa"/>
            <w:shd w:val="clear" w:color="auto" w:fill="95B3D7" w:themeFill="accent1" w:themeFillTint="99"/>
            <w:vAlign w:val="center"/>
          </w:tcPr>
          <w:p w:rsidR="0060768C" w:rsidRPr="00F705F7" w:rsidP="00016853" w14:paraId="39EDA027" w14:textId="77777777">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Total annual responses</w:t>
            </w:r>
          </w:p>
        </w:tc>
        <w:tc>
          <w:tcPr>
            <w:tcW w:w="1095" w:type="dxa"/>
            <w:shd w:val="clear" w:color="auto" w:fill="95B3D7" w:themeFill="accent1" w:themeFillTint="99"/>
            <w:vAlign w:val="center"/>
          </w:tcPr>
          <w:p w:rsidR="0060768C" w:rsidRPr="00F705F7" w:rsidP="00016853" w14:paraId="6C25CD0F" w14:textId="6374BFFB">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Time per response</w:t>
            </w:r>
            <w:r w:rsidR="00652383">
              <w:rPr>
                <w:rFonts w:ascii="Times New Roman" w:hAnsi="Times New Roman" w:cs="Times New Roman"/>
                <w:b/>
                <w:sz w:val="20"/>
                <w:szCs w:val="20"/>
              </w:rPr>
              <w:t xml:space="preserve"> (hours)</w:t>
            </w:r>
          </w:p>
        </w:tc>
        <w:tc>
          <w:tcPr>
            <w:tcW w:w="949" w:type="dxa"/>
            <w:shd w:val="clear" w:color="auto" w:fill="95B3D7" w:themeFill="accent1" w:themeFillTint="99"/>
            <w:vAlign w:val="center"/>
          </w:tcPr>
          <w:p w:rsidR="0060768C" w:rsidRPr="00F705F7" w:rsidP="00016853" w14:paraId="0138B0F0" w14:textId="77777777">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Total annual burden (hours)</w:t>
            </w:r>
          </w:p>
        </w:tc>
        <w:tc>
          <w:tcPr>
            <w:tcW w:w="888" w:type="dxa"/>
            <w:shd w:val="clear" w:color="auto" w:fill="95B3D7" w:themeFill="accent1" w:themeFillTint="99"/>
            <w:vAlign w:val="center"/>
          </w:tcPr>
          <w:p w:rsidR="0060768C" w:rsidRPr="00F705F7" w:rsidP="00016853" w14:paraId="76E89DA8" w14:textId="3EDD6CC3">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Hourly rate*</w:t>
            </w:r>
          </w:p>
        </w:tc>
        <w:tc>
          <w:tcPr>
            <w:tcW w:w="1431" w:type="dxa"/>
            <w:shd w:val="clear" w:color="auto" w:fill="95B3D7" w:themeFill="accent1" w:themeFillTint="99"/>
            <w:vAlign w:val="center"/>
          </w:tcPr>
          <w:p w:rsidR="0060768C" w:rsidRPr="00F705F7" w:rsidP="00016853" w14:paraId="54F53842" w14:textId="77777777">
            <w:pPr>
              <w:widowControl w:val="0"/>
              <w:contextualSpacing/>
              <w:jc w:val="center"/>
              <w:rPr>
                <w:rFonts w:ascii="Times New Roman" w:hAnsi="Times New Roman" w:cs="Times New Roman"/>
                <w:b/>
                <w:sz w:val="20"/>
                <w:szCs w:val="20"/>
              </w:rPr>
            </w:pPr>
            <w:r w:rsidRPr="00F705F7">
              <w:rPr>
                <w:rFonts w:ascii="Times New Roman" w:hAnsi="Times New Roman" w:cs="Times New Roman"/>
                <w:b/>
                <w:sz w:val="20"/>
                <w:szCs w:val="20"/>
              </w:rPr>
              <w:t>Monetized value of respondent time</w:t>
            </w:r>
          </w:p>
        </w:tc>
      </w:tr>
      <w:tr w14:paraId="43F4E1D3" w14:textId="77777777" w:rsidTr="00886F14">
        <w:tblPrEx>
          <w:tblW w:w="9625" w:type="dxa"/>
          <w:tblLook w:val="04A0"/>
        </w:tblPrEx>
        <w:tc>
          <w:tcPr>
            <w:tcW w:w="1451" w:type="dxa"/>
            <w:vAlign w:val="center"/>
          </w:tcPr>
          <w:p w:rsidR="0060768C" w:rsidRPr="00F705F7" w:rsidP="00D83FD4" w14:paraId="5952451D" w14:textId="0E796218">
            <w:pPr>
              <w:widowControl w:val="0"/>
              <w:contextualSpacing/>
              <w:jc w:val="right"/>
              <w:rPr>
                <w:rFonts w:ascii="Times New Roman" w:hAnsi="Times New Roman" w:cs="Times New Roman"/>
                <w:sz w:val="20"/>
                <w:szCs w:val="20"/>
              </w:rPr>
            </w:pPr>
            <w:r>
              <w:rPr>
                <w:rFonts w:ascii="Times New Roman" w:hAnsi="Times New Roman" w:cs="Times New Roman"/>
                <w:sz w:val="20"/>
                <w:szCs w:val="20"/>
              </w:rPr>
              <w:t xml:space="preserve">Completing </w:t>
            </w:r>
            <w:r w:rsidRPr="1996AD1B" w:rsidR="4DBB3D54">
              <w:rPr>
                <w:rFonts w:ascii="Times New Roman" w:hAnsi="Times New Roman" w:cs="Times New Roman"/>
                <w:sz w:val="20"/>
                <w:szCs w:val="20"/>
              </w:rPr>
              <w:t>SurveyMonkey</w:t>
            </w:r>
            <w:r>
              <w:rPr>
                <w:rFonts w:ascii="Times New Roman" w:hAnsi="Times New Roman" w:cs="Times New Roman"/>
                <w:sz w:val="20"/>
                <w:szCs w:val="20"/>
              </w:rPr>
              <w:t xml:space="preserve"> survey</w:t>
            </w:r>
          </w:p>
        </w:tc>
        <w:tc>
          <w:tcPr>
            <w:tcW w:w="1413" w:type="dxa"/>
            <w:vAlign w:val="center"/>
          </w:tcPr>
          <w:p w:rsidR="0060768C" w:rsidRPr="00F705F7" w:rsidP="00D83FD4" w14:paraId="44325369" w14:textId="5F7355ED">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18</w:t>
            </w:r>
          </w:p>
        </w:tc>
        <w:tc>
          <w:tcPr>
            <w:tcW w:w="1218" w:type="dxa"/>
            <w:vAlign w:val="center"/>
          </w:tcPr>
          <w:p w:rsidR="0060768C" w:rsidRPr="00F705F7" w:rsidP="00D83FD4" w14:paraId="59B6AFDF" w14:textId="7F462E8C">
            <w:pPr>
              <w:widowControl w:val="0"/>
              <w:contextualSpacing/>
              <w:jc w:val="center"/>
              <w:rPr>
                <w:rFonts w:ascii="Times New Roman" w:hAnsi="Times New Roman" w:cs="Times New Roman"/>
                <w:sz w:val="20"/>
                <w:szCs w:val="20"/>
              </w:rPr>
            </w:pPr>
            <w:r w:rsidRPr="1996AD1B">
              <w:rPr>
                <w:rFonts w:ascii="Times New Roman" w:hAnsi="Times New Roman" w:cs="Times New Roman"/>
                <w:sz w:val="20"/>
                <w:szCs w:val="20"/>
              </w:rPr>
              <w:t>1</w:t>
            </w:r>
          </w:p>
        </w:tc>
        <w:tc>
          <w:tcPr>
            <w:tcW w:w="1180" w:type="dxa"/>
            <w:vAlign w:val="center"/>
          </w:tcPr>
          <w:p w:rsidR="0060768C" w:rsidRPr="00F705F7" w:rsidP="00D83FD4" w14:paraId="5085D7DA" w14:textId="244422CA">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18</w:t>
            </w:r>
          </w:p>
        </w:tc>
        <w:tc>
          <w:tcPr>
            <w:tcW w:w="1095" w:type="dxa"/>
            <w:vAlign w:val="center"/>
          </w:tcPr>
          <w:p w:rsidR="0060768C" w:rsidRPr="00F705F7" w:rsidP="00D83FD4" w14:paraId="39B697DE" w14:textId="04A1A300">
            <w:pPr>
              <w:widowControl w:val="0"/>
              <w:contextualSpacing/>
              <w:jc w:val="center"/>
              <w:rPr>
                <w:rFonts w:ascii="Times New Roman" w:hAnsi="Times New Roman" w:cs="Times New Roman"/>
                <w:sz w:val="20"/>
                <w:szCs w:val="20"/>
              </w:rPr>
            </w:pPr>
            <w:r w:rsidRPr="2EF34D00">
              <w:rPr>
                <w:rFonts w:ascii="Times New Roman" w:hAnsi="Times New Roman" w:cs="Times New Roman"/>
                <w:sz w:val="20"/>
                <w:szCs w:val="20"/>
              </w:rPr>
              <w:t>0.</w:t>
            </w:r>
            <w:r w:rsidRPr="2EF34D00" w:rsidR="13D75A92">
              <w:rPr>
                <w:rFonts w:ascii="Times New Roman" w:hAnsi="Times New Roman" w:cs="Times New Roman"/>
                <w:sz w:val="20"/>
                <w:szCs w:val="20"/>
              </w:rPr>
              <w:t>2</w:t>
            </w:r>
            <w:r w:rsidRPr="2EF34D00">
              <w:rPr>
                <w:rFonts w:ascii="Times New Roman" w:hAnsi="Times New Roman" w:cs="Times New Roman"/>
                <w:sz w:val="20"/>
                <w:szCs w:val="20"/>
              </w:rPr>
              <w:t>5</w:t>
            </w:r>
          </w:p>
        </w:tc>
        <w:tc>
          <w:tcPr>
            <w:tcW w:w="949" w:type="dxa"/>
            <w:vAlign w:val="center"/>
          </w:tcPr>
          <w:p w:rsidR="0060768C" w:rsidRPr="00F705F7" w:rsidP="00D83FD4" w14:paraId="2CECF90A" w14:textId="31B1750F">
            <w:pPr>
              <w:widowControl w:val="0"/>
              <w:contextualSpacing/>
              <w:jc w:val="center"/>
              <w:rPr>
                <w:rFonts w:ascii="Times New Roman" w:hAnsi="Times New Roman" w:cs="Times New Roman"/>
                <w:sz w:val="20"/>
                <w:szCs w:val="20"/>
              </w:rPr>
            </w:pPr>
            <w:r w:rsidRPr="2EF34D00">
              <w:rPr>
                <w:rFonts w:ascii="Times New Roman" w:hAnsi="Times New Roman" w:cs="Times New Roman"/>
                <w:sz w:val="20"/>
                <w:szCs w:val="20"/>
              </w:rPr>
              <w:t>5</w:t>
            </w:r>
          </w:p>
        </w:tc>
        <w:tc>
          <w:tcPr>
            <w:tcW w:w="888" w:type="dxa"/>
            <w:vAlign w:val="center"/>
          </w:tcPr>
          <w:p w:rsidR="0060768C" w:rsidRPr="00F705F7" w:rsidP="00D83FD4" w14:paraId="1A1AC2DC" w14:textId="1767278A">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$47.92</w:t>
            </w:r>
          </w:p>
        </w:tc>
        <w:tc>
          <w:tcPr>
            <w:tcW w:w="1431" w:type="dxa"/>
            <w:vAlign w:val="center"/>
          </w:tcPr>
          <w:p w:rsidR="0060768C" w:rsidRPr="00F705F7" w:rsidP="00D83FD4" w14:paraId="0FB23DAD" w14:textId="0B0F53D3">
            <w:pPr>
              <w:widowControl w:val="0"/>
              <w:contextualSpacing/>
              <w:jc w:val="right"/>
              <w:rPr>
                <w:rFonts w:ascii="Times New Roman" w:hAnsi="Times New Roman" w:cs="Times New Roman"/>
                <w:sz w:val="20"/>
                <w:szCs w:val="20"/>
              </w:rPr>
            </w:pPr>
            <w:r w:rsidRPr="2EF34D00">
              <w:rPr>
                <w:rFonts w:ascii="Times New Roman" w:hAnsi="Times New Roman" w:cs="Times New Roman"/>
                <w:sz w:val="20"/>
                <w:szCs w:val="20"/>
              </w:rPr>
              <w:t>$</w:t>
            </w:r>
            <w:r w:rsidRPr="2EF34D00" w:rsidR="0902C045">
              <w:rPr>
                <w:rFonts w:ascii="Times New Roman" w:hAnsi="Times New Roman" w:cs="Times New Roman"/>
                <w:sz w:val="20"/>
                <w:szCs w:val="20"/>
              </w:rPr>
              <w:t>216</w:t>
            </w:r>
          </w:p>
        </w:tc>
      </w:tr>
      <w:tr w14:paraId="12CDA6EF" w14:textId="77777777" w:rsidTr="00886F14">
        <w:tblPrEx>
          <w:tblW w:w="9625" w:type="dxa"/>
          <w:tblLook w:val="04A0"/>
        </w:tblPrEx>
        <w:tc>
          <w:tcPr>
            <w:tcW w:w="1451" w:type="dxa"/>
          </w:tcPr>
          <w:p w:rsidR="0060768C" w:rsidRPr="00F705F7" w:rsidP="00D83FD4" w14:paraId="6AD05F1D" w14:textId="77777777">
            <w:pPr>
              <w:widowControl w:val="0"/>
              <w:contextualSpacing/>
              <w:jc w:val="right"/>
              <w:rPr>
                <w:rFonts w:ascii="Times New Roman" w:hAnsi="Times New Roman" w:cs="Times New Roman"/>
                <w:b/>
                <w:iCs/>
                <w:sz w:val="20"/>
                <w:szCs w:val="20"/>
              </w:rPr>
            </w:pPr>
            <w:r w:rsidRPr="00F705F7">
              <w:rPr>
                <w:rFonts w:ascii="Times New Roman" w:hAnsi="Times New Roman" w:cs="Times New Roman"/>
                <w:b/>
                <w:iCs/>
                <w:sz w:val="20"/>
                <w:szCs w:val="20"/>
              </w:rPr>
              <w:t>Unduplicated totals</w:t>
            </w:r>
          </w:p>
        </w:tc>
        <w:tc>
          <w:tcPr>
            <w:tcW w:w="1413" w:type="dxa"/>
            <w:vAlign w:val="center"/>
          </w:tcPr>
          <w:p w:rsidR="0060768C" w:rsidRPr="00DC519F" w:rsidP="00D83FD4" w14:paraId="56DDCC27" w14:textId="6BF75908">
            <w:pPr>
              <w:widowControl w:val="0"/>
              <w:contextualSpacing/>
              <w:jc w:val="center"/>
              <w:rPr>
                <w:rFonts w:ascii="Times New Roman" w:hAnsi="Times New Roman" w:cs="Times New Roman"/>
                <w:b/>
                <w:iCs/>
                <w:sz w:val="20"/>
                <w:szCs w:val="20"/>
              </w:rPr>
            </w:pPr>
            <w:r w:rsidRPr="00DC519F">
              <w:rPr>
                <w:rFonts w:ascii="Times New Roman" w:hAnsi="Times New Roman" w:cs="Times New Roman"/>
                <w:b/>
                <w:iCs/>
                <w:sz w:val="20"/>
                <w:szCs w:val="20"/>
              </w:rPr>
              <w:t>18</w:t>
            </w:r>
          </w:p>
        </w:tc>
        <w:tc>
          <w:tcPr>
            <w:tcW w:w="1218" w:type="dxa"/>
            <w:vAlign w:val="center"/>
          </w:tcPr>
          <w:p w:rsidR="0060768C" w:rsidRPr="00F705F7" w:rsidP="00D83FD4" w14:paraId="15EDCE4F" w14:textId="77777777">
            <w:pPr>
              <w:widowControl w:val="0"/>
              <w:contextualSpacing/>
              <w:jc w:val="center"/>
              <w:rPr>
                <w:rFonts w:ascii="Times New Roman" w:hAnsi="Times New Roman" w:cs="Times New Roman"/>
                <w:b/>
                <w:i/>
                <w:sz w:val="20"/>
                <w:szCs w:val="20"/>
              </w:rPr>
            </w:pPr>
          </w:p>
        </w:tc>
        <w:tc>
          <w:tcPr>
            <w:tcW w:w="1180" w:type="dxa"/>
            <w:vAlign w:val="center"/>
          </w:tcPr>
          <w:p w:rsidR="0060768C" w:rsidRPr="00DC519F" w:rsidP="00D83FD4" w14:paraId="5F1073E1" w14:textId="424E9AA5">
            <w:pPr>
              <w:widowControl w:val="0"/>
              <w:contextualSpacing/>
              <w:jc w:val="center"/>
              <w:rPr>
                <w:rFonts w:ascii="Times New Roman" w:hAnsi="Times New Roman" w:cs="Times New Roman"/>
                <w:b/>
                <w:iCs/>
                <w:sz w:val="20"/>
                <w:szCs w:val="20"/>
              </w:rPr>
            </w:pPr>
            <w:r w:rsidRPr="00DC519F">
              <w:rPr>
                <w:rFonts w:ascii="Times New Roman" w:hAnsi="Times New Roman" w:cs="Times New Roman"/>
                <w:b/>
                <w:iCs/>
                <w:sz w:val="20"/>
                <w:szCs w:val="20"/>
              </w:rPr>
              <w:t>18</w:t>
            </w:r>
          </w:p>
        </w:tc>
        <w:tc>
          <w:tcPr>
            <w:tcW w:w="1095" w:type="dxa"/>
            <w:vAlign w:val="center"/>
          </w:tcPr>
          <w:p w:rsidR="0060768C" w:rsidRPr="00DC519F" w:rsidP="00D83FD4" w14:paraId="153A6E02" w14:textId="35BEFEC1">
            <w:pPr>
              <w:widowControl w:val="0"/>
              <w:contextualSpacing/>
              <w:jc w:val="center"/>
              <w:rPr>
                <w:rFonts w:ascii="Times New Roman" w:hAnsi="Times New Roman" w:cs="Times New Roman"/>
                <w:b/>
                <w:iCs/>
                <w:sz w:val="20"/>
                <w:szCs w:val="20"/>
              </w:rPr>
            </w:pPr>
            <w:r w:rsidRPr="00DC519F">
              <w:rPr>
                <w:rFonts w:ascii="Times New Roman" w:hAnsi="Times New Roman" w:cs="Times New Roman"/>
                <w:b/>
                <w:iCs/>
                <w:sz w:val="20"/>
                <w:szCs w:val="20"/>
              </w:rPr>
              <w:t>0.5</w:t>
            </w:r>
          </w:p>
        </w:tc>
        <w:tc>
          <w:tcPr>
            <w:tcW w:w="949" w:type="dxa"/>
            <w:vAlign w:val="center"/>
          </w:tcPr>
          <w:p w:rsidR="0060768C" w:rsidRPr="00DC519F" w:rsidP="00D83FD4" w14:paraId="7D9B1272" w14:textId="563FF76C">
            <w:pPr>
              <w:widowControl w:val="0"/>
              <w:contextualSpacing/>
              <w:jc w:val="center"/>
              <w:rPr>
                <w:rFonts w:ascii="Times New Roman" w:hAnsi="Times New Roman" w:cs="Times New Roman"/>
                <w:b/>
                <w:bCs/>
                <w:iCs/>
                <w:sz w:val="20"/>
                <w:szCs w:val="20"/>
              </w:rPr>
            </w:pPr>
            <w:r w:rsidRPr="00DC519F">
              <w:rPr>
                <w:rFonts w:ascii="Times New Roman" w:hAnsi="Times New Roman" w:cs="Times New Roman"/>
                <w:b/>
                <w:bCs/>
                <w:iCs/>
                <w:sz w:val="20"/>
                <w:szCs w:val="20"/>
              </w:rPr>
              <w:t>5</w:t>
            </w:r>
          </w:p>
        </w:tc>
        <w:tc>
          <w:tcPr>
            <w:tcW w:w="888" w:type="dxa"/>
            <w:vAlign w:val="center"/>
          </w:tcPr>
          <w:p w:rsidR="0060768C" w:rsidRPr="00DC519F" w:rsidP="00D83FD4" w14:paraId="411FA9CF" w14:textId="258BA595">
            <w:pPr>
              <w:widowControl w:val="0"/>
              <w:contextualSpacing/>
              <w:jc w:val="center"/>
              <w:rPr>
                <w:rFonts w:ascii="Times New Roman" w:hAnsi="Times New Roman" w:cs="Times New Roman"/>
                <w:b/>
                <w:iCs/>
                <w:sz w:val="20"/>
                <w:szCs w:val="20"/>
              </w:rPr>
            </w:pPr>
            <w:r w:rsidRPr="00DC519F">
              <w:rPr>
                <w:rFonts w:ascii="Times New Roman" w:hAnsi="Times New Roman" w:cs="Times New Roman"/>
                <w:b/>
                <w:iCs/>
                <w:sz w:val="20"/>
                <w:szCs w:val="20"/>
              </w:rPr>
              <w:t>$47.92</w:t>
            </w:r>
          </w:p>
        </w:tc>
        <w:tc>
          <w:tcPr>
            <w:tcW w:w="1431" w:type="dxa"/>
            <w:vAlign w:val="center"/>
          </w:tcPr>
          <w:p w:rsidR="0060768C" w:rsidRPr="00DC519F" w:rsidP="00D83FD4" w14:paraId="76C2308E" w14:textId="3E9A23E5">
            <w:pPr>
              <w:widowControl w:val="0"/>
              <w:contextualSpacing/>
              <w:jc w:val="right"/>
              <w:rPr>
                <w:rFonts w:ascii="Times New Roman" w:hAnsi="Times New Roman" w:cs="Times New Roman"/>
                <w:b/>
                <w:bCs/>
                <w:iCs/>
                <w:sz w:val="20"/>
                <w:szCs w:val="20"/>
              </w:rPr>
            </w:pPr>
            <w:r w:rsidRPr="00DC519F">
              <w:rPr>
                <w:rFonts w:ascii="Times New Roman" w:hAnsi="Times New Roman" w:cs="Times New Roman"/>
                <w:b/>
                <w:bCs/>
                <w:iCs/>
                <w:sz w:val="20"/>
                <w:szCs w:val="20"/>
              </w:rPr>
              <w:t>$</w:t>
            </w:r>
            <w:r w:rsidRPr="00DC519F" w:rsidR="74DFB28C">
              <w:rPr>
                <w:rFonts w:ascii="Times New Roman" w:hAnsi="Times New Roman" w:cs="Times New Roman"/>
                <w:b/>
                <w:bCs/>
                <w:iCs/>
                <w:sz w:val="20"/>
                <w:szCs w:val="20"/>
              </w:rPr>
              <w:t>216</w:t>
            </w:r>
          </w:p>
        </w:tc>
      </w:tr>
    </w:tbl>
    <w:p w:rsidR="00F466D7" w:rsidP="00D83FD4" w14:paraId="69081E2A" w14:textId="77777777">
      <w:pPr>
        <w:widowControl w:val="0"/>
        <w:tabs>
          <w:tab w:val="num" w:pos="360"/>
          <w:tab w:val="left" w:pos="450"/>
        </w:tabs>
        <w:contextualSpacing/>
      </w:pPr>
    </w:p>
    <w:p w:rsidR="00786E6B" w:rsidP="00D83FD4" w14:paraId="739E928B" w14:textId="54F0A9BA">
      <w:pPr>
        <w:pStyle w:val="BodyTextIndent"/>
        <w:widowControl w:val="0"/>
        <w:ind w:left="0" w:firstLine="0"/>
        <w:contextualSpacing/>
        <w:rPr>
          <w:sz w:val="24"/>
        </w:rPr>
      </w:pPr>
      <w:r>
        <w:rPr>
          <w:b/>
          <w:bCs/>
          <w:sz w:val="24"/>
        </w:rPr>
        <w:t>13.</w:t>
      </w:r>
      <w:r w:rsidR="007031D8">
        <w:rPr>
          <w:b/>
          <w:bCs/>
          <w:sz w:val="24"/>
        </w:rPr>
        <w:t xml:space="preserve"> </w:t>
      </w:r>
      <w:r w:rsidRPr="00786E6B">
        <w:rPr>
          <w:b/>
          <w:bCs/>
          <w:sz w:val="24"/>
        </w:rPr>
        <w:t>Provide an estimate of the total annual cost burden to respondents or record-keepers resulting from the information collection. (Do not include the cost of any hour burden shown in Items 12 and 14).</w:t>
      </w:r>
    </w:p>
    <w:p w:rsidR="00961179" w:rsidP="00961179" w14:paraId="05CAE808" w14:textId="77777777">
      <w:pPr>
        <w:pStyle w:val="BodyTextIndent"/>
        <w:widowControl w:val="0"/>
        <w:ind w:left="0" w:firstLine="0"/>
        <w:contextualSpacing/>
        <w:rPr>
          <w:sz w:val="24"/>
        </w:rPr>
      </w:pPr>
    </w:p>
    <w:p w:rsidR="00415F2A" w:rsidRPr="00F13168" w:rsidP="009035C2" w14:paraId="1B7200E5" w14:textId="0EA75C7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705F7">
        <w:t>There are no additional costs associated with this information collection.</w:t>
      </w:r>
    </w:p>
    <w:p w:rsidR="00415F2A" w:rsidRPr="00F13168" w:rsidP="00D83FD4" w14:paraId="7F991C91" w14:textId="77777777">
      <w:pPr>
        <w:widowControl w:val="0"/>
        <w:tabs>
          <w:tab w:val="num" w:pos="360"/>
          <w:tab w:val="left" w:pos="450"/>
          <w:tab w:val="num" w:pos="540"/>
        </w:tabs>
        <w:contextualSpacing/>
      </w:pPr>
    </w:p>
    <w:p w:rsidR="00F947D8" w:rsidP="00D83FD4" w14:paraId="4358B6F0" w14:textId="6E467499">
      <w:pPr>
        <w:pStyle w:val="BodyTextIndent"/>
        <w:widowControl w:val="0"/>
        <w:ind w:left="0" w:firstLine="0"/>
        <w:contextualSpacing/>
        <w:rPr>
          <w:sz w:val="24"/>
        </w:rPr>
      </w:pPr>
      <w:r>
        <w:rPr>
          <w:b/>
          <w:bCs/>
          <w:sz w:val="24"/>
        </w:rPr>
        <w:t>14.</w:t>
      </w:r>
      <w:r w:rsidR="007031D8">
        <w:rPr>
          <w:b/>
          <w:bCs/>
          <w:sz w:val="24"/>
        </w:rPr>
        <w:t xml:space="preserve"> </w:t>
      </w:r>
      <w:r w:rsidRPr="00F947D8">
        <w:rPr>
          <w:b/>
          <w:bCs/>
          <w:sz w:val="24"/>
        </w:rPr>
        <w:t>Provide estimates of the annualized cost to the federal government.</w:t>
      </w:r>
    </w:p>
    <w:p w:rsidR="00961179" w:rsidP="00961179" w14:paraId="1AD48C4C" w14:textId="77777777">
      <w:pPr>
        <w:pStyle w:val="BodyTextIndent"/>
        <w:widowControl w:val="0"/>
        <w:ind w:left="0" w:firstLine="0"/>
        <w:contextualSpacing/>
        <w:rPr>
          <w:sz w:val="24"/>
        </w:rPr>
      </w:pPr>
    </w:p>
    <w:p w:rsidR="00CB15AB" w:rsidP="00D83FD4" w14:paraId="2BDEA760" w14:textId="08C4DF2A">
      <w:pPr>
        <w:pStyle w:val="BodyTextIndent"/>
        <w:widowControl w:val="0"/>
        <w:ind w:left="0" w:firstLine="0"/>
        <w:contextualSpacing/>
      </w:pPr>
      <w:r w:rsidRPr="009161EE">
        <w:rPr>
          <w:sz w:val="24"/>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CB15AB" w:rsidP="00D83FD4" w14:paraId="3E464CE6" w14:textId="77777777">
      <w:pPr>
        <w:pStyle w:val="ListParagraph"/>
        <w:widowControl w:val="0"/>
        <w:ind w:left="0"/>
      </w:pPr>
    </w:p>
    <w:p w:rsidR="00437734" w:rsidP="00D83FD4" w14:paraId="531DA3FB" w14:textId="0DC81AFB">
      <w:pPr>
        <w:pStyle w:val="BodyTextIndent"/>
        <w:widowControl w:val="0"/>
        <w:ind w:left="0" w:firstLine="0"/>
        <w:contextualSpacing/>
        <w:rPr>
          <w:sz w:val="24"/>
        </w:rPr>
      </w:pPr>
      <w:r>
        <w:rPr>
          <w:b/>
          <w:bCs/>
          <w:sz w:val="24"/>
        </w:rPr>
        <w:t>15.</w:t>
      </w:r>
      <w:r w:rsidR="007031D8">
        <w:rPr>
          <w:b/>
          <w:bCs/>
          <w:sz w:val="24"/>
        </w:rPr>
        <w:t xml:space="preserve"> </w:t>
      </w:r>
      <w:r w:rsidRPr="00437734">
        <w:rPr>
          <w:b/>
          <w:bCs/>
          <w:sz w:val="24"/>
        </w:rPr>
        <w:t>Explain the reasons for any program changes or adjustments.</w:t>
      </w:r>
    </w:p>
    <w:p w:rsidR="00961179" w:rsidP="00961179" w14:paraId="26DA45E6" w14:textId="77777777">
      <w:pPr>
        <w:pStyle w:val="BodyTextIndent"/>
        <w:widowControl w:val="0"/>
        <w:ind w:left="0" w:firstLine="0"/>
        <w:contextualSpacing/>
        <w:rPr>
          <w:sz w:val="24"/>
        </w:rPr>
      </w:pPr>
    </w:p>
    <w:p w:rsidR="00415F2A" w:rsidRPr="00F13168" w:rsidP="00D83FD4" w14:paraId="58DBBB7E" w14:textId="44AD221A">
      <w:pPr>
        <w:pStyle w:val="BodyTextIndent"/>
        <w:widowControl w:val="0"/>
        <w:ind w:left="0" w:firstLine="0"/>
        <w:contextualSpacing/>
        <w:rPr>
          <w:sz w:val="24"/>
        </w:rPr>
      </w:pPr>
      <w:r>
        <w:rPr>
          <w:sz w:val="24"/>
        </w:rPr>
        <w:t xml:space="preserve">The agency has changed the surveys </w:t>
      </w:r>
      <w:r>
        <w:rPr>
          <w:sz w:val="24"/>
        </w:rPr>
        <w:t>by-mail</w:t>
      </w:r>
      <w:r>
        <w:rPr>
          <w:sz w:val="24"/>
        </w:rPr>
        <w:t xml:space="preserve"> surveys to </w:t>
      </w:r>
      <w:r>
        <w:rPr>
          <w:sz w:val="24"/>
        </w:rPr>
        <w:t>emailed</w:t>
      </w:r>
      <w:r>
        <w:rPr>
          <w:sz w:val="24"/>
        </w:rPr>
        <w:t xml:space="preserve"> surveys, and now to online surveys. In addition,</w:t>
      </w:r>
      <w:r w:rsidR="00CD7201">
        <w:rPr>
          <w:sz w:val="24"/>
        </w:rPr>
        <w:t xml:space="preserve"> ATF has streamlined the invitation process</w:t>
      </w:r>
      <w:r w:rsidRPr="2EF34D00" w:rsidR="00397491">
        <w:rPr>
          <w:sz w:val="24"/>
        </w:rPr>
        <w:t>.</w:t>
      </w:r>
      <w:r w:rsidR="00CD7201">
        <w:rPr>
          <w:sz w:val="24"/>
        </w:rPr>
        <w:t xml:space="preserve"> As a result of these changes, </w:t>
      </w:r>
      <w:r w:rsidR="007B4CC6">
        <w:rPr>
          <w:sz w:val="24"/>
        </w:rPr>
        <w:t>the time burden for individual respondents has decreased from .5 hours to .25 hours.</w:t>
      </w:r>
      <w:r w:rsidR="00597661">
        <w:rPr>
          <w:sz w:val="24"/>
        </w:rPr>
        <w:t xml:space="preserve"> </w:t>
      </w:r>
      <w:r w:rsidR="007B4CC6">
        <w:rPr>
          <w:sz w:val="24"/>
        </w:rPr>
        <w:t xml:space="preserve">In addition, the number of </w:t>
      </w:r>
      <w:r w:rsidR="00B737DC">
        <w:rPr>
          <w:sz w:val="24"/>
        </w:rPr>
        <w:t>arson and explosives crime scene events</w:t>
      </w:r>
      <w:r w:rsidR="007B4CC6">
        <w:rPr>
          <w:sz w:val="24"/>
        </w:rPr>
        <w:t xml:space="preserve"> was lower during the past three years, resulting in a decrease in the</w:t>
      </w:r>
      <w:r w:rsidR="002162AD">
        <w:rPr>
          <w:sz w:val="24"/>
        </w:rPr>
        <w:t xml:space="preserve"> </w:t>
      </w:r>
      <w:r w:rsidR="00B737DC">
        <w:rPr>
          <w:sz w:val="24"/>
        </w:rPr>
        <w:t xml:space="preserve">annual </w:t>
      </w:r>
      <w:r w:rsidR="002162AD">
        <w:rPr>
          <w:sz w:val="24"/>
        </w:rPr>
        <w:t xml:space="preserve">number of respondents, </w:t>
      </w:r>
      <w:r w:rsidRPr="2EF34D00" w:rsidR="002F1BB8">
        <w:rPr>
          <w:sz w:val="24"/>
        </w:rPr>
        <w:t>from 3</w:t>
      </w:r>
      <w:r w:rsidRPr="2EF34D00" w:rsidR="008A74B2">
        <w:rPr>
          <w:sz w:val="24"/>
        </w:rPr>
        <w:t>2</w:t>
      </w:r>
      <w:r w:rsidR="002162AD">
        <w:rPr>
          <w:sz w:val="24"/>
        </w:rPr>
        <w:t xml:space="preserve"> in 2022</w:t>
      </w:r>
      <w:r w:rsidRPr="2EF34D00" w:rsidR="002F1BB8">
        <w:rPr>
          <w:sz w:val="24"/>
        </w:rPr>
        <w:t xml:space="preserve"> </w:t>
      </w:r>
      <w:r w:rsidRPr="2EF34D00" w:rsidR="008A74B2">
        <w:rPr>
          <w:sz w:val="24"/>
        </w:rPr>
        <w:t>to 18</w:t>
      </w:r>
      <w:r w:rsidR="002162AD">
        <w:rPr>
          <w:sz w:val="24"/>
        </w:rPr>
        <w:t>, a decrease of</w:t>
      </w:r>
      <w:r w:rsidR="00EF1CD5">
        <w:rPr>
          <w:sz w:val="24"/>
        </w:rPr>
        <w:t xml:space="preserve"> 14</w:t>
      </w:r>
      <w:r w:rsidR="00597661">
        <w:rPr>
          <w:sz w:val="24"/>
        </w:rPr>
        <w:t xml:space="preserve"> respondents</w:t>
      </w:r>
      <w:r w:rsidRPr="2EF34D00" w:rsidR="008A74B2">
        <w:rPr>
          <w:sz w:val="24"/>
        </w:rPr>
        <w:t xml:space="preserve">. </w:t>
      </w:r>
      <w:r w:rsidR="00B737DC">
        <w:rPr>
          <w:sz w:val="24"/>
        </w:rPr>
        <w:t>These combined changes have</w:t>
      </w:r>
      <w:r w:rsidR="00597661">
        <w:rPr>
          <w:sz w:val="24"/>
        </w:rPr>
        <w:t xml:space="preserve"> </w:t>
      </w:r>
      <w:r w:rsidR="00EF1CD5">
        <w:rPr>
          <w:sz w:val="24"/>
        </w:rPr>
        <w:t>resulted in a corresponding decrease in total hourly burden from</w:t>
      </w:r>
      <w:r w:rsidRPr="2EF34D00" w:rsidR="008A74B2">
        <w:rPr>
          <w:sz w:val="24"/>
        </w:rPr>
        <w:t xml:space="preserve"> </w:t>
      </w:r>
      <w:r w:rsidRPr="2EF34D00" w:rsidR="00983E14">
        <w:rPr>
          <w:sz w:val="24"/>
        </w:rPr>
        <w:t xml:space="preserve">16 to </w:t>
      </w:r>
      <w:r w:rsidR="00EF1CD5">
        <w:rPr>
          <w:sz w:val="24"/>
        </w:rPr>
        <w:t xml:space="preserve">five, a decrease </w:t>
      </w:r>
      <w:r w:rsidR="00D1632A">
        <w:rPr>
          <w:sz w:val="24"/>
        </w:rPr>
        <w:t>of 11 hours</w:t>
      </w:r>
      <w:r w:rsidRPr="2EF34D00" w:rsidR="00983E14">
        <w:rPr>
          <w:sz w:val="24"/>
        </w:rPr>
        <w:t>.</w:t>
      </w:r>
      <w:r w:rsidR="0051781A">
        <w:rPr>
          <w:sz w:val="24"/>
        </w:rPr>
        <w:t xml:space="preserve"> In addition, ATF has added a monetized value for the time burden, due to new OMB </w:t>
      </w:r>
      <w:r w:rsidR="00E42CB7">
        <w:rPr>
          <w:sz w:val="24"/>
        </w:rPr>
        <w:t>request, which has not been in previous ICRs</w:t>
      </w:r>
      <w:r w:rsidRPr="2EF34D00" w:rsidR="00EE72F1">
        <w:rPr>
          <w:sz w:val="24"/>
        </w:rPr>
        <w:t>.</w:t>
      </w:r>
    </w:p>
    <w:p w:rsidR="00415F2A" w:rsidRPr="00F13168" w:rsidP="00D83FD4" w14:paraId="00B4B3E8" w14:textId="77777777">
      <w:pPr>
        <w:widowControl w:val="0"/>
        <w:tabs>
          <w:tab w:val="num" w:pos="360"/>
          <w:tab w:val="left" w:pos="450"/>
          <w:tab w:val="num" w:pos="540"/>
        </w:tabs>
        <w:contextualSpacing/>
      </w:pPr>
    </w:p>
    <w:p w:rsidR="00AF0603" w:rsidP="00D83FD4" w14:paraId="2D557215" w14:textId="75953520">
      <w:pPr>
        <w:pStyle w:val="BodyTextIndent"/>
        <w:widowControl w:val="0"/>
        <w:ind w:left="0" w:firstLine="0"/>
        <w:contextualSpacing/>
        <w:rPr>
          <w:sz w:val="24"/>
        </w:rPr>
      </w:pPr>
      <w:r>
        <w:rPr>
          <w:b/>
          <w:bCs/>
          <w:sz w:val="24"/>
        </w:rPr>
        <w:t>16.</w:t>
      </w:r>
      <w:r w:rsidR="007031D8">
        <w:rPr>
          <w:b/>
          <w:bCs/>
          <w:sz w:val="24"/>
        </w:rPr>
        <w:t xml:space="preserve"> </w:t>
      </w:r>
      <w:r w:rsidRPr="00E63485" w:rsidR="00E63485">
        <w:rPr>
          <w:b/>
          <w:bCs/>
          <w:sz w:val="24"/>
        </w:rPr>
        <w:t>For information collections whose results will be published, outline plans for tabulations and publication.</w:t>
      </w:r>
    </w:p>
    <w:p w:rsidR="00961179" w:rsidP="00961179" w14:paraId="2547A672" w14:textId="77777777">
      <w:pPr>
        <w:pStyle w:val="BodyTextIndent"/>
        <w:widowControl w:val="0"/>
        <w:ind w:left="0" w:firstLine="0"/>
        <w:contextualSpacing/>
        <w:rPr>
          <w:sz w:val="24"/>
        </w:rPr>
      </w:pPr>
    </w:p>
    <w:p w:rsidR="00415F2A" w:rsidRPr="00F13168" w:rsidP="00D83FD4" w14:paraId="2F668AAC" w14:textId="4C023292">
      <w:pPr>
        <w:pStyle w:val="BodyTextIndent"/>
        <w:widowControl w:val="0"/>
        <w:ind w:left="0" w:firstLine="0"/>
        <w:contextualSpacing/>
        <w:rPr>
          <w:sz w:val="24"/>
        </w:rPr>
      </w:pPr>
      <w:r w:rsidRPr="00F13168">
        <w:rPr>
          <w:sz w:val="24"/>
        </w:rPr>
        <w:t xml:space="preserve">ATF </w:t>
      </w:r>
      <w:r w:rsidR="00EB58AD">
        <w:rPr>
          <w:sz w:val="24"/>
        </w:rPr>
        <w:t>does</w:t>
      </w:r>
      <w:r w:rsidR="00CB15AB">
        <w:rPr>
          <w:sz w:val="24"/>
        </w:rPr>
        <w:t xml:space="preserve"> not</w:t>
      </w:r>
      <w:r w:rsidRPr="00F13168">
        <w:rPr>
          <w:sz w:val="24"/>
        </w:rPr>
        <w:t xml:space="preserve"> publish </w:t>
      </w:r>
      <w:r w:rsidR="00CB15AB">
        <w:rPr>
          <w:sz w:val="24"/>
        </w:rPr>
        <w:t xml:space="preserve">the </w:t>
      </w:r>
      <w:r w:rsidRPr="00F13168">
        <w:rPr>
          <w:sz w:val="24"/>
        </w:rPr>
        <w:t xml:space="preserve">survey results. However, </w:t>
      </w:r>
      <w:r w:rsidR="00A539CB">
        <w:rPr>
          <w:sz w:val="24"/>
        </w:rPr>
        <w:t xml:space="preserve">ATF may use </w:t>
      </w:r>
      <w:r w:rsidR="00C52F21">
        <w:rPr>
          <w:sz w:val="24"/>
        </w:rPr>
        <w:t xml:space="preserve">the </w:t>
      </w:r>
      <w:r w:rsidRPr="00F13168">
        <w:rPr>
          <w:sz w:val="24"/>
        </w:rPr>
        <w:t>results of this collection</w:t>
      </w:r>
      <w:r w:rsidRPr="00F13168" w:rsidR="00C72B84">
        <w:rPr>
          <w:sz w:val="24"/>
        </w:rPr>
        <w:t xml:space="preserve"> to support policy decisions or for informational purposes.  </w:t>
      </w:r>
    </w:p>
    <w:p w:rsidR="00415F2A" w:rsidRPr="00F13168" w:rsidP="00D83FD4" w14:paraId="0BE2B597" w14:textId="77777777">
      <w:pPr>
        <w:widowControl w:val="0"/>
        <w:tabs>
          <w:tab w:val="num" w:pos="360"/>
          <w:tab w:val="left" w:pos="450"/>
          <w:tab w:val="num" w:pos="540"/>
        </w:tabs>
        <w:contextualSpacing/>
      </w:pPr>
    </w:p>
    <w:p w:rsidR="002A1B0D" w:rsidP="00D83FD4" w14:paraId="24509791" w14:textId="23F36D28">
      <w:pPr>
        <w:pStyle w:val="BodyTextIndent"/>
        <w:widowControl w:val="0"/>
        <w:ind w:left="0" w:firstLine="0"/>
        <w:contextualSpacing/>
        <w:rPr>
          <w:sz w:val="24"/>
        </w:rPr>
      </w:pPr>
      <w:r>
        <w:rPr>
          <w:b/>
          <w:bCs/>
          <w:sz w:val="24"/>
        </w:rPr>
        <w:t>17.</w:t>
      </w:r>
      <w:r w:rsidR="007031D8">
        <w:rPr>
          <w:b/>
          <w:bCs/>
          <w:sz w:val="24"/>
        </w:rPr>
        <w:t xml:space="preserve"> </w:t>
      </w:r>
      <w:r w:rsidRPr="0093112D" w:rsidR="0093112D">
        <w:rPr>
          <w:b/>
          <w:bCs/>
          <w:sz w:val="24"/>
        </w:rPr>
        <w:t>If seeking approval to not display the expiration date for the information collection, explain the reasons that display would be inappropriate.</w:t>
      </w:r>
    </w:p>
    <w:p w:rsidR="00961179" w:rsidP="00961179" w14:paraId="20FAE974" w14:textId="77777777">
      <w:pPr>
        <w:pStyle w:val="BodyTextIndent"/>
        <w:widowControl w:val="0"/>
        <w:ind w:left="0" w:firstLine="0"/>
        <w:contextualSpacing/>
        <w:rPr>
          <w:sz w:val="24"/>
        </w:rPr>
      </w:pPr>
    </w:p>
    <w:p w:rsidR="003E6B42" w:rsidRPr="00F705F7" w:rsidP="003E6B42" w14:paraId="79BEB6D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705F7">
        <w:t>ATF intends to display the OMB expiration date for this information collection.</w:t>
      </w:r>
    </w:p>
    <w:p w:rsidR="00415F2A" w:rsidRPr="00F13168" w:rsidP="00D83FD4" w14:paraId="763A51C6" w14:textId="77777777">
      <w:pPr>
        <w:widowControl w:val="0"/>
        <w:tabs>
          <w:tab w:val="num" w:pos="360"/>
          <w:tab w:val="left" w:pos="450"/>
          <w:tab w:val="num" w:pos="540"/>
          <w:tab w:val="left" w:pos="907"/>
        </w:tabs>
        <w:contextualSpacing/>
      </w:pPr>
    </w:p>
    <w:p w:rsidR="00DE62F8" w:rsidP="00D83FD4" w14:paraId="4A1BD4A3" w14:textId="43DFB042">
      <w:pPr>
        <w:pStyle w:val="BodyTextIndent"/>
        <w:widowControl w:val="0"/>
        <w:ind w:left="0" w:firstLine="0"/>
        <w:contextualSpacing/>
        <w:rPr>
          <w:b/>
          <w:bCs/>
          <w:sz w:val="24"/>
        </w:rPr>
      </w:pPr>
      <w:r>
        <w:rPr>
          <w:b/>
          <w:bCs/>
          <w:sz w:val="24"/>
        </w:rPr>
        <w:t>18.</w:t>
      </w:r>
      <w:r w:rsidR="00DA213C">
        <w:rPr>
          <w:b/>
          <w:bCs/>
          <w:sz w:val="24"/>
        </w:rPr>
        <w:t xml:space="preserve"> </w:t>
      </w:r>
      <w:r w:rsidRPr="00DE62F8">
        <w:rPr>
          <w:b/>
          <w:bCs/>
          <w:sz w:val="24"/>
        </w:rPr>
        <w:t>Explain each exception to the certification statement.</w:t>
      </w:r>
    </w:p>
    <w:p w:rsidR="00961179" w:rsidP="00961179" w14:paraId="480CA279" w14:textId="77777777">
      <w:pPr>
        <w:pStyle w:val="BodyTextIndent"/>
        <w:widowControl w:val="0"/>
        <w:ind w:left="0" w:firstLine="0"/>
        <w:contextualSpacing/>
        <w:rPr>
          <w:sz w:val="24"/>
        </w:rPr>
      </w:pPr>
    </w:p>
    <w:p w:rsidR="00FE120F" w:rsidRPr="00F705F7" w:rsidP="00FE120F" w14:paraId="3114F7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705F7">
        <w:t>This information collection does not include any exceptions to the certification statement.</w:t>
      </w:r>
    </w:p>
    <w:p w:rsidR="00B56728" w:rsidP="00D83FD4" w14:paraId="6A937187" w14:textId="77777777">
      <w:pPr>
        <w:pStyle w:val="BodyTextIndent"/>
        <w:widowControl w:val="0"/>
        <w:ind w:left="0" w:firstLine="0"/>
        <w:contextualSpacing/>
        <w:rPr>
          <w:sz w:val="24"/>
        </w:rPr>
      </w:pPr>
    </w:p>
    <w:p w:rsidR="00B56728" w:rsidP="00D83FD4" w14:paraId="3B1B9612" w14:textId="0EA0FD6A">
      <w:pPr>
        <w:pStyle w:val="BodyTextIndent"/>
        <w:widowControl w:val="0"/>
        <w:ind w:left="0" w:firstLine="0"/>
        <w:contextualSpacing/>
        <w:rPr>
          <w:b/>
          <w:bCs/>
          <w:sz w:val="24"/>
          <w:szCs w:val="22"/>
        </w:rPr>
      </w:pPr>
      <w:r w:rsidRPr="004D78B6">
        <w:rPr>
          <w:b/>
          <w:bCs/>
          <w:sz w:val="24"/>
          <w:szCs w:val="22"/>
        </w:rPr>
        <w:t>B.</w:t>
      </w:r>
      <w:r w:rsidR="00DA213C">
        <w:rPr>
          <w:b/>
          <w:bCs/>
          <w:sz w:val="24"/>
          <w:szCs w:val="22"/>
        </w:rPr>
        <w:t xml:space="preserve"> </w:t>
      </w:r>
      <w:r w:rsidRPr="004D78B6" w:rsidR="004D78B6">
        <w:rPr>
          <w:b/>
          <w:bCs/>
          <w:sz w:val="24"/>
          <w:szCs w:val="22"/>
        </w:rPr>
        <w:t>INFORMATION COLLECTIONS EMPLOYING STATISTICAL METHODS.</w:t>
      </w:r>
    </w:p>
    <w:p w:rsidR="00A1497C" w:rsidP="00D83FD4" w14:paraId="2940A8E6" w14:textId="77777777">
      <w:pPr>
        <w:pStyle w:val="BodyTextIndent"/>
        <w:widowControl w:val="0"/>
        <w:ind w:left="0" w:firstLine="0"/>
        <w:contextualSpacing/>
        <w:rPr>
          <w:sz w:val="24"/>
          <w:szCs w:val="22"/>
        </w:rPr>
      </w:pPr>
    </w:p>
    <w:p w:rsidR="002162AD" w:rsidRPr="00F705F7" w:rsidP="002162AD" w14:paraId="2810F27A" w14:textId="20E5F442">
      <w:r w:rsidRPr="015F4C7F">
        <w:t>This collection does not employ statistical methods.</w:t>
      </w:r>
      <w:r>
        <w:t xml:space="preserve"> However, </w:t>
      </w:r>
      <w:r w:rsidR="00945CED">
        <w:t xml:space="preserve">because this information collection involves a SurveyMonkey survey, </w:t>
      </w:r>
      <w:r w:rsidR="00AC5A64">
        <w:t xml:space="preserve">ATF has included a separate supporting </w:t>
      </w:r>
      <w:r w:rsidR="00AC5A64">
        <w:t>statement part</w:t>
      </w:r>
      <w:r w:rsidR="00AC5A64">
        <w:t xml:space="preserve"> B for this ICR.</w:t>
      </w:r>
    </w:p>
    <w:p w:rsidR="00415F2A" w:rsidRPr="00A1497C" w:rsidP="00D83FD4" w14:paraId="313BA745" w14:textId="77777777">
      <w:pPr>
        <w:pStyle w:val="BodyTextIndent"/>
        <w:widowControl w:val="0"/>
        <w:ind w:left="0" w:firstLine="0"/>
        <w:contextualSpacing/>
        <w:rPr>
          <w:sz w:val="24"/>
          <w:szCs w:val="22"/>
        </w:rPr>
      </w:pPr>
    </w:p>
    <w:sectPr w:rsidSect="002C1872">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5B5" w14:paraId="7CB804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35B5" w14:paraId="3A8B84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5B5" w14:paraId="72873C11" w14:textId="0C07F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344">
      <w:rPr>
        <w:rStyle w:val="PageNumber"/>
        <w:noProof/>
      </w:rPr>
      <w:t>1</w:t>
    </w:r>
    <w:r>
      <w:rPr>
        <w:rStyle w:val="PageNumber"/>
      </w:rPr>
      <w:fldChar w:fldCharType="end"/>
    </w:r>
  </w:p>
  <w:p w:rsidR="00E735B5" w14:paraId="49183D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2530" w14:paraId="62371FA3" w14:textId="77777777">
      <w:r>
        <w:separator/>
      </w:r>
    </w:p>
  </w:footnote>
  <w:footnote w:type="continuationSeparator" w:id="1">
    <w:p w:rsidR="00932530" w14:paraId="7250959B" w14:textId="77777777">
      <w:r>
        <w:continuationSeparator/>
      </w:r>
    </w:p>
  </w:footnote>
  <w:footnote w:id="2">
    <w:p w:rsidR="00B85908" w:rsidRPr="00B4672B" w14:paraId="7FDF7F95" w14:textId="049203A5">
      <w:pPr>
        <w:pStyle w:val="FootnoteText"/>
      </w:pPr>
      <w:r w:rsidRPr="00B4672B">
        <w:rPr>
          <w:rStyle w:val="FootnoteReference"/>
        </w:rPr>
        <w:footnoteRef/>
      </w:r>
      <w:r w:rsidRPr="00B4672B">
        <w:t xml:space="preserve"> </w:t>
      </w:r>
      <w:hyperlink r:id="rId1" w:history="1">
        <w:r w:rsidRPr="00B4672B">
          <w:rPr>
            <w:rStyle w:val="Hyperlink"/>
            <w:color w:val="auto"/>
            <w:u w:val="none"/>
          </w:rPr>
          <w:t>https://www.bls.gov/news.release/archives/ecec_06132025.pdf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3C3" w:rsidRPr="00B67912" w14:paraId="3C3AEDB4" w14:textId="504E579D">
    <w:pPr>
      <w:pStyle w:val="Header"/>
      <w:rPr>
        <w:sz w:val="20"/>
        <w:szCs w:val="20"/>
      </w:rPr>
    </w:pPr>
    <w:r w:rsidRPr="00B67912">
      <w:rPr>
        <w:sz w:val="20"/>
        <w:szCs w:val="20"/>
      </w:rPr>
      <w:t>National Response Team Customer Satisfaction Survey</w:t>
    </w:r>
  </w:p>
  <w:p w:rsidR="00BA03B0" w:rsidRPr="00B67912" w14:paraId="28BEE4EE" w14:textId="42FF2780">
    <w:pPr>
      <w:pStyle w:val="Header"/>
      <w:rPr>
        <w:sz w:val="20"/>
        <w:szCs w:val="20"/>
      </w:rPr>
    </w:pPr>
    <w:r w:rsidRPr="00B67912">
      <w:rPr>
        <w:sz w:val="20"/>
        <w:szCs w:val="20"/>
      </w:rPr>
      <w:t>OMB Control Number</w:t>
    </w:r>
    <w:r w:rsidRPr="00B67912" w:rsidR="00217F4D">
      <w:rPr>
        <w:sz w:val="20"/>
        <w:szCs w:val="20"/>
      </w:rPr>
      <w:t xml:space="preserve"> 1140-0091</w:t>
    </w:r>
  </w:p>
  <w:p w:rsidR="00217F4D" w14:paraId="47784006" w14:textId="24753641">
    <w:pPr>
      <w:pStyle w:val="Header"/>
      <w:rPr>
        <w:sz w:val="20"/>
        <w:szCs w:val="20"/>
      </w:rPr>
    </w:pPr>
    <w:r w:rsidRPr="00B67912">
      <w:rPr>
        <w:sz w:val="20"/>
        <w:szCs w:val="20"/>
      </w:rPr>
      <w:t>OMB Expiration Date: 02</w:t>
    </w:r>
    <w:r w:rsidRPr="00B67912" w:rsidR="00B67912">
      <w:rPr>
        <w:sz w:val="20"/>
        <w:szCs w:val="20"/>
      </w:rPr>
      <w:t>/28/2026</w:t>
    </w:r>
  </w:p>
  <w:p w:rsidR="00017240" w:rsidRPr="00B67912" w14:paraId="0613715E"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58EE"/>
    <w:multiLevelType w:val="hybridMultilevel"/>
    <w:tmpl w:val="6598FF9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D70E8B"/>
    <w:multiLevelType w:val="hybridMultilevel"/>
    <w:tmpl w:val="C2A6FB62"/>
    <w:lvl w:ilvl="0">
      <w:start w:val="1"/>
      <w:numFmt w:val="decimal"/>
      <w:lvlText w:val="%1."/>
      <w:lvlJc w:val="left"/>
      <w:pPr>
        <w:tabs>
          <w:tab w:val="num" w:pos="1125"/>
        </w:tabs>
        <w:ind w:left="1125" w:hanging="405"/>
      </w:pPr>
      <w:rPr>
        <w:rFonts w:hint="default"/>
      </w:rPr>
    </w:lvl>
    <w:lvl w:ilvl="1">
      <w:start w:val="4"/>
      <w:numFmt w:val="decimal"/>
      <w:lvlText w:val="%2"/>
      <w:lvlJc w:val="left"/>
      <w:pPr>
        <w:tabs>
          <w:tab w:val="num" w:pos="1935"/>
        </w:tabs>
        <w:ind w:left="1935" w:hanging="49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263030"/>
    <w:multiLevelType w:val="hybridMultilevel"/>
    <w:tmpl w:val="17603BC2"/>
    <w:lvl w:ilvl="0">
      <w:start w:val="12"/>
      <w:numFmt w:val="decimal"/>
      <w:lvlText w:val="%1."/>
      <w:lvlJc w:val="left"/>
      <w:pPr>
        <w:tabs>
          <w:tab w:val="num" w:pos="1365"/>
        </w:tabs>
        <w:ind w:left="1365" w:hanging="705"/>
      </w:pPr>
      <w:rPr>
        <w:rFonts w:hint="default"/>
      </w:rPr>
    </w:lvl>
    <w:lvl w:ilvl="1">
      <w:start w:val="1"/>
      <w:numFmt w:val="decimal"/>
      <w:lvlText w:val="%2."/>
      <w:lvlJc w:val="left"/>
      <w:pPr>
        <w:tabs>
          <w:tab w:val="num" w:pos="1740"/>
        </w:tabs>
        <w:ind w:left="1740" w:hanging="360"/>
      </w:pPr>
    </w:lvl>
    <w:lvl w:ilvl="2">
      <w:start w:val="1"/>
      <w:numFmt w:val="upperLetter"/>
      <w:lvlText w:val="%3."/>
      <w:lvlJc w:val="left"/>
      <w:pPr>
        <w:tabs>
          <w:tab w:val="num" w:pos="2640"/>
        </w:tabs>
        <w:ind w:left="2640" w:hanging="360"/>
      </w:pPr>
      <w:rPr>
        <w:rFonts w:hint="default"/>
      </w:r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3">
    <w:nsid w:val="0FDB0606"/>
    <w:multiLevelType w:val="hybridMultilevel"/>
    <w:tmpl w:val="CFE8AC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F8231B"/>
    <w:multiLevelType w:val="hybridMultilevel"/>
    <w:tmpl w:val="D7D48800"/>
    <w:lvl w:ilvl="0">
      <w:start w:val="12"/>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5">
    <w:nsid w:val="15935C66"/>
    <w:multiLevelType w:val="hybridMultilevel"/>
    <w:tmpl w:val="E1F4D48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7746100"/>
    <w:multiLevelType w:val="hybridMultilevel"/>
    <w:tmpl w:val="90D26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9104301"/>
    <w:multiLevelType w:val="hybridMultilevel"/>
    <w:tmpl w:val="395CFC44"/>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E554C53"/>
    <w:multiLevelType w:val="hybridMultilevel"/>
    <w:tmpl w:val="8EB2A5D6"/>
    <w:lvl w:ilvl="0">
      <w:start w:val="1"/>
      <w:numFmt w:val="decimal"/>
      <w:lvlText w:val="%1."/>
      <w:lvlJc w:val="left"/>
      <w:pPr>
        <w:tabs>
          <w:tab w:val="num" w:pos="1125"/>
        </w:tabs>
        <w:ind w:left="1125" w:hanging="765"/>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E770505"/>
    <w:multiLevelType w:val="hybridMultilevel"/>
    <w:tmpl w:val="9C5E3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924EF5"/>
    <w:multiLevelType w:val="hybridMultilevel"/>
    <w:tmpl w:val="C5863BD2"/>
    <w:lvl w:ilvl="0">
      <w:start w:val="1"/>
      <w:numFmt w:val="decimal"/>
      <w:lvlText w:val="%1."/>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E4942A4"/>
    <w:multiLevelType w:val="hybridMultilevel"/>
    <w:tmpl w:val="D358898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B55327"/>
    <w:multiLevelType w:val="hybridMultilevel"/>
    <w:tmpl w:val="CD7A78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383B6A"/>
    <w:multiLevelType w:val="hybridMultilevel"/>
    <w:tmpl w:val="44887348"/>
    <w:lvl w:ilvl="0">
      <w:start w:val="2"/>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4">
    <w:nsid w:val="4C9253FA"/>
    <w:multiLevelType w:val="hybridMultilevel"/>
    <w:tmpl w:val="1AC08F1A"/>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DAE540D"/>
    <w:multiLevelType w:val="hybridMultilevel"/>
    <w:tmpl w:val="5860BE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ED42E1"/>
    <w:multiLevelType w:val="hybridMultilevel"/>
    <w:tmpl w:val="D3365DAA"/>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131400"/>
    <w:multiLevelType w:val="hybridMultilevel"/>
    <w:tmpl w:val="176E56E2"/>
    <w:lvl w:ilvl="0">
      <w:start w:val="1"/>
      <w:numFmt w:val="decimal"/>
      <w:lvlText w:val="%1."/>
      <w:lvlJc w:val="left"/>
      <w:pPr>
        <w:tabs>
          <w:tab w:val="num" w:pos="945"/>
        </w:tabs>
        <w:ind w:left="945" w:hanging="495"/>
      </w:pPr>
      <w:rPr>
        <w:rFonts w:hint="default"/>
        <w:b/>
        <w:bCs/>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8FA029F"/>
    <w:multiLevelType w:val="hybridMultilevel"/>
    <w:tmpl w:val="696CB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5B3AD6"/>
    <w:multiLevelType w:val="hybridMultilevel"/>
    <w:tmpl w:val="1480B4CC"/>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7B0C5F45"/>
    <w:multiLevelType w:val="hybridMultilevel"/>
    <w:tmpl w:val="4340488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561739">
    <w:abstractNumId w:val="7"/>
  </w:num>
  <w:num w:numId="2" w16cid:durableId="712968646">
    <w:abstractNumId w:val="10"/>
  </w:num>
  <w:num w:numId="3" w16cid:durableId="911231586">
    <w:abstractNumId w:val="4"/>
  </w:num>
  <w:num w:numId="4" w16cid:durableId="2047633674">
    <w:abstractNumId w:val="2"/>
  </w:num>
  <w:num w:numId="5" w16cid:durableId="1112744928">
    <w:abstractNumId w:val="1"/>
  </w:num>
  <w:num w:numId="6" w16cid:durableId="1198422987">
    <w:abstractNumId w:val="19"/>
  </w:num>
  <w:num w:numId="7" w16cid:durableId="1403138296">
    <w:abstractNumId w:val="11"/>
  </w:num>
  <w:num w:numId="8" w16cid:durableId="1789008460">
    <w:abstractNumId w:val="13"/>
  </w:num>
  <w:num w:numId="9" w16cid:durableId="1932816722">
    <w:abstractNumId w:val="0"/>
  </w:num>
  <w:num w:numId="10" w16cid:durableId="505825600">
    <w:abstractNumId w:val="8"/>
  </w:num>
  <w:num w:numId="11" w16cid:durableId="446044478">
    <w:abstractNumId w:val="6"/>
  </w:num>
  <w:num w:numId="12" w16cid:durableId="1163467284">
    <w:abstractNumId w:val="14"/>
  </w:num>
  <w:num w:numId="13" w16cid:durableId="68356689">
    <w:abstractNumId w:val="5"/>
  </w:num>
  <w:num w:numId="14" w16cid:durableId="1352488929">
    <w:abstractNumId w:val="20"/>
  </w:num>
  <w:num w:numId="15" w16cid:durableId="1371412941">
    <w:abstractNumId w:val="3"/>
  </w:num>
  <w:num w:numId="16" w16cid:durableId="666439358">
    <w:abstractNumId w:val="17"/>
  </w:num>
  <w:num w:numId="17" w16cid:durableId="1524319137">
    <w:abstractNumId w:val="18"/>
  </w:num>
  <w:num w:numId="18" w16cid:durableId="1311903909">
    <w:abstractNumId w:val="9"/>
  </w:num>
  <w:num w:numId="19" w16cid:durableId="2051611305">
    <w:abstractNumId w:val="16"/>
  </w:num>
  <w:num w:numId="20" w16cid:durableId="1057630322">
    <w:abstractNumId w:val="12"/>
  </w:num>
  <w:num w:numId="21" w16cid:durableId="154733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8C"/>
    <w:rsid w:val="00000519"/>
    <w:rsid w:val="00001BB8"/>
    <w:rsid w:val="000047B7"/>
    <w:rsid w:val="00007176"/>
    <w:rsid w:val="00010841"/>
    <w:rsid w:val="000118A6"/>
    <w:rsid w:val="00012C55"/>
    <w:rsid w:val="00016853"/>
    <w:rsid w:val="00017240"/>
    <w:rsid w:val="00017529"/>
    <w:rsid w:val="000178FE"/>
    <w:rsid w:val="00030D53"/>
    <w:rsid w:val="00040257"/>
    <w:rsid w:val="0004359A"/>
    <w:rsid w:val="00046B22"/>
    <w:rsid w:val="00053910"/>
    <w:rsid w:val="0006038A"/>
    <w:rsid w:val="00062DDF"/>
    <w:rsid w:val="00064742"/>
    <w:rsid w:val="0006573F"/>
    <w:rsid w:val="000657BC"/>
    <w:rsid w:val="00066153"/>
    <w:rsid w:val="000713E1"/>
    <w:rsid w:val="00074FEB"/>
    <w:rsid w:val="00075939"/>
    <w:rsid w:val="00075C17"/>
    <w:rsid w:val="0007E1DE"/>
    <w:rsid w:val="00086D01"/>
    <w:rsid w:val="00087527"/>
    <w:rsid w:val="0009241D"/>
    <w:rsid w:val="000937BB"/>
    <w:rsid w:val="00093852"/>
    <w:rsid w:val="00094139"/>
    <w:rsid w:val="00095709"/>
    <w:rsid w:val="00097403"/>
    <w:rsid w:val="000A136F"/>
    <w:rsid w:val="000A146A"/>
    <w:rsid w:val="000A156B"/>
    <w:rsid w:val="000A1D57"/>
    <w:rsid w:val="000A6729"/>
    <w:rsid w:val="000B29C5"/>
    <w:rsid w:val="000B47CF"/>
    <w:rsid w:val="000B701C"/>
    <w:rsid w:val="000B7CFB"/>
    <w:rsid w:val="000C17AD"/>
    <w:rsid w:val="000C18CD"/>
    <w:rsid w:val="000C1A21"/>
    <w:rsid w:val="000C7625"/>
    <w:rsid w:val="000D155F"/>
    <w:rsid w:val="000D306F"/>
    <w:rsid w:val="000D5EEB"/>
    <w:rsid w:val="000E2755"/>
    <w:rsid w:val="000E36EA"/>
    <w:rsid w:val="000E411D"/>
    <w:rsid w:val="000E461B"/>
    <w:rsid w:val="000E4834"/>
    <w:rsid w:val="000E5EA1"/>
    <w:rsid w:val="000E71B0"/>
    <w:rsid w:val="000F1E1F"/>
    <w:rsid w:val="000F38A6"/>
    <w:rsid w:val="000F5C44"/>
    <w:rsid w:val="000F7F2A"/>
    <w:rsid w:val="0010231E"/>
    <w:rsid w:val="0010273B"/>
    <w:rsid w:val="00105149"/>
    <w:rsid w:val="00106997"/>
    <w:rsid w:val="001112D1"/>
    <w:rsid w:val="00111785"/>
    <w:rsid w:val="00112BCB"/>
    <w:rsid w:val="00120290"/>
    <w:rsid w:val="00120F2C"/>
    <w:rsid w:val="001211D1"/>
    <w:rsid w:val="00121B1D"/>
    <w:rsid w:val="00122195"/>
    <w:rsid w:val="001231F9"/>
    <w:rsid w:val="0013670B"/>
    <w:rsid w:val="00141C7C"/>
    <w:rsid w:val="00143B46"/>
    <w:rsid w:val="00152E12"/>
    <w:rsid w:val="00154A00"/>
    <w:rsid w:val="00164A37"/>
    <w:rsid w:val="00164B0A"/>
    <w:rsid w:val="00167228"/>
    <w:rsid w:val="00167608"/>
    <w:rsid w:val="001756D2"/>
    <w:rsid w:val="00175C39"/>
    <w:rsid w:val="00175E50"/>
    <w:rsid w:val="001763D1"/>
    <w:rsid w:val="0017679B"/>
    <w:rsid w:val="001814C3"/>
    <w:rsid w:val="0018380A"/>
    <w:rsid w:val="00183F7C"/>
    <w:rsid w:val="00190DE0"/>
    <w:rsid w:val="00191FD4"/>
    <w:rsid w:val="001937E6"/>
    <w:rsid w:val="001A0F61"/>
    <w:rsid w:val="001A185D"/>
    <w:rsid w:val="001A3C79"/>
    <w:rsid w:val="001A7A90"/>
    <w:rsid w:val="001B3770"/>
    <w:rsid w:val="001B6529"/>
    <w:rsid w:val="001C19E8"/>
    <w:rsid w:val="001C4D42"/>
    <w:rsid w:val="001C7D0F"/>
    <w:rsid w:val="001D4785"/>
    <w:rsid w:val="001E0253"/>
    <w:rsid w:val="001E25A4"/>
    <w:rsid w:val="001F54D7"/>
    <w:rsid w:val="001F59C6"/>
    <w:rsid w:val="001F5A94"/>
    <w:rsid w:val="001F747A"/>
    <w:rsid w:val="0021386D"/>
    <w:rsid w:val="00214D02"/>
    <w:rsid w:val="002162AD"/>
    <w:rsid w:val="00217158"/>
    <w:rsid w:val="00217F4D"/>
    <w:rsid w:val="00223975"/>
    <w:rsid w:val="0023480F"/>
    <w:rsid w:val="002353F7"/>
    <w:rsid w:val="00236E40"/>
    <w:rsid w:val="0024481D"/>
    <w:rsid w:val="00244A41"/>
    <w:rsid w:val="00247830"/>
    <w:rsid w:val="0025050B"/>
    <w:rsid w:val="002507E8"/>
    <w:rsid w:val="0025175C"/>
    <w:rsid w:val="002554A6"/>
    <w:rsid w:val="002614D9"/>
    <w:rsid w:val="002615EA"/>
    <w:rsid w:val="00266579"/>
    <w:rsid w:val="00272BDC"/>
    <w:rsid w:val="00273778"/>
    <w:rsid w:val="00276228"/>
    <w:rsid w:val="00276E74"/>
    <w:rsid w:val="00277238"/>
    <w:rsid w:val="002914E8"/>
    <w:rsid w:val="002920D5"/>
    <w:rsid w:val="002A1B0D"/>
    <w:rsid w:val="002A60FD"/>
    <w:rsid w:val="002A7850"/>
    <w:rsid w:val="002B4E82"/>
    <w:rsid w:val="002B5125"/>
    <w:rsid w:val="002B649E"/>
    <w:rsid w:val="002C1872"/>
    <w:rsid w:val="002C1FFF"/>
    <w:rsid w:val="002C2FAF"/>
    <w:rsid w:val="002C48F6"/>
    <w:rsid w:val="002C5987"/>
    <w:rsid w:val="002D7D81"/>
    <w:rsid w:val="002E0549"/>
    <w:rsid w:val="002E454B"/>
    <w:rsid w:val="002E4863"/>
    <w:rsid w:val="002F16C0"/>
    <w:rsid w:val="002F1BB8"/>
    <w:rsid w:val="002F6863"/>
    <w:rsid w:val="002F7E40"/>
    <w:rsid w:val="00303061"/>
    <w:rsid w:val="00306E2A"/>
    <w:rsid w:val="00312F57"/>
    <w:rsid w:val="003141DC"/>
    <w:rsid w:val="00316654"/>
    <w:rsid w:val="00317D89"/>
    <w:rsid w:val="0032035C"/>
    <w:rsid w:val="00322F5E"/>
    <w:rsid w:val="00323CC5"/>
    <w:rsid w:val="00324F17"/>
    <w:rsid w:val="00332D9F"/>
    <w:rsid w:val="00332FFF"/>
    <w:rsid w:val="00334D18"/>
    <w:rsid w:val="00335004"/>
    <w:rsid w:val="00341908"/>
    <w:rsid w:val="003434BA"/>
    <w:rsid w:val="00347936"/>
    <w:rsid w:val="00347983"/>
    <w:rsid w:val="003503D4"/>
    <w:rsid w:val="00351153"/>
    <w:rsid w:val="00361AF3"/>
    <w:rsid w:val="00370CAE"/>
    <w:rsid w:val="003715DE"/>
    <w:rsid w:val="00374835"/>
    <w:rsid w:val="00381847"/>
    <w:rsid w:val="00383B4B"/>
    <w:rsid w:val="00384B1D"/>
    <w:rsid w:val="00384C86"/>
    <w:rsid w:val="00387A39"/>
    <w:rsid w:val="003915A2"/>
    <w:rsid w:val="00392B09"/>
    <w:rsid w:val="003934D1"/>
    <w:rsid w:val="00394F79"/>
    <w:rsid w:val="00397491"/>
    <w:rsid w:val="003A3470"/>
    <w:rsid w:val="003B1B87"/>
    <w:rsid w:val="003B31DA"/>
    <w:rsid w:val="003B5400"/>
    <w:rsid w:val="003B5D87"/>
    <w:rsid w:val="003B6D14"/>
    <w:rsid w:val="003B703B"/>
    <w:rsid w:val="003C63C2"/>
    <w:rsid w:val="003D62C2"/>
    <w:rsid w:val="003D6919"/>
    <w:rsid w:val="003E00F8"/>
    <w:rsid w:val="003E0304"/>
    <w:rsid w:val="003E0D16"/>
    <w:rsid w:val="003E67F1"/>
    <w:rsid w:val="003E6977"/>
    <w:rsid w:val="003E6B42"/>
    <w:rsid w:val="003F182A"/>
    <w:rsid w:val="003F1A8E"/>
    <w:rsid w:val="0040023C"/>
    <w:rsid w:val="0040332C"/>
    <w:rsid w:val="00411337"/>
    <w:rsid w:val="00412EE3"/>
    <w:rsid w:val="0041564C"/>
    <w:rsid w:val="00415F2A"/>
    <w:rsid w:val="004204AE"/>
    <w:rsid w:val="00422238"/>
    <w:rsid w:val="00422A62"/>
    <w:rsid w:val="00423754"/>
    <w:rsid w:val="00425465"/>
    <w:rsid w:val="00426636"/>
    <w:rsid w:val="00431164"/>
    <w:rsid w:val="00431D89"/>
    <w:rsid w:val="00432ACF"/>
    <w:rsid w:val="004335E4"/>
    <w:rsid w:val="00437734"/>
    <w:rsid w:val="00446368"/>
    <w:rsid w:val="00447A34"/>
    <w:rsid w:val="00453FC1"/>
    <w:rsid w:val="00457D26"/>
    <w:rsid w:val="00457D38"/>
    <w:rsid w:val="00460AE5"/>
    <w:rsid w:val="00462069"/>
    <w:rsid w:val="00467011"/>
    <w:rsid w:val="00481355"/>
    <w:rsid w:val="004A162A"/>
    <w:rsid w:val="004C1570"/>
    <w:rsid w:val="004C6404"/>
    <w:rsid w:val="004D240E"/>
    <w:rsid w:val="004D26FE"/>
    <w:rsid w:val="004D320A"/>
    <w:rsid w:val="004D78B6"/>
    <w:rsid w:val="004E0662"/>
    <w:rsid w:val="004E286B"/>
    <w:rsid w:val="004E343F"/>
    <w:rsid w:val="004E4122"/>
    <w:rsid w:val="004E76C3"/>
    <w:rsid w:val="004F108D"/>
    <w:rsid w:val="004F30E3"/>
    <w:rsid w:val="004F7C7E"/>
    <w:rsid w:val="0050637E"/>
    <w:rsid w:val="00507DA0"/>
    <w:rsid w:val="0051735D"/>
    <w:rsid w:val="0051781A"/>
    <w:rsid w:val="00520EE6"/>
    <w:rsid w:val="005211FB"/>
    <w:rsid w:val="00521A89"/>
    <w:rsid w:val="00521D7E"/>
    <w:rsid w:val="005260F2"/>
    <w:rsid w:val="00530C07"/>
    <w:rsid w:val="0053257F"/>
    <w:rsid w:val="00536345"/>
    <w:rsid w:val="00540546"/>
    <w:rsid w:val="005415B3"/>
    <w:rsid w:val="00542BCB"/>
    <w:rsid w:val="005449EE"/>
    <w:rsid w:val="00544A02"/>
    <w:rsid w:val="00553249"/>
    <w:rsid w:val="005560E6"/>
    <w:rsid w:val="00557367"/>
    <w:rsid w:val="00557E67"/>
    <w:rsid w:val="00561DB3"/>
    <w:rsid w:val="005626C8"/>
    <w:rsid w:val="005647F7"/>
    <w:rsid w:val="00565553"/>
    <w:rsid w:val="005676F4"/>
    <w:rsid w:val="0057064F"/>
    <w:rsid w:val="00571C9B"/>
    <w:rsid w:val="0057456A"/>
    <w:rsid w:val="00580155"/>
    <w:rsid w:val="00585822"/>
    <w:rsid w:val="00586281"/>
    <w:rsid w:val="00586578"/>
    <w:rsid w:val="00593C26"/>
    <w:rsid w:val="00594955"/>
    <w:rsid w:val="00595830"/>
    <w:rsid w:val="00595D91"/>
    <w:rsid w:val="00597661"/>
    <w:rsid w:val="00597CE0"/>
    <w:rsid w:val="005B564E"/>
    <w:rsid w:val="005B6C21"/>
    <w:rsid w:val="005B6F35"/>
    <w:rsid w:val="005E1944"/>
    <w:rsid w:val="005E3781"/>
    <w:rsid w:val="005E6BFC"/>
    <w:rsid w:val="005E72A7"/>
    <w:rsid w:val="005F2DBE"/>
    <w:rsid w:val="005F7ACF"/>
    <w:rsid w:val="006007D8"/>
    <w:rsid w:val="0060768C"/>
    <w:rsid w:val="006116C9"/>
    <w:rsid w:val="0061203B"/>
    <w:rsid w:val="0061472B"/>
    <w:rsid w:val="006242F7"/>
    <w:rsid w:val="00635EE2"/>
    <w:rsid w:val="006366BF"/>
    <w:rsid w:val="00637B02"/>
    <w:rsid w:val="00637B69"/>
    <w:rsid w:val="00644A9B"/>
    <w:rsid w:val="006466BA"/>
    <w:rsid w:val="0065086E"/>
    <w:rsid w:val="00651D03"/>
    <w:rsid w:val="00652383"/>
    <w:rsid w:val="0065524C"/>
    <w:rsid w:val="00656B53"/>
    <w:rsid w:val="00662967"/>
    <w:rsid w:val="006643B5"/>
    <w:rsid w:val="006654ED"/>
    <w:rsid w:val="00671A7A"/>
    <w:rsid w:val="00673B76"/>
    <w:rsid w:val="00677A98"/>
    <w:rsid w:val="00680148"/>
    <w:rsid w:val="006806C8"/>
    <w:rsid w:val="00680DFD"/>
    <w:rsid w:val="0068280D"/>
    <w:rsid w:val="00685FCD"/>
    <w:rsid w:val="006952D3"/>
    <w:rsid w:val="006A53B4"/>
    <w:rsid w:val="006B2F31"/>
    <w:rsid w:val="006C580F"/>
    <w:rsid w:val="006D51EC"/>
    <w:rsid w:val="006D597C"/>
    <w:rsid w:val="006D60D2"/>
    <w:rsid w:val="006E7C14"/>
    <w:rsid w:val="006F2B03"/>
    <w:rsid w:val="007031D8"/>
    <w:rsid w:val="00703ABC"/>
    <w:rsid w:val="00705A96"/>
    <w:rsid w:val="007120A1"/>
    <w:rsid w:val="00713EE5"/>
    <w:rsid w:val="00722652"/>
    <w:rsid w:val="00724273"/>
    <w:rsid w:val="007248B0"/>
    <w:rsid w:val="00727039"/>
    <w:rsid w:val="00730BD2"/>
    <w:rsid w:val="00731650"/>
    <w:rsid w:val="00735D55"/>
    <w:rsid w:val="007417E5"/>
    <w:rsid w:val="007441A9"/>
    <w:rsid w:val="00746C3D"/>
    <w:rsid w:val="00747C0C"/>
    <w:rsid w:val="0076068C"/>
    <w:rsid w:val="00761B54"/>
    <w:rsid w:val="00761B5C"/>
    <w:rsid w:val="007623AC"/>
    <w:rsid w:val="0076271E"/>
    <w:rsid w:val="00765456"/>
    <w:rsid w:val="0076716B"/>
    <w:rsid w:val="00770DED"/>
    <w:rsid w:val="0077279D"/>
    <w:rsid w:val="00781628"/>
    <w:rsid w:val="00782B73"/>
    <w:rsid w:val="00786BFB"/>
    <w:rsid w:val="00786E6B"/>
    <w:rsid w:val="00787B09"/>
    <w:rsid w:val="00792544"/>
    <w:rsid w:val="007A0366"/>
    <w:rsid w:val="007A2D8B"/>
    <w:rsid w:val="007A5AF9"/>
    <w:rsid w:val="007B4CC6"/>
    <w:rsid w:val="007C0865"/>
    <w:rsid w:val="007C3FAB"/>
    <w:rsid w:val="007C63D1"/>
    <w:rsid w:val="007D1FB8"/>
    <w:rsid w:val="007D4849"/>
    <w:rsid w:val="007E08FA"/>
    <w:rsid w:val="007E1C9D"/>
    <w:rsid w:val="007E4A68"/>
    <w:rsid w:val="007F05BA"/>
    <w:rsid w:val="007F0F66"/>
    <w:rsid w:val="0080295E"/>
    <w:rsid w:val="0080662A"/>
    <w:rsid w:val="00810884"/>
    <w:rsid w:val="00810D58"/>
    <w:rsid w:val="008124A2"/>
    <w:rsid w:val="00813D18"/>
    <w:rsid w:val="00813F3D"/>
    <w:rsid w:val="00815C88"/>
    <w:rsid w:val="00816619"/>
    <w:rsid w:val="008218B9"/>
    <w:rsid w:val="00821B23"/>
    <w:rsid w:val="00823479"/>
    <w:rsid w:val="00824323"/>
    <w:rsid w:val="00826F1E"/>
    <w:rsid w:val="008276AA"/>
    <w:rsid w:val="008313B2"/>
    <w:rsid w:val="008313CA"/>
    <w:rsid w:val="00831AF5"/>
    <w:rsid w:val="00833F3C"/>
    <w:rsid w:val="008347D7"/>
    <w:rsid w:val="008347DA"/>
    <w:rsid w:val="00846962"/>
    <w:rsid w:val="008502AC"/>
    <w:rsid w:val="00851C8C"/>
    <w:rsid w:val="00854144"/>
    <w:rsid w:val="008625E7"/>
    <w:rsid w:val="008676DC"/>
    <w:rsid w:val="00872D68"/>
    <w:rsid w:val="00876A74"/>
    <w:rsid w:val="00886F14"/>
    <w:rsid w:val="00887F55"/>
    <w:rsid w:val="008924FD"/>
    <w:rsid w:val="00897C02"/>
    <w:rsid w:val="008A3F65"/>
    <w:rsid w:val="008A6D7E"/>
    <w:rsid w:val="008A74B2"/>
    <w:rsid w:val="008B01CD"/>
    <w:rsid w:val="008B19C3"/>
    <w:rsid w:val="008B6859"/>
    <w:rsid w:val="008C2746"/>
    <w:rsid w:val="008C27A3"/>
    <w:rsid w:val="008C6806"/>
    <w:rsid w:val="008E19C7"/>
    <w:rsid w:val="008E2B13"/>
    <w:rsid w:val="008E3168"/>
    <w:rsid w:val="008E3DA5"/>
    <w:rsid w:val="008E562D"/>
    <w:rsid w:val="008E62AC"/>
    <w:rsid w:val="008F18F3"/>
    <w:rsid w:val="008F2A04"/>
    <w:rsid w:val="008F4D73"/>
    <w:rsid w:val="008F7619"/>
    <w:rsid w:val="008F7FEC"/>
    <w:rsid w:val="00901D4C"/>
    <w:rsid w:val="0090357D"/>
    <w:rsid w:val="009035C2"/>
    <w:rsid w:val="00910F58"/>
    <w:rsid w:val="00912325"/>
    <w:rsid w:val="00914B53"/>
    <w:rsid w:val="009161EE"/>
    <w:rsid w:val="009272C9"/>
    <w:rsid w:val="00930344"/>
    <w:rsid w:val="0093112D"/>
    <w:rsid w:val="00932530"/>
    <w:rsid w:val="0093288B"/>
    <w:rsid w:val="009372C6"/>
    <w:rsid w:val="009412FE"/>
    <w:rsid w:val="00943D10"/>
    <w:rsid w:val="00943D45"/>
    <w:rsid w:val="00944873"/>
    <w:rsid w:val="00945CED"/>
    <w:rsid w:val="00946101"/>
    <w:rsid w:val="00952DD5"/>
    <w:rsid w:val="00954522"/>
    <w:rsid w:val="00955D78"/>
    <w:rsid w:val="00960291"/>
    <w:rsid w:val="009608D2"/>
    <w:rsid w:val="00961179"/>
    <w:rsid w:val="00964678"/>
    <w:rsid w:val="00964B0C"/>
    <w:rsid w:val="00967D96"/>
    <w:rsid w:val="009730CF"/>
    <w:rsid w:val="00980F5A"/>
    <w:rsid w:val="00981F66"/>
    <w:rsid w:val="00983E14"/>
    <w:rsid w:val="009871ED"/>
    <w:rsid w:val="00991E5D"/>
    <w:rsid w:val="00992787"/>
    <w:rsid w:val="009A15F1"/>
    <w:rsid w:val="009A40A7"/>
    <w:rsid w:val="009A6463"/>
    <w:rsid w:val="009B0A85"/>
    <w:rsid w:val="009B18D3"/>
    <w:rsid w:val="009B4130"/>
    <w:rsid w:val="009B70D7"/>
    <w:rsid w:val="009B777C"/>
    <w:rsid w:val="009C02EF"/>
    <w:rsid w:val="009C278D"/>
    <w:rsid w:val="009C314B"/>
    <w:rsid w:val="009C5C56"/>
    <w:rsid w:val="009C6378"/>
    <w:rsid w:val="009D1013"/>
    <w:rsid w:val="009D128C"/>
    <w:rsid w:val="009D3770"/>
    <w:rsid w:val="009E6BFC"/>
    <w:rsid w:val="009E6D69"/>
    <w:rsid w:val="009F05A3"/>
    <w:rsid w:val="009F1453"/>
    <w:rsid w:val="009F22F4"/>
    <w:rsid w:val="00A00259"/>
    <w:rsid w:val="00A005E6"/>
    <w:rsid w:val="00A04CBC"/>
    <w:rsid w:val="00A04D72"/>
    <w:rsid w:val="00A0582B"/>
    <w:rsid w:val="00A074B6"/>
    <w:rsid w:val="00A1002B"/>
    <w:rsid w:val="00A14388"/>
    <w:rsid w:val="00A1497C"/>
    <w:rsid w:val="00A16353"/>
    <w:rsid w:val="00A17834"/>
    <w:rsid w:val="00A17A29"/>
    <w:rsid w:val="00A273A3"/>
    <w:rsid w:val="00A301E3"/>
    <w:rsid w:val="00A31F33"/>
    <w:rsid w:val="00A345E4"/>
    <w:rsid w:val="00A41234"/>
    <w:rsid w:val="00A476A6"/>
    <w:rsid w:val="00A52264"/>
    <w:rsid w:val="00A539CB"/>
    <w:rsid w:val="00A54BBD"/>
    <w:rsid w:val="00A6197C"/>
    <w:rsid w:val="00A703C3"/>
    <w:rsid w:val="00A739C4"/>
    <w:rsid w:val="00A747F5"/>
    <w:rsid w:val="00A7481A"/>
    <w:rsid w:val="00A76E5C"/>
    <w:rsid w:val="00A81E05"/>
    <w:rsid w:val="00A81E5A"/>
    <w:rsid w:val="00A82A8A"/>
    <w:rsid w:val="00A917A9"/>
    <w:rsid w:val="00A91CCB"/>
    <w:rsid w:val="00A9206A"/>
    <w:rsid w:val="00A9277A"/>
    <w:rsid w:val="00A94776"/>
    <w:rsid w:val="00AA2FEE"/>
    <w:rsid w:val="00AB18B6"/>
    <w:rsid w:val="00AB225C"/>
    <w:rsid w:val="00AB3C9C"/>
    <w:rsid w:val="00AB5EF8"/>
    <w:rsid w:val="00AB672E"/>
    <w:rsid w:val="00AC56A6"/>
    <w:rsid w:val="00AC5A64"/>
    <w:rsid w:val="00AD6275"/>
    <w:rsid w:val="00AE0157"/>
    <w:rsid w:val="00AE6033"/>
    <w:rsid w:val="00AF0603"/>
    <w:rsid w:val="00AF1879"/>
    <w:rsid w:val="00AF7377"/>
    <w:rsid w:val="00B02055"/>
    <w:rsid w:val="00B04A70"/>
    <w:rsid w:val="00B04F4E"/>
    <w:rsid w:val="00B12626"/>
    <w:rsid w:val="00B12E8B"/>
    <w:rsid w:val="00B13115"/>
    <w:rsid w:val="00B135E5"/>
    <w:rsid w:val="00B14366"/>
    <w:rsid w:val="00B16519"/>
    <w:rsid w:val="00B166F3"/>
    <w:rsid w:val="00B3109D"/>
    <w:rsid w:val="00B338FF"/>
    <w:rsid w:val="00B3660A"/>
    <w:rsid w:val="00B37B1F"/>
    <w:rsid w:val="00B407A7"/>
    <w:rsid w:val="00B40E00"/>
    <w:rsid w:val="00B45BA7"/>
    <w:rsid w:val="00B4672B"/>
    <w:rsid w:val="00B472F0"/>
    <w:rsid w:val="00B5054C"/>
    <w:rsid w:val="00B50BF0"/>
    <w:rsid w:val="00B517F3"/>
    <w:rsid w:val="00B52462"/>
    <w:rsid w:val="00B52E84"/>
    <w:rsid w:val="00B558F2"/>
    <w:rsid w:val="00B56728"/>
    <w:rsid w:val="00B621FA"/>
    <w:rsid w:val="00B63F79"/>
    <w:rsid w:val="00B67912"/>
    <w:rsid w:val="00B67955"/>
    <w:rsid w:val="00B73746"/>
    <w:rsid w:val="00B737DC"/>
    <w:rsid w:val="00B74D89"/>
    <w:rsid w:val="00B74F9F"/>
    <w:rsid w:val="00B777E9"/>
    <w:rsid w:val="00B8128C"/>
    <w:rsid w:val="00B85908"/>
    <w:rsid w:val="00B97E12"/>
    <w:rsid w:val="00BA03B0"/>
    <w:rsid w:val="00BA627F"/>
    <w:rsid w:val="00BB2971"/>
    <w:rsid w:val="00BB4D12"/>
    <w:rsid w:val="00BB5AF2"/>
    <w:rsid w:val="00BB7907"/>
    <w:rsid w:val="00BC1324"/>
    <w:rsid w:val="00BC45CA"/>
    <w:rsid w:val="00BC53EE"/>
    <w:rsid w:val="00BC6779"/>
    <w:rsid w:val="00BD02B5"/>
    <w:rsid w:val="00BD34FD"/>
    <w:rsid w:val="00BD6329"/>
    <w:rsid w:val="00BD7D11"/>
    <w:rsid w:val="00BE5C01"/>
    <w:rsid w:val="00BE62EF"/>
    <w:rsid w:val="00BF068E"/>
    <w:rsid w:val="00C00D5E"/>
    <w:rsid w:val="00C047AF"/>
    <w:rsid w:val="00C1530E"/>
    <w:rsid w:val="00C15A50"/>
    <w:rsid w:val="00C2140F"/>
    <w:rsid w:val="00C21D0B"/>
    <w:rsid w:val="00C23CAC"/>
    <w:rsid w:val="00C34370"/>
    <w:rsid w:val="00C36F0E"/>
    <w:rsid w:val="00C4757A"/>
    <w:rsid w:val="00C52F21"/>
    <w:rsid w:val="00C55454"/>
    <w:rsid w:val="00C6030C"/>
    <w:rsid w:val="00C60571"/>
    <w:rsid w:val="00C64A2F"/>
    <w:rsid w:val="00C6DF51"/>
    <w:rsid w:val="00C70141"/>
    <w:rsid w:val="00C70D53"/>
    <w:rsid w:val="00C72B84"/>
    <w:rsid w:val="00C73237"/>
    <w:rsid w:val="00C75344"/>
    <w:rsid w:val="00C76573"/>
    <w:rsid w:val="00C86762"/>
    <w:rsid w:val="00C9004D"/>
    <w:rsid w:val="00CA0C2A"/>
    <w:rsid w:val="00CA0C4A"/>
    <w:rsid w:val="00CA1575"/>
    <w:rsid w:val="00CA2E7F"/>
    <w:rsid w:val="00CA5F7B"/>
    <w:rsid w:val="00CB15AB"/>
    <w:rsid w:val="00CB231F"/>
    <w:rsid w:val="00CB57CC"/>
    <w:rsid w:val="00CB58EC"/>
    <w:rsid w:val="00CC0E42"/>
    <w:rsid w:val="00CC34E7"/>
    <w:rsid w:val="00CC35F2"/>
    <w:rsid w:val="00CC361D"/>
    <w:rsid w:val="00CC43C0"/>
    <w:rsid w:val="00CD4954"/>
    <w:rsid w:val="00CD7201"/>
    <w:rsid w:val="00CE55A0"/>
    <w:rsid w:val="00CF0D5C"/>
    <w:rsid w:val="00CF2E38"/>
    <w:rsid w:val="00CF470A"/>
    <w:rsid w:val="00D039E0"/>
    <w:rsid w:val="00D0477A"/>
    <w:rsid w:val="00D05C7B"/>
    <w:rsid w:val="00D06E20"/>
    <w:rsid w:val="00D06E29"/>
    <w:rsid w:val="00D1632A"/>
    <w:rsid w:val="00D212B3"/>
    <w:rsid w:val="00D32E5C"/>
    <w:rsid w:val="00D400CF"/>
    <w:rsid w:val="00D43C1E"/>
    <w:rsid w:val="00D4664A"/>
    <w:rsid w:val="00D47450"/>
    <w:rsid w:val="00D50827"/>
    <w:rsid w:val="00D5274D"/>
    <w:rsid w:val="00D721E8"/>
    <w:rsid w:val="00D75165"/>
    <w:rsid w:val="00D835E9"/>
    <w:rsid w:val="00D83FD4"/>
    <w:rsid w:val="00D917D9"/>
    <w:rsid w:val="00D94A44"/>
    <w:rsid w:val="00D955E9"/>
    <w:rsid w:val="00D973AE"/>
    <w:rsid w:val="00DA213C"/>
    <w:rsid w:val="00DA603C"/>
    <w:rsid w:val="00DB09BE"/>
    <w:rsid w:val="00DB10EC"/>
    <w:rsid w:val="00DB202A"/>
    <w:rsid w:val="00DB424E"/>
    <w:rsid w:val="00DC29D5"/>
    <w:rsid w:val="00DC362B"/>
    <w:rsid w:val="00DC4A53"/>
    <w:rsid w:val="00DC519F"/>
    <w:rsid w:val="00DC696E"/>
    <w:rsid w:val="00DD226F"/>
    <w:rsid w:val="00DE2080"/>
    <w:rsid w:val="00DE308E"/>
    <w:rsid w:val="00DE43D3"/>
    <w:rsid w:val="00DE62F8"/>
    <w:rsid w:val="00DE7ADD"/>
    <w:rsid w:val="00DF4CFD"/>
    <w:rsid w:val="00DF60E5"/>
    <w:rsid w:val="00E01741"/>
    <w:rsid w:val="00E02B21"/>
    <w:rsid w:val="00E046BA"/>
    <w:rsid w:val="00E11CCB"/>
    <w:rsid w:val="00E11F11"/>
    <w:rsid w:val="00E12303"/>
    <w:rsid w:val="00E1278C"/>
    <w:rsid w:val="00E130F1"/>
    <w:rsid w:val="00E13FD8"/>
    <w:rsid w:val="00E21360"/>
    <w:rsid w:val="00E217A9"/>
    <w:rsid w:val="00E3463F"/>
    <w:rsid w:val="00E42CB7"/>
    <w:rsid w:val="00E4332A"/>
    <w:rsid w:val="00E444B8"/>
    <w:rsid w:val="00E44C11"/>
    <w:rsid w:val="00E5308D"/>
    <w:rsid w:val="00E53C27"/>
    <w:rsid w:val="00E55156"/>
    <w:rsid w:val="00E55573"/>
    <w:rsid w:val="00E57F5D"/>
    <w:rsid w:val="00E603C7"/>
    <w:rsid w:val="00E622AF"/>
    <w:rsid w:val="00E6257B"/>
    <w:rsid w:val="00E63485"/>
    <w:rsid w:val="00E67D1F"/>
    <w:rsid w:val="00E735B5"/>
    <w:rsid w:val="00E74929"/>
    <w:rsid w:val="00E74D52"/>
    <w:rsid w:val="00E7653F"/>
    <w:rsid w:val="00E8645A"/>
    <w:rsid w:val="00E864CC"/>
    <w:rsid w:val="00E93DF4"/>
    <w:rsid w:val="00E9436E"/>
    <w:rsid w:val="00EA0049"/>
    <w:rsid w:val="00EA3C8E"/>
    <w:rsid w:val="00EB2125"/>
    <w:rsid w:val="00EB2587"/>
    <w:rsid w:val="00EB3AA5"/>
    <w:rsid w:val="00EB441C"/>
    <w:rsid w:val="00EB58AD"/>
    <w:rsid w:val="00EB77AC"/>
    <w:rsid w:val="00EC1C78"/>
    <w:rsid w:val="00ED0DE2"/>
    <w:rsid w:val="00EE72F1"/>
    <w:rsid w:val="00EF1CD5"/>
    <w:rsid w:val="00EF3A35"/>
    <w:rsid w:val="00F0312A"/>
    <w:rsid w:val="00F0371C"/>
    <w:rsid w:val="00F06EC2"/>
    <w:rsid w:val="00F071E1"/>
    <w:rsid w:val="00F110EA"/>
    <w:rsid w:val="00F13168"/>
    <w:rsid w:val="00F17A96"/>
    <w:rsid w:val="00F22647"/>
    <w:rsid w:val="00F349E3"/>
    <w:rsid w:val="00F35A5C"/>
    <w:rsid w:val="00F433D0"/>
    <w:rsid w:val="00F43F14"/>
    <w:rsid w:val="00F455C0"/>
    <w:rsid w:val="00F466D7"/>
    <w:rsid w:val="00F50088"/>
    <w:rsid w:val="00F52DB2"/>
    <w:rsid w:val="00F56759"/>
    <w:rsid w:val="00F6022D"/>
    <w:rsid w:val="00F638E4"/>
    <w:rsid w:val="00F65641"/>
    <w:rsid w:val="00F7031B"/>
    <w:rsid w:val="00F705F7"/>
    <w:rsid w:val="00F70D74"/>
    <w:rsid w:val="00F71623"/>
    <w:rsid w:val="00F7196C"/>
    <w:rsid w:val="00F77B38"/>
    <w:rsid w:val="00F8043A"/>
    <w:rsid w:val="00F8434C"/>
    <w:rsid w:val="00F86B31"/>
    <w:rsid w:val="00F87AA0"/>
    <w:rsid w:val="00F90E62"/>
    <w:rsid w:val="00F9103B"/>
    <w:rsid w:val="00F947D8"/>
    <w:rsid w:val="00FA1F98"/>
    <w:rsid w:val="00FA2807"/>
    <w:rsid w:val="00FA29C9"/>
    <w:rsid w:val="00FB2B5B"/>
    <w:rsid w:val="00FB2B8A"/>
    <w:rsid w:val="00FB51B9"/>
    <w:rsid w:val="00FB5CA6"/>
    <w:rsid w:val="00FB651F"/>
    <w:rsid w:val="00FC0E0F"/>
    <w:rsid w:val="00FD2DCA"/>
    <w:rsid w:val="00FE120F"/>
    <w:rsid w:val="00FE1695"/>
    <w:rsid w:val="00FE2B91"/>
    <w:rsid w:val="00FE2BDC"/>
    <w:rsid w:val="00FE3956"/>
    <w:rsid w:val="00FE3B7B"/>
    <w:rsid w:val="00FE6ADB"/>
    <w:rsid w:val="00FE6C45"/>
    <w:rsid w:val="00FF4EBC"/>
    <w:rsid w:val="00FF7252"/>
    <w:rsid w:val="014AEA84"/>
    <w:rsid w:val="015F4C7F"/>
    <w:rsid w:val="0170821F"/>
    <w:rsid w:val="01FE0CED"/>
    <w:rsid w:val="032311DC"/>
    <w:rsid w:val="03BA5BDA"/>
    <w:rsid w:val="04924C02"/>
    <w:rsid w:val="050ACCF9"/>
    <w:rsid w:val="05424BB1"/>
    <w:rsid w:val="05CB6833"/>
    <w:rsid w:val="0640788A"/>
    <w:rsid w:val="0902C045"/>
    <w:rsid w:val="09B872FE"/>
    <w:rsid w:val="0ADB9569"/>
    <w:rsid w:val="0BE3C221"/>
    <w:rsid w:val="0CE5EAF2"/>
    <w:rsid w:val="0DC589C0"/>
    <w:rsid w:val="0DE2BE5C"/>
    <w:rsid w:val="0ECCDABB"/>
    <w:rsid w:val="0F0A8257"/>
    <w:rsid w:val="0F75D0E7"/>
    <w:rsid w:val="11C0D0D5"/>
    <w:rsid w:val="122CCC7F"/>
    <w:rsid w:val="132BEF70"/>
    <w:rsid w:val="13BFAFA1"/>
    <w:rsid w:val="13D75A92"/>
    <w:rsid w:val="147E77CB"/>
    <w:rsid w:val="14BE6330"/>
    <w:rsid w:val="14EAB409"/>
    <w:rsid w:val="16EBE9EC"/>
    <w:rsid w:val="178A48CB"/>
    <w:rsid w:val="17EB41C8"/>
    <w:rsid w:val="182026CA"/>
    <w:rsid w:val="185D9BC2"/>
    <w:rsid w:val="18A14EA8"/>
    <w:rsid w:val="18B2D214"/>
    <w:rsid w:val="1996AD1B"/>
    <w:rsid w:val="1AB89A3E"/>
    <w:rsid w:val="1B275D06"/>
    <w:rsid w:val="1BC0A85A"/>
    <w:rsid w:val="1BCA1954"/>
    <w:rsid w:val="1CE882B5"/>
    <w:rsid w:val="1FA45723"/>
    <w:rsid w:val="1FC55C60"/>
    <w:rsid w:val="20803BB8"/>
    <w:rsid w:val="20D95B32"/>
    <w:rsid w:val="21AD560B"/>
    <w:rsid w:val="23A735AC"/>
    <w:rsid w:val="23B2697A"/>
    <w:rsid w:val="24CF0542"/>
    <w:rsid w:val="250A7046"/>
    <w:rsid w:val="2523EA65"/>
    <w:rsid w:val="2540B14E"/>
    <w:rsid w:val="25558575"/>
    <w:rsid w:val="256A1C51"/>
    <w:rsid w:val="25FE3DD3"/>
    <w:rsid w:val="27207954"/>
    <w:rsid w:val="278900BB"/>
    <w:rsid w:val="27A3BF1E"/>
    <w:rsid w:val="2912251C"/>
    <w:rsid w:val="299B6196"/>
    <w:rsid w:val="29DAEA0A"/>
    <w:rsid w:val="2AA6F6B2"/>
    <w:rsid w:val="2C32BBDB"/>
    <w:rsid w:val="2E079F03"/>
    <w:rsid w:val="2E80ACF8"/>
    <w:rsid w:val="2EF34D00"/>
    <w:rsid w:val="2EFB9D57"/>
    <w:rsid w:val="2F4F5852"/>
    <w:rsid w:val="2F723698"/>
    <w:rsid w:val="2F78A233"/>
    <w:rsid w:val="32CD7E22"/>
    <w:rsid w:val="32E909E1"/>
    <w:rsid w:val="33CC9152"/>
    <w:rsid w:val="34791631"/>
    <w:rsid w:val="34A5EADF"/>
    <w:rsid w:val="34EEB2D2"/>
    <w:rsid w:val="35296D7B"/>
    <w:rsid w:val="359A080D"/>
    <w:rsid w:val="37BFC359"/>
    <w:rsid w:val="3803E6E3"/>
    <w:rsid w:val="3879EEBB"/>
    <w:rsid w:val="3925E7F8"/>
    <w:rsid w:val="3944120A"/>
    <w:rsid w:val="399E018C"/>
    <w:rsid w:val="3B297B88"/>
    <w:rsid w:val="3B5D039C"/>
    <w:rsid w:val="3E09ADBD"/>
    <w:rsid w:val="3E0FEF71"/>
    <w:rsid w:val="3F5D9214"/>
    <w:rsid w:val="3F6E8348"/>
    <w:rsid w:val="3F831F8D"/>
    <w:rsid w:val="4052FAB0"/>
    <w:rsid w:val="40C7B129"/>
    <w:rsid w:val="40C8AF42"/>
    <w:rsid w:val="47E6BD81"/>
    <w:rsid w:val="488B876B"/>
    <w:rsid w:val="4A3D996D"/>
    <w:rsid w:val="4AF53F74"/>
    <w:rsid w:val="4C5E400B"/>
    <w:rsid w:val="4C9F33D0"/>
    <w:rsid w:val="4CD95AD5"/>
    <w:rsid w:val="4D883D4B"/>
    <w:rsid w:val="4DBB3D54"/>
    <w:rsid w:val="4E28DB46"/>
    <w:rsid w:val="4F77B328"/>
    <w:rsid w:val="501F7D6B"/>
    <w:rsid w:val="522A3BFE"/>
    <w:rsid w:val="52E9F7EC"/>
    <w:rsid w:val="538D2095"/>
    <w:rsid w:val="5432F42D"/>
    <w:rsid w:val="5478E83B"/>
    <w:rsid w:val="565DF4FA"/>
    <w:rsid w:val="568DE92C"/>
    <w:rsid w:val="5698A366"/>
    <w:rsid w:val="56E93DE3"/>
    <w:rsid w:val="58BB1A71"/>
    <w:rsid w:val="59BE6EF2"/>
    <w:rsid w:val="5BA92BCE"/>
    <w:rsid w:val="5BDDA321"/>
    <w:rsid w:val="5D167321"/>
    <w:rsid w:val="5ECCBFEA"/>
    <w:rsid w:val="5ED01A7B"/>
    <w:rsid w:val="5EE3306E"/>
    <w:rsid w:val="5F80294F"/>
    <w:rsid w:val="6043DC35"/>
    <w:rsid w:val="615C4FB5"/>
    <w:rsid w:val="633597A6"/>
    <w:rsid w:val="63EE4266"/>
    <w:rsid w:val="641309D9"/>
    <w:rsid w:val="6427FC8D"/>
    <w:rsid w:val="646D6347"/>
    <w:rsid w:val="64846C5B"/>
    <w:rsid w:val="65831F79"/>
    <w:rsid w:val="66873A14"/>
    <w:rsid w:val="67CD3126"/>
    <w:rsid w:val="67F2277D"/>
    <w:rsid w:val="68CE1F7D"/>
    <w:rsid w:val="68F75CB8"/>
    <w:rsid w:val="69107EDD"/>
    <w:rsid w:val="6A76CCFA"/>
    <w:rsid w:val="6A81A1E9"/>
    <w:rsid w:val="6B8F967D"/>
    <w:rsid w:val="6B956084"/>
    <w:rsid w:val="715A654E"/>
    <w:rsid w:val="72DB1F06"/>
    <w:rsid w:val="7371BCA7"/>
    <w:rsid w:val="739C8FCE"/>
    <w:rsid w:val="73BC94BA"/>
    <w:rsid w:val="73D168EB"/>
    <w:rsid w:val="748B9C34"/>
    <w:rsid w:val="74DFB28C"/>
    <w:rsid w:val="76C049A0"/>
    <w:rsid w:val="78019A70"/>
    <w:rsid w:val="7926A57B"/>
    <w:rsid w:val="795EE4ED"/>
    <w:rsid w:val="79FBB914"/>
    <w:rsid w:val="7B4B2C3F"/>
    <w:rsid w:val="7B71F5BA"/>
    <w:rsid w:val="7B94F9DA"/>
    <w:rsid w:val="7C4CA114"/>
    <w:rsid w:val="7C54F6E9"/>
    <w:rsid w:val="7D27C5EC"/>
    <w:rsid w:val="7D50107F"/>
    <w:rsid w:val="7D913436"/>
    <w:rsid w:val="7F7286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13F4185"/>
  <w15:docId w15:val="{88FFBC7D-0F1B-4881-B029-7FFDFCA5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3956"/>
    <w:rPr>
      <w:sz w:val="24"/>
      <w:szCs w:val="24"/>
    </w:rPr>
  </w:style>
  <w:style w:type="paragraph" w:styleId="Heading1">
    <w:name w:val="heading 1"/>
    <w:basedOn w:val="Normal"/>
    <w:next w:val="Normal"/>
    <w:qFormat/>
    <w:rsid w:val="00FE3956"/>
    <w:pPr>
      <w:keepNext/>
      <w:jc w:val="center"/>
      <w:outlineLvl w:val="0"/>
    </w:pPr>
    <w:rPr>
      <w:sz w:val="28"/>
    </w:rPr>
  </w:style>
  <w:style w:type="paragraph" w:styleId="Heading2">
    <w:name w:val="heading 2"/>
    <w:basedOn w:val="Normal"/>
    <w:next w:val="Normal"/>
    <w:qFormat/>
    <w:rsid w:val="00FE395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3956"/>
    <w:rPr>
      <w:sz w:val="28"/>
    </w:rPr>
  </w:style>
  <w:style w:type="paragraph" w:styleId="BodyTextIndent">
    <w:name w:val="Body Text Indent"/>
    <w:basedOn w:val="Normal"/>
    <w:rsid w:val="00FE3956"/>
    <w:pPr>
      <w:ind w:left="900" w:hanging="540"/>
    </w:pPr>
    <w:rPr>
      <w:sz w:val="28"/>
    </w:rPr>
  </w:style>
  <w:style w:type="paragraph" w:styleId="BodyTextIndent2">
    <w:name w:val="Body Text Indent 2"/>
    <w:basedOn w:val="Normal"/>
    <w:rsid w:val="00FE3956"/>
    <w:pPr>
      <w:tabs>
        <w:tab w:val="left" w:pos="893"/>
      </w:tabs>
      <w:ind w:left="907" w:hanging="547"/>
    </w:pPr>
    <w:rPr>
      <w:sz w:val="28"/>
    </w:rPr>
  </w:style>
  <w:style w:type="paragraph" w:styleId="Footer">
    <w:name w:val="footer"/>
    <w:basedOn w:val="Normal"/>
    <w:rsid w:val="00FE3956"/>
    <w:pPr>
      <w:tabs>
        <w:tab w:val="center" w:pos="4320"/>
        <w:tab w:val="right" w:pos="8640"/>
      </w:tabs>
    </w:pPr>
  </w:style>
  <w:style w:type="character" w:styleId="PageNumber">
    <w:name w:val="page number"/>
    <w:basedOn w:val="DefaultParagraphFont"/>
    <w:rsid w:val="00FE3956"/>
  </w:style>
  <w:style w:type="paragraph" w:styleId="BodyTextIndent3">
    <w:name w:val="Body Text Indent 3"/>
    <w:basedOn w:val="Normal"/>
    <w:rsid w:val="00FE3956"/>
    <w:pPr>
      <w:ind w:left="720" w:hanging="360"/>
    </w:pPr>
    <w:rPr>
      <w:sz w:val="28"/>
    </w:rPr>
  </w:style>
  <w:style w:type="paragraph" w:styleId="ListParagraph">
    <w:name w:val="List Paragraph"/>
    <w:basedOn w:val="Normal"/>
    <w:uiPriority w:val="34"/>
    <w:qFormat/>
    <w:rsid w:val="001A7A90"/>
    <w:pPr>
      <w:ind w:left="720"/>
      <w:contextualSpacing/>
    </w:pPr>
  </w:style>
  <w:style w:type="character" w:styleId="CommentReference">
    <w:name w:val="annotation reference"/>
    <w:basedOn w:val="DefaultParagraphFont"/>
    <w:unhideWhenUsed/>
    <w:rsid w:val="00F7196C"/>
    <w:rPr>
      <w:sz w:val="16"/>
      <w:szCs w:val="16"/>
    </w:rPr>
  </w:style>
  <w:style w:type="paragraph" w:styleId="CommentText">
    <w:name w:val="annotation text"/>
    <w:basedOn w:val="Normal"/>
    <w:link w:val="CommentTextChar"/>
    <w:unhideWhenUsed/>
    <w:rsid w:val="00F7196C"/>
    <w:rPr>
      <w:sz w:val="20"/>
      <w:szCs w:val="20"/>
    </w:rPr>
  </w:style>
  <w:style w:type="character" w:customStyle="1" w:styleId="CommentTextChar">
    <w:name w:val="Comment Text Char"/>
    <w:basedOn w:val="DefaultParagraphFont"/>
    <w:link w:val="CommentText"/>
    <w:rsid w:val="00F7196C"/>
  </w:style>
  <w:style w:type="paragraph" w:styleId="CommentSubject">
    <w:name w:val="annotation subject"/>
    <w:basedOn w:val="CommentText"/>
    <w:next w:val="CommentText"/>
    <w:link w:val="CommentSubjectChar"/>
    <w:semiHidden/>
    <w:unhideWhenUsed/>
    <w:rsid w:val="00F7196C"/>
    <w:rPr>
      <w:b/>
      <w:bCs/>
    </w:rPr>
  </w:style>
  <w:style w:type="character" w:customStyle="1" w:styleId="CommentSubjectChar">
    <w:name w:val="Comment Subject Char"/>
    <w:basedOn w:val="CommentTextChar"/>
    <w:link w:val="CommentSubject"/>
    <w:semiHidden/>
    <w:rsid w:val="00F7196C"/>
    <w:rPr>
      <w:b/>
      <w:bCs/>
    </w:rPr>
  </w:style>
  <w:style w:type="paragraph" w:styleId="BalloonText">
    <w:name w:val="Balloon Text"/>
    <w:basedOn w:val="Normal"/>
    <w:link w:val="BalloonTextChar"/>
    <w:semiHidden/>
    <w:unhideWhenUsed/>
    <w:rsid w:val="00F7196C"/>
    <w:rPr>
      <w:rFonts w:ascii="Segoe UI" w:hAnsi="Segoe UI" w:cs="Segoe UI"/>
      <w:sz w:val="18"/>
      <w:szCs w:val="18"/>
    </w:rPr>
  </w:style>
  <w:style w:type="character" w:customStyle="1" w:styleId="BalloonTextChar">
    <w:name w:val="Balloon Text Char"/>
    <w:basedOn w:val="DefaultParagraphFont"/>
    <w:link w:val="BalloonText"/>
    <w:semiHidden/>
    <w:rsid w:val="00F7196C"/>
    <w:rPr>
      <w:rFonts w:ascii="Segoe UI" w:hAnsi="Segoe UI" w:cs="Segoe UI"/>
      <w:sz w:val="18"/>
      <w:szCs w:val="18"/>
    </w:rPr>
  </w:style>
  <w:style w:type="paragraph" w:styleId="Revision">
    <w:name w:val="Revision"/>
    <w:hidden/>
    <w:uiPriority w:val="99"/>
    <w:semiHidden/>
    <w:rsid w:val="00397491"/>
    <w:rPr>
      <w:sz w:val="24"/>
      <w:szCs w:val="24"/>
    </w:rPr>
  </w:style>
  <w:style w:type="paragraph" w:styleId="Header">
    <w:name w:val="header"/>
    <w:basedOn w:val="Normal"/>
    <w:link w:val="HeaderChar"/>
    <w:unhideWhenUsed/>
    <w:rsid w:val="00017240"/>
    <w:pPr>
      <w:tabs>
        <w:tab w:val="center" w:pos="4680"/>
        <w:tab w:val="right" w:pos="9360"/>
      </w:tabs>
    </w:pPr>
  </w:style>
  <w:style w:type="character" w:customStyle="1" w:styleId="HeaderChar">
    <w:name w:val="Header Char"/>
    <w:basedOn w:val="DefaultParagraphFont"/>
    <w:link w:val="Header"/>
    <w:rsid w:val="00017240"/>
    <w:rPr>
      <w:sz w:val="24"/>
      <w:szCs w:val="24"/>
    </w:rPr>
  </w:style>
  <w:style w:type="table" w:styleId="TableGrid">
    <w:name w:val="Table Grid"/>
    <w:basedOn w:val="TableNormal"/>
    <w:uiPriority w:val="59"/>
    <w:rsid w:val="000172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85908"/>
    <w:rPr>
      <w:sz w:val="20"/>
      <w:szCs w:val="20"/>
    </w:rPr>
  </w:style>
  <w:style w:type="character" w:customStyle="1" w:styleId="FootnoteTextChar">
    <w:name w:val="Footnote Text Char"/>
    <w:basedOn w:val="DefaultParagraphFont"/>
    <w:link w:val="FootnoteText"/>
    <w:semiHidden/>
    <w:rsid w:val="00B85908"/>
  </w:style>
  <w:style w:type="character" w:styleId="FootnoteReference">
    <w:name w:val="footnote reference"/>
    <w:basedOn w:val="DefaultParagraphFont"/>
    <w:semiHidden/>
    <w:unhideWhenUsed/>
    <w:rsid w:val="00B85908"/>
    <w:rPr>
      <w:vertAlign w:val="superscript"/>
    </w:rPr>
  </w:style>
  <w:style w:type="character" w:styleId="Hyperlink">
    <w:name w:val="Hyperlink"/>
    <w:basedOn w:val="DefaultParagraphFont"/>
    <w:unhideWhenUsed/>
    <w:rsid w:val="00B85908"/>
    <w:rPr>
      <w:color w:val="0000FF" w:themeColor="hyperlink"/>
      <w:u w:val="single"/>
    </w:rPr>
  </w:style>
  <w:style w:type="character" w:styleId="UnresolvedMention">
    <w:name w:val="Unresolved Mention"/>
    <w:basedOn w:val="DefaultParagraphFont"/>
    <w:uiPriority w:val="99"/>
    <w:semiHidden/>
    <w:unhideWhenUsed/>
    <w:rsid w:val="00B85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320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9FCF3-590D-4A96-9FC0-37FCC0E2FBBF}">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2.xml><?xml version="1.0" encoding="utf-8"?>
<ds:datastoreItem xmlns:ds="http://schemas.openxmlformats.org/officeDocument/2006/customXml" ds:itemID="{DBF16265-58D5-428E-8E49-C2B4BDBC1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EC6BA-B0F2-4466-B63D-DCBB70487DE7}">
  <ds:schemaRefs>
    <ds:schemaRef ds:uri="http://schemas.openxmlformats.org/officeDocument/2006/bibliography"/>
  </ds:schemaRefs>
</ds:datastoreItem>
</file>

<file path=customXml/itemProps4.xml><?xml version="1.0" encoding="utf-8"?>
<ds:datastoreItem xmlns:ds="http://schemas.openxmlformats.org/officeDocument/2006/customXml" ds:itemID="{A0FF28C5-B5AC-4DCE-A626-7E7DD7FBB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1785</Words>
  <Characters>10180</Characters>
  <Application>Microsoft Office Word</Application>
  <DocSecurity>0</DocSecurity>
  <Lines>84</Lines>
  <Paragraphs>23</Paragraphs>
  <ScaleCrop>false</ScaleCrop>
  <Company>ATF</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creator>ATF</dc:creator>
  <cp:lastModifiedBy>Holmes-Brooks, Colette N. (ATF) (CTR)</cp:lastModifiedBy>
  <cp:revision>2</cp:revision>
  <cp:lastPrinted>2012-06-13T21:39:00Z</cp:lastPrinted>
  <dcterms:created xsi:type="dcterms:W3CDTF">2026-01-30T17:10:00Z</dcterms:created>
  <dcterms:modified xsi:type="dcterms:W3CDTF">2026-01-30T17:10:00Z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