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04668" w:rsidP="00404668" w14:paraId="55FABCCF" w14:textId="77777777">
      <w:pPr>
        <w:jc w:val="center"/>
      </w:pPr>
      <w:r>
        <w:t>Department of Justice</w:t>
      </w:r>
    </w:p>
    <w:p w:rsidR="00404668" w:rsidP="00404668" w14:paraId="0F2A2E1D" w14:textId="32031D3D">
      <w:pPr>
        <w:jc w:val="center"/>
      </w:pPr>
      <w:r>
        <w:t>Bureau of Alcohol, Tobacco, Firearms and Explosives</w:t>
      </w:r>
      <w:r w:rsidR="00777C03">
        <w:t xml:space="preserve"> (ATF)</w:t>
      </w:r>
    </w:p>
    <w:p w:rsidR="00777C03" w:rsidP="00404668" w14:paraId="67FAEF4B" w14:textId="00AE8B9B">
      <w:pPr>
        <w:jc w:val="center"/>
      </w:pPr>
      <w:r>
        <w:t>Information Collection Request (ICR)</w:t>
      </w:r>
    </w:p>
    <w:p w:rsidR="00777C03" w:rsidP="00404668" w14:paraId="67F90237" w14:textId="5F977A9F">
      <w:pPr>
        <w:jc w:val="center"/>
      </w:pPr>
      <w:r>
        <w:t>OMB 11</w:t>
      </w:r>
      <w:r w:rsidR="006123D8">
        <w:t>40-0102</w:t>
      </w:r>
    </w:p>
    <w:p w:rsidR="00BA6841" w:rsidRPr="009B7393" w:rsidP="00404668" w14:paraId="07606272" w14:textId="4F83AC04">
      <w:pPr>
        <w:jc w:val="center"/>
        <w:rPr>
          <w:b/>
          <w:bCs/>
        </w:rPr>
      </w:pPr>
      <w:r>
        <w:rPr>
          <w:b/>
          <w:bCs/>
        </w:rPr>
        <w:t>Explosives licensee/permittee</w:t>
      </w:r>
      <w:r w:rsidRPr="009B7393" w:rsidR="009202E0">
        <w:rPr>
          <w:b/>
          <w:bCs/>
        </w:rPr>
        <w:t xml:space="preserve"> </w:t>
      </w:r>
      <w:r w:rsidR="0005376C">
        <w:rPr>
          <w:b/>
          <w:bCs/>
        </w:rPr>
        <w:t>out-of-business records</w:t>
      </w:r>
    </w:p>
    <w:p w:rsidR="00404668" w:rsidP="00404668" w14:paraId="6037CB00" w14:textId="77777777">
      <w:pPr>
        <w:jc w:val="center"/>
      </w:pPr>
    </w:p>
    <w:p w:rsidR="00404668" w:rsidRPr="002F5164" w:rsidP="009B7393" w14:paraId="746E228D" w14:textId="1B4A323C">
      <w:pPr>
        <w:jc w:val="center"/>
        <w:rPr>
          <w:b/>
          <w:bCs/>
        </w:rPr>
      </w:pPr>
      <w:r w:rsidRPr="002F5164">
        <w:rPr>
          <w:b/>
          <w:bCs/>
        </w:rPr>
        <w:t>SUPPORTING STATEMENT</w:t>
      </w:r>
    </w:p>
    <w:p w:rsidR="00404668" w:rsidP="00404668" w14:paraId="40307D13" w14:textId="77777777"/>
    <w:p w:rsidR="00404668" w:rsidRPr="00A66262" w:rsidP="00404668" w14:paraId="1F3B1380" w14:textId="21ECA060">
      <w:pPr>
        <w:rPr>
          <w:highlight w:val="yellow"/>
        </w:rPr>
      </w:pPr>
      <w:r w:rsidRPr="00637D5A">
        <w:rPr>
          <w:b/>
          <w:bCs/>
        </w:rPr>
        <w:t>A</w:t>
      </w:r>
      <w:r>
        <w:t>.</w:t>
      </w:r>
      <w:r w:rsidR="00F2717D">
        <w:t xml:space="preserve"> </w:t>
      </w:r>
      <w:r w:rsidRPr="00CA56ED" w:rsidR="00CA56ED">
        <w:rPr>
          <w:b/>
          <w:bCs/>
        </w:rPr>
        <w:t>JUSTIFICATION</w:t>
      </w:r>
    </w:p>
    <w:p w:rsidR="00404668" w:rsidRPr="00ED5D8D" w:rsidP="00404668" w14:paraId="3867E7EC" w14:textId="77777777">
      <w:pPr>
        <w:rPr>
          <w:highlight w:val="yellow"/>
        </w:rPr>
      </w:pPr>
    </w:p>
    <w:p w:rsidR="00404668" w:rsidP="59F8048A" w14:paraId="6091F032" w14:textId="221C1309">
      <w:pPr>
        <w:rPr>
          <w:b/>
          <w:bCs/>
        </w:rPr>
      </w:pPr>
      <w:r w:rsidRPr="018C5D92">
        <w:rPr>
          <w:b/>
          <w:bCs/>
        </w:rPr>
        <w:t>1.</w:t>
      </w:r>
      <w:r w:rsidR="00F2717D">
        <w:rPr>
          <w:b/>
          <w:bCs/>
        </w:rPr>
        <w:t xml:space="preserve"> </w:t>
      </w:r>
      <w:r w:rsidR="00142625">
        <w:rPr>
          <w:b/>
          <w:bCs/>
        </w:rPr>
        <w:t xml:space="preserve">Explain the circumstances that make the information collection necessary. </w:t>
      </w:r>
    </w:p>
    <w:p w:rsidR="00404668" w:rsidP="59F8048A" w14:paraId="18A398BC" w14:textId="0AF234C2"/>
    <w:p w:rsidR="00404668" w:rsidP="41808D73" w14:paraId="05391B16" w14:textId="1AEA96FD">
      <w:r>
        <w:t xml:space="preserve">Federal regulations </w:t>
      </w:r>
      <w:r w:rsidR="00915F23">
        <w:t>require explosives</w:t>
      </w:r>
      <w:r w:rsidR="00A57880">
        <w:t xml:space="preserve"> licensees</w:t>
      </w:r>
      <w:r w:rsidR="00DB40DD">
        <w:t>/</w:t>
      </w:r>
      <w:r w:rsidRPr="00890BF1" w:rsidR="003E3351">
        <w:t>permittees</w:t>
      </w:r>
      <w:r w:rsidR="00C83558">
        <w:t xml:space="preserve"> </w:t>
      </w:r>
      <w:r w:rsidRPr="00890BF1" w:rsidR="003E3351">
        <w:t>to keep</w:t>
      </w:r>
      <w:r w:rsidR="002519AC">
        <w:t xml:space="preserve"> </w:t>
      </w:r>
      <w:r w:rsidRPr="00890BF1" w:rsidR="003E3351">
        <w:t>records of import</w:t>
      </w:r>
      <w:r w:rsidR="008B7604">
        <w:t>ing</w:t>
      </w:r>
      <w:r w:rsidRPr="00890BF1" w:rsidR="003E3351">
        <w:t>, produc</w:t>
      </w:r>
      <w:r w:rsidR="008B7604">
        <w:t>ing</w:t>
      </w:r>
      <w:r w:rsidRPr="00890BF1" w:rsidR="003E3351">
        <w:t>, ship</w:t>
      </w:r>
      <w:r w:rsidR="008B7604">
        <w:t>ping</w:t>
      </w:r>
      <w:r w:rsidRPr="00890BF1" w:rsidR="003E3351">
        <w:t>, recei</w:t>
      </w:r>
      <w:r w:rsidR="008B7604">
        <w:t>ving</w:t>
      </w:r>
      <w:r w:rsidRPr="00890BF1" w:rsidR="003E3351">
        <w:t>, s</w:t>
      </w:r>
      <w:r w:rsidR="008B7604">
        <w:t>elling</w:t>
      </w:r>
      <w:r w:rsidRPr="00890BF1" w:rsidR="003E3351">
        <w:t xml:space="preserve">, or </w:t>
      </w:r>
      <w:r w:rsidR="008677AC">
        <w:t>otherwise disposing</w:t>
      </w:r>
      <w:r w:rsidR="00025441">
        <w:t xml:space="preserve"> of explosive materials</w:t>
      </w:r>
      <w:r w:rsidRPr="00890BF1" w:rsidR="003E3351">
        <w:t xml:space="preserve">, whether temporary or permanent, as prescribed by </w:t>
      </w:r>
      <w:r w:rsidR="00144327">
        <w:t>§</w:t>
      </w:r>
      <w:r w:rsidRPr="00890BF1" w:rsidR="003E3351">
        <w:t xml:space="preserve"> 555.121. </w:t>
      </w:r>
      <w:r w:rsidR="00C7793A">
        <w:t>If an explosive</w:t>
      </w:r>
      <w:r w:rsidR="00DB426B">
        <w:t xml:space="preserve"> materials </w:t>
      </w:r>
      <w:r w:rsidR="00A10117">
        <w:t>licensee/permittee</w:t>
      </w:r>
      <w:r w:rsidR="00DC5C83">
        <w:t xml:space="preserve"> discontinues business or operations,</w:t>
      </w:r>
      <w:r w:rsidR="00092029">
        <w:t xml:space="preserve"> </w:t>
      </w:r>
      <w:r w:rsidR="00A10117">
        <w:t>they</w:t>
      </w:r>
      <w:r w:rsidR="00565DDE">
        <w:t xml:space="preserve"> mus</w:t>
      </w:r>
      <w:r w:rsidR="00CC44CC">
        <w:t>t</w:t>
      </w:r>
      <w:r w:rsidR="000867F4">
        <w:t>, within 30 days</w:t>
      </w:r>
      <w:r w:rsidR="008F67D1">
        <w:t xml:space="preserve"> of </w:t>
      </w:r>
      <w:r w:rsidR="00A10117">
        <w:t xml:space="preserve">discontinuing </w:t>
      </w:r>
      <w:r w:rsidR="008F67D1">
        <w:t>the business or operations</w:t>
      </w:r>
      <w:r w:rsidR="00BF593A">
        <w:t xml:space="preserve">, </w:t>
      </w:r>
      <w:r w:rsidRPr="00890BF1" w:rsidR="003E3351">
        <w:t>deliver</w:t>
      </w:r>
      <w:r w:rsidR="00F235F5">
        <w:t xml:space="preserve"> their explosives records</w:t>
      </w:r>
      <w:r w:rsidR="003E3351">
        <w:t xml:space="preserve"> </w:t>
      </w:r>
      <w:r w:rsidRPr="00890BF1" w:rsidR="003E3351">
        <w:t>to the ATF Out</w:t>
      </w:r>
      <w:r w:rsidR="009D2D4A">
        <w:t>-</w:t>
      </w:r>
      <w:r w:rsidRPr="00890BF1" w:rsidR="003E3351">
        <w:t>of</w:t>
      </w:r>
      <w:r w:rsidR="009D2D4A">
        <w:t>-</w:t>
      </w:r>
      <w:r w:rsidRPr="00890BF1" w:rsidR="003E3351">
        <w:t>Business Records Center</w:t>
      </w:r>
      <w:r w:rsidR="00C11D96">
        <w:t xml:space="preserve"> (OOBRC)</w:t>
      </w:r>
      <w:r w:rsidR="00A25A86">
        <w:t xml:space="preserve">, per </w:t>
      </w:r>
      <w:r w:rsidR="00144327">
        <w:t>§</w:t>
      </w:r>
      <w:r w:rsidR="00A25A86">
        <w:t xml:space="preserve"> 555.128</w:t>
      </w:r>
      <w:r w:rsidR="004C5627">
        <w:t>.</w:t>
      </w:r>
      <w:r w:rsidRPr="00890BF1" w:rsidR="003E3351">
        <w:t xml:space="preserve"> </w:t>
      </w:r>
      <w:r w:rsidRPr="00F43F81" w:rsidR="00F43F81">
        <w:t>The</w:t>
      </w:r>
      <w:r w:rsidR="00144327">
        <w:t>se</w:t>
      </w:r>
      <w:r w:rsidRPr="00F43F81" w:rsidR="00F43F81">
        <w:t xml:space="preserve"> federal explosives regulations implement </w:t>
      </w:r>
      <w:r w:rsidR="00144327">
        <w:t>statutes governing explosive materials,</w:t>
      </w:r>
      <w:r w:rsidRPr="00F43F81" w:rsidR="00F43F81">
        <w:t xml:space="preserve"> codified at 18 U.S.C. §§ 841-848</w:t>
      </w:r>
      <w:r w:rsidR="00BB3924">
        <w:t>.</w:t>
      </w:r>
    </w:p>
    <w:p w:rsidR="00404668" w:rsidP="41808D73" w14:paraId="18716DF5" w14:textId="77777777"/>
    <w:p w:rsidR="00F11DAF" w:rsidP="00F11DAF" w14:paraId="1B35F930" w14:textId="77777777">
      <w:pPr>
        <w:rPr>
          <w:b/>
          <w:bCs/>
        </w:rPr>
      </w:pPr>
      <w:r w:rsidRPr="00BE4BB1">
        <w:rPr>
          <w:b/>
          <w:bCs/>
        </w:rPr>
        <w:t>2</w:t>
      </w:r>
      <w:r>
        <w:t xml:space="preserve">. </w:t>
      </w:r>
      <w:r w:rsidR="00214ED1">
        <w:rPr>
          <w:b/>
          <w:bCs/>
        </w:rPr>
        <w:t xml:space="preserve">Indicate how, by whom, and for what purpose the information will be used. </w:t>
      </w:r>
    </w:p>
    <w:p w:rsidR="00BE4BB1" w:rsidP="00F11DAF" w14:paraId="54782CEE" w14:textId="77777777">
      <w:pPr>
        <w:rPr>
          <w:b/>
          <w:bCs/>
        </w:rPr>
      </w:pPr>
    </w:p>
    <w:p w:rsidR="00957A92" w:rsidP="00BE4BB1" w14:paraId="65B58C99" w14:textId="23D0E23F">
      <w:r>
        <w:t>W</w:t>
      </w:r>
      <w:r w:rsidRPr="00E50FF9" w:rsidR="003E3351">
        <w:t>he</w:t>
      </w:r>
      <w:r w:rsidR="00D474B8">
        <w:t xml:space="preserve">n </w:t>
      </w:r>
      <w:r w:rsidRPr="00E50FF9" w:rsidR="003E3351">
        <w:t xml:space="preserve">an explosive materials </w:t>
      </w:r>
      <w:r w:rsidR="00D474B8">
        <w:t xml:space="preserve">licensee/permittee discontinues their explosives </w:t>
      </w:r>
      <w:r w:rsidRPr="00E50FF9" w:rsidR="003E3351">
        <w:t xml:space="preserve">business or operations </w:t>
      </w:r>
      <w:r w:rsidR="00D474B8">
        <w:t>and is</w:t>
      </w:r>
      <w:r w:rsidRPr="00E50FF9" w:rsidR="00427647">
        <w:t xml:space="preserve"> </w:t>
      </w:r>
      <w:r w:rsidRPr="00E50FF9" w:rsidR="003E3351">
        <w:t>succeeded by a new licensee</w:t>
      </w:r>
      <w:r w:rsidR="00D474B8">
        <w:t>/</w:t>
      </w:r>
      <w:r w:rsidRPr="00E50FF9" w:rsidR="003E3351">
        <w:t>permittee, the</w:t>
      </w:r>
      <w:r w:rsidR="00D474B8">
        <w:t>y must reflect that</w:t>
      </w:r>
      <w:r w:rsidR="002E7D69">
        <w:t xml:space="preserve"> fact</w:t>
      </w:r>
      <w:r w:rsidRPr="00E50FF9" w:rsidR="003E3351">
        <w:t xml:space="preserve"> </w:t>
      </w:r>
      <w:r w:rsidR="002E7D69">
        <w:t>in their required records, and deliver them</w:t>
      </w:r>
      <w:r w:rsidRPr="00E50FF9" w:rsidR="003E3351">
        <w:t xml:space="preserve"> to the successor</w:t>
      </w:r>
      <w:r w:rsidR="00144E06">
        <w:t>, per 27 CFR 555.128.</w:t>
      </w:r>
      <w:r w:rsidRPr="00E50FF9" w:rsidR="003E3351">
        <w:t xml:space="preserve"> Whe</w:t>
      </w:r>
      <w:r w:rsidR="002E7D69">
        <w:t>n they discontinue business or operations without a successor (often referred to as ab</w:t>
      </w:r>
      <w:r w:rsidR="00B921CB">
        <w:t>s</w:t>
      </w:r>
      <w:r w:rsidR="002E7D69">
        <w:t>olutel</w:t>
      </w:r>
      <w:r w:rsidR="007962F9">
        <w:t>y</w:t>
      </w:r>
      <w:r w:rsidR="002E7D69">
        <w:t xml:space="preserve"> discontinuing)</w:t>
      </w:r>
      <w:r w:rsidRPr="00E50FF9" w:rsidR="003E3351">
        <w:t>, the</w:t>
      </w:r>
      <w:r w:rsidR="002E7D69">
        <w:t xml:space="preserve">y must </w:t>
      </w:r>
      <w:r w:rsidR="007962F9">
        <w:t>deliver them</w:t>
      </w:r>
      <w:r w:rsidRPr="00E50FF9" w:rsidR="003E3351">
        <w:t xml:space="preserve"> within 30 days </w:t>
      </w:r>
      <w:r w:rsidR="003E3351">
        <w:t xml:space="preserve">of </w:t>
      </w:r>
      <w:r w:rsidR="00155920">
        <w:t>closing the business</w:t>
      </w:r>
      <w:r w:rsidR="003E3351">
        <w:t xml:space="preserve"> </w:t>
      </w:r>
      <w:r w:rsidRPr="00E50FF9" w:rsidR="003E3351">
        <w:t xml:space="preserve">to any </w:t>
      </w:r>
      <w:r w:rsidRPr="00890BF1" w:rsidR="003E3351">
        <w:t xml:space="preserve">ATF </w:t>
      </w:r>
      <w:r w:rsidRPr="00E50FF9" w:rsidR="003E3351">
        <w:t xml:space="preserve">office located in the region where the business was located, or to the </w:t>
      </w:r>
      <w:r w:rsidR="00C11D96">
        <w:t>ATF OOBRC</w:t>
      </w:r>
      <w:r w:rsidR="00DB224C">
        <w:t>;</w:t>
      </w:r>
      <w:r w:rsidRPr="00890BF1" w:rsidR="003E3351">
        <w:t xml:space="preserve"> 244 Needy Road</w:t>
      </w:r>
      <w:r w:rsidR="00DB224C">
        <w:t>;</w:t>
      </w:r>
      <w:r w:rsidRPr="00890BF1" w:rsidR="003E3351">
        <w:t xml:space="preserve"> Martinsburg, WV 25405</w:t>
      </w:r>
      <w:r w:rsidRPr="00E50FF9" w:rsidR="003E3351">
        <w:t>.</w:t>
      </w:r>
      <w:r w:rsidR="00EF4FC5">
        <w:t xml:space="preserve"> </w:t>
      </w:r>
    </w:p>
    <w:p w:rsidR="00957A92" w:rsidP="00BE4BB1" w14:paraId="76EC694C" w14:textId="77777777"/>
    <w:p w:rsidR="00404668" w:rsidP="00BE4BB1" w14:paraId="3562DC3A" w14:textId="26EC766E">
      <w:r w:rsidRPr="00A30599">
        <w:rPr>
          <w:rFonts w:eastAsia="Arial"/>
          <w:color w:val="000000" w:themeColor="text1"/>
        </w:rPr>
        <w:t>ATF is dedicated to preventing terrorism, reducing violent crime involving criminal misuse of explosives, and protecting the public by enforcing laws and regulations</w:t>
      </w:r>
      <w:r>
        <w:rPr>
          <w:rFonts w:eastAsia="Arial"/>
          <w:color w:val="000000" w:themeColor="text1"/>
        </w:rPr>
        <w:t xml:space="preserve"> on safe explosives.</w:t>
      </w:r>
      <w:r w:rsidRPr="00A30599">
        <w:rPr>
          <w:rFonts w:eastAsia="Arial"/>
          <w:color w:val="000000" w:themeColor="text1"/>
        </w:rPr>
        <w:t xml:space="preserve"> </w:t>
      </w:r>
      <w:r w:rsidR="00FC1EAD">
        <w:t>ATF uses</w:t>
      </w:r>
      <w:r w:rsidRPr="00A30F5F">
        <w:t xml:space="preserve"> out-of-business explosives records </w:t>
      </w:r>
      <w:r w:rsidR="00FC1EAD">
        <w:t>as an</w:t>
      </w:r>
      <w:r w:rsidRPr="00A30F5F">
        <w:t xml:space="preserve"> essential </w:t>
      </w:r>
      <w:r w:rsidR="00FC1EAD">
        <w:t>element in</w:t>
      </w:r>
      <w:r w:rsidRPr="00A30F5F">
        <w:t xml:space="preserve"> </w:t>
      </w:r>
      <w:r>
        <w:t>achieving</w:t>
      </w:r>
      <w:r w:rsidRPr="00A30F5F">
        <w:t xml:space="preserve"> these goals</w:t>
      </w:r>
      <w:r w:rsidR="00C624DD">
        <w:t>.</w:t>
      </w:r>
      <w:r w:rsidRPr="00A30F5F">
        <w:t xml:space="preserve"> </w:t>
      </w:r>
      <w:r w:rsidR="00C624DD">
        <w:t xml:space="preserve">Records of transactions, including </w:t>
      </w:r>
      <w:r w:rsidR="004B3844">
        <w:t>records transferred once a business discontinues,</w:t>
      </w:r>
      <w:r w:rsidRPr="00A30F5F">
        <w:t xml:space="preserve"> provide valuable data when investigating </w:t>
      </w:r>
      <w:r w:rsidRPr="00A30599">
        <w:rPr>
          <w:rFonts w:eastAsia="Arial"/>
          <w:color w:val="000000" w:themeColor="text1"/>
        </w:rPr>
        <w:t xml:space="preserve">crimes </w:t>
      </w:r>
      <w:r w:rsidR="004B3844">
        <w:rPr>
          <w:rFonts w:eastAsia="Arial"/>
          <w:color w:val="000000" w:themeColor="text1"/>
        </w:rPr>
        <w:t>involving</w:t>
      </w:r>
      <w:r w:rsidRPr="00A30599">
        <w:rPr>
          <w:rFonts w:eastAsia="Arial"/>
          <w:color w:val="000000" w:themeColor="text1"/>
        </w:rPr>
        <w:t xml:space="preserve"> unlawful manufactur</w:t>
      </w:r>
      <w:r w:rsidR="004B3844">
        <w:rPr>
          <w:rFonts w:eastAsia="Arial"/>
          <w:color w:val="000000" w:themeColor="text1"/>
        </w:rPr>
        <w:t>ing</w:t>
      </w:r>
      <w:r w:rsidRPr="00A30599">
        <w:rPr>
          <w:rFonts w:eastAsia="Arial"/>
          <w:color w:val="000000" w:themeColor="text1"/>
        </w:rPr>
        <w:t>, s</w:t>
      </w:r>
      <w:r w:rsidR="004B3844">
        <w:rPr>
          <w:rFonts w:eastAsia="Arial"/>
          <w:color w:val="000000" w:themeColor="text1"/>
        </w:rPr>
        <w:t>elling</w:t>
      </w:r>
      <w:r w:rsidRPr="00A30599">
        <w:rPr>
          <w:rFonts w:eastAsia="Arial"/>
          <w:color w:val="000000" w:themeColor="text1"/>
        </w:rPr>
        <w:t>, possessi</w:t>
      </w:r>
      <w:r w:rsidR="004B3844">
        <w:rPr>
          <w:rFonts w:eastAsia="Arial"/>
          <w:color w:val="000000" w:themeColor="text1"/>
        </w:rPr>
        <w:t>ng</w:t>
      </w:r>
      <w:r w:rsidRPr="00A30599">
        <w:rPr>
          <w:rFonts w:eastAsia="Arial"/>
          <w:color w:val="000000" w:themeColor="text1"/>
        </w:rPr>
        <w:t xml:space="preserve">, and </w:t>
      </w:r>
      <w:r w:rsidR="004B3844">
        <w:rPr>
          <w:rFonts w:eastAsia="Arial"/>
          <w:color w:val="000000" w:themeColor="text1"/>
        </w:rPr>
        <w:t>using</w:t>
      </w:r>
      <w:r w:rsidRPr="00A30599">
        <w:rPr>
          <w:rFonts w:eastAsia="Arial"/>
          <w:color w:val="000000" w:themeColor="text1"/>
        </w:rPr>
        <w:t xml:space="preserve"> explosives.</w:t>
      </w:r>
      <w:r w:rsidR="004B3844">
        <w:rPr>
          <w:rFonts w:eastAsia="Arial"/>
          <w:color w:val="000000" w:themeColor="text1"/>
        </w:rPr>
        <w:t xml:space="preserve"> </w:t>
      </w:r>
      <w:r w:rsidRPr="00A30599">
        <w:rPr>
          <w:rFonts w:eastAsia="Arial"/>
          <w:color w:val="000000" w:themeColor="text1"/>
        </w:rPr>
        <w:t>The records typically contain data</w:t>
      </w:r>
      <w:r w:rsidR="00240C8F">
        <w:rPr>
          <w:rFonts w:eastAsia="Arial"/>
          <w:color w:val="000000" w:themeColor="text1"/>
        </w:rPr>
        <w:t>,</w:t>
      </w:r>
      <w:r w:rsidRPr="00A30599">
        <w:rPr>
          <w:rFonts w:eastAsia="Arial"/>
          <w:color w:val="000000" w:themeColor="text1"/>
        </w:rPr>
        <w:t xml:space="preserve"> such as manufacturer </w:t>
      </w:r>
      <w:r w:rsidR="00240C8F">
        <w:rPr>
          <w:rFonts w:eastAsia="Arial"/>
          <w:color w:val="000000" w:themeColor="text1"/>
        </w:rPr>
        <w:t>information</w:t>
      </w:r>
      <w:r w:rsidRPr="00A30599">
        <w:rPr>
          <w:rFonts w:eastAsia="Arial"/>
          <w:color w:val="000000" w:themeColor="text1"/>
        </w:rPr>
        <w:t xml:space="preserve">, dates </w:t>
      </w:r>
      <w:r w:rsidR="00240C8F">
        <w:rPr>
          <w:rFonts w:eastAsia="Arial"/>
          <w:color w:val="000000" w:themeColor="text1"/>
        </w:rPr>
        <w:t>the explosives were distributed</w:t>
      </w:r>
      <w:r w:rsidRPr="00A30599">
        <w:rPr>
          <w:rFonts w:eastAsia="Arial"/>
          <w:color w:val="000000" w:themeColor="text1"/>
        </w:rPr>
        <w:t>, inventory counts, and storage information</w:t>
      </w:r>
      <w:r w:rsidR="005D30EB">
        <w:rPr>
          <w:rFonts w:eastAsia="Arial"/>
          <w:color w:val="000000" w:themeColor="text1"/>
        </w:rPr>
        <w:t>,</w:t>
      </w:r>
      <w:r w:rsidRPr="00A30599">
        <w:rPr>
          <w:rFonts w:eastAsia="Arial"/>
          <w:color w:val="000000" w:themeColor="text1"/>
        </w:rPr>
        <w:t xml:space="preserve"> which can prove instrumental in </w:t>
      </w:r>
      <w:r w:rsidR="005D30EB">
        <w:rPr>
          <w:rFonts w:eastAsia="Arial"/>
          <w:color w:val="000000" w:themeColor="text1"/>
        </w:rPr>
        <w:t>resolving</w:t>
      </w:r>
      <w:r w:rsidRPr="00A30599">
        <w:rPr>
          <w:rFonts w:eastAsia="Arial"/>
          <w:color w:val="000000" w:themeColor="text1"/>
        </w:rPr>
        <w:t xml:space="preserve"> explosives-related crimes such as trafficking or criminal misuse.</w:t>
      </w:r>
      <w:r w:rsidRPr="24FE5BAF">
        <w:rPr>
          <w:rFonts w:ascii="Arial" w:eastAsia="Arial" w:hAnsi="Arial" w:cs="Arial"/>
          <w:color w:val="000000" w:themeColor="text1"/>
          <w:sz w:val="19"/>
          <w:szCs w:val="19"/>
        </w:rPr>
        <w:t xml:space="preserve">  </w:t>
      </w:r>
    </w:p>
    <w:p w:rsidR="00404668" w:rsidP="00404668" w14:paraId="2CA76C45" w14:textId="77777777">
      <w:pPr>
        <w:pStyle w:val="ListParagraph"/>
        <w:ind w:left="867"/>
      </w:pPr>
    </w:p>
    <w:p w:rsidR="0088703A" w:rsidP="35533ED1" w14:paraId="1EE2C821" w14:textId="0FDF4D20">
      <w:pPr>
        <w:rPr>
          <w:b/>
          <w:bCs/>
        </w:rPr>
      </w:pPr>
      <w:r w:rsidRPr="00346B35">
        <w:rPr>
          <w:b/>
          <w:bCs/>
        </w:rPr>
        <w:t>3</w:t>
      </w:r>
      <w:r w:rsidRPr="10DA4066">
        <w:t xml:space="preserve">. </w:t>
      </w:r>
      <w:r w:rsidR="005A3083">
        <w:rPr>
          <w:b/>
          <w:bCs/>
        </w:rPr>
        <w:t>Describe whether, and to what extent, the information collection involves using</w:t>
      </w:r>
      <w:r w:rsidR="00C1506B">
        <w:rPr>
          <w:b/>
          <w:bCs/>
        </w:rPr>
        <w:t xml:space="preserve"> </w:t>
      </w:r>
      <w:r>
        <w:rPr>
          <w:b/>
          <w:bCs/>
        </w:rPr>
        <w:t>au</w:t>
      </w:r>
      <w:r w:rsidR="00C1506B">
        <w:rPr>
          <w:b/>
          <w:bCs/>
        </w:rPr>
        <w:t>tomatic, electronic, mechanical, or other technological collection techniques</w:t>
      </w:r>
      <w:r w:rsidR="00003BFB">
        <w:rPr>
          <w:b/>
          <w:bCs/>
        </w:rPr>
        <w:t xml:space="preserve">, </w:t>
      </w:r>
      <w:r>
        <w:rPr>
          <w:b/>
          <w:bCs/>
        </w:rPr>
        <w:t>au</w:t>
      </w:r>
      <w:r w:rsidR="00C1506B">
        <w:rPr>
          <w:b/>
          <w:bCs/>
        </w:rPr>
        <w:t>tomatic, electronic, mechanical, or other technological collection techniques</w:t>
      </w:r>
      <w:r w:rsidR="005C53DE">
        <w:rPr>
          <w:b/>
          <w:bCs/>
        </w:rPr>
        <w:t xml:space="preserve"> </w:t>
      </w:r>
      <w:r w:rsidR="00C1506B">
        <w:rPr>
          <w:b/>
          <w:bCs/>
        </w:rPr>
        <w:t>or other forms of information technology</w:t>
      </w:r>
      <w:r w:rsidR="008D4BA5">
        <w:rPr>
          <w:b/>
          <w:bCs/>
        </w:rPr>
        <w:t xml:space="preserve">, </w:t>
      </w:r>
      <w:r w:rsidRPr="00A37212" w:rsidR="008D4BA5">
        <w:rPr>
          <w:b/>
          <w:bCs/>
          <w:i/>
          <w:iCs/>
        </w:rPr>
        <w:t>e.g</w:t>
      </w:r>
      <w:r w:rsidR="008D4BA5">
        <w:rPr>
          <w:b/>
          <w:bCs/>
        </w:rPr>
        <w:t>., permitting electronic submission of responses, and the b</w:t>
      </w:r>
      <w:r w:rsidR="00E81E6E">
        <w:rPr>
          <w:b/>
          <w:bCs/>
        </w:rPr>
        <w:t>asis for the decision for adopting this means of collection</w:t>
      </w:r>
      <w:r w:rsidR="00A37212">
        <w:rPr>
          <w:b/>
          <w:bCs/>
        </w:rPr>
        <w:t>.</w:t>
      </w:r>
    </w:p>
    <w:p w:rsidR="003622E2" w:rsidP="35533ED1" w14:paraId="5E3BD7D1" w14:textId="77777777">
      <w:pPr>
        <w:rPr>
          <w:b/>
          <w:bCs/>
        </w:rPr>
      </w:pPr>
    </w:p>
    <w:p w:rsidR="27AFE76E" w:rsidP="001C48EC" w14:paraId="11C342E8" w14:textId="39D48032">
      <w:pPr>
        <w:suppressLineNumbers/>
        <w:ind w:hanging="810"/>
      </w:pPr>
      <w:r w:rsidRPr="24FE5BAF">
        <w:rPr>
          <w:b/>
          <w:bCs/>
        </w:rPr>
        <w:t xml:space="preserve">         </w:t>
      </w:r>
      <w:r w:rsidRPr="24FE5BAF" w:rsidR="005C53DE">
        <w:rPr>
          <w:b/>
          <w:bCs/>
        </w:rPr>
        <w:t xml:space="preserve">    </w:t>
      </w:r>
      <w:r w:rsidRPr="24FE5BAF">
        <w:rPr>
          <w:b/>
          <w:bCs/>
        </w:rPr>
        <w:t xml:space="preserve"> </w:t>
      </w:r>
      <w:r w:rsidRPr="00990EB0" w:rsidR="42650E01">
        <w:t>Historically</w:t>
      </w:r>
      <w:r w:rsidRPr="24FE5BAF" w:rsidR="42650E01">
        <w:rPr>
          <w:b/>
          <w:bCs/>
        </w:rPr>
        <w:t xml:space="preserve">, </w:t>
      </w:r>
      <w:r w:rsidR="00D53A4B">
        <w:t>licensees</w:t>
      </w:r>
      <w:r w:rsidR="001C008A">
        <w:t>/</w:t>
      </w:r>
      <w:r w:rsidR="00D53A4B">
        <w:t>permittees</w:t>
      </w:r>
      <w:r w:rsidR="483336DE">
        <w:t xml:space="preserve"> </w:t>
      </w:r>
      <w:r w:rsidR="28903976">
        <w:t>have</w:t>
      </w:r>
      <w:r w:rsidRPr="10DA4066">
        <w:t xml:space="preserve"> typically maintained </w:t>
      </w:r>
      <w:r w:rsidR="183F73B7">
        <w:t>their records</w:t>
      </w:r>
      <w:r w:rsidR="5EA86C11">
        <w:t xml:space="preserve"> </w:t>
      </w:r>
      <w:r w:rsidRPr="10DA4066">
        <w:t xml:space="preserve">in paper format. </w:t>
      </w:r>
      <w:r w:rsidR="00274813">
        <w:t>When discontinuing business</w:t>
      </w:r>
      <w:r w:rsidR="13669E7B">
        <w:t xml:space="preserve">, respondents </w:t>
      </w:r>
      <w:r w:rsidR="00274813">
        <w:t xml:space="preserve">have </w:t>
      </w:r>
      <w:r w:rsidR="13669E7B">
        <w:t>typically ship</w:t>
      </w:r>
      <w:r w:rsidR="00274813">
        <w:t>ped</w:t>
      </w:r>
      <w:r w:rsidR="13669E7B">
        <w:t xml:space="preserve"> or mail</w:t>
      </w:r>
      <w:r w:rsidR="00274813">
        <w:t>ed</w:t>
      </w:r>
      <w:r w:rsidR="13669E7B">
        <w:t xml:space="preserve"> their paper records</w:t>
      </w:r>
      <w:r w:rsidR="2BE6112C">
        <w:t xml:space="preserve"> </w:t>
      </w:r>
      <w:r w:rsidR="13669E7B">
        <w:t xml:space="preserve">to the </w:t>
      </w:r>
      <w:r w:rsidR="00B91805">
        <w:t xml:space="preserve">ATF </w:t>
      </w:r>
      <w:r w:rsidR="00471E0A">
        <w:t>OOBRC</w:t>
      </w:r>
      <w:r w:rsidR="142A3E3C">
        <w:t xml:space="preserve"> in Martinsburg, </w:t>
      </w:r>
      <w:r w:rsidR="00274813">
        <w:t>WV</w:t>
      </w:r>
      <w:r w:rsidR="00536CFF">
        <w:t>.</w:t>
      </w:r>
      <w:r w:rsidR="00641DEC">
        <w:t xml:space="preserve">            </w:t>
      </w:r>
      <w:r w:rsidR="007070B8">
        <w:t xml:space="preserve"> </w:t>
      </w:r>
      <w:r w:rsidR="00641DEC">
        <w:t xml:space="preserve">  </w:t>
      </w:r>
      <w:r w:rsidRPr="211B720B">
        <w:t xml:space="preserve"> </w:t>
      </w:r>
    </w:p>
    <w:p w:rsidR="27AFE76E" w:rsidP="00FB4DD9" w14:paraId="59A7FB20" w14:textId="451C47EB">
      <w:pPr>
        <w:suppressLineNumbers/>
        <w:ind w:left="-864"/>
      </w:pPr>
    </w:p>
    <w:p w:rsidR="0005025A" w:rsidP="001A60C0" w14:paraId="6AE4E424" w14:textId="77777777">
      <w:pPr>
        <w:suppressLineNumbers/>
        <w:ind w:hanging="810"/>
      </w:pPr>
      <w:r>
        <w:t xml:space="preserve"> </w:t>
      </w:r>
      <w:r w:rsidR="00A33583">
        <w:t xml:space="preserve">             </w:t>
      </w:r>
      <w:r w:rsidRPr="00E701DD" w:rsidR="00E701DD">
        <w:t>ATF Ruling 2007-1 authorized explosives licens</w:t>
      </w:r>
      <w:r w:rsidR="00832036">
        <w:t>ees</w:t>
      </w:r>
      <w:r w:rsidR="00C457D7">
        <w:t>/</w:t>
      </w:r>
      <w:r w:rsidRPr="00E701DD" w:rsidR="00E701DD">
        <w:t xml:space="preserve">permittees to maintain required records in electronic form. </w:t>
      </w:r>
      <w:r w:rsidR="00E701DD">
        <w:t xml:space="preserve">However, it did not provide instructions on disposing of electronic records when a licensee/permittee discontinues business. </w:t>
      </w:r>
      <w:r w:rsidR="00622C6B">
        <w:t>ATF Ruling 2023-1</w:t>
      </w:r>
      <w:r w:rsidR="0090402A">
        <w:t xml:space="preserve">, which </w:t>
      </w:r>
      <w:r w:rsidR="00FE7000">
        <w:t>superseded Ruling 2007-1</w:t>
      </w:r>
      <w:r w:rsidR="00E639C1">
        <w:t>,</w:t>
      </w:r>
      <w:r w:rsidR="0090402A">
        <w:t xml:space="preserve"> </w:t>
      </w:r>
      <w:r w:rsidR="002D5971">
        <w:t>updated</w:t>
      </w:r>
      <w:r w:rsidR="00FC5C48">
        <w:t xml:space="preserve"> standards for electronic record-keeping </w:t>
      </w:r>
      <w:r w:rsidR="002D5971">
        <w:t>and</w:t>
      </w:r>
      <w:r w:rsidR="00D53902">
        <w:t xml:space="preserve"> a</w:t>
      </w:r>
      <w:r w:rsidR="0068659E">
        <w:t>lso</w:t>
      </w:r>
      <w:r w:rsidR="0068659E">
        <w:t xml:space="preserve"> addressed </w:t>
      </w:r>
      <w:r w:rsidR="00474C29">
        <w:t xml:space="preserve">how to deliver </w:t>
      </w:r>
      <w:r w:rsidR="00C01073">
        <w:t xml:space="preserve">electronic </w:t>
      </w:r>
      <w:r w:rsidR="00474C29">
        <w:t xml:space="preserve">explosives records </w:t>
      </w:r>
      <w:r w:rsidR="002D5971">
        <w:t>to the OOBRC</w:t>
      </w:r>
      <w:r w:rsidR="00803644">
        <w:t xml:space="preserve">. </w:t>
      </w:r>
    </w:p>
    <w:p w:rsidR="0005025A" w:rsidP="001A60C0" w14:paraId="2C0C3439" w14:textId="77777777">
      <w:pPr>
        <w:suppressLineNumbers/>
        <w:ind w:hanging="810"/>
      </w:pPr>
    </w:p>
    <w:p w:rsidR="27AFE76E" w:rsidP="001A60C0" w14:paraId="5C37AC34" w14:textId="6DA82C89">
      <w:pPr>
        <w:suppressLineNumbers/>
        <w:ind w:hanging="810"/>
      </w:pPr>
      <w:r>
        <w:tab/>
      </w:r>
      <w:r w:rsidR="00803644">
        <w:t xml:space="preserve">As a result, </w:t>
      </w:r>
      <w:r w:rsidR="00F36044">
        <w:t>more recent</w:t>
      </w:r>
      <w:r w:rsidRPr="211B720B">
        <w:t xml:space="preserve"> respondents have</w:t>
      </w:r>
      <w:r w:rsidR="00001C26">
        <w:t xml:space="preserve"> </w:t>
      </w:r>
      <w:r w:rsidRPr="211B720B">
        <w:t>begun submitting records in digital formats</w:t>
      </w:r>
      <w:r w:rsidR="00001C26">
        <w:t xml:space="preserve">. ATF accepts records in any electronic format </w:t>
      </w:r>
      <w:r w:rsidR="00001C26">
        <w:t>as long as</w:t>
      </w:r>
      <w:r w:rsidR="00001C26">
        <w:t xml:space="preserve"> they are accessible</w:t>
      </w:r>
      <w:r w:rsidR="00C948BC">
        <w:t xml:space="preserve">, but prefers </w:t>
      </w:r>
      <w:r w:rsidR="00001C26">
        <w:t xml:space="preserve">pdf, </w:t>
      </w:r>
      <w:r w:rsidRPr="211B720B">
        <w:t>Excel</w:t>
      </w:r>
      <w:r w:rsidR="00001C26">
        <w:t>, other csv, or</w:t>
      </w:r>
      <w:r w:rsidRPr="211B720B">
        <w:t xml:space="preserve"> </w:t>
      </w:r>
      <w:r w:rsidR="00001C26">
        <w:t>txt formats</w:t>
      </w:r>
      <w:r w:rsidRPr="211B720B">
        <w:t>.</w:t>
      </w:r>
      <w:r>
        <w:t xml:space="preserve"> In addition, ATF </w:t>
      </w:r>
      <w:r w:rsidR="000748DA">
        <w:t>anticipates updating the</w:t>
      </w:r>
      <w:r>
        <w:t xml:space="preserve"> electronic records </w:t>
      </w:r>
      <w:r w:rsidR="000E5F67">
        <w:t>standards</w:t>
      </w:r>
      <w:r w:rsidR="000748DA">
        <w:t xml:space="preserve"> during the next year so</w:t>
      </w:r>
      <w:r w:rsidR="000E5F67">
        <w:t xml:space="preserve"> that</w:t>
      </w:r>
      <w:r w:rsidR="000748DA">
        <w:t xml:space="preserve"> they</w:t>
      </w:r>
      <w:r w:rsidR="000E5F67">
        <w:t xml:space="preserve"> </w:t>
      </w:r>
      <w:r w:rsidR="009208C8">
        <w:t>are easier to comply with than the old rulings</w:t>
      </w:r>
      <w:r w:rsidR="000E5F67">
        <w:t>.</w:t>
      </w:r>
    </w:p>
    <w:p w:rsidR="27AFE76E" w:rsidP="00FB4DD9" w14:paraId="54F3D36E" w14:textId="6BBD3D4C">
      <w:pPr>
        <w:suppressLineNumbers/>
        <w:ind w:left="-864"/>
      </w:pPr>
    </w:p>
    <w:p w:rsidR="27AFE76E" w:rsidP="002835B8" w14:paraId="3438470B" w14:textId="5F2AE144">
      <w:pPr>
        <w:suppressLineNumbers/>
      </w:pPr>
      <w:r>
        <w:t>Respondents can submit digital records</w:t>
      </w:r>
      <w:r w:rsidRPr="211B720B">
        <w:t xml:space="preserve"> to the </w:t>
      </w:r>
      <w:r w:rsidR="0051465F">
        <w:t xml:space="preserve">ATF </w:t>
      </w:r>
      <w:r w:rsidRPr="211B720B">
        <w:t>O</w:t>
      </w:r>
      <w:r w:rsidR="00FC5C48">
        <w:t>OBRC</w:t>
      </w:r>
      <w:r w:rsidRPr="211B720B">
        <w:t xml:space="preserve"> via email </w:t>
      </w:r>
      <w:r w:rsidR="006070FF">
        <w:t xml:space="preserve">(to </w:t>
      </w:r>
      <w:r w:rsidRPr="006C6903" w:rsidR="006C6903">
        <w:t>ntcobrc@atf.gov</w:t>
      </w:r>
      <w:r w:rsidR="006C6903">
        <w:t xml:space="preserve">) </w:t>
      </w:r>
      <w:r w:rsidRPr="211B720B">
        <w:t xml:space="preserve">or </w:t>
      </w:r>
      <w:r>
        <w:t>on</w:t>
      </w:r>
      <w:r w:rsidRPr="211B720B">
        <w:t xml:space="preserve"> a USB </w:t>
      </w:r>
      <w:r w:rsidR="00C948BC">
        <w:t>d</w:t>
      </w:r>
      <w:r w:rsidRPr="211B720B">
        <w:t xml:space="preserve">rive </w:t>
      </w:r>
      <w:r>
        <w:t>they</w:t>
      </w:r>
      <w:r w:rsidRPr="211B720B">
        <w:t xml:space="preserve"> ship/mail</w:t>
      </w:r>
      <w:r w:rsidR="00E5749A">
        <w:t xml:space="preserve">. These options either </w:t>
      </w:r>
      <w:r w:rsidR="004A5DE1">
        <w:t>eliminate</w:t>
      </w:r>
      <w:r w:rsidR="00E5749A">
        <w:t xml:space="preserve"> or significantly reduce shipping costs</w:t>
      </w:r>
      <w:r w:rsidR="004A5DE1">
        <w:t xml:space="preserve"> incurred for paper records.</w:t>
      </w:r>
      <w:r w:rsidRPr="211B720B">
        <w:t xml:space="preserve">                         </w:t>
      </w:r>
    </w:p>
    <w:p w:rsidR="35533ED1" w:rsidP="003B7205" w14:paraId="7F6A35F7" w14:textId="77777777">
      <w:pPr>
        <w:pStyle w:val="ListParagraph"/>
        <w:ind w:left="0"/>
      </w:pPr>
    </w:p>
    <w:p w:rsidR="00794640" w:rsidRPr="006F2D15" w:rsidP="003B7205" w14:paraId="73ADC6C9" w14:textId="3A2423D9">
      <w:pPr>
        <w:pStyle w:val="ListParagraph"/>
        <w:ind w:left="0"/>
      </w:pPr>
      <w:r w:rsidRPr="006B0A5A">
        <w:rPr>
          <w:b/>
          <w:bCs/>
        </w:rPr>
        <w:t>4.</w:t>
      </w:r>
      <w:r>
        <w:t xml:space="preserve"> </w:t>
      </w:r>
      <w:r w:rsidR="0088703A">
        <w:rPr>
          <w:b/>
          <w:bCs/>
        </w:rPr>
        <w:t xml:space="preserve">Describe efforts to identify duplication. </w:t>
      </w:r>
    </w:p>
    <w:p w:rsidR="006F2D15" w:rsidRPr="00794640" w:rsidP="006F2D15" w14:paraId="05C2C0E6" w14:textId="77777777">
      <w:pPr>
        <w:pStyle w:val="ListParagraph"/>
        <w:tabs>
          <w:tab w:val="left" w:pos="810"/>
        </w:tabs>
        <w:ind w:left="0"/>
      </w:pPr>
    </w:p>
    <w:p w:rsidR="00404668" w:rsidP="00794640" w14:paraId="542CEA71" w14:textId="2F26C9C4">
      <w:pPr>
        <w:pStyle w:val="ListParagraph"/>
        <w:tabs>
          <w:tab w:val="left" w:pos="810"/>
        </w:tabs>
        <w:ind w:left="0"/>
      </w:pPr>
      <w:r>
        <w:t>This information is not duplicative</w:t>
      </w:r>
      <w:r w:rsidR="005F690E">
        <w:t xml:space="preserve">; respondents simply transfer business records when they cease operations, and there is no other source for the records of their </w:t>
      </w:r>
      <w:r w:rsidR="005F690E">
        <w:t>explosives</w:t>
      </w:r>
      <w:r w:rsidR="005F690E">
        <w:t xml:space="preserve"> transactions</w:t>
      </w:r>
      <w:r>
        <w:t xml:space="preserve">. </w:t>
      </w:r>
    </w:p>
    <w:p w:rsidR="00404668" w:rsidP="00794640" w14:paraId="5A2AC4AB" w14:textId="77777777">
      <w:pPr>
        <w:pStyle w:val="ListParagraph"/>
        <w:tabs>
          <w:tab w:val="left" w:pos="810"/>
        </w:tabs>
        <w:ind w:left="0"/>
      </w:pPr>
    </w:p>
    <w:p w:rsidR="00794640" w:rsidRPr="006F2D15" w:rsidP="006B0A5A" w14:paraId="465C1B66" w14:textId="3E0D203C">
      <w:pPr>
        <w:pStyle w:val="ListParagraph"/>
        <w:tabs>
          <w:tab w:val="left" w:pos="810"/>
        </w:tabs>
        <w:ind w:left="0"/>
      </w:pPr>
      <w:r>
        <w:rPr>
          <w:b/>
          <w:bCs/>
        </w:rPr>
        <w:t xml:space="preserve">5. </w:t>
      </w:r>
      <w:r w:rsidR="001311D6">
        <w:rPr>
          <w:b/>
          <w:bCs/>
        </w:rPr>
        <w:t xml:space="preserve">If the information collection impacts small businesses or other small entities, describe any methods used to minimize burden. </w:t>
      </w:r>
    </w:p>
    <w:p w:rsidR="006F2D15" w:rsidRPr="00794640" w:rsidP="006F2D15" w14:paraId="25ABDFCB" w14:textId="77777777">
      <w:pPr>
        <w:pStyle w:val="ListParagraph"/>
        <w:tabs>
          <w:tab w:val="left" w:pos="810"/>
        </w:tabs>
        <w:ind w:left="0"/>
      </w:pPr>
    </w:p>
    <w:p w:rsidR="00055EFF" w:rsidRPr="00F705F7" w:rsidP="00055EFF" w14:paraId="2889E9F1" w14:textId="7033162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Small entities have been submitting their out-of-business records since this requirement began. While the requirement has not had a significant impact on most small businesses or entities that </w:t>
      </w:r>
      <w:r>
        <w:t>has</w:t>
      </w:r>
      <w:r>
        <w:t xml:space="preserve"> been reported to ATF, it remains possible that t</w:t>
      </w:r>
      <w:r w:rsidRPr="00F705F7">
        <w:t xml:space="preserve">his information collection </w:t>
      </w:r>
      <w:r w:rsidR="002C7343">
        <w:t>m</w:t>
      </w:r>
      <w:r>
        <w:t>ight</w:t>
      </w:r>
      <w:r w:rsidRPr="00F705F7">
        <w:t xml:space="preserve"> have a significant</w:t>
      </w:r>
      <w:r w:rsidR="00C953C1">
        <w:t xml:space="preserve"> </w:t>
      </w:r>
      <w:r w:rsidRPr="00F705F7">
        <w:t xml:space="preserve">impact on </w:t>
      </w:r>
      <w:r>
        <w:t>some, if they have a large volume of</w:t>
      </w:r>
      <w:r w:rsidR="00C840B5">
        <w:t xml:space="preserve"> paper records. However, based on </w:t>
      </w:r>
      <w:r w:rsidR="002313D8">
        <w:t>historical records, shipping costs for a small business may be $1.27 for a large envelope</w:t>
      </w:r>
      <w:r>
        <w:t xml:space="preserve">, and they would be submitting such records only once. In addition, all entities can submit </w:t>
      </w:r>
      <w:r w:rsidR="000748DA">
        <w:t>electronically</w:t>
      </w:r>
      <w:r>
        <w:t xml:space="preserve"> and the number who have used that option has increased substantially during the past three years, so </w:t>
      </w:r>
      <w:r w:rsidR="00A56BFC">
        <w:t>potential impacts from this ICR on</w:t>
      </w:r>
      <w:r>
        <w:t xml:space="preserve"> small entities</w:t>
      </w:r>
      <w:r w:rsidR="00A56BFC">
        <w:t xml:space="preserve"> have decreased</w:t>
      </w:r>
      <w:r w:rsidR="002313D8">
        <w:t>.</w:t>
      </w:r>
    </w:p>
    <w:p w:rsidR="00404668" w:rsidRPr="00BE6421" w:rsidP="00794640" w14:paraId="4C7FD8F7" w14:textId="77777777">
      <w:pPr>
        <w:pStyle w:val="ListParagraph"/>
        <w:tabs>
          <w:tab w:val="left" w:pos="810"/>
        </w:tabs>
        <w:ind w:left="0" w:hanging="378"/>
        <w:rPr>
          <w:strike/>
        </w:rPr>
      </w:pPr>
    </w:p>
    <w:p w:rsidR="00794640" w:rsidP="006B0A5A" w14:paraId="73ABDA95" w14:textId="526EF484">
      <w:pPr>
        <w:pStyle w:val="ListParagraph"/>
        <w:tabs>
          <w:tab w:val="left" w:pos="720"/>
        </w:tabs>
        <w:ind w:left="0"/>
        <w:rPr>
          <w:b/>
          <w:bCs/>
        </w:rPr>
      </w:pPr>
      <w:r>
        <w:rPr>
          <w:b/>
          <w:bCs/>
        </w:rPr>
        <w:t xml:space="preserve">6. </w:t>
      </w:r>
      <w:r w:rsidR="001311D6">
        <w:rPr>
          <w:b/>
          <w:bCs/>
        </w:rPr>
        <w:t xml:space="preserve">Describe the consequences </w:t>
      </w:r>
      <w:r w:rsidR="001311D6">
        <w:rPr>
          <w:b/>
          <w:bCs/>
        </w:rPr>
        <w:t>to</w:t>
      </w:r>
      <w:r w:rsidR="001311D6">
        <w:rPr>
          <w:b/>
          <w:bCs/>
        </w:rPr>
        <w:t xml:space="preserve"> federal programs or policy activities if the collection is not conducted or is conducted less frequently, as well as any technical or legal obstacles to reducing burden. </w:t>
      </w:r>
    </w:p>
    <w:p w:rsidR="00265139" w:rsidRPr="006F2D15" w:rsidP="006B0A5A" w14:paraId="18469D21" w14:textId="77777777">
      <w:pPr>
        <w:pStyle w:val="ListParagraph"/>
        <w:tabs>
          <w:tab w:val="left" w:pos="720"/>
        </w:tabs>
        <w:ind w:left="0"/>
      </w:pPr>
    </w:p>
    <w:p w:rsidR="620FD9BC" w:rsidRPr="0024515B" w:rsidP="620FD9BC" w14:paraId="650891FA" w14:textId="3B81D201">
      <w:pPr>
        <w:tabs>
          <w:tab w:val="left" w:pos="720"/>
        </w:tabs>
        <w:rPr>
          <w:rFonts w:eastAsia="Arial"/>
          <w:color w:val="000000" w:themeColor="text1"/>
        </w:rPr>
      </w:pPr>
      <w:r>
        <w:rPr>
          <w:rFonts w:eastAsia="Arial"/>
          <w:color w:val="000000" w:themeColor="text1"/>
        </w:rPr>
        <w:t>Collecting</w:t>
      </w:r>
      <w:r w:rsidRPr="006C2196" w:rsidR="4232ACDC">
        <w:rPr>
          <w:rFonts w:eastAsia="Arial"/>
          <w:color w:val="000000" w:themeColor="text1"/>
        </w:rPr>
        <w:t xml:space="preserve"> out-of-business explosives records</w:t>
      </w:r>
      <w:r w:rsidR="00ED3ACC">
        <w:rPr>
          <w:rFonts w:eastAsia="Arial"/>
          <w:color w:val="000000" w:themeColor="text1"/>
        </w:rPr>
        <w:t xml:space="preserve"> is essential for</w:t>
      </w:r>
      <w:r w:rsidRPr="006C2196" w:rsidR="4232ACDC">
        <w:rPr>
          <w:rFonts w:eastAsia="Arial"/>
          <w:color w:val="000000" w:themeColor="text1"/>
        </w:rPr>
        <w:t xml:space="preserve"> ATF</w:t>
      </w:r>
      <w:r w:rsidR="00ED3ACC">
        <w:rPr>
          <w:rFonts w:eastAsia="Arial"/>
          <w:color w:val="000000" w:themeColor="text1"/>
        </w:rPr>
        <w:t xml:space="preserve"> to</w:t>
      </w:r>
      <w:r w:rsidRPr="002C6B89" w:rsidR="4232ACDC">
        <w:rPr>
          <w:rFonts w:eastAsia="Arial"/>
          <w:color w:val="000000" w:themeColor="text1"/>
        </w:rPr>
        <w:t xml:space="preserve"> </w:t>
      </w:r>
      <w:r w:rsidR="00FB5CD6">
        <w:rPr>
          <w:rFonts w:eastAsia="Arial"/>
          <w:color w:val="000000" w:themeColor="text1"/>
        </w:rPr>
        <w:t xml:space="preserve">achieve </w:t>
      </w:r>
      <w:r w:rsidRPr="002C6B89" w:rsidR="4232ACDC">
        <w:rPr>
          <w:rFonts w:eastAsia="Arial"/>
          <w:color w:val="000000" w:themeColor="text1"/>
        </w:rPr>
        <w:t xml:space="preserve">its </w:t>
      </w:r>
      <w:r w:rsidR="0078799E">
        <w:rPr>
          <w:rFonts w:eastAsia="Arial"/>
          <w:color w:val="000000" w:themeColor="text1"/>
        </w:rPr>
        <w:t xml:space="preserve">public safety </w:t>
      </w:r>
      <w:r w:rsidRPr="002C6B89" w:rsidR="4232ACDC">
        <w:rPr>
          <w:rFonts w:eastAsia="Arial"/>
          <w:color w:val="000000" w:themeColor="text1"/>
        </w:rPr>
        <w:t>goals</w:t>
      </w:r>
      <w:r w:rsidR="00482BFC">
        <w:rPr>
          <w:rFonts w:eastAsia="Arial"/>
          <w:color w:val="000000" w:themeColor="text1"/>
        </w:rPr>
        <w:t>.</w:t>
      </w:r>
      <w:r w:rsidRPr="002C6B89" w:rsidR="4232ACDC">
        <w:rPr>
          <w:rFonts w:eastAsia="Arial"/>
          <w:color w:val="000000" w:themeColor="text1"/>
        </w:rPr>
        <w:t xml:space="preserve"> </w:t>
      </w:r>
      <w:r w:rsidRPr="002C6B89" w:rsidR="286D9716">
        <w:rPr>
          <w:rFonts w:eastAsia="Arial"/>
          <w:color w:val="000000" w:themeColor="text1"/>
        </w:rPr>
        <w:t>(</w:t>
      </w:r>
      <w:r w:rsidR="00C139FF">
        <w:rPr>
          <w:rFonts w:eastAsia="Arial"/>
          <w:color w:val="000000" w:themeColor="text1"/>
        </w:rPr>
        <w:t>Explosives o</w:t>
      </w:r>
      <w:r w:rsidR="00401734">
        <w:rPr>
          <w:rFonts w:eastAsia="Arial"/>
          <w:color w:val="000000" w:themeColor="text1"/>
        </w:rPr>
        <w:t>ut-of-business</w:t>
      </w:r>
      <w:r w:rsidRPr="002C6B89" w:rsidR="286D9716">
        <w:rPr>
          <w:rFonts w:eastAsia="Arial"/>
          <w:color w:val="000000" w:themeColor="text1"/>
        </w:rPr>
        <w:t xml:space="preserve"> records </w:t>
      </w:r>
      <w:r w:rsidR="00D6442D">
        <w:rPr>
          <w:rFonts w:eastAsia="Arial"/>
          <w:color w:val="000000" w:themeColor="text1"/>
        </w:rPr>
        <w:t>a</w:t>
      </w:r>
      <w:r w:rsidR="00C23D19">
        <w:rPr>
          <w:rFonts w:eastAsia="Arial"/>
          <w:color w:val="000000" w:themeColor="text1"/>
        </w:rPr>
        <w:t>re</w:t>
      </w:r>
      <w:r w:rsidR="00D6442D">
        <w:rPr>
          <w:rFonts w:eastAsia="Arial"/>
          <w:color w:val="000000" w:themeColor="text1"/>
        </w:rPr>
        <w:t xml:space="preserve"> crucial for </w:t>
      </w:r>
      <w:r w:rsidR="00FB5CD6">
        <w:rPr>
          <w:rFonts w:eastAsia="Arial"/>
          <w:color w:val="000000" w:themeColor="text1"/>
        </w:rPr>
        <w:t xml:space="preserve">explosives </w:t>
      </w:r>
      <w:r w:rsidR="00D6442D">
        <w:rPr>
          <w:rFonts w:eastAsia="Arial"/>
          <w:color w:val="000000" w:themeColor="text1"/>
        </w:rPr>
        <w:t xml:space="preserve">tracing purposes and </w:t>
      </w:r>
      <w:r w:rsidRPr="002C6B89" w:rsidR="286D9716">
        <w:rPr>
          <w:rFonts w:eastAsia="Arial"/>
          <w:color w:val="000000" w:themeColor="text1"/>
        </w:rPr>
        <w:t xml:space="preserve">can prove instrumental in </w:t>
      </w:r>
      <w:r w:rsidR="00C139FF">
        <w:rPr>
          <w:rFonts w:eastAsia="Arial"/>
          <w:color w:val="000000" w:themeColor="text1"/>
        </w:rPr>
        <w:t>resolving</w:t>
      </w:r>
      <w:r w:rsidRPr="002C6B89" w:rsidR="286D9716">
        <w:rPr>
          <w:rFonts w:eastAsia="Arial"/>
          <w:color w:val="000000" w:themeColor="text1"/>
        </w:rPr>
        <w:t xml:space="preserve"> explosives-related crimes </w:t>
      </w:r>
      <w:r w:rsidR="001D5DD8">
        <w:rPr>
          <w:rFonts w:eastAsia="Arial"/>
          <w:color w:val="000000" w:themeColor="text1"/>
        </w:rPr>
        <w:t>or</w:t>
      </w:r>
      <w:r w:rsidR="00300C38">
        <w:rPr>
          <w:rFonts w:eastAsia="Arial"/>
          <w:color w:val="000000" w:themeColor="text1"/>
        </w:rPr>
        <w:t xml:space="preserve"> </w:t>
      </w:r>
      <w:r w:rsidRPr="002C6B89" w:rsidR="286D9716">
        <w:rPr>
          <w:rFonts w:eastAsia="Arial"/>
          <w:color w:val="000000" w:themeColor="text1"/>
        </w:rPr>
        <w:t>criminal misuse</w:t>
      </w:r>
      <w:r w:rsidR="00FB5CD6">
        <w:rPr>
          <w:rFonts w:eastAsia="Arial"/>
          <w:color w:val="000000" w:themeColor="text1"/>
        </w:rPr>
        <w:t xml:space="preserve"> of expl</w:t>
      </w:r>
      <w:r w:rsidR="00B921CB">
        <w:rPr>
          <w:rFonts w:eastAsia="Arial"/>
          <w:color w:val="000000" w:themeColor="text1"/>
        </w:rPr>
        <w:t>o</w:t>
      </w:r>
      <w:r w:rsidR="00FB5CD6">
        <w:rPr>
          <w:rFonts w:eastAsia="Arial"/>
          <w:color w:val="000000" w:themeColor="text1"/>
        </w:rPr>
        <w:t>sives</w:t>
      </w:r>
      <w:r w:rsidRPr="002C6B89" w:rsidR="286D9716">
        <w:rPr>
          <w:rFonts w:eastAsia="Arial"/>
          <w:color w:val="000000" w:themeColor="text1"/>
        </w:rPr>
        <w:t>.</w:t>
      </w:r>
      <w:r w:rsidRPr="002C6B89" w:rsidR="1A6D823D">
        <w:rPr>
          <w:rFonts w:eastAsia="Arial"/>
          <w:color w:val="000000" w:themeColor="text1"/>
        </w:rPr>
        <w:t xml:space="preserve">  </w:t>
      </w:r>
      <w:r w:rsidR="008D5444">
        <w:rPr>
          <w:rFonts w:eastAsia="Arial"/>
          <w:color w:val="000000" w:themeColor="text1"/>
        </w:rPr>
        <w:t xml:space="preserve">Without </w:t>
      </w:r>
      <w:r>
        <w:rPr>
          <w:rFonts w:eastAsia="Arial"/>
          <w:color w:val="000000" w:themeColor="text1"/>
        </w:rPr>
        <w:t>access to</w:t>
      </w:r>
      <w:r w:rsidRPr="002C6B89" w:rsidR="1A6D823D">
        <w:rPr>
          <w:rFonts w:eastAsia="Arial"/>
          <w:color w:val="000000" w:themeColor="text1"/>
        </w:rPr>
        <w:t xml:space="preserve"> </w:t>
      </w:r>
      <w:r w:rsidR="002C5F2B">
        <w:rPr>
          <w:rFonts w:eastAsia="Arial"/>
          <w:color w:val="000000" w:themeColor="text1"/>
        </w:rPr>
        <w:t>these</w:t>
      </w:r>
      <w:r w:rsidRPr="002C6B89" w:rsidR="1A6D823D">
        <w:rPr>
          <w:rFonts w:eastAsia="Arial"/>
          <w:color w:val="000000" w:themeColor="text1"/>
        </w:rPr>
        <w:t xml:space="preserve"> records, </w:t>
      </w:r>
      <w:r w:rsidRPr="002C6B89" w:rsidR="1A6D823D">
        <w:rPr>
          <w:rFonts w:eastAsia="Arial"/>
          <w:color w:val="000000" w:themeColor="text1"/>
        </w:rPr>
        <w:t>many of</w:t>
      </w:r>
      <w:r w:rsidRPr="002C6B89" w:rsidR="1A6D823D">
        <w:rPr>
          <w:rFonts w:eastAsia="Arial"/>
          <w:color w:val="000000" w:themeColor="text1"/>
        </w:rPr>
        <w:t xml:space="preserve"> cases would be incomplete</w:t>
      </w:r>
      <w:r w:rsidR="00A23F8C">
        <w:rPr>
          <w:rFonts w:eastAsia="Arial"/>
          <w:color w:val="000000" w:themeColor="text1"/>
        </w:rPr>
        <w:t>,</w:t>
      </w:r>
      <w:r w:rsidRPr="002C6B89" w:rsidR="1A6D823D">
        <w:rPr>
          <w:rFonts w:eastAsia="Arial"/>
          <w:color w:val="000000" w:themeColor="text1"/>
        </w:rPr>
        <w:t xml:space="preserve"> there</w:t>
      </w:r>
      <w:r w:rsidRPr="002C6B89" w:rsidR="208B8E1C">
        <w:rPr>
          <w:rFonts w:eastAsia="Arial"/>
          <w:color w:val="000000" w:themeColor="text1"/>
        </w:rPr>
        <w:t>by hindering, or preventing successful outcomes in criminal or administrative hearings.</w:t>
      </w:r>
    </w:p>
    <w:p w:rsidR="006F2D15" w:rsidP="620FD9BC" w14:paraId="34A66E91" w14:textId="7D217D49">
      <w:pPr>
        <w:tabs>
          <w:tab w:val="left" w:pos="720"/>
        </w:tabs>
        <w:rPr>
          <w:rFonts w:ascii="Arial" w:eastAsia="Arial" w:hAnsi="Arial" w:cs="Arial"/>
          <w:color w:val="000000" w:themeColor="text1"/>
          <w:sz w:val="19"/>
          <w:szCs w:val="19"/>
        </w:rPr>
      </w:pPr>
    </w:p>
    <w:p w:rsidR="00794640" w:rsidRPr="006F2D15" w:rsidP="006B0A5A" w14:paraId="4BC509C7" w14:textId="4FA9ACF6">
      <w:pPr>
        <w:pStyle w:val="ListParagraph"/>
        <w:tabs>
          <w:tab w:val="left" w:pos="720"/>
        </w:tabs>
        <w:ind w:left="0"/>
      </w:pPr>
      <w:r>
        <w:rPr>
          <w:b/>
          <w:bCs/>
        </w:rPr>
        <w:t xml:space="preserve">7. </w:t>
      </w:r>
      <w:r w:rsidR="00536397">
        <w:rPr>
          <w:b/>
          <w:bCs/>
        </w:rPr>
        <w:t>Explain any special circumstances that would cause the information collection to be conducted in a manner inconsistent with 5 CFR 1320.6.</w:t>
      </w:r>
    </w:p>
    <w:p w:rsidR="006F2D15" w:rsidRPr="00794640" w:rsidP="006B0A5A" w14:paraId="269F7EBA" w14:textId="77777777">
      <w:pPr>
        <w:pStyle w:val="ListParagraph"/>
        <w:tabs>
          <w:tab w:val="left" w:pos="720"/>
        </w:tabs>
        <w:ind w:left="0"/>
      </w:pPr>
    </w:p>
    <w:p w:rsidR="002277BD" w:rsidRPr="00F705F7" w:rsidP="002277BD" w14:paraId="5E484D23"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F705F7">
        <w:t>There are no special circumstances associated with this information collection, which is conducted in a manner consistent with 5 CFR 1320.6.</w:t>
      </w:r>
    </w:p>
    <w:p w:rsidR="00404668" w:rsidRPr="00C65BF8" w:rsidP="006B0A5A" w14:paraId="6F93CBC3" w14:textId="77777777">
      <w:pPr>
        <w:tabs>
          <w:tab w:val="left" w:pos="720"/>
        </w:tabs>
      </w:pPr>
    </w:p>
    <w:p w:rsidR="00794640" w:rsidRPr="006F2D15" w:rsidP="006B0A5A" w14:paraId="649FAE85" w14:textId="18AF468C">
      <w:pPr>
        <w:pStyle w:val="ListParagraph"/>
        <w:tabs>
          <w:tab w:val="left" w:pos="720"/>
        </w:tabs>
        <w:ind w:left="0"/>
      </w:pPr>
      <w:r>
        <w:rPr>
          <w:b/>
          <w:bCs/>
        </w:rPr>
        <w:t xml:space="preserve">8. </w:t>
      </w:r>
      <w:r w:rsidR="001212B5">
        <w:rPr>
          <w:b/>
          <w:bCs/>
        </w:rPr>
        <w:t xml:space="preserve">If applicable, provide a copy, and identify the date and page number, of the agency’s notice published in the </w:t>
      </w:r>
      <w:r w:rsidRPr="001212B5" w:rsidR="001212B5">
        <w:rPr>
          <w:b/>
          <w:bCs/>
          <w:i/>
          <w:iCs/>
        </w:rPr>
        <w:t>Federal Register</w:t>
      </w:r>
      <w:r w:rsidR="001212B5">
        <w:rPr>
          <w:b/>
          <w:bCs/>
        </w:rPr>
        <w:t xml:space="preserve">, as required by 5 CFR 1320.8(d), soliciting comments on the information collection prior to submission to OMB. </w:t>
      </w:r>
    </w:p>
    <w:p w:rsidR="006F2D15" w:rsidRPr="00794640" w:rsidP="006B0A5A" w14:paraId="3A5EE00B" w14:textId="77777777">
      <w:pPr>
        <w:pStyle w:val="ListParagraph"/>
        <w:tabs>
          <w:tab w:val="left" w:pos="720"/>
        </w:tabs>
        <w:ind w:left="0"/>
      </w:pPr>
    </w:p>
    <w:p w:rsidR="00B34308" w:rsidRPr="00F705F7" w:rsidP="00B34308" w14:paraId="1B31D00C" w14:textId="4DE88DE4">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F705F7">
        <w:t>The 60-</w:t>
      </w:r>
      <w:r>
        <w:t>d</w:t>
      </w:r>
      <w:r w:rsidRPr="00F705F7">
        <w:t xml:space="preserve">ay </w:t>
      </w:r>
      <w:r>
        <w:t>n</w:t>
      </w:r>
      <w:r w:rsidRPr="00F705F7">
        <w:t xml:space="preserve">otice was published in the </w:t>
      </w:r>
      <w:r w:rsidRPr="00F705F7">
        <w:rPr>
          <w:i/>
          <w:iCs/>
        </w:rPr>
        <w:t>Federal Register</w:t>
      </w:r>
      <w:r w:rsidRPr="00F705F7">
        <w:t xml:space="preserve"> on </w:t>
      </w:r>
      <w:r w:rsidR="000748DA">
        <w:t>11/28/2025 (90 FR 54760)</w:t>
      </w:r>
      <w:r w:rsidRPr="00F705F7">
        <w:t xml:space="preserve">. The comment period ended on </w:t>
      </w:r>
      <w:r w:rsidR="000748DA">
        <w:t>1/27/2026</w:t>
      </w:r>
      <w:r w:rsidRPr="00F705F7">
        <w:t>. ATF received no comments.</w:t>
      </w:r>
    </w:p>
    <w:p w:rsidR="00404668" w:rsidP="006B0A5A" w14:paraId="6B90A6A2" w14:textId="77777777">
      <w:pPr>
        <w:pStyle w:val="ListParagraph"/>
        <w:tabs>
          <w:tab w:val="left" w:pos="720"/>
        </w:tabs>
        <w:ind w:left="0"/>
      </w:pPr>
    </w:p>
    <w:p w:rsidR="006F2D15" w:rsidRPr="006F2D15" w:rsidP="006B0A5A" w14:paraId="5656CC78" w14:textId="7E1530B1">
      <w:pPr>
        <w:pStyle w:val="ListParagraph"/>
        <w:tabs>
          <w:tab w:val="left" w:pos="720"/>
        </w:tabs>
        <w:ind w:left="0"/>
      </w:pPr>
      <w:r>
        <w:rPr>
          <w:b/>
          <w:bCs/>
        </w:rPr>
        <w:t xml:space="preserve">9. </w:t>
      </w:r>
      <w:r w:rsidR="00CC2F1D">
        <w:rPr>
          <w:b/>
          <w:bCs/>
        </w:rPr>
        <w:t xml:space="preserve">Explain any decision to provide any payments or gifts to respondents, other than remuneration of contractors or grantees. </w:t>
      </w:r>
    </w:p>
    <w:p w:rsidR="00794640" w:rsidP="006B0A5A" w14:paraId="79E21498" w14:textId="6BE1F3E7">
      <w:pPr>
        <w:pStyle w:val="ListParagraph"/>
        <w:tabs>
          <w:tab w:val="left" w:pos="720"/>
        </w:tabs>
        <w:ind w:left="0"/>
      </w:pPr>
      <w:r>
        <w:t xml:space="preserve"> </w:t>
      </w:r>
    </w:p>
    <w:p w:rsidR="00404668" w:rsidP="006B0A5A" w14:paraId="27558A7E" w14:textId="13031FA7">
      <w:pPr>
        <w:pStyle w:val="ListParagraph"/>
        <w:tabs>
          <w:tab w:val="left" w:pos="720"/>
        </w:tabs>
        <w:ind w:left="0"/>
      </w:pPr>
      <w:r>
        <w:t>ATF does not provide payments or gifts in connection with</w:t>
      </w:r>
      <w:r w:rsidR="003E3351">
        <w:t xml:space="preserve"> this collection.</w:t>
      </w:r>
    </w:p>
    <w:p w:rsidR="00404668" w:rsidP="006B0A5A" w14:paraId="17AEBE25" w14:textId="77777777">
      <w:pPr>
        <w:pStyle w:val="ListParagraph"/>
        <w:tabs>
          <w:tab w:val="left" w:pos="720"/>
        </w:tabs>
        <w:ind w:left="0"/>
      </w:pPr>
    </w:p>
    <w:p w:rsidR="00794640" w:rsidRPr="00794640" w:rsidP="006B0A5A" w14:paraId="65A70FB3" w14:textId="25F7D66C">
      <w:pPr>
        <w:pStyle w:val="ListParagraph"/>
        <w:tabs>
          <w:tab w:val="left" w:pos="720"/>
        </w:tabs>
        <w:ind w:left="0"/>
      </w:pPr>
      <w:r>
        <w:rPr>
          <w:b/>
          <w:bCs/>
        </w:rPr>
        <w:t xml:space="preserve">10. </w:t>
      </w:r>
      <w:r w:rsidR="00751979">
        <w:rPr>
          <w:b/>
          <w:bCs/>
        </w:rPr>
        <w:t xml:space="preserve">Describe any assurance of confidentiality provided to respondents and the basis for the assurance in statute, regulation, or agency policy. </w:t>
      </w:r>
    </w:p>
    <w:p w:rsidR="00F55CF0" w:rsidP="00794640" w14:paraId="2AFE6019" w14:textId="77777777">
      <w:pPr>
        <w:pStyle w:val="ListParagraph"/>
        <w:tabs>
          <w:tab w:val="left" w:pos="810"/>
        </w:tabs>
        <w:ind w:left="0"/>
      </w:pPr>
    </w:p>
    <w:p w:rsidR="00404668" w:rsidP="00794640" w14:paraId="25C15807" w14:textId="1D603116">
      <w:pPr>
        <w:pStyle w:val="ListParagraph"/>
        <w:tabs>
          <w:tab w:val="left" w:pos="810"/>
        </w:tabs>
        <w:ind w:left="0"/>
      </w:pPr>
      <w:r w:rsidRPr="00F705F7">
        <w:t xml:space="preserve">This information collection does not collect protected </w:t>
      </w:r>
      <w:r w:rsidRPr="00F705F7">
        <w:t>information</w:t>
      </w:r>
      <w:r w:rsidRPr="00F705F7">
        <w:t xml:space="preserve"> and ATF has not assured respondents of confidentiality.</w:t>
      </w:r>
      <w:r w:rsidR="00BD52C6">
        <w:t xml:space="preserve"> However, once the records are at ATF, they are stored in a secure government system with </w:t>
      </w:r>
      <w:r w:rsidR="00950418">
        <w:t xml:space="preserve">limited access, within a secure section of the building </w:t>
      </w:r>
      <w:r w:rsidR="003D7750">
        <w:t>accessed by only authorized employees/</w:t>
      </w:r>
    </w:p>
    <w:p w:rsidR="009432B0" w:rsidP="00794640" w14:paraId="68B3E88C" w14:textId="77777777">
      <w:pPr>
        <w:pStyle w:val="ListParagraph"/>
        <w:ind w:left="0"/>
      </w:pPr>
    </w:p>
    <w:p w:rsidR="00794640" w:rsidP="006B0A5A" w14:paraId="521310E3" w14:textId="1951DA98">
      <w:pPr>
        <w:pStyle w:val="ListParagraph"/>
        <w:tabs>
          <w:tab w:val="left" w:pos="810"/>
        </w:tabs>
        <w:ind w:left="0"/>
      </w:pPr>
      <w:r>
        <w:rPr>
          <w:b/>
          <w:bCs/>
        </w:rPr>
        <w:t xml:space="preserve">11. </w:t>
      </w:r>
      <w:r w:rsidRPr="00D05D7D" w:rsidR="009432B0">
        <w:rPr>
          <w:b/>
          <w:bCs/>
        </w:rPr>
        <w:t xml:space="preserve">Provide additional justification for any </w:t>
      </w:r>
      <w:r w:rsidRPr="00D05D7D" w:rsidR="00D05D7D">
        <w:rPr>
          <w:b/>
          <w:bCs/>
        </w:rPr>
        <w:t>questions of a sensitive nature, such as sexual behavior and attitudes, religious beliefs, and other matters that are commonly considered private</w:t>
      </w:r>
      <w:r w:rsidR="00D05D7D">
        <w:t xml:space="preserve">. </w:t>
      </w:r>
    </w:p>
    <w:p w:rsidR="006F2D15" w:rsidP="006F2D15" w14:paraId="5EA1AA84" w14:textId="77777777">
      <w:pPr>
        <w:pStyle w:val="ListParagraph"/>
        <w:tabs>
          <w:tab w:val="left" w:pos="810"/>
        </w:tabs>
        <w:ind w:left="0"/>
      </w:pPr>
    </w:p>
    <w:p w:rsidR="009432B0" w:rsidP="00794640" w14:paraId="327C6177" w14:textId="38092667">
      <w:pPr>
        <w:pStyle w:val="ListParagraph"/>
        <w:tabs>
          <w:tab w:val="left" w:pos="810"/>
        </w:tabs>
        <w:ind w:left="0"/>
      </w:pPr>
      <w:r>
        <w:t>This information collection does not ask questions</w:t>
      </w:r>
      <w:r w:rsidR="00C56FD9">
        <w:t xml:space="preserve"> or require information of a sensitive nature.</w:t>
      </w:r>
    </w:p>
    <w:p w:rsidR="00404668" w:rsidP="006F2D15" w14:paraId="055ABC12" w14:textId="77777777">
      <w:pPr>
        <w:pStyle w:val="ListParagraph"/>
        <w:ind w:left="0"/>
      </w:pPr>
    </w:p>
    <w:p w:rsidR="00404668" w:rsidRPr="002F19C6" w:rsidP="006B0A5A" w14:paraId="2B800FE6" w14:textId="737F1369">
      <w:pPr>
        <w:pStyle w:val="ListParagraph"/>
        <w:ind w:left="0"/>
      </w:pPr>
      <w:r>
        <w:rPr>
          <w:b/>
          <w:bCs/>
        </w:rPr>
        <w:t xml:space="preserve">12. </w:t>
      </w:r>
      <w:r w:rsidRPr="00733C7C" w:rsidR="00EC7255">
        <w:rPr>
          <w:b/>
          <w:bCs/>
        </w:rPr>
        <w:t xml:space="preserve">Provide estimates of the information collection’s hour burden. </w:t>
      </w:r>
    </w:p>
    <w:p w:rsidR="002F19C6" w:rsidRPr="002F19C6" w:rsidP="002F19C6" w14:paraId="1497DA00" w14:textId="77777777"/>
    <w:p w:rsidR="00D44B44" w:rsidP="002F19C6" w14:paraId="6F049B36" w14:textId="2E4250C7">
      <w:r>
        <w:t xml:space="preserve">Based on </w:t>
      </w:r>
      <w:r w:rsidR="00B84FCD">
        <w:t>out</w:t>
      </w:r>
      <w:r w:rsidR="00E07F00">
        <w:t>-</w:t>
      </w:r>
      <w:r w:rsidR="00B84FCD">
        <w:t>of</w:t>
      </w:r>
      <w:r w:rsidR="00E07F00">
        <w:t>-</w:t>
      </w:r>
      <w:r w:rsidR="00B84FCD">
        <w:t xml:space="preserve">business records submitted over the last three years, the average number of </w:t>
      </w:r>
      <w:r w:rsidR="00FB1DC2">
        <w:t>respondents</w:t>
      </w:r>
      <w:r w:rsidR="00B84FCD">
        <w:t xml:space="preserve"> is 230</w:t>
      </w:r>
      <w:r w:rsidR="00FB1DC2">
        <w:t>.</w:t>
      </w:r>
      <w:r w:rsidRPr="00FB1DC2" w:rsidR="00FB1DC2">
        <w:t xml:space="preserve"> </w:t>
      </w:r>
      <w:r w:rsidR="006C5142">
        <w:t xml:space="preserve">Respondents respond one </w:t>
      </w:r>
      <w:r w:rsidR="006C5142">
        <w:t>time</w:t>
      </w:r>
      <w:r w:rsidR="00E07F00">
        <w:t>,</w:t>
      </w:r>
      <w:r w:rsidR="00E07F00">
        <w:t xml:space="preserve"> when they discontinue business</w:t>
      </w:r>
      <w:r w:rsidR="006C5142">
        <w:t xml:space="preserve">. </w:t>
      </w:r>
      <w:r w:rsidR="00E07F00">
        <w:t>ATF estimates it</w:t>
      </w:r>
      <w:r w:rsidR="00FB1DC2">
        <w:t xml:space="preserve"> take</w:t>
      </w:r>
      <w:r w:rsidR="00E07F00">
        <w:t>s</w:t>
      </w:r>
      <w:r w:rsidR="00FB1DC2">
        <w:t xml:space="preserve"> each respondent </w:t>
      </w:r>
      <w:r w:rsidRPr="00CD7853" w:rsidR="00FB1DC2">
        <w:t>30 minutes</w:t>
      </w:r>
      <w:r w:rsidR="00E07F00">
        <w:t xml:space="preserve"> (0.5 hours)</w:t>
      </w:r>
      <w:r w:rsidR="00FB1DC2">
        <w:t xml:space="preserve"> </w:t>
      </w:r>
      <w:r w:rsidR="00651016">
        <w:t xml:space="preserve">to </w:t>
      </w:r>
      <w:r w:rsidR="00FB1DC2">
        <w:t xml:space="preserve">package and </w:t>
      </w:r>
      <w:r w:rsidR="00651016">
        <w:t>mail</w:t>
      </w:r>
      <w:r w:rsidR="00FB1DC2">
        <w:t xml:space="preserve"> </w:t>
      </w:r>
      <w:r w:rsidR="00651016">
        <w:t>paper</w:t>
      </w:r>
      <w:r w:rsidR="00FB1DC2">
        <w:t xml:space="preserve"> </w:t>
      </w:r>
      <w:r w:rsidRPr="00CD7853" w:rsidR="00FB1DC2">
        <w:t>explosives</w:t>
      </w:r>
      <w:r w:rsidR="00FB1DC2">
        <w:t xml:space="preserve"> records to ATF</w:t>
      </w:r>
      <w:r w:rsidR="00651016">
        <w:t>, and about half that time to download and email electronic records</w:t>
      </w:r>
      <w:r w:rsidR="00963D9D">
        <w:t xml:space="preserve"> – but ATF is using the longer time estimate for paper records in this analysis</w:t>
      </w:r>
      <w:r w:rsidR="00FB1DC2">
        <w:t xml:space="preserve">. The estimated burden hours to ship/deliver the </w:t>
      </w:r>
      <w:r w:rsidRPr="00CD7853" w:rsidR="00FB1DC2">
        <w:t>explosives</w:t>
      </w:r>
      <w:r w:rsidR="00FB1DC2">
        <w:t xml:space="preserve"> records </w:t>
      </w:r>
      <w:r w:rsidR="00963D9D">
        <w:t>is</w:t>
      </w:r>
      <w:r w:rsidR="00FB1DC2">
        <w:t xml:space="preserve"> </w:t>
      </w:r>
      <w:r w:rsidR="00963D9D">
        <w:t xml:space="preserve">therefore </w:t>
      </w:r>
      <w:r w:rsidR="00362229">
        <w:t>115</w:t>
      </w:r>
      <w:r w:rsidR="00FB1DC2">
        <w:t xml:space="preserve"> </w:t>
      </w:r>
      <w:r w:rsidRPr="00CD7853" w:rsidR="00FB1DC2">
        <w:t>hours (</w:t>
      </w:r>
      <w:r w:rsidR="00FA3DA4">
        <w:t>230</w:t>
      </w:r>
      <w:r w:rsidRPr="00CD7853" w:rsidR="00FB1DC2">
        <w:t xml:space="preserve"> respondents </w:t>
      </w:r>
      <w:r w:rsidR="00FA3DA4">
        <w:t>* 0.5 hours</w:t>
      </w:r>
      <w:r w:rsidRPr="00CD7853" w:rsidR="00FB1DC2">
        <w:t>)</w:t>
      </w:r>
      <w:r w:rsidR="00FB1DC2">
        <w:t>.</w:t>
      </w:r>
      <w:r w:rsidR="00421502">
        <w:t xml:space="preserve"> For the purposes of this ICR, ATF estimates that a </w:t>
      </w:r>
      <w:r w:rsidR="000D2D19">
        <w:t xml:space="preserve">cashier may handle </w:t>
      </w:r>
      <w:r w:rsidR="004B2DD4">
        <w:t>records at $</w:t>
      </w:r>
      <w:r w:rsidR="003F25F6">
        <w:t>14.99</w:t>
      </w:r>
      <w:r w:rsidR="004B2DD4">
        <w:t xml:space="preserve"> per hour.</w:t>
      </w:r>
      <w:r>
        <w:rPr>
          <w:rStyle w:val="FootnoteReference"/>
        </w:rPr>
        <w:footnoteReference w:id="2"/>
      </w:r>
    </w:p>
    <w:p w:rsidR="00E646FC" w:rsidP="002F19C6" w14:paraId="165F7CD5" w14:textId="77777777"/>
    <w:p w:rsidR="00E646FC" w:rsidP="002F19C6" w14:paraId="0F803D7F" w14:textId="7889E143">
      <w:r w:rsidRPr="00F04186">
        <w:t>In order to</w:t>
      </w:r>
      <w:r w:rsidRPr="00F04186">
        <w:t xml:space="preserve"> account for fringe benefits such as insurance, ATF use</w:t>
      </w:r>
      <w:r w:rsidR="00B2118E">
        <w:t>s</w:t>
      </w:r>
      <w:r w:rsidRPr="00F04186">
        <w:t xml:space="preserve"> a load rate of 1.4 multiplied to the average wage rate, making the rounded loaded wage rate $2</w:t>
      </w:r>
      <w:r w:rsidRPr="00F04186" w:rsidR="003F25F6">
        <w:t>1</w:t>
      </w:r>
      <w:r w:rsidRPr="00F04186">
        <w:t xml:space="preserve"> ($</w:t>
      </w:r>
      <w:r w:rsidRPr="00F04186" w:rsidR="00873627">
        <w:t>14.99</w:t>
      </w:r>
      <w:r w:rsidRPr="00F04186">
        <w:t xml:space="preserve"> average wage rate * 1.4 load rate).</w:t>
      </w:r>
      <w:r>
        <w:rPr>
          <w:rStyle w:val="FootnoteReference"/>
        </w:rPr>
        <w:footnoteReference w:id="3"/>
      </w:r>
      <w:r w:rsidR="00F52BD9">
        <w:t xml:space="preserve"> </w:t>
      </w:r>
      <w:r w:rsidR="004D3524">
        <w:t xml:space="preserve">Table </w:t>
      </w:r>
      <w:r w:rsidR="00EB4C19">
        <w:t>1</w:t>
      </w:r>
      <w:r w:rsidR="00B2118E">
        <w:t xml:space="preserve"> </w:t>
      </w:r>
      <w:r w:rsidR="00EB4C19">
        <w:t xml:space="preserve">provides the </w:t>
      </w:r>
      <w:r w:rsidR="006D1B67">
        <w:t>annual response information</w:t>
      </w:r>
      <w:r w:rsidR="00EB4C19">
        <w:t xml:space="preserve"> and monetized cost of this ICR.</w:t>
      </w:r>
    </w:p>
    <w:p w:rsidR="00D44B44" w:rsidRPr="002F19C6" w:rsidP="002F19C6" w14:paraId="4843E3EF" w14:textId="77777777"/>
    <w:p w:rsidR="00125142" w:rsidP="002F19C6" w14:paraId="4FF95279" w14:textId="7C285176">
      <w:pPr>
        <w:jc w:val="center"/>
        <w:rPr>
          <w:b/>
          <w:bCs/>
        </w:rPr>
      </w:pPr>
      <w:r w:rsidRPr="00F705F7">
        <w:rPr>
          <w:b/>
        </w:rPr>
        <w:t>Table</w:t>
      </w:r>
      <w:r w:rsidR="00EB4C19">
        <w:rPr>
          <w:b/>
        </w:rPr>
        <w:t xml:space="preserve"> 1</w:t>
      </w:r>
      <w:r w:rsidRPr="00F705F7">
        <w:rPr>
          <w:b/>
        </w:rPr>
        <w:t>. Estimated annualized respondent cost and hour burden</w:t>
      </w:r>
    </w:p>
    <w:tbl>
      <w:tblPr>
        <w:tblStyle w:val="TableGrid"/>
        <w:tblW w:w="9270" w:type="dxa"/>
        <w:tblInd w:w="-5" w:type="dxa"/>
        <w:tblLook w:val="04A0"/>
      </w:tblPr>
      <w:tblGrid>
        <w:gridCol w:w="1372"/>
        <w:gridCol w:w="1312"/>
        <w:gridCol w:w="1162"/>
        <w:gridCol w:w="1093"/>
        <w:gridCol w:w="1012"/>
        <w:gridCol w:w="881"/>
        <w:gridCol w:w="1167"/>
        <w:gridCol w:w="1271"/>
      </w:tblGrid>
      <w:tr w14:paraId="006C5AD4" w14:textId="77777777" w:rsidTr="00E80015">
        <w:tblPrEx>
          <w:tblW w:w="9270" w:type="dxa"/>
          <w:tblInd w:w="-5" w:type="dxa"/>
          <w:tblLook w:val="04A0"/>
        </w:tblPrEx>
        <w:tc>
          <w:tcPr>
            <w:tcW w:w="1372" w:type="dxa"/>
            <w:shd w:val="clear" w:color="auto" w:fill="8EAADB" w:themeFill="accent1" w:themeFillTint="99"/>
            <w:vAlign w:val="center"/>
          </w:tcPr>
          <w:p w:rsidR="00125142" w:rsidRPr="00F705F7" w14:paraId="3EDB25EB" w14:textId="77777777">
            <w:pPr>
              <w:jc w:val="center"/>
              <w:rPr>
                <w:b/>
                <w:szCs w:val="20"/>
              </w:rPr>
            </w:pPr>
            <w:r w:rsidRPr="00F705F7">
              <w:rPr>
                <w:b/>
                <w:szCs w:val="20"/>
              </w:rPr>
              <w:t>Activity</w:t>
            </w:r>
          </w:p>
        </w:tc>
        <w:tc>
          <w:tcPr>
            <w:tcW w:w="1312" w:type="dxa"/>
            <w:shd w:val="clear" w:color="auto" w:fill="8EAADB" w:themeFill="accent1" w:themeFillTint="99"/>
            <w:vAlign w:val="center"/>
          </w:tcPr>
          <w:p w:rsidR="00125142" w:rsidRPr="00F705F7" w14:paraId="784A7F82" w14:textId="77777777">
            <w:pPr>
              <w:jc w:val="center"/>
              <w:rPr>
                <w:b/>
                <w:szCs w:val="20"/>
              </w:rPr>
            </w:pPr>
            <w:r w:rsidRPr="00F705F7">
              <w:rPr>
                <w:b/>
                <w:szCs w:val="20"/>
              </w:rPr>
              <w:t>Number of respondents</w:t>
            </w:r>
          </w:p>
        </w:tc>
        <w:tc>
          <w:tcPr>
            <w:tcW w:w="1162" w:type="dxa"/>
            <w:shd w:val="clear" w:color="auto" w:fill="8EAADB" w:themeFill="accent1" w:themeFillTint="99"/>
            <w:vAlign w:val="center"/>
          </w:tcPr>
          <w:p w:rsidR="00125142" w:rsidRPr="00F705F7" w14:paraId="5D0AA7F1" w14:textId="77777777">
            <w:pPr>
              <w:jc w:val="center"/>
              <w:rPr>
                <w:b/>
                <w:szCs w:val="20"/>
              </w:rPr>
            </w:pPr>
            <w:r w:rsidRPr="00F705F7">
              <w:rPr>
                <w:b/>
                <w:szCs w:val="20"/>
              </w:rPr>
              <w:t>Frequency</w:t>
            </w:r>
          </w:p>
        </w:tc>
        <w:tc>
          <w:tcPr>
            <w:tcW w:w="1093" w:type="dxa"/>
            <w:shd w:val="clear" w:color="auto" w:fill="8EAADB" w:themeFill="accent1" w:themeFillTint="99"/>
            <w:vAlign w:val="center"/>
          </w:tcPr>
          <w:p w:rsidR="00125142" w:rsidRPr="00F705F7" w14:paraId="7CD9C35B" w14:textId="77777777">
            <w:pPr>
              <w:jc w:val="center"/>
              <w:rPr>
                <w:b/>
                <w:szCs w:val="20"/>
              </w:rPr>
            </w:pPr>
            <w:r w:rsidRPr="00F705F7">
              <w:rPr>
                <w:b/>
                <w:szCs w:val="20"/>
              </w:rPr>
              <w:t>Total annual responses</w:t>
            </w:r>
          </w:p>
        </w:tc>
        <w:tc>
          <w:tcPr>
            <w:tcW w:w="1012" w:type="dxa"/>
            <w:shd w:val="clear" w:color="auto" w:fill="8EAADB" w:themeFill="accent1" w:themeFillTint="99"/>
            <w:vAlign w:val="center"/>
          </w:tcPr>
          <w:p w:rsidR="00125142" w:rsidRPr="00F705F7" w14:paraId="49286F19" w14:textId="3FDA29BF">
            <w:pPr>
              <w:jc w:val="center"/>
              <w:rPr>
                <w:b/>
                <w:szCs w:val="20"/>
              </w:rPr>
            </w:pPr>
            <w:r w:rsidRPr="00F705F7">
              <w:rPr>
                <w:b/>
                <w:szCs w:val="20"/>
              </w:rPr>
              <w:t>Time per response</w:t>
            </w:r>
            <w:r w:rsidR="00463E63">
              <w:rPr>
                <w:b/>
                <w:szCs w:val="20"/>
              </w:rPr>
              <w:t xml:space="preserve"> (hours)</w:t>
            </w:r>
          </w:p>
        </w:tc>
        <w:tc>
          <w:tcPr>
            <w:tcW w:w="881" w:type="dxa"/>
            <w:shd w:val="clear" w:color="auto" w:fill="8EAADB" w:themeFill="accent1" w:themeFillTint="99"/>
            <w:vAlign w:val="center"/>
          </w:tcPr>
          <w:p w:rsidR="00125142" w:rsidRPr="00F705F7" w14:paraId="2F3AE16F" w14:textId="77777777">
            <w:pPr>
              <w:jc w:val="center"/>
              <w:rPr>
                <w:b/>
                <w:szCs w:val="20"/>
              </w:rPr>
            </w:pPr>
            <w:r w:rsidRPr="00F705F7">
              <w:rPr>
                <w:b/>
                <w:szCs w:val="20"/>
              </w:rPr>
              <w:t>Total annual burden (hours)</w:t>
            </w:r>
          </w:p>
        </w:tc>
        <w:tc>
          <w:tcPr>
            <w:tcW w:w="1167" w:type="dxa"/>
            <w:shd w:val="clear" w:color="auto" w:fill="8EAADB" w:themeFill="accent1" w:themeFillTint="99"/>
            <w:vAlign w:val="center"/>
          </w:tcPr>
          <w:p w:rsidR="00125142" w:rsidRPr="00F705F7" w14:paraId="00E72084" w14:textId="77777777">
            <w:pPr>
              <w:jc w:val="center"/>
              <w:rPr>
                <w:b/>
                <w:szCs w:val="20"/>
              </w:rPr>
            </w:pPr>
            <w:r w:rsidRPr="00F705F7">
              <w:rPr>
                <w:b/>
                <w:szCs w:val="20"/>
              </w:rPr>
              <w:t>Hourly rate*</w:t>
            </w:r>
          </w:p>
        </w:tc>
        <w:tc>
          <w:tcPr>
            <w:tcW w:w="1271" w:type="dxa"/>
            <w:shd w:val="clear" w:color="auto" w:fill="8EAADB" w:themeFill="accent1" w:themeFillTint="99"/>
            <w:vAlign w:val="center"/>
          </w:tcPr>
          <w:p w:rsidR="00125142" w:rsidRPr="00F705F7" w14:paraId="3DD71C7A" w14:textId="77777777">
            <w:pPr>
              <w:jc w:val="center"/>
              <w:rPr>
                <w:b/>
                <w:szCs w:val="20"/>
              </w:rPr>
            </w:pPr>
            <w:r w:rsidRPr="00F705F7">
              <w:rPr>
                <w:b/>
                <w:szCs w:val="20"/>
              </w:rPr>
              <w:t>Monetized value of respondent time</w:t>
            </w:r>
          </w:p>
        </w:tc>
      </w:tr>
      <w:tr w14:paraId="17F4E19D" w14:textId="77777777" w:rsidTr="00E80015">
        <w:tblPrEx>
          <w:tblW w:w="9270" w:type="dxa"/>
          <w:tblInd w:w="-5" w:type="dxa"/>
          <w:tblLook w:val="04A0"/>
        </w:tblPrEx>
        <w:tc>
          <w:tcPr>
            <w:tcW w:w="1372" w:type="dxa"/>
            <w:vAlign w:val="center"/>
          </w:tcPr>
          <w:p w:rsidR="00125142" w:rsidRPr="00F705F7" w14:paraId="57E5222C" w14:textId="0435769E">
            <w:pPr>
              <w:jc w:val="right"/>
              <w:rPr>
                <w:szCs w:val="20"/>
              </w:rPr>
            </w:pPr>
            <w:r>
              <w:rPr>
                <w:szCs w:val="20"/>
              </w:rPr>
              <w:t>Submit out</w:t>
            </w:r>
            <w:r w:rsidR="00CA7DEF">
              <w:rPr>
                <w:szCs w:val="20"/>
              </w:rPr>
              <w:t>-</w:t>
            </w:r>
            <w:r>
              <w:rPr>
                <w:szCs w:val="20"/>
              </w:rPr>
              <w:t>of</w:t>
            </w:r>
            <w:r w:rsidR="00CA7DEF">
              <w:rPr>
                <w:szCs w:val="20"/>
              </w:rPr>
              <w:t>-</w:t>
            </w:r>
            <w:r>
              <w:rPr>
                <w:szCs w:val="20"/>
              </w:rPr>
              <w:t>business records</w:t>
            </w:r>
          </w:p>
        </w:tc>
        <w:tc>
          <w:tcPr>
            <w:tcW w:w="1312" w:type="dxa"/>
            <w:vAlign w:val="center"/>
          </w:tcPr>
          <w:p w:rsidR="00125142" w:rsidRPr="00F705F7" w14:paraId="0C5CE3CE" w14:textId="2EC29E26">
            <w:pPr>
              <w:jc w:val="center"/>
              <w:rPr>
                <w:szCs w:val="20"/>
              </w:rPr>
            </w:pPr>
            <w:r>
              <w:rPr>
                <w:szCs w:val="20"/>
              </w:rPr>
              <w:t>230</w:t>
            </w:r>
          </w:p>
        </w:tc>
        <w:tc>
          <w:tcPr>
            <w:tcW w:w="1162" w:type="dxa"/>
            <w:vAlign w:val="center"/>
          </w:tcPr>
          <w:p w:rsidR="00125142" w:rsidRPr="00F705F7" w14:paraId="629C1167" w14:textId="1B94883B">
            <w:pPr>
              <w:jc w:val="center"/>
              <w:rPr>
                <w:szCs w:val="20"/>
              </w:rPr>
            </w:pPr>
            <w:r>
              <w:rPr>
                <w:szCs w:val="20"/>
              </w:rPr>
              <w:t>1</w:t>
            </w:r>
          </w:p>
        </w:tc>
        <w:tc>
          <w:tcPr>
            <w:tcW w:w="1093" w:type="dxa"/>
            <w:vAlign w:val="center"/>
          </w:tcPr>
          <w:p w:rsidR="00125142" w:rsidRPr="00F705F7" w14:paraId="185485C5" w14:textId="29499AF4">
            <w:pPr>
              <w:jc w:val="center"/>
              <w:rPr>
                <w:szCs w:val="20"/>
              </w:rPr>
            </w:pPr>
            <w:r>
              <w:rPr>
                <w:szCs w:val="20"/>
              </w:rPr>
              <w:t>230</w:t>
            </w:r>
          </w:p>
        </w:tc>
        <w:tc>
          <w:tcPr>
            <w:tcW w:w="1012" w:type="dxa"/>
            <w:vAlign w:val="center"/>
          </w:tcPr>
          <w:p w:rsidR="00125142" w:rsidRPr="00F705F7" w14:paraId="7D9C98E0" w14:textId="64E779EC">
            <w:pPr>
              <w:jc w:val="center"/>
              <w:rPr>
                <w:szCs w:val="20"/>
              </w:rPr>
            </w:pPr>
            <w:r>
              <w:rPr>
                <w:szCs w:val="20"/>
              </w:rPr>
              <w:t>0.5</w:t>
            </w:r>
          </w:p>
        </w:tc>
        <w:tc>
          <w:tcPr>
            <w:tcW w:w="881" w:type="dxa"/>
            <w:vAlign w:val="center"/>
          </w:tcPr>
          <w:p w:rsidR="00125142" w:rsidRPr="00F705F7" w14:paraId="7BA1C00F" w14:textId="2922C493">
            <w:pPr>
              <w:jc w:val="center"/>
              <w:rPr>
                <w:szCs w:val="20"/>
              </w:rPr>
            </w:pPr>
            <w:r>
              <w:rPr>
                <w:szCs w:val="20"/>
              </w:rPr>
              <w:t>115</w:t>
            </w:r>
          </w:p>
        </w:tc>
        <w:tc>
          <w:tcPr>
            <w:tcW w:w="1167" w:type="dxa"/>
            <w:vAlign w:val="center"/>
          </w:tcPr>
          <w:p w:rsidR="00125142" w:rsidRPr="00F705F7" w14:paraId="0751F4DE" w14:textId="0A1959E0">
            <w:pPr>
              <w:jc w:val="center"/>
              <w:rPr>
                <w:szCs w:val="20"/>
              </w:rPr>
            </w:pPr>
            <w:r>
              <w:rPr>
                <w:szCs w:val="20"/>
              </w:rPr>
              <w:t>$21</w:t>
            </w:r>
          </w:p>
        </w:tc>
        <w:tc>
          <w:tcPr>
            <w:tcW w:w="1271" w:type="dxa"/>
            <w:vAlign w:val="center"/>
          </w:tcPr>
          <w:p w:rsidR="00125142" w:rsidRPr="00F705F7" w14:paraId="6E2B8E09" w14:textId="39E7BC54">
            <w:pPr>
              <w:jc w:val="right"/>
              <w:rPr>
                <w:szCs w:val="20"/>
              </w:rPr>
            </w:pPr>
            <w:r>
              <w:rPr>
                <w:szCs w:val="20"/>
              </w:rPr>
              <w:t>$2,415</w:t>
            </w:r>
          </w:p>
        </w:tc>
      </w:tr>
      <w:tr w14:paraId="769004E8" w14:textId="77777777" w:rsidTr="00E80015">
        <w:tblPrEx>
          <w:tblW w:w="9270" w:type="dxa"/>
          <w:tblInd w:w="-5" w:type="dxa"/>
          <w:tblLook w:val="04A0"/>
        </w:tblPrEx>
        <w:tc>
          <w:tcPr>
            <w:tcW w:w="1372" w:type="dxa"/>
          </w:tcPr>
          <w:p w:rsidR="00125142" w:rsidRPr="00463E63" w14:paraId="5796DFF6" w14:textId="77777777">
            <w:pPr>
              <w:jc w:val="right"/>
              <w:rPr>
                <w:b/>
                <w:iCs/>
                <w:szCs w:val="20"/>
              </w:rPr>
            </w:pPr>
            <w:r w:rsidRPr="00463E63">
              <w:rPr>
                <w:b/>
                <w:iCs/>
                <w:szCs w:val="20"/>
              </w:rPr>
              <w:t>Unduplicated totals</w:t>
            </w:r>
          </w:p>
        </w:tc>
        <w:tc>
          <w:tcPr>
            <w:tcW w:w="1312" w:type="dxa"/>
            <w:vAlign w:val="center"/>
          </w:tcPr>
          <w:p w:rsidR="00125142" w:rsidRPr="00463E63" w14:paraId="521ABC01" w14:textId="51B23928">
            <w:pPr>
              <w:jc w:val="center"/>
              <w:rPr>
                <w:b/>
                <w:iCs/>
                <w:szCs w:val="20"/>
              </w:rPr>
            </w:pPr>
          </w:p>
        </w:tc>
        <w:tc>
          <w:tcPr>
            <w:tcW w:w="1162" w:type="dxa"/>
            <w:vAlign w:val="center"/>
          </w:tcPr>
          <w:p w:rsidR="00125142" w:rsidRPr="00463E63" w14:paraId="66AB51D2" w14:textId="77777777">
            <w:pPr>
              <w:jc w:val="center"/>
              <w:rPr>
                <w:b/>
                <w:iCs/>
                <w:szCs w:val="20"/>
              </w:rPr>
            </w:pPr>
          </w:p>
        </w:tc>
        <w:tc>
          <w:tcPr>
            <w:tcW w:w="1093" w:type="dxa"/>
            <w:vAlign w:val="center"/>
          </w:tcPr>
          <w:p w:rsidR="00125142" w:rsidRPr="00463E63" w14:paraId="556ECEDD" w14:textId="43D450DC">
            <w:pPr>
              <w:jc w:val="center"/>
              <w:rPr>
                <w:b/>
                <w:iCs/>
                <w:szCs w:val="20"/>
              </w:rPr>
            </w:pPr>
            <w:r w:rsidRPr="00463E63">
              <w:rPr>
                <w:b/>
                <w:iCs/>
                <w:szCs w:val="20"/>
              </w:rPr>
              <w:t>230</w:t>
            </w:r>
          </w:p>
        </w:tc>
        <w:tc>
          <w:tcPr>
            <w:tcW w:w="1012" w:type="dxa"/>
            <w:vAlign w:val="center"/>
          </w:tcPr>
          <w:p w:rsidR="00125142" w:rsidRPr="00463E63" w14:paraId="1702CB81" w14:textId="0BDF2579">
            <w:pPr>
              <w:jc w:val="center"/>
              <w:rPr>
                <w:b/>
                <w:iCs/>
                <w:szCs w:val="20"/>
              </w:rPr>
            </w:pPr>
            <w:r>
              <w:rPr>
                <w:b/>
                <w:iCs/>
                <w:szCs w:val="20"/>
              </w:rPr>
              <w:t>0.5 hours</w:t>
            </w:r>
          </w:p>
        </w:tc>
        <w:tc>
          <w:tcPr>
            <w:tcW w:w="881" w:type="dxa"/>
            <w:vAlign w:val="center"/>
          </w:tcPr>
          <w:p w:rsidR="00125142" w:rsidRPr="00463E63" w14:paraId="6145D7D2" w14:textId="6BA44AAE">
            <w:pPr>
              <w:jc w:val="center"/>
              <w:rPr>
                <w:b/>
                <w:iCs/>
                <w:szCs w:val="20"/>
              </w:rPr>
            </w:pPr>
            <w:r w:rsidRPr="00463E63">
              <w:rPr>
                <w:b/>
                <w:iCs/>
                <w:szCs w:val="20"/>
              </w:rPr>
              <w:t>115</w:t>
            </w:r>
          </w:p>
        </w:tc>
        <w:tc>
          <w:tcPr>
            <w:tcW w:w="1167" w:type="dxa"/>
            <w:vAlign w:val="center"/>
          </w:tcPr>
          <w:p w:rsidR="00125142" w:rsidRPr="00463E63" w14:paraId="4F7589D3" w14:textId="77777777">
            <w:pPr>
              <w:jc w:val="center"/>
              <w:rPr>
                <w:b/>
                <w:iCs/>
                <w:szCs w:val="20"/>
              </w:rPr>
            </w:pPr>
          </w:p>
        </w:tc>
        <w:tc>
          <w:tcPr>
            <w:tcW w:w="1271" w:type="dxa"/>
            <w:vAlign w:val="center"/>
          </w:tcPr>
          <w:p w:rsidR="00125142" w:rsidRPr="00463E63" w14:paraId="6B354B20" w14:textId="5EA4702B">
            <w:pPr>
              <w:jc w:val="right"/>
              <w:rPr>
                <w:b/>
                <w:iCs/>
                <w:szCs w:val="20"/>
              </w:rPr>
            </w:pPr>
            <w:r w:rsidRPr="00463E63">
              <w:rPr>
                <w:b/>
                <w:iCs/>
                <w:szCs w:val="20"/>
              </w:rPr>
              <w:t>$2,415</w:t>
            </w:r>
          </w:p>
        </w:tc>
      </w:tr>
    </w:tbl>
    <w:p w:rsidR="00125142" w:rsidP="008F111B" w14:paraId="1C1ED093" w14:textId="77777777">
      <w:pPr>
        <w:pStyle w:val="ListParagraph"/>
        <w:ind w:left="0"/>
      </w:pPr>
    </w:p>
    <w:p w:rsidR="009E5BEB" w:rsidRPr="009E5BEB" w:rsidP="008F111B" w14:paraId="2C390755" w14:textId="62FD4F7C">
      <w:pPr>
        <w:pStyle w:val="ListParagraph"/>
        <w:ind w:left="0"/>
      </w:pPr>
      <w:r>
        <w:rPr>
          <w:b/>
          <w:bCs/>
        </w:rPr>
        <w:t xml:space="preserve">13. </w:t>
      </w:r>
      <w:r w:rsidR="000B42BA">
        <w:rPr>
          <w:b/>
          <w:bCs/>
        </w:rPr>
        <w:t>Provide an estimate of the total annual cost burden to respondents or record-keepers resulting from the information collection.</w:t>
      </w:r>
      <w:r w:rsidR="006D3AA2">
        <w:rPr>
          <w:b/>
          <w:bCs/>
        </w:rPr>
        <w:t xml:space="preserve"> </w:t>
      </w:r>
      <w:r w:rsidR="00E3610D">
        <w:rPr>
          <w:b/>
          <w:bCs/>
        </w:rPr>
        <w:t xml:space="preserve"> (Do not include the cost of any hour burden shown in Items 12 and 14). </w:t>
      </w:r>
    </w:p>
    <w:p w:rsidR="009E5BEB" w:rsidP="00E80015" w14:paraId="4AF169CB" w14:textId="77777777">
      <w:pPr>
        <w:pStyle w:val="ListParagraph"/>
        <w:ind w:left="0"/>
        <w:rPr>
          <w:b/>
          <w:bCs/>
        </w:rPr>
      </w:pPr>
    </w:p>
    <w:p w:rsidR="00404668" w:rsidP="00E80015" w14:paraId="742F78F1" w14:textId="0C91ED18">
      <w:pPr>
        <w:pStyle w:val="ListParagraph"/>
        <w:ind w:left="0"/>
      </w:pPr>
      <w:r>
        <w:t xml:space="preserve">Based on </w:t>
      </w:r>
      <w:r w:rsidR="00C37EAD">
        <w:t xml:space="preserve">records over the past </w:t>
      </w:r>
      <w:r w:rsidR="00293595">
        <w:t>three</w:t>
      </w:r>
      <w:r w:rsidR="00C37EAD">
        <w:t xml:space="preserve"> years</w:t>
      </w:r>
      <w:r>
        <w:t xml:space="preserve">, most </w:t>
      </w:r>
      <w:r w:rsidR="00F22855">
        <w:t>out-of-business records</w:t>
      </w:r>
      <w:r>
        <w:t xml:space="preserve"> are submitted in a large envelope. For the purposes of this analysis, ATF estimates that </w:t>
      </w:r>
      <w:r w:rsidR="004E340B">
        <w:t>mailing</w:t>
      </w:r>
      <w:r w:rsidR="0008254E">
        <w:t xml:space="preserve"> costs </w:t>
      </w:r>
      <w:r w:rsidR="007F7A9B">
        <w:t>to submit out</w:t>
      </w:r>
      <w:r w:rsidR="00CA7DEF">
        <w:t>-</w:t>
      </w:r>
      <w:r w:rsidR="007F7A9B">
        <w:t>of</w:t>
      </w:r>
      <w:r w:rsidR="00CA7DEF">
        <w:t>-</w:t>
      </w:r>
      <w:r w:rsidR="007F7A9B">
        <w:t xml:space="preserve">business records </w:t>
      </w:r>
      <w:r w:rsidR="004E340B">
        <w:t>are</w:t>
      </w:r>
      <w:r w:rsidR="007F7A9B">
        <w:t xml:space="preserve"> $1.27 for a large envelope.</w:t>
      </w:r>
      <w:r>
        <w:rPr>
          <w:rStyle w:val="FootnoteReference"/>
        </w:rPr>
        <w:footnoteReference w:id="4"/>
      </w:r>
      <w:r w:rsidR="004474D0">
        <w:t xml:space="preserve"> At 230 annual responses, ATF estimates that the </w:t>
      </w:r>
      <w:r w:rsidR="004E340B">
        <w:t>total annual mailing</w:t>
      </w:r>
      <w:r w:rsidR="004474D0">
        <w:t xml:space="preserve"> cost</w:t>
      </w:r>
      <w:r w:rsidR="004E340B">
        <w:t>s</w:t>
      </w:r>
      <w:r w:rsidR="004474D0">
        <w:t xml:space="preserve"> for this ICR </w:t>
      </w:r>
      <w:r w:rsidR="004E340B">
        <w:t>are</w:t>
      </w:r>
      <w:r w:rsidR="004474D0">
        <w:t xml:space="preserve"> $</w:t>
      </w:r>
      <w:r w:rsidR="00F30312">
        <w:t>292</w:t>
      </w:r>
      <w:r w:rsidR="0018166F">
        <w:t>.</w:t>
      </w:r>
      <w:r>
        <w:rPr>
          <w:rStyle w:val="FootnoteReference"/>
        </w:rPr>
        <w:footnoteReference w:id="5"/>
      </w:r>
    </w:p>
    <w:p w:rsidR="00404668" w:rsidP="00CA1735" w14:paraId="201243D5" w14:textId="77777777">
      <w:pPr>
        <w:pStyle w:val="ListParagraph"/>
        <w:ind w:left="0"/>
        <w:rPr>
          <w:b/>
          <w:bCs/>
          <w:highlight w:val="yellow"/>
        </w:rPr>
      </w:pPr>
    </w:p>
    <w:p w:rsidR="009E5BEB" w:rsidRPr="009E5BEB" w:rsidP="00CA1735" w14:paraId="187C9257" w14:textId="30A11185">
      <w:pPr>
        <w:pStyle w:val="ListParagraph"/>
        <w:ind w:left="0"/>
      </w:pPr>
      <w:r w:rsidRPr="00C45C3C">
        <w:rPr>
          <w:b/>
          <w:bCs/>
        </w:rPr>
        <w:t>14.</w:t>
      </w:r>
      <w:r w:rsidRPr="00C45C3C" w:rsidR="008F111B">
        <w:rPr>
          <w:b/>
          <w:bCs/>
        </w:rPr>
        <w:t xml:space="preserve"> </w:t>
      </w:r>
      <w:r w:rsidRPr="00C45C3C" w:rsidR="00CB4827">
        <w:rPr>
          <w:b/>
          <w:bCs/>
        </w:rPr>
        <w:t>Provide estimates of the annualized cost to the federal government.</w:t>
      </w:r>
    </w:p>
    <w:p w:rsidR="00D26C86" w:rsidP="00E80015" w14:paraId="6F35F98F" w14:textId="77777777"/>
    <w:p w:rsidR="00404668" w:rsidP="00E80015" w14:paraId="7CFEF703" w14:textId="45F0CDCB">
      <w:pPr>
        <w:pStyle w:val="ListParagraph"/>
        <w:ind w:left="0"/>
      </w:pPr>
      <w:r w:rsidRPr="009D3BA2">
        <w:t>ATF estimates no additional costs to the federal government associated with this collection. This is due to the current staffing and administrative capacity already in place to complete any marginal processing required under this information collection, with long-term staffing capacity serving as a sunk cost. </w:t>
      </w:r>
    </w:p>
    <w:p w:rsidR="00504855" w:rsidP="00E80015" w14:paraId="06436A57" w14:textId="77777777">
      <w:pPr>
        <w:pStyle w:val="ListParagraph"/>
        <w:ind w:left="0"/>
      </w:pPr>
    </w:p>
    <w:p w:rsidR="009E5BEB" w:rsidRPr="009E5BEB" w:rsidP="001C10EC" w14:paraId="65667E6B" w14:textId="20B1A0D6">
      <w:r>
        <w:rPr>
          <w:b/>
          <w:bCs/>
        </w:rPr>
        <w:t xml:space="preserve">15. </w:t>
      </w:r>
      <w:r w:rsidR="00A54502">
        <w:rPr>
          <w:b/>
          <w:bCs/>
        </w:rPr>
        <w:t xml:space="preserve">Explain the reasons for any program changes or adjustments. </w:t>
      </w:r>
    </w:p>
    <w:p w:rsidR="009E5BEB" w:rsidP="00E80015" w14:paraId="0D17ED19" w14:textId="77777777">
      <w:pPr>
        <w:pStyle w:val="ListParagraph"/>
        <w:ind w:left="0"/>
        <w:rPr>
          <w:b/>
          <w:bCs/>
        </w:rPr>
      </w:pPr>
    </w:p>
    <w:p w:rsidR="00072A0D" w:rsidP="001C10EC" w14:paraId="5EE7B4AE" w14:textId="1AA4A025">
      <w:pPr>
        <w:pStyle w:val="ListParagraph"/>
        <w:ind w:left="0"/>
      </w:pPr>
      <w:r>
        <w:t>Due to a decrease in the number of explos</w:t>
      </w:r>
      <w:r w:rsidR="00C23924">
        <w:t>i</w:t>
      </w:r>
      <w:r>
        <w:t xml:space="preserve">ves licensees/permittees going out of business over the past three years, the respondents to this IC have decreased from 538 during the last renewal to 230 in 2025, a decrease of 308 respondents. This change results in a decrease in public burden hours from 269 during the last renewal to 115 now, a decrease of 154 hours. The reduced number of respondents, combined with the lower number of records thus being submitted and the ability to submit records via USB drive or email instead of in paper form, has resulted in a significant decrease in the shipping/mailing cost burden, which has decreased from $82,852 in 2022 to $292 in 2025, a decrease of $82,560. In addition, this renewal includes a monetized </w:t>
      </w:r>
      <w:r>
        <w:t>value for the time burden, based on a new request from OMB, and the title has been slightly modified to clarify that it applies to explosives licensees/permittees.</w:t>
      </w:r>
    </w:p>
    <w:p w:rsidR="00555775" w:rsidP="00072A0D" w14:paraId="2861F2BD" w14:textId="77777777">
      <w:pPr>
        <w:pStyle w:val="ListParagraph"/>
        <w:ind w:left="0"/>
        <w:rPr>
          <w:b/>
          <w:bCs/>
        </w:rPr>
      </w:pPr>
    </w:p>
    <w:p w:rsidR="009E5BEB" w:rsidP="00072A0D" w14:paraId="251786A4" w14:textId="1D14FB3B">
      <w:pPr>
        <w:pStyle w:val="ListParagraph"/>
        <w:ind w:left="0"/>
      </w:pPr>
      <w:r>
        <w:rPr>
          <w:b/>
          <w:bCs/>
        </w:rPr>
        <w:t>16.</w:t>
      </w:r>
      <w:r w:rsidR="003E3351">
        <w:rPr>
          <w:b/>
          <w:bCs/>
        </w:rPr>
        <w:t xml:space="preserve"> </w:t>
      </w:r>
      <w:r w:rsidR="00A54502">
        <w:rPr>
          <w:b/>
          <w:bCs/>
        </w:rPr>
        <w:t xml:space="preserve">For </w:t>
      </w:r>
      <w:r w:rsidR="00520D9D">
        <w:rPr>
          <w:b/>
          <w:bCs/>
        </w:rPr>
        <w:t>an</w:t>
      </w:r>
      <w:r w:rsidR="00A54502">
        <w:rPr>
          <w:b/>
          <w:bCs/>
        </w:rPr>
        <w:t xml:space="preserve"> information collection whose results will be published, outline plans for tabulations and publication. </w:t>
      </w:r>
      <w:r w:rsidR="00A54502">
        <w:t xml:space="preserve"> </w:t>
      </w:r>
    </w:p>
    <w:p w:rsidR="009E5BEB" w:rsidP="00F01518" w14:paraId="7B4440D1" w14:textId="77777777">
      <w:pPr>
        <w:pStyle w:val="ListParagraph"/>
        <w:ind w:left="0"/>
      </w:pPr>
    </w:p>
    <w:p w:rsidR="00404668" w:rsidP="00794640" w14:paraId="0D6AAF58" w14:textId="7156E470">
      <w:pPr>
        <w:pStyle w:val="ListParagraph"/>
        <w:ind w:left="0"/>
      </w:pPr>
      <w:r>
        <w:t xml:space="preserve">ATF </w:t>
      </w:r>
      <w:r w:rsidR="00487E12">
        <w:t>does</w:t>
      </w:r>
      <w:r>
        <w:t xml:space="preserve"> not publish the results of this collection.</w:t>
      </w:r>
    </w:p>
    <w:p w:rsidR="00404668" w:rsidP="00E171F1" w14:paraId="50D57F96" w14:textId="77777777">
      <w:pPr>
        <w:pStyle w:val="ListParagraph"/>
        <w:ind w:left="0"/>
      </w:pPr>
    </w:p>
    <w:p w:rsidR="009E5BEB" w:rsidRPr="009E5BEB" w:rsidP="00F01518" w14:paraId="7C0AF843" w14:textId="34D659E6">
      <w:pPr>
        <w:pStyle w:val="ListParagraph"/>
        <w:ind w:left="0"/>
      </w:pPr>
      <w:r>
        <w:rPr>
          <w:b/>
          <w:bCs/>
        </w:rPr>
        <w:t>17</w:t>
      </w:r>
      <w:r w:rsidRPr="00F01518">
        <w:rPr>
          <w:b/>
          <w:bCs/>
        </w:rPr>
        <w:t xml:space="preserve">. </w:t>
      </w:r>
      <w:r w:rsidR="00171EA9">
        <w:rPr>
          <w:b/>
          <w:bCs/>
        </w:rPr>
        <w:t>If seeking approval to n</w:t>
      </w:r>
      <w:r w:rsidR="00A33C5A">
        <w:rPr>
          <w:b/>
          <w:bCs/>
        </w:rPr>
        <w:t xml:space="preserve">ot display the expiration date for the information collection, explain the reasons that display would be inappropriate. </w:t>
      </w:r>
      <w:r w:rsidR="00E521B9">
        <w:rPr>
          <w:b/>
          <w:bCs/>
        </w:rPr>
        <w:t xml:space="preserve"> </w:t>
      </w:r>
    </w:p>
    <w:p w:rsidR="009E5BEB" w:rsidP="00F43EEB" w14:paraId="65A249CB" w14:textId="77777777">
      <w:pPr>
        <w:pStyle w:val="ListParagraph"/>
        <w:tabs>
          <w:tab w:val="left" w:pos="990"/>
        </w:tabs>
        <w:ind w:left="0"/>
        <w:rPr>
          <w:b/>
          <w:bCs/>
        </w:rPr>
      </w:pPr>
    </w:p>
    <w:p w:rsidR="002C3E78" w:rsidP="00F43EEB" w14:paraId="7D09981A" w14:textId="7A72FEA3">
      <w:pPr>
        <w:pStyle w:val="ListParagraph"/>
        <w:tabs>
          <w:tab w:val="left" w:pos="990"/>
        </w:tabs>
        <w:ind w:left="0"/>
      </w:pPr>
      <w:r>
        <w:t xml:space="preserve">This information collection does not involve a form or other collection instrument upon which ATF could display the expiration date. </w:t>
      </w:r>
      <w:r w:rsidR="00020939">
        <w:t>It requires industry to</w:t>
      </w:r>
      <w:r w:rsidR="00F96903">
        <w:t xml:space="preserve"> deliver</w:t>
      </w:r>
      <w:r w:rsidR="000D4EDA">
        <w:t xml:space="preserve"> their records to any ATF office located in the region in which the business was located, or to the ATF Out-of-Business Records Center</w:t>
      </w:r>
      <w:r w:rsidR="003A2105">
        <w:t>,</w:t>
      </w:r>
      <w:r w:rsidR="000D4EDA">
        <w:t xml:space="preserve"> within </w:t>
      </w:r>
      <w:r w:rsidR="00DD2E75">
        <w:t>30 days of discontinuing business.</w:t>
      </w:r>
      <w:r w:rsidR="00894DE1">
        <w:t xml:space="preserve"> </w:t>
      </w:r>
      <w:r w:rsidR="00C81969">
        <w:t>As a result, ATF</w:t>
      </w:r>
      <w:r w:rsidR="00065970">
        <w:t xml:space="preserve"> </w:t>
      </w:r>
      <w:r w:rsidR="006D68CA">
        <w:t>is not able to</w:t>
      </w:r>
      <w:r w:rsidR="006D68CA">
        <w:t xml:space="preserve"> display an expiration date</w:t>
      </w:r>
      <w:r w:rsidR="00894DE1">
        <w:t xml:space="preserve"> on such an instrument</w:t>
      </w:r>
      <w:r w:rsidR="006D68CA">
        <w:t>.</w:t>
      </w:r>
      <w:r w:rsidR="00894DE1">
        <w:t xml:space="preserve"> However, ATF has </w:t>
      </w:r>
      <w:r w:rsidR="005B4B50">
        <w:t xml:space="preserve">a page on its website on which it </w:t>
      </w:r>
      <w:r w:rsidR="000F519C">
        <w:t>includes</w:t>
      </w:r>
      <w:r w:rsidR="00383D72">
        <w:t xml:space="preserve"> the OMB control number and expiration date. It will also be updating this page with the new electronic records and OOBRC </w:t>
      </w:r>
      <w:r w:rsidR="00877BAC">
        <w:t xml:space="preserve">transfer standards within the next year. </w:t>
      </w:r>
      <w:r w:rsidRPr="0071202E" w:rsidR="0071202E">
        <w:rPr>
          <w:i/>
          <w:iCs/>
        </w:rPr>
        <w:t>See</w:t>
      </w:r>
      <w:r w:rsidR="0071202E">
        <w:t xml:space="preserve"> </w:t>
      </w:r>
      <w:r w:rsidRPr="00877BAC" w:rsidR="00877BAC">
        <w:t>https://www.atf.gov/explosives/qa/do-i-have-send-my-computer-records-out-business-records-center-when-i-discontinue-my</w:t>
      </w:r>
      <w:r w:rsidR="006D68CA">
        <w:t xml:space="preserve"> </w:t>
      </w:r>
    </w:p>
    <w:p w:rsidR="002C3E78" w:rsidP="00F43EEB" w14:paraId="56FDD02F" w14:textId="77777777">
      <w:pPr>
        <w:pStyle w:val="ListParagraph"/>
        <w:tabs>
          <w:tab w:val="left" w:pos="990"/>
        </w:tabs>
        <w:ind w:left="0"/>
      </w:pPr>
    </w:p>
    <w:p w:rsidR="009E5BEB" w:rsidP="00F43EEB" w14:paraId="7BBCB364" w14:textId="5F839BD3">
      <w:pPr>
        <w:pStyle w:val="ListParagraph"/>
        <w:tabs>
          <w:tab w:val="left" w:pos="990"/>
        </w:tabs>
        <w:ind w:left="0"/>
      </w:pPr>
      <w:r>
        <w:rPr>
          <w:b/>
          <w:bCs/>
        </w:rPr>
        <w:t>18.</w:t>
      </w:r>
      <w:r w:rsidR="003E3351">
        <w:t xml:space="preserve"> </w:t>
      </w:r>
      <w:r w:rsidR="00625FD8">
        <w:rPr>
          <w:b/>
          <w:bCs/>
        </w:rPr>
        <w:t>Explain each exception to the certification statement.</w:t>
      </w:r>
      <w:r w:rsidR="00CE4AF9">
        <w:rPr>
          <w:b/>
          <w:bCs/>
        </w:rPr>
        <w:t xml:space="preserve"> </w:t>
      </w:r>
      <w:r w:rsidR="00E562B7">
        <w:t xml:space="preserve"> </w:t>
      </w:r>
    </w:p>
    <w:p w:rsidR="009E5BEB" w:rsidP="00E80015" w14:paraId="68F1AD33" w14:textId="77777777">
      <w:pPr>
        <w:pStyle w:val="ListParagraph"/>
        <w:tabs>
          <w:tab w:val="left" w:pos="990"/>
        </w:tabs>
        <w:ind w:left="0"/>
      </w:pPr>
    </w:p>
    <w:p w:rsidR="00404668" w:rsidP="00E80015" w14:paraId="3935D491" w14:textId="082AB1BF">
      <w:pPr>
        <w:pStyle w:val="ListParagraph"/>
        <w:tabs>
          <w:tab w:val="left" w:pos="990"/>
        </w:tabs>
        <w:ind w:left="0"/>
      </w:pPr>
      <w:r>
        <w:t>This information collection does not include any exceptions to th</w:t>
      </w:r>
      <w:r w:rsidR="003E3351">
        <w:t>e certification statement.</w:t>
      </w:r>
    </w:p>
    <w:p w:rsidR="00C8096A" w:rsidP="00E80015" w14:paraId="455AD2CD" w14:textId="77777777">
      <w:pPr>
        <w:pStyle w:val="ListParagraph"/>
        <w:ind w:left="0"/>
      </w:pPr>
    </w:p>
    <w:p w:rsidR="00C8096A" w:rsidP="00C8096A" w14:paraId="54FE9304" w14:textId="38F69904">
      <w:pPr>
        <w:tabs>
          <w:tab w:val="left" w:pos="990"/>
        </w:tabs>
      </w:pPr>
      <w:r w:rsidRPr="008561A8">
        <w:rPr>
          <w:b/>
          <w:bCs/>
        </w:rPr>
        <w:t xml:space="preserve">B. </w:t>
      </w:r>
      <w:r w:rsidRPr="008561A8" w:rsidR="008561A8">
        <w:rPr>
          <w:b/>
          <w:bCs/>
        </w:rPr>
        <w:t>INFORMATION COLLECTIONS EMPLOYING STATIST</w:t>
      </w:r>
      <w:r w:rsidR="00386AF0">
        <w:rPr>
          <w:b/>
          <w:bCs/>
        </w:rPr>
        <w:t>I</w:t>
      </w:r>
      <w:r w:rsidRPr="008561A8" w:rsidR="008561A8">
        <w:rPr>
          <w:b/>
          <w:bCs/>
        </w:rPr>
        <w:t>CAL METHODS</w:t>
      </w:r>
      <w:r w:rsidR="008561A8">
        <w:t>.</w:t>
      </w:r>
    </w:p>
    <w:p w:rsidR="00412C50" w:rsidP="00E80015" w14:paraId="03312B43" w14:textId="77777777">
      <w:pPr>
        <w:pStyle w:val="ListParagraph"/>
        <w:ind w:left="0"/>
      </w:pPr>
    </w:p>
    <w:p w:rsidR="00102E25" w:rsidP="00E80015" w14:paraId="308EC5AA" w14:textId="58A3C4C3">
      <w:pPr>
        <w:pStyle w:val="ListParagraph"/>
        <w:ind w:left="0"/>
      </w:pPr>
      <w:r>
        <w:t>This collection</w:t>
      </w:r>
      <w:r w:rsidR="00C70877">
        <w:t xml:space="preserve"> does not employ statistical methods.</w:t>
      </w:r>
    </w:p>
    <w:p w:rsidR="00412C50" w:rsidP="00412C50" w14:paraId="57701DB9" w14:textId="14AAB4AA">
      <w:pPr>
        <w:tabs>
          <w:tab w:val="left" w:pos="990"/>
        </w:tabs>
      </w:pPr>
    </w:p>
    <w:sectPr w:rsidSect="00887B0D">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BF1" w:rsidP="00E779AB" w14:paraId="3793888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0BF1" w14:paraId="31E9BE1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BF1" w:rsidP="00E779AB" w14:paraId="4144513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0BF1" w14:paraId="74EBCC7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A2603" w:rsidP="00404668" w14:paraId="74D32758" w14:textId="77777777">
      <w:r>
        <w:separator/>
      </w:r>
    </w:p>
  </w:footnote>
  <w:footnote w:type="continuationSeparator" w:id="1">
    <w:p w:rsidR="007A2603" w:rsidP="00404668" w14:paraId="0A7FB903" w14:textId="77777777">
      <w:r>
        <w:continuationSeparator/>
      </w:r>
    </w:p>
  </w:footnote>
  <w:footnote w:id="2">
    <w:p w:rsidR="004B2DD4" w14:paraId="20CAD9C2" w14:textId="3539A582">
      <w:pPr>
        <w:pStyle w:val="FootnoteText"/>
      </w:pPr>
      <w:r>
        <w:rPr>
          <w:rStyle w:val="FootnoteReference"/>
        </w:rPr>
        <w:footnoteRef/>
      </w:r>
      <w:r>
        <w:t xml:space="preserve"> </w:t>
      </w:r>
      <w:r w:rsidRPr="00293595" w:rsidR="003F25F6">
        <w:t>https://data.bls.gov/oesprofile/</w:t>
      </w:r>
      <w:r w:rsidR="003F25F6">
        <w:t xml:space="preserve"> </w:t>
      </w:r>
      <w:r w:rsidRPr="006C5142" w:rsidR="006C5142">
        <w:t>41-2011 Cashiers</w:t>
      </w:r>
    </w:p>
  </w:footnote>
  <w:footnote w:id="3">
    <w:p w:rsidR="00005A68" w14:paraId="42773B17" w14:textId="0AF586AA">
      <w:pPr>
        <w:pStyle w:val="FootnoteText"/>
      </w:pPr>
      <w:r>
        <w:rPr>
          <w:rStyle w:val="FootnoteReference"/>
        </w:rPr>
        <w:footnoteRef/>
      </w:r>
      <w:r>
        <w:t xml:space="preserve"> </w:t>
      </w:r>
      <w:hyperlink r:id="rId1" w:tgtFrame="_blank" w:tooltip="https://data.bls.gov/pdq/surveyoutputservlet" w:history="1">
        <w:r w:rsidRPr="00691315" w:rsidR="00F74803">
          <w:rPr>
            <w:rStyle w:val="Hyperlink"/>
            <w:color w:val="000000" w:themeColor="text1"/>
            <w:u w:val="none"/>
          </w:rPr>
          <w:t>https://data.bls.gov/pdq/SurveyOutputServlet</w:t>
        </w:r>
      </w:hyperlink>
      <w:r w:rsidRPr="00691315" w:rsidR="00F74803">
        <w:rPr>
          <w:color w:val="000000" w:themeColor="text1"/>
        </w:rPr>
        <w:t xml:space="preserve"> </w:t>
      </w:r>
      <w:r w:rsidRPr="00052864" w:rsidR="00F74803">
        <w:t>using codes: total compensation code CMU2010000000000D and wages and salaries code CMU2020000000000D.  Load rate of 1.42 = $41.62 average total compensation / $29.35 wages and salaries.</w:t>
      </w:r>
    </w:p>
  </w:footnote>
  <w:footnote w:id="4">
    <w:p w:rsidR="007F7A9B" w14:paraId="0621A49F" w14:textId="38D3C1CD">
      <w:pPr>
        <w:pStyle w:val="FootnoteText"/>
      </w:pPr>
      <w:r>
        <w:rPr>
          <w:rStyle w:val="FootnoteReference"/>
        </w:rPr>
        <w:footnoteRef/>
      </w:r>
      <w:r>
        <w:t xml:space="preserve"> </w:t>
      </w:r>
      <w:r w:rsidRPr="004474D0" w:rsidR="004474D0">
        <w:t>https://www.usps.com/business/prices.htm</w:t>
      </w:r>
    </w:p>
  </w:footnote>
  <w:footnote w:id="5">
    <w:p w:rsidR="0018166F" w14:paraId="678C763F" w14:textId="3D78CAB5">
      <w:pPr>
        <w:pStyle w:val="FootnoteText"/>
      </w:pPr>
      <w:r>
        <w:rPr>
          <w:rStyle w:val="FootnoteReference"/>
        </w:rPr>
        <w:footnoteRef/>
      </w:r>
      <w:r>
        <w:t xml:space="preserve"> $292 shipping costs = 230 respondents * $1.27 shipping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7B0D" w:rsidRPr="004164D3" w:rsidP="00887B0D" w14:paraId="2F4224AC" w14:textId="2C720DDF">
    <w:pPr>
      <w:widowControl w:val="0"/>
      <w:tabs>
        <w:tab w:val="center" w:pos="4680"/>
        <w:tab w:val="right" w:pos="9360"/>
      </w:tabs>
      <w:autoSpaceDE w:val="0"/>
      <w:autoSpaceDN w:val="0"/>
      <w:adjustRightInd w:val="0"/>
      <w:rPr>
        <w:bCs/>
        <w:sz w:val="20"/>
        <w:szCs w:val="20"/>
      </w:rPr>
    </w:pPr>
    <w:r>
      <w:rPr>
        <w:bCs/>
        <w:sz w:val="20"/>
        <w:szCs w:val="20"/>
      </w:rPr>
      <w:t>Explosives</w:t>
    </w:r>
    <w:r>
      <w:rPr>
        <w:bCs/>
        <w:sz w:val="20"/>
        <w:szCs w:val="20"/>
      </w:rPr>
      <w:t xml:space="preserve"> licensees/permittees out-of-business records</w:t>
    </w:r>
  </w:p>
  <w:p w:rsidR="00887B0D" w:rsidRPr="004164D3" w:rsidP="00887B0D" w14:paraId="1785B4ED" w14:textId="77777777">
    <w:pPr>
      <w:widowControl w:val="0"/>
      <w:tabs>
        <w:tab w:val="center" w:pos="4680"/>
        <w:tab w:val="right" w:pos="9360"/>
      </w:tabs>
      <w:autoSpaceDE w:val="0"/>
      <w:autoSpaceDN w:val="0"/>
      <w:adjustRightInd w:val="0"/>
      <w:rPr>
        <w:sz w:val="20"/>
        <w:szCs w:val="20"/>
      </w:rPr>
    </w:pPr>
    <w:r w:rsidRPr="004164D3">
      <w:rPr>
        <w:sz w:val="20"/>
        <w:szCs w:val="20"/>
      </w:rPr>
      <w:t xml:space="preserve">OMB Control Number </w:t>
    </w:r>
    <w:r>
      <w:rPr>
        <w:sz w:val="20"/>
        <w:szCs w:val="20"/>
      </w:rPr>
      <w:t>1140</w:t>
    </w:r>
    <w:r w:rsidRPr="004164D3">
      <w:rPr>
        <w:sz w:val="20"/>
        <w:szCs w:val="20"/>
      </w:rPr>
      <w:t>-</w:t>
    </w:r>
    <w:r>
      <w:rPr>
        <w:sz w:val="20"/>
        <w:szCs w:val="20"/>
      </w:rPr>
      <w:t>0102</w:t>
    </w:r>
  </w:p>
  <w:p w:rsidR="00887B0D" w:rsidRPr="004164D3" w:rsidP="00887B0D" w14:paraId="7F7AA4C9" w14:textId="77777777">
    <w:pPr>
      <w:widowControl w:val="0"/>
      <w:tabs>
        <w:tab w:val="center" w:pos="4680"/>
        <w:tab w:val="right" w:pos="9360"/>
      </w:tabs>
      <w:autoSpaceDE w:val="0"/>
      <w:autoSpaceDN w:val="0"/>
      <w:adjustRightInd w:val="0"/>
      <w:rPr>
        <w:sz w:val="20"/>
        <w:szCs w:val="20"/>
      </w:rPr>
    </w:pPr>
    <w:r w:rsidRPr="004164D3">
      <w:rPr>
        <w:sz w:val="20"/>
        <w:szCs w:val="20"/>
      </w:rPr>
      <w:t xml:space="preserve">OMB Expiration Date: </w:t>
    </w:r>
    <w:r>
      <w:rPr>
        <w:sz w:val="20"/>
        <w:szCs w:val="20"/>
      </w:rPr>
      <w:t>02</w:t>
    </w:r>
    <w:r w:rsidRPr="004164D3">
      <w:rPr>
        <w:sz w:val="20"/>
        <w:szCs w:val="20"/>
      </w:rPr>
      <w:t>/</w:t>
    </w:r>
    <w:r>
      <w:rPr>
        <w:sz w:val="20"/>
        <w:szCs w:val="20"/>
      </w:rPr>
      <w:t>28</w:t>
    </w:r>
    <w:r w:rsidRPr="004164D3">
      <w:rPr>
        <w:sz w:val="20"/>
        <w:szCs w:val="20"/>
      </w:rPr>
      <w:t>/</w:t>
    </w:r>
    <w:r>
      <w:rPr>
        <w:sz w:val="20"/>
        <w:szCs w:val="20"/>
      </w:rPr>
      <w:t>2026</w:t>
    </w:r>
  </w:p>
  <w:p w:rsidR="00887B0D" w14:paraId="26A252A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4D3" w:rsidRPr="004164D3" w:rsidP="004164D3" w14:paraId="104A85FB" w14:textId="2C12108A">
    <w:pPr>
      <w:widowControl w:val="0"/>
      <w:tabs>
        <w:tab w:val="center" w:pos="4680"/>
        <w:tab w:val="right" w:pos="9360"/>
      </w:tabs>
      <w:autoSpaceDE w:val="0"/>
      <w:autoSpaceDN w:val="0"/>
      <w:adjustRightInd w:val="0"/>
      <w:rPr>
        <w:bCs/>
        <w:sz w:val="20"/>
        <w:szCs w:val="20"/>
      </w:rPr>
    </w:pPr>
    <w:r>
      <w:rPr>
        <w:bCs/>
        <w:sz w:val="20"/>
        <w:szCs w:val="20"/>
      </w:rPr>
      <w:t>Federal explosives licensees/permittees</w:t>
    </w:r>
    <w:r w:rsidR="00E27C8B">
      <w:rPr>
        <w:bCs/>
        <w:sz w:val="20"/>
        <w:szCs w:val="20"/>
      </w:rPr>
      <w:t xml:space="preserve"> </w:t>
    </w:r>
    <w:r w:rsidR="000F615E">
      <w:rPr>
        <w:bCs/>
        <w:sz w:val="20"/>
        <w:szCs w:val="20"/>
      </w:rPr>
      <w:t>o</w:t>
    </w:r>
    <w:r w:rsidR="00E27C8B">
      <w:rPr>
        <w:bCs/>
        <w:sz w:val="20"/>
        <w:szCs w:val="20"/>
      </w:rPr>
      <w:t>ut</w:t>
    </w:r>
    <w:r w:rsidR="0053289A">
      <w:rPr>
        <w:bCs/>
        <w:sz w:val="20"/>
        <w:szCs w:val="20"/>
      </w:rPr>
      <w:t>-</w:t>
    </w:r>
    <w:r w:rsidR="00E27C8B">
      <w:rPr>
        <w:bCs/>
        <w:sz w:val="20"/>
        <w:szCs w:val="20"/>
      </w:rPr>
      <w:t xml:space="preserve"> of</w:t>
    </w:r>
    <w:r w:rsidR="00DC4432">
      <w:rPr>
        <w:bCs/>
        <w:sz w:val="20"/>
        <w:szCs w:val="20"/>
      </w:rPr>
      <w:t>-b</w:t>
    </w:r>
    <w:r w:rsidR="00E27C8B">
      <w:rPr>
        <w:bCs/>
        <w:sz w:val="20"/>
        <w:szCs w:val="20"/>
      </w:rPr>
      <w:t xml:space="preserve">usiness </w:t>
    </w:r>
    <w:r w:rsidR="0005376C">
      <w:rPr>
        <w:bCs/>
        <w:sz w:val="20"/>
        <w:szCs w:val="20"/>
      </w:rPr>
      <w:t>r</w:t>
    </w:r>
    <w:r w:rsidR="00E27C8B">
      <w:rPr>
        <w:bCs/>
        <w:sz w:val="20"/>
        <w:szCs w:val="20"/>
      </w:rPr>
      <w:t>ecords</w:t>
    </w:r>
  </w:p>
  <w:p w:rsidR="004164D3" w:rsidRPr="004164D3" w:rsidP="004164D3" w14:paraId="1602A423" w14:textId="22F103BE">
    <w:pPr>
      <w:widowControl w:val="0"/>
      <w:tabs>
        <w:tab w:val="center" w:pos="4680"/>
        <w:tab w:val="right" w:pos="9360"/>
      </w:tabs>
      <w:autoSpaceDE w:val="0"/>
      <w:autoSpaceDN w:val="0"/>
      <w:adjustRightInd w:val="0"/>
      <w:rPr>
        <w:sz w:val="20"/>
        <w:szCs w:val="20"/>
      </w:rPr>
    </w:pPr>
    <w:r w:rsidRPr="004164D3">
      <w:rPr>
        <w:sz w:val="20"/>
        <w:szCs w:val="20"/>
      </w:rPr>
      <w:t xml:space="preserve">OMB Control Number </w:t>
    </w:r>
    <w:r w:rsidR="00E27C8B">
      <w:rPr>
        <w:sz w:val="20"/>
        <w:szCs w:val="20"/>
      </w:rPr>
      <w:t>1140</w:t>
    </w:r>
    <w:r w:rsidRPr="004164D3">
      <w:rPr>
        <w:sz w:val="20"/>
        <w:szCs w:val="20"/>
      </w:rPr>
      <w:t>-</w:t>
    </w:r>
    <w:r w:rsidR="00E27C8B">
      <w:rPr>
        <w:sz w:val="20"/>
        <w:szCs w:val="20"/>
      </w:rPr>
      <w:t>0102</w:t>
    </w:r>
  </w:p>
  <w:p w:rsidR="004164D3" w:rsidRPr="004164D3" w:rsidP="004164D3" w14:paraId="7E5F7DCC" w14:textId="4B1CB065">
    <w:pPr>
      <w:widowControl w:val="0"/>
      <w:tabs>
        <w:tab w:val="center" w:pos="4680"/>
        <w:tab w:val="right" w:pos="9360"/>
      </w:tabs>
      <w:autoSpaceDE w:val="0"/>
      <w:autoSpaceDN w:val="0"/>
      <w:adjustRightInd w:val="0"/>
      <w:rPr>
        <w:sz w:val="20"/>
        <w:szCs w:val="20"/>
      </w:rPr>
    </w:pPr>
    <w:r w:rsidRPr="004164D3">
      <w:rPr>
        <w:sz w:val="20"/>
        <w:szCs w:val="20"/>
      </w:rPr>
      <w:t xml:space="preserve">OMB Expiration Date: </w:t>
    </w:r>
    <w:r w:rsidR="007F5030">
      <w:rPr>
        <w:sz w:val="20"/>
        <w:szCs w:val="20"/>
      </w:rPr>
      <w:t>02</w:t>
    </w:r>
    <w:r w:rsidRPr="004164D3">
      <w:rPr>
        <w:sz w:val="20"/>
        <w:szCs w:val="20"/>
      </w:rPr>
      <w:t>/</w:t>
    </w:r>
    <w:r w:rsidR="007F5030">
      <w:rPr>
        <w:sz w:val="20"/>
        <w:szCs w:val="20"/>
      </w:rPr>
      <w:t>28</w:t>
    </w:r>
    <w:r w:rsidRPr="004164D3">
      <w:rPr>
        <w:sz w:val="20"/>
        <w:szCs w:val="20"/>
      </w:rPr>
      <w:t>/</w:t>
    </w:r>
    <w:r w:rsidR="007F5030">
      <w:rPr>
        <w:sz w:val="20"/>
        <w:szCs w:val="20"/>
      </w:rPr>
      <w:t>2026</w:t>
    </w:r>
  </w:p>
  <w:p w:rsidR="004164D3" w14:paraId="1E3A0C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2A3747"/>
    <w:multiLevelType w:val="hybridMultilevel"/>
    <w:tmpl w:val="E6E684FA"/>
    <w:lvl w:ilvl="0">
      <w:start w:val="12"/>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7F2783"/>
    <w:multiLevelType w:val="hybridMultilevel"/>
    <w:tmpl w:val="9D82FD34"/>
    <w:lvl w:ilvl="0">
      <w:start w:val="4"/>
      <w:numFmt w:val="decimal"/>
      <w:lvlText w:val="%1."/>
      <w:lvlJc w:val="left"/>
      <w:pPr>
        <w:ind w:left="1440" w:hanging="360"/>
      </w:pPr>
      <w:rPr>
        <w:rFonts w:hint="default"/>
        <w:b/>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5D984B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90C5FD5"/>
    <w:multiLevelType w:val="hybridMultilevel"/>
    <w:tmpl w:val="80441BCA"/>
    <w:lvl w:ilvl="0">
      <w:start w:val="1"/>
      <w:numFmt w:val="decimal"/>
      <w:lvlText w:val="%1."/>
      <w:lvlJc w:val="left"/>
      <w:pPr>
        <w:ind w:left="867" w:hanging="435"/>
      </w:pPr>
      <w:rPr>
        <w:rFonts w:hint="default"/>
        <w:b/>
        <w:bCs/>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num w:numId="1" w16cid:durableId="1201866328">
    <w:abstractNumId w:val="3"/>
  </w:num>
  <w:num w:numId="2" w16cid:durableId="487863942">
    <w:abstractNumId w:val="1"/>
  </w:num>
  <w:num w:numId="3" w16cid:durableId="1841971070">
    <w:abstractNumId w:val="0"/>
  </w:num>
  <w:num w:numId="4" w16cid:durableId="1826313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68"/>
    <w:rsid w:val="00001C26"/>
    <w:rsid w:val="00002F8B"/>
    <w:rsid w:val="00003BFB"/>
    <w:rsid w:val="00005A68"/>
    <w:rsid w:val="00011B70"/>
    <w:rsid w:val="00020939"/>
    <w:rsid w:val="00020ACF"/>
    <w:rsid w:val="00025441"/>
    <w:rsid w:val="00025544"/>
    <w:rsid w:val="00027894"/>
    <w:rsid w:val="00027D5F"/>
    <w:rsid w:val="00033BD8"/>
    <w:rsid w:val="000436B3"/>
    <w:rsid w:val="0005025A"/>
    <w:rsid w:val="000515F9"/>
    <w:rsid w:val="00052864"/>
    <w:rsid w:val="00052E05"/>
    <w:rsid w:val="0005376C"/>
    <w:rsid w:val="00055EFF"/>
    <w:rsid w:val="00056F64"/>
    <w:rsid w:val="00065970"/>
    <w:rsid w:val="00070E29"/>
    <w:rsid w:val="00072A0D"/>
    <w:rsid w:val="000748DA"/>
    <w:rsid w:val="0008254E"/>
    <w:rsid w:val="000867F4"/>
    <w:rsid w:val="00087256"/>
    <w:rsid w:val="00092029"/>
    <w:rsid w:val="000925E6"/>
    <w:rsid w:val="0009337E"/>
    <w:rsid w:val="00095F15"/>
    <w:rsid w:val="000A44CE"/>
    <w:rsid w:val="000B33BA"/>
    <w:rsid w:val="000B33D2"/>
    <w:rsid w:val="000B42BA"/>
    <w:rsid w:val="000D2D19"/>
    <w:rsid w:val="000D4EDA"/>
    <w:rsid w:val="000D5EB3"/>
    <w:rsid w:val="000E210A"/>
    <w:rsid w:val="000E2143"/>
    <w:rsid w:val="000E5CBA"/>
    <w:rsid w:val="000E5F67"/>
    <w:rsid w:val="000E6B2E"/>
    <w:rsid w:val="000F3475"/>
    <w:rsid w:val="000F519C"/>
    <w:rsid w:val="000F615E"/>
    <w:rsid w:val="00102901"/>
    <w:rsid w:val="00102E25"/>
    <w:rsid w:val="001031DF"/>
    <w:rsid w:val="001064E6"/>
    <w:rsid w:val="00107689"/>
    <w:rsid w:val="0011120D"/>
    <w:rsid w:val="00112D75"/>
    <w:rsid w:val="001212B5"/>
    <w:rsid w:val="00125142"/>
    <w:rsid w:val="0012569E"/>
    <w:rsid w:val="00126C18"/>
    <w:rsid w:val="001311D6"/>
    <w:rsid w:val="001346E9"/>
    <w:rsid w:val="001365FD"/>
    <w:rsid w:val="00142625"/>
    <w:rsid w:val="00143335"/>
    <w:rsid w:val="00143B79"/>
    <w:rsid w:val="00144327"/>
    <w:rsid w:val="00144E06"/>
    <w:rsid w:val="00155920"/>
    <w:rsid w:val="00162FE4"/>
    <w:rsid w:val="001715B3"/>
    <w:rsid w:val="00171EA9"/>
    <w:rsid w:val="0017311F"/>
    <w:rsid w:val="00177A5E"/>
    <w:rsid w:val="0018166F"/>
    <w:rsid w:val="0018316D"/>
    <w:rsid w:val="00197323"/>
    <w:rsid w:val="001A4EDC"/>
    <w:rsid w:val="001A60C0"/>
    <w:rsid w:val="001B0641"/>
    <w:rsid w:val="001B1CB2"/>
    <w:rsid w:val="001B4676"/>
    <w:rsid w:val="001B4B77"/>
    <w:rsid w:val="001B526B"/>
    <w:rsid w:val="001B6A04"/>
    <w:rsid w:val="001B6E51"/>
    <w:rsid w:val="001C008A"/>
    <w:rsid w:val="001C10EC"/>
    <w:rsid w:val="001C3AA4"/>
    <w:rsid w:val="001C48EC"/>
    <w:rsid w:val="001C72C1"/>
    <w:rsid w:val="001C78DF"/>
    <w:rsid w:val="001D4A1F"/>
    <w:rsid w:val="001D5DD8"/>
    <w:rsid w:val="001E2D10"/>
    <w:rsid w:val="001E3965"/>
    <w:rsid w:val="001E7A9A"/>
    <w:rsid w:val="001F4C2A"/>
    <w:rsid w:val="001F5717"/>
    <w:rsid w:val="001F6584"/>
    <w:rsid w:val="00204A65"/>
    <w:rsid w:val="0020697C"/>
    <w:rsid w:val="00206E41"/>
    <w:rsid w:val="00210DCB"/>
    <w:rsid w:val="00212ABC"/>
    <w:rsid w:val="00212EF3"/>
    <w:rsid w:val="00214ED1"/>
    <w:rsid w:val="00220B64"/>
    <w:rsid w:val="00224036"/>
    <w:rsid w:val="00225CA3"/>
    <w:rsid w:val="002277BD"/>
    <w:rsid w:val="002313D8"/>
    <w:rsid w:val="00233486"/>
    <w:rsid w:val="00234CF0"/>
    <w:rsid w:val="00240C8F"/>
    <w:rsid w:val="00243027"/>
    <w:rsid w:val="0024515B"/>
    <w:rsid w:val="00247273"/>
    <w:rsid w:val="002519AC"/>
    <w:rsid w:val="00252EE3"/>
    <w:rsid w:val="00253516"/>
    <w:rsid w:val="00256015"/>
    <w:rsid w:val="00260A1E"/>
    <w:rsid w:val="00261307"/>
    <w:rsid w:val="002623D2"/>
    <w:rsid w:val="00262BB9"/>
    <w:rsid w:val="00263ED2"/>
    <w:rsid w:val="00265139"/>
    <w:rsid w:val="00265584"/>
    <w:rsid w:val="00266606"/>
    <w:rsid w:val="00266CC5"/>
    <w:rsid w:val="00273AF6"/>
    <w:rsid w:val="002742C0"/>
    <w:rsid w:val="00274470"/>
    <w:rsid w:val="00274813"/>
    <w:rsid w:val="00275E46"/>
    <w:rsid w:val="0027716A"/>
    <w:rsid w:val="002835B8"/>
    <w:rsid w:val="00283B30"/>
    <w:rsid w:val="00287214"/>
    <w:rsid w:val="0029003E"/>
    <w:rsid w:val="00293595"/>
    <w:rsid w:val="002A2398"/>
    <w:rsid w:val="002A54B6"/>
    <w:rsid w:val="002A5749"/>
    <w:rsid w:val="002B1F59"/>
    <w:rsid w:val="002B388C"/>
    <w:rsid w:val="002C180D"/>
    <w:rsid w:val="002C3E78"/>
    <w:rsid w:val="002C5F2B"/>
    <w:rsid w:val="002C6B89"/>
    <w:rsid w:val="002C7343"/>
    <w:rsid w:val="002C7EAA"/>
    <w:rsid w:val="002D0AA8"/>
    <w:rsid w:val="002D1018"/>
    <w:rsid w:val="002D2B6A"/>
    <w:rsid w:val="002D3750"/>
    <w:rsid w:val="002D56B1"/>
    <w:rsid w:val="002D5971"/>
    <w:rsid w:val="002E07F2"/>
    <w:rsid w:val="002E7D69"/>
    <w:rsid w:val="002F0D32"/>
    <w:rsid w:val="002F19C6"/>
    <w:rsid w:val="002F5164"/>
    <w:rsid w:val="002F54A6"/>
    <w:rsid w:val="00300C38"/>
    <w:rsid w:val="00302DBF"/>
    <w:rsid w:val="00305B3F"/>
    <w:rsid w:val="00306A5E"/>
    <w:rsid w:val="003071CC"/>
    <w:rsid w:val="003118DC"/>
    <w:rsid w:val="003153A1"/>
    <w:rsid w:val="003239C7"/>
    <w:rsid w:val="00342DF7"/>
    <w:rsid w:val="00343DAD"/>
    <w:rsid w:val="00345D5F"/>
    <w:rsid w:val="00346B35"/>
    <w:rsid w:val="003505D2"/>
    <w:rsid w:val="00351C5B"/>
    <w:rsid w:val="003523AE"/>
    <w:rsid w:val="00353383"/>
    <w:rsid w:val="00360CBF"/>
    <w:rsid w:val="003611DB"/>
    <w:rsid w:val="00362229"/>
    <w:rsid w:val="003622E2"/>
    <w:rsid w:val="00363675"/>
    <w:rsid w:val="0036638C"/>
    <w:rsid w:val="003673E8"/>
    <w:rsid w:val="003700FE"/>
    <w:rsid w:val="0037057D"/>
    <w:rsid w:val="00376592"/>
    <w:rsid w:val="00376E9B"/>
    <w:rsid w:val="00377235"/>
    <w:rsid w:val="00383D72"/>
    <w:rsid w:val="00386AF0"/>
    <w:rsid w:val="003921BC"/>
    <w:rsid w:val="003924FB"/>
    <w:rsid w:val="00392B24"/>
    <w:rsid w:val="0039305D"/>
    <w:rsid w:val="00393BE2"/>
    <w:rsid w:val="0039765A"/>
    <w:rsid w:val="003A09CC"/>
    <w:rsid w:val="003A2105"/>
    <w:rsid w:val="003A2925"/>
    <w:rsid w:val="003A3C65"/>
    <w:rsid w:val="003A4AA6"/>
    <w:rsid w:val="003A4CE8"/>
    <w:rsid w:val="003B27A7"/>
    <w:rsid w:val="003B3288"/>
    <w:rsid w:val="003B3C38"/>
    <w:rsid w:val="003B559E"/>
    <w:rsid w:val="003B5EFF"/>
    <w:rsid w:val="003B7205"/>
    <w:rsid w:val="003C1145"/>
    <w:rsid w:val="003C2F21"/>
    <w:rsid w:val="003C3FA9"/>
    <w:rsid w:val="003D37B5"/>
    <w:rsid w:val="003D688A"/>
    <w:rsid w:val="003D7750"/>
    <w:rsid w:val="003E0C88"/>
    <w:rsid w:val="003E243A"/>
    <w:rsid w:val="003E2893"/>
    <w:rsid w:val="003E3351"/>
    <w:rsid w:val="003E3E99"/>
    <w:rsid w:val="003E5AE5"/>
    <w:rsid w:val="003F25F6"/>
    <w:rsid w:val="00401734"/>
    <w:rsid w:val="00404668"/>
    <w:rsid w:val="00410DE6"/>
    <w:rsid w:val="00412C50"/>
    <w:rsid w:val="00414AAC"/>
    <w:rsid w:val="004164D3"/>
    <w:rsid w:val="00420D8A"/>
    <w:rsid w:val="00421502"/>
    <w:rsid w:val="00427647"/>
    <w:rsid w:val="00430E44"/>
    <w:rsid w:val="004429F1"/>
    <w:rsid w:val="00443D94"/>
    <w:rsid w:val="004474D0"/>
    <w:rsid w:val="00453993"/>
    <w:rsid w:val="00463E63"/>
    <w:rsid w:val="00464483"/>
    <w:rsid w:val="00471070"/>
    <w:rsid w:val="00471E0A"/>
    <w:rsid w:val="00472ECD"/>
    <w:rsid w:val="00474C29"/>
    <w:rsid w:val="004767AE"/>
    <w:rsid w:val="004772D7"/>
    <w:rsid w:val="00482BFC"/>
    <w:rsid w:val="004831D6"/>
    <w:rsid w:val="00486D86"/>
    <w:rsid w:val="00487E12"/>
    <w:rsid w:val="00492F34"/>
    <w:rsid w:val="00493FCC"/>
    <w:rsid w:val="00496DCC"/>
    <w:rsid w:val="004A082D"/>
    <w:rsid w:val="004A3CB5"/>
    <w:rsid w:val="004A5DE1"/>
    <w:rsid w:val="004B138D"/>
    <w:rsid w:val="004B1763"/>
    <w:rsid w:val="004B2DD4"/>
    <w:rsid w:val="004B3844"/>
    <w:rsid w:val="004B5E5D"/>
    <w:rsid w:val="004C151D"/>
    <w:rsid w:val="004C5627"/>
    <w:rsid w:val="004D3524"/>
    <w:rsid w:val="004D3F88"/>
    <w:rsid w:val="004D579C"/>
    <w:rsid w:val="004E2B64"/>
    <w:rsid w:val="004E340B"/>
    <w:rsid w:val="004E5322"/>
    <w:rsid w:val="004F1320"/>
    <w:rsid w:val="004F1B6A"/>
    <w:rsid w:val="004F3586"/>
    <w:rsid w:val="004F56A3"/>
    <w:rsid w:val="005009C1"/>
    <w:rsid w:val="005012BB"/>
    <w:rsid w:val="00503C81"/>
    <w:rsid w:val="00504855"/>
    <w:rsid w:val="005051CB"/>
    <w:rsid w:val="0051301F"/>
    <w:rsid w:val="00513E32"/>
    <w:rsid w:val="00513F64"/>
    <w:rsid w:val="0051465F"/>
    <w:rsid w:val="00514801"/>
    <w:rsid w:val="00515C80"/>
    <w:rsid w:val="005172B2"/>
    <w:rsid w:val="00520D9D"/>
    <w:rsid w:val="00521BB1"/>
    <w:rsid w:val="0053289A"/>
    <w:rsid w:val="00533EC5"/>
    <w:rsid w:val="00536397"/>
    <w:rsid w:val="00536CFF"/>
    <w:rsid w:val="00542192"/>
    <w:rsid w:val="00545528"/>
    <w:rsid w:val="00551605"/>
    <w:rsid w:val="00552E29"/>
    <w:rsid w:val="00555775"/>
    <w:rsid w:val="00557AFD"/>
    <w:rsid w:val="00557B55"/>
    <w:rsid w:val="00563EDA"/>
    <w:rsid w:val="00565DDE"/>
    <w:rsid w:val="0056700D"/>
    <w:rsid w:val="005702E8"/>
    <w:rsid w:val="0057564B"/>
    <w:rsid w:val="00575A62"/>
    <w:rsid w:val="00580B38"/>
    <w:rsid w:val="0058476F"/>
    <w:rsid w:val="00585B06"/>
    <w:rsid w:val="00585E00"/>
    <w:rsid w:val="00594211"/>
    <w:rsid w:val="0059764E"/>
    <w:rsid w:val="005A3083"/>
    <w:rsid w:val="005A6ACA"/>
    <w:rsid w:val="005A7AAA"/>
    <w:rsid w:val="005B323E"/>
    <w:rsid w:val="005B4B50"/>
    <w:rsid w:val="005B5474"/>
    <w:rsid w:val="005B5717"/>
    <w:rsid w:val="005B7025"/>
    <w:rsid w:val="005C53DE"/>
    <w:rsid w:val="005D30EB"/>
    <w:rsid w:val="005E1BD9"/>
    <w:rsid w:val="005E29D3"/>
    <w:rsid w:val="005E2D96"/>
    <w:rsid w:val="005E5B93"/>
    <w:rsid w:val="005F690E"/>
    <w:rsid w:val="005F6F94"/>
    <w:rsid w:val="00601D9D"/>
    <w:rsid w:val="00602A32"/>
    <w:rsid w:val="00604147"/>
    <w:rsid w:val="006070FF"/>
    <w:rsid w:val="00610115"/>
    <w:rsid w:val="006123D8"/>
    <w:rsid w:val="0061350E"/>
    <w:rsid w:val="006168C7"/>
    <w:rsid w:val="00617071"/>
    <w:rsid w:val="00622C6B"/>
    <w:rsid w:val="00623579"/>
    <w:rsid w:val="00623A23"/>
    <w:rsid w:val="00624718"/>
    <w:rsid w:val="00624B8E"/>
    <w:rsid w:val="00625FD8"/>
    <w:rsid w:val="0063642D"/>
    <w:rsid w:val="0063700F"/>
    <w:rsid w:val="00637D5A"/>
    <w:rsid w:val="00641DEC"/>
    <w:rsid w:val="00651016"/>
    <w:rsid w:val="00653CA5"/>
    <w:rsid w:val="00654A22"/>
    <w:rsid w:val="00655BC8"/>
    <w:rsid w:val="00661554"/>
    <w:rsid w:val="00675269"/>
    <w:rsid w:val="006761E4"/>
    <w:rsid w:val="006851EF"/>
    <w:rsid w:val="0068659E"/>
    <w:rsid w:val="00691315"/>
    <w:rsid w:val="006A3410"/>
    <w:rsid w:val="006A58F3"/>
    <w:rsid w:val="006A7B98"/>
    <w:rsid w:val="006B0A5A"/>
    <w:rsid w:val="006B6BD7"/>
    <w:rsid w:val="006B6D3A"/>
    <w:rsid w:val="006C2196"/>
    <w:rsid w:val="006C3F99"/>
    <w:rsid w:val="006C5142"/>
    <w:rsid w:val="006C6903"/>
    <w:rsid w:val="006C7451"/>
    <w:rsid w:val="006D1B67"/>
    <w:rsid w:val="006D3AA2"/>
    <w:rsid w:val="006D6095"/>
    <w:rsid w:val="006D68CA"/>
    <w:rsid w:val="006E4E43"/>
    <w:rsid w:val="006E7047"/>
    <w:rsid w:val="006F2D15"/>
    <w:rsid w:val="006F2E1C"/>
    <w:rsid w:val="0070138E"/>
    <w:rsid w:val="007070B8"/>
    <w:rsid w:val="0071202E"/>
    <w:rsid w:val="00712FC8"/>
    <w:rsid w:val="007209CA"/>
    <w:rsid w:val="00724CFD"/>
    <w:rsid w:val="00733C7C"/>
    <w:rsid w:val="0073462F"/>
    <w:rsid w:val="00734BE9"/>
    <w:rsid w:val="00735835"/>
    <w:rsid w:val="00737B18"/>
    <w:rsid w:val="00740DF5"/>
    <w:rsid w:val="00740F2E"/>
    <w:rsid w:val="00741CE7"/>
    <w:rsid w:val="00751979"/>
    <w:rsid w:val="00751A80"/>
    <w:rsid w:val="00755ECF"/>
    <w:rsid w:val="00763CDE"/>
    <w:rsid w:val="00773838"/>
    <w:rsid w:val="00774A1B"/>
    <w:rsid w:val="00777C03"/>
    <w:rsid w:val="00780506"/>
    <w:rsid w:val="007815B7"/>
    <w:rsid w:val="0078799E"/>
    <w:rsid w:val="007903E3"/>
    <w:rsid w:val="0079246F"/>
    <w:rsid w:val="00794640"/>
    <w:rsid w:val="00795E5B"/>
    <w:rsid w:val="007962F9"/>
    <w:rsid w:val="007A2603"/>
    <w:rsid w:val="007A2BC1"/>
    <w:rsid w:val="007A4B02"/>
    <w:rsid w:val="007B6B6D"/>
    <w:rsid w:val="007C438D"/>
    <w:rsid w:val="007D320C"/>
    <w:rsid w:val="007D39CE"/>
    <w:rsid w:val="007D6971"/>
    <w:rsid w:val="007E7F38"/>
    <w:rsid w:val="007F5030"/>
    <w:rsid w:val="007F7A9B"/>
    <w:rsid w:val="00800112"/>
    <w:rsid w:val="00801D0E"/>
    <w:rsid w:val="00803644"/>
    <w:rsid w:val="00813548"/>
    <w:rsid w:val="0082276A"/>
    <w:rsid w:val="008265AE"/>
    <w:rsid w:val="00831A9F"/>
    <w:rsid w:val="00832036"/>
    <w:rsid w:val="008324D6"/>
    <w:rsid w:val="00834602"/>
    <w:rsid w:val="00837E03"/>
    <w:rsid w:val="008405E5"/>
    <w:rsid w:val="00840E81"/>
    <w:rsid w:val="00842396"/>
    <w:rsid w:val="008430DD"/>
    <w:rsid w:val="00846752"/>
    <w:rsid w:val="00847328"/>
    <w:rsid w:val="00847CBB"/>
    <w:rsid w:val="008561A8"/>
    <w:rsid w:val="008564C4"/>
    <w:rsid w:val="0086134B"/>
    <w:rsid w:val="00864640"/>
    <w:rsid w:val="008677AC"/>
    <w:rsid w:val="00873627"/>
    <w:rsid w:val="00877BAC"/>
    <w:rsid w:val="00877E60"/>
    <w:rsid w:val="0088568E"/>
    <w:rsid w:val="00886310"/>
    <w:rsid w:val="0088703A"/>
    <w:rsid w:val="00887B0D"/>
    <w:rsid w:val="00890BF1"/>
    <w:rsid w:val="00892BF7"/>
    <w:rsid w:val="0089370A"/>
    <w:rsid w:val="00894DE1"/>
    <w:rsid w:val="00897571"/>
    <w:rsid w:val="008A0439"/>
    <w:rsid w:val="008A17D1"/>
    <w:rsid w:val="008A196D"/>
    <w:rsid w:val="008A6624"/>
    <w:rsid w:val="008B0EC4"/>
    <w:rsid w:val="008B2841"/>
    <w:rsid w:val="008B51AF"/>
    <w:rsid w:val="008B7604"/>
    <w:rsid w:val="008C200A"/>
    <w:rsid w:val="008C4292"/>
    <w:rsid w:val="008C67D3"/>
    <w:rsid w:val="008C7778"/>
    <w:rsid w:val="008C7F49"/>
    <w:rsid w:val="008D4BA5"/>
    <w:rsid w:val="008D50A0"/>
    <w:rsid w:val="008D5444"/>
    <w:rsid w:val="008D6CE4"/>
    <w:rsid w:val="008E38EF"/>
    <w:rsid w:val="008E6D2B"/>
    <w:rsid w:val="008F01BA"/>
    <w:rsid w:val="008F08AF"/>
    <w:rsid w:val="008F111B"/>
    <w:rsid w:val="008F1919"/>
    <w:rsid w:val="008F2CCF"/>
    <w:rsid w:val="008F410F"/>
    <w:rsid w:val="008F67D1"/>
    <w:rsid w:val="00901382"/>
    <w:rsid w:val="0090402A"/>
    <w:rsid w:val="009066A2"/>
    <w:rsid w:val="00915F23"/>
    <w:rsid w:val="00917E17"/>
    <w:rsid w:val="00917EDC"/>
    <w:rsid w:val="009202E0"/>
    <w:rsid w:val="009208C8"/>
    <w:rsid w:val="0092135D"/>
    <w:rsid w:val="00924B04"/>
    <w:rsid w:val="00926C4F"/>
    <w:rsid w:val="00931E90"/>
    <w:rsid w:val="00933F41"/>
    <w:rsid w:val="00935185"/>
    <w:rsid w:val="00935255"/>
    <w:rsid w:val="00940A2E"/>
    <w:rsid w:val="00941708"/>
    <w:rsid w:val="009432B0"/>
    <w:rsid w:val="00945EAB"/>
    <w:rsid w:val="00950418"/>
    <w:rsid w:val="009517BE"/>
    <w:rsid w:val="009552AF"/>
    <w:rsid w:val="00957A92"/>
    <w:rsid w:val="00961051"/>
    <w:rsid w:val="00963D9D"/>
    <w:rsid w:val="00965C08"/>
    <w:rsid w:val="00970E60"/>
    <w:rsid w:val="009733F2"/>
    <w:rsid w:val="0097569D"/>
    <w:rsid w:val="00982900"/>
    <w:rsid w:val="00990EB0"/>
    <w:rsid w:val="00995B9E"/>
    <w:rsid w:val="009964C1"/>
    <w:rsid w:val="009A3D7E"/>
    <w:rsid w:val="009A5D19"/>
    <w:rsid w:val="009B28A9"/>
    <w:rsid w:val="009B59AA"/>
    <w:rsid w:val="009B61B3"/>
    <w:rsid w:val="009B7393"/>
    <w:rsid w:val="009C0467"/>
    <w:rsid w:val="009D2D4A"/>
    <w:rsid w:val="009D3BA2"/>
    <w:rsid w:val="009E27B4"/>
    <w:rsid w:val="009E5BEB"/>
    <w:rsid w:val="009E5E26"/>
    <w:rsid w:val="009E7F6B"/>
    <w:rsid w:val="009F61CD"/>
    <w:rsid w:val="009F7A7C"/>
    <w:rsid w:val="009F7F67"/>
    <w:rsid w:val="00A03238"/>
    <w:rsid w:val="00A05B66"/>
    <w:rsid w:val="00A10117"/>
    <w:rsid w:val="00A111CE"/>
    <w:rsid w:val="00A11DDE"/>
    <w:rsid w:val="00A14667"/>
    <w:rsid w:val="00A14A09"/>
    <w:rsid w:val="00A14B6D"/>
    <w:rsid w:val="00A210DF"/>
    <w:rsid w:val="00A2190B"/>
    <w:rsid w:val="00A23F8C"/>
    <w:rsid w:val="00A25A86"/>
    <w:rsid w:val="00A26A8A"/>
    <w:rsid w:val="00A27A29"/>
    <w:rsid w:val="00A30599"/>
    <w:rsid w:val="00A30F5F"/>
    <w:rsid w:val="00A3128D"/>
    <w:rsid w:val="00A3178E"/>
    <w:rsid w:val="00A32A19"/>
    <w:rsid w:val="00A32DB9"/>
    <w:rsid w:val="00A32E1E"/>
    <w:rsid w:val="00A33583"/>
    <w:rsid w:val="00A33C5A"/>
    <w:rsid w:val="00A37212"/>
    <w:rsid w:val="00A37572"/>
    <w:rsid w:val="00A41537"/>
    <w:rsid w:val="00A471F2"/>
    <w:rsid w:val="00A47A03"/>
    <w:rsid w:val="00A54502"/>
    <w:rsid w:val="00A55669"/>
    <w:rsid w:val="00A56BFC"/>
    <w:rsid w:val="00A57880"/>
    <w:rsid w:val="00A66262"/>
    <w:rsid w:val="00A703C1"/>
    <w:rsid w:val="00A71727"/>
    <w:rsid w:val="00A748EF"/>
    <w:rsid w:val="00A75BB5"/>
    <w:rsid w:val="00A77702"/>
    <w:rsid w:val="00A80317"/>
    <w:rsid w:val="00A80E17"/>
    <w:rsid w:val="00A841C8"/>
    <w:rsid w:val="00AB15D3"/>
    <w:rsid w:val="00AB1839"/>
    <w:rsid w:val="00AB2E54"/>
    <w:rsid w:val="00AB3810"/>
    <w:rsid w:val="00AB3BDA"/>
    <w:rsid w:val="00AB48CF"/>
    <w:rsid w:val="00AC2489"/>
    <w:rsid w:val="00AC5A07"/>
    <w:rsid w:val="00AD2C14"/>
    <w:rsid w:val="00AD2C78"/>
    <w:rsid w:val="00AD5612"/>
    <w:rsid w:val="00AD5C82"/>
    <w:rsid w:val="00AD6CA9"/>
    <w:rsid w:val="00AD70A5"/>
    <w:rsid w:val="00AE0544"/>
    <w:rsid w:val="00AE1B88"/>
    <w:rsid w:val="00AE67B1"/>
    <w:rsid w:val="00AF03C1"/>
    <w:rsid w:val="00AF067B"/>
    <w:rsid w:val="00AF2ACB"/>
    <w:rsid w:val="00AF5004"/>
    <w:rsid w:val="00AF760B"/>
    <w:rsid w:val="00AF7C99"/>
    <w:rsid w:val="00B05A68"/>
    <w:rsid w:val="00B06082"/>
    <w:rsid w:val="00B06904"/>
    <w:rsid w:val="00B116F1"/>
    <w:rsid w:val="00B12414"/>
    <w:rsid w:val="00B2118E"/>
    <w:rsid w:val="00B22F33"/>
    <w:rsid w:val="00B23F85"/>
    <w:rsid w:val="00B2443F"/>
    <w:rsid w:val="00B30DD9"/>
    <w:rsid w:val="00B31102"/>
    <w:rsid w:val="00B34308"/>
    <w:rsid w:val="00B35DE2"/>
    <w:rsid w:val="00B40D3A"/>
    <w:rsid w:val="00B41A90"/>
    <w:rsid w:val="00B41A93"/>
    <w:rsid w:val="00B45C88"/>
    <w:rsid w:val="00B47AB4"/>
    <w:rsid w:val="00B56019"/>
    <w:rsid w:val="00B574FD"/>
    <w:rsid w:val="00B6154C"/>
    <w:rsid w:val="00B6537C"/>
    <w:rsid w:val="00B674EB"/>
    <w:rsid w:val="00B71771"/>
    <w:rsid w:val="00B7271F"/>
    <w:rsid w:val="00B763AD"/>
    <w:rsid w:val="00B84FCD"/>
    <w:rsid w:val="00B9109C"/>
    <w:rsid w:val="00B91805"/>
    <w:rsid w:val="00B921CB"/>
    <w:rsid w:val="00B927F6"/>
    <w:rsid w:val="00B9600B"/>
    <w:rsid w:val="00B9693A"/>
    <w:rsid w:val="00BA1023"/>
    <w:rsid w:val="00BA1134"/>
    <w:rsid w:val="00BA4018"/>
    <w:rsid w:val="00BA5893"/>
    <w:rsid w:val="00BA6841"/>
    <w:rsid w:val="00BB0082"/>
    <w:rsid w:val="00BB3924"/>
    <w:rsid w:val="00BB7193"/>
    <w:rsid w:val="00BC4196"/>
    <w:rsid w:val="00BC478D"/>
    <w:rsid w:val="00BD52C6"/>
    <w:rsid w:val="00BD5CDA"/>
    <w:rsid w:val="00BE1D76"/>
    <w:rsid w:val="00BE2C74"/>
    <w:rsid w:val="00BE4BB1"/>
    <w:rsid w:val="00BE5C50"/>
    <w:rsid w:val="00BE5E71"/>
    <w:rsid w:val="00BE6421"/>
    <w:rsid w:val="00BE6CD8"/>
    <w:rsid w:val="00BF005C"/>
    <w:rsid w:val="00BF4B79"/>
    <w:rsid w:val="00BF593A"/>
    <w:rsid w:val="00BF6776"/>
    <w:rsid w:val="00C01073"/>
    <w:rsid w:val="00C071DB"/>
    <w:rsid w:val="00C11D96"/>
    <w:rsid w:val="00C139FF"/>
    <w:rsid w:val="00C146C9"/>
    <w:rsid w:val="00C1506B"/>
    <w:rsid w:val="00C1738F"/>
    <w:rsid w:val="00C21B40"/>
    <w:rsid w:val="00C22F1A"/>
    <w:rsid w:val="00C23924"/>
    <w:rsid w:val="00C23D19"/>
    <w:rsid w:val="00C27F1A"/>
    <w:rsid w:val="00C30A1A"/>
    <w:rsid w:val="00C31DBB"/>
    <w:rsid w:val="00C37EAD"/>
    <w:rsid w:val="00C40902"/>
    <w:rsid w:val="00C457D7"/>
    <w:rsid w:val="00C4584E"/>
    <w:rsid w:val="00C45C3C"/>
    <w:rsid w:val="00C460DB"/>
    <w:rsid w:val="00C526BC"/>
    <w:rsid w:val="00C56FD9"/>
    <w:rsid w:val="00C6190F"/>
    <w:rsid w:val="00C6203F"/>
    <w:rsid w:val="00C624DD"/>
    <w:rsid w:val="00C65BF8"/>
    <w:rsid w:val="00C66050"/>
    <w:rsid w:val="00C70877"/>
    <w:rsid w:val="00C731E0"/>
    <w:rsid w:val="00C75CBA"/>
    <w:rsid w:val="00C7793A"/>
    <w:rsid w:val="00C8096A"/>
    <w:rsid w:val="00C81969"/>
    <w:rsid w:val="00C83558"/>
    <w:rsid w:val="00C83CAF"/>
    <w:rsid w:val="00C840B5"/>
    <w:rsid w:val="00C84B62"/>
    <w:rsid w:val="00C86792"/>
    <w:rsid w:val="00C948BC"/>
    <w:rsid w:val="00C953C1"/>
    <w:rsid w:val="00CA014E"/>
    <w:rsid w:val="00CA1303"/>
    <w:rsid w:val="00CA1735"/>
    <w:rsid w:val="00CA56ED"/>
    <w:rsid w:val="00CA7DEF"/>
    <w:rsid w:val="00CB4827"/>
    <w:rsid w:val="00CC184A"/>
    <w:rsid w:val="00CC2F1D"/>
    <w:rsid w:val="00CC44CC"/>
    <w:rsid w:val="00CC6B87"/>
    <w:rsid w:val="00CD3AE4"/>
    <w:rsid w:val="00CD7853"/>
    <w:rsid w:val="00CE04C2"/>
    <w:rsid w:val="00CE0E06"/>
    <w:rsid w:val="00CE4AF9"/>
    <w:rsid w:val="00CE7167"/>
    <w:rsid w:val="00CF3147"/>
    <w:rsid w:val="00D05D7D"/>
    <w:rsid w:val="00D12D32"/>
    <w:rsid w:val="00D15AD6"/>
    <w:rsid w:val="00D16ABE"/>
    <w:rsid w:val="00D1769B"/>
    <w:rsid w:val="00D20664"/>
    <w:rsid w:val="00D23D58"/>
    <w:rsid w:val="00D264E1"/>
    <w:rsid w:val="00D26C86"/>
    <w:rsid w:val="00D30756"/>
    <w:rsid w:val="00D30CC5"/>
    <w:rsid w:val="00D31FF9"/>
    <w:rsid w:val="00D3424E"/>
    <w:rsid w:val="00D357F5"/>
    <w:rsid w:val="00D35D90"/>
    <w:rsid w:val="00D3722D"/>
    <w:rsid w:val="00D44B44"/>
    <w:rsid w:val="00D4663B"/>
    <w:rsid w:val="00D469EF"/>
    <w:rsid w:val="00D474B8"/>
    <w:rsid w:val="00D502E1"/>
    <w:rsid w:val="00D5209B"/>
    <w:rsid w:val="00D53902"/>
    <w:rsid w:val="00D53A4B"/>
    <w:rsid w:val="00D6442D"/>
    <w:rsid w:val="00D65409"/>
    <w:rsid w:val="00D75EBD"/>
    <w:rsid w:val="00D7647E"/>
    <w:rsid w:val="00D8010A"/>
    <w:rsid w:val="00D91F6E"/>
    <w:rsid w:val="00D93234"/>
    <w:rsid w:val="00D971CB"/>
    <w:rsid w:val="00DA0D36"/>
    <w:rsid w:val="00DA1974"/>
    <w:rsid w:val="00DA5EAE"/>
    <w:rsid w:val="00DB224C"/>
    <w:rsid w:val="00DB2E61"/>
    <w:rsid w:val="00DB3C7B"/>
    <w:rsid w:val="00DB40DD"/>
    <w:rsid w:val="00DB426B"/>
    <w:rsid w:val="00DB7703"/>
    <w:rsid w:val="00DC2243"/>
    <w:rsid w:val="00DC4432"/>
    <w:rsid w:val="00DC4CD2"/>
    <w:rsid w:val="00DC5C5A"/>
    <w:rsid w:val="00DC5C83"/>
    <w:rsid w:val="00DC62E0"/>
    <w:rsid w:val="00DD0149"/>
    <w:rsid w:val="00DD09D5"/>
    <w:rsid w:val="00DD2E75"/>
    <w:rsid w:val="00DD3330"/>
    <w:rsid w:val="00DD3AEE"/>
    <w:rsid w:val="00DD7145"/>
    <w:rsid w:val="00DE0B99"/>
    <w:rsid w:val="00E00947"/>
    <w:rsid w:val="00E0174D"/>
    <w:rsid w:val="00E062C5"/>
    <w:rsid w:val="00E07F00"/>
    <w:rsid w:val="00E11932"/>
    <w:rsid w:val="00E13ACE"/>
    <w:rsid w:val="00E13B64"/>
    <w:rsid w:val="00E1463F"/>
    <w:rsid w:val="00E171F1"/>
    <w:rsid w:val="00E215C0"/>
    <w:rsid w:val="00E27C8B"/>
    <w:rsid w:val="00E32A06"/>
    <w:rsid w:val="00E3610D"/>
    <w:rsid w:val="00E4077C"/>
    <w:rsid w:val="00E43FC3"/>
    <w:rsid w:val="00E50C45"/>
    <w:rsid w:val="00E50FF9"/>
    <w:rsid w:val="00E521B9"/>
    <w:rsid w:val="00E55B68"/>
    <w:rsid w:val="00E562B7"/>
    <w:rsid w:val="00E5749A"/>
    <w:rsid w:val="00E60FC7"/>
    <w:rsid w:val="00E639C1"/>
    <w:rsid w:val="00E646FC"/>
    <w:rsid w:val="00E701DD"/>
    <w:rsid w:val="00E779AB"/>
    <w:rsid w:val="00E80015"/>
    <w:rsid w:val="00E81B20"/>
    <w:rsid w:val="00E81E6E"/>
    <w:rsid w:val="00E879E2"/>
    <w:rsid w:val="00E87EDE"/>
    <w:rsid w:val="00E925A5"/>
    <w:rsid w:val="00E9294E"/>
    <w:rsid w:val="00E96A4E"/>
    <w:rsid w:val="00EA104B"/>
    <w:rsid w:val="00EB4C19"/>
    <w:rsid w:val="00EC26DA"/>
    <w:rsid w:val="00EC4AD5"/>
    <w:rsid w:val="00EC6F94"/>
    <w:rsid w:val="00EC7255"/>
    <w:rsid w:val="00ED3ACC"/>
    <w:rsid w:val="00ED5D8D"/>
    <w:rsid w:val="00EE4FF6"/>
    <w:rsid w:val="00EE50BE"/>
    <w:rsid w:val="00EE5C57"/>
    <w:rsid w:val="00EF25C8"/>
    <w:rsid w:val="00EF26C9"/>
    <w:rsid w:val="00EF3905"/>
    <w:rsid w:val="00EF4FC5"/>
    <w:rsid w:val="00EF54C3"/>
    <w:rsid w:val="00EF5E62"/>
    <w:rsid w:val="00EF7653"/>
    <w:rsid w:val="00EF7A42"/>
    <w:rsid w:val="00F01518"/>
    <w:rsid w:val="00F02861"/>
    <w:rsid w:val="00F04186"/>
    <w:rsid w:val="00F04F36"/>
    <w:rsid w:val="00F0554D"/>
    <w:rsid w:val="00F0681B"/>
    <w:rsid w:val="00F11DAF"/>
    <w:rsid w:val="00F1265A"/>
    <w:rsid w:val="00F22855"/>
    <w:rsid w:val="00F23368"/>
    <w:rsid w:val="00F235F5"/>
    <w:rsid w:val="00F26807"/>
    <w:rsid w:val="00F2717D"/>
    <w:rsid w:val="00F30312"/>
    <w:rsid w:val="00F36044"/>
    <w:rsid w:val="00F41EBB"/>
    <w:rsid w:val="00F43EEB"/>
    <w:rsid w:val="00F43F81"/>
    <w:rsid w:val="00F45F6F"/>
    <w:rsid w:val="00F46D47"/>
    <w:rsid w:val="00F528BD"/>
    <w:rsid w:val="00F52BD9"/>
    <w:rsid w:val="00F549F4"/>
    <w:rsid w:val="00F55CF0"/>
    <w:rsid w:val="00F57C15"/>
    <w:rsid w:val="00F64E9F"/>
    <w:rsid w:val="00F705F7"/>
    <w:rsid w:val="00F71327"/>
    <w:rsid w:val="00F71A4F"/>
    <w:rsid w:val="00F74803"/>
    <w:rsid w:val="00F7548F"/>
    <w:rsid w:val="00F860D5"/>
    <w:rsid w:val="00F87193"/>
    <w:rsid w:val="00F95197"/>
    <w:rsid w:val="00F96903"/>
    <w:rsid w:val="00FA0CD3"/>
    <w:rsid w:val="00FA206C"/>
    <w:rsid w:val="00FA3DA4"/>
    <w:rsid w:val="00FB1DC2"/>
    <w:rsid w:val="00FB3F4E"/>
    <w:rsid w:val="00FB4DD9"/>
    <w:rsid w:val="00FB5CD6"/>
    <w:rsid w:val="00FB75C0"/>
    <w:rsid w:val="00FC1EAD"/>
    <w:rsid w:val="00FC51F0"/>
    <w:rsid w:val="00FC5C48"/>
    <w:rsid w:val="00FD10DB"/>
    <w:rsid w:val="00FD1480"/>
    <w:rsid w:val="00FD32C7"/>
    <w:rsid w:val="00FD76BE"/>
    <w:rsid w:val="00FE7000"/>
    <w:rsid w:val="00FF79D2"/>
    <w:rsid w:val="01506275"/>
    <w:rsid w:val="0173E97F"/>
    <w:rsid w:val="018C5D92"/>
    <w:rsid w:val="01D370D0"/>
    <w:rsid w:val="0281F504"/>
    <w:rsid w:val="02DBE1FE"/>
    <w:rsid w:val="0392322F"/>
    <w:rsid w:val="03D59CD0"/>
    <w:rsid w:val="06AE72FD"/>
    <w:rsid w:val="06C083E6"/>
    <w:rsid w:val="0703944D"/>
    <w:rsid w:val="071CA43F"/>
    <w:rsid w:val="07C322E5"/>
    <w:rsid w:val="0907396B"/>
    <w:rsid w:val="09458317"/>
    <w:rsid w:val="09AEB901"/>
    <w:rsid w:val="09B0F389"/>
    <w:rsid w:val="0AC5D9CB"/>
    <w:rsid w:val="0AD85966"/>
    <w:rsid w:val="0AEAB32D"/>
    <w:rsid w:val="0C55D9C1"/>
    <w:rsid w:val="0C971B42"/>
    <w:rsid w:val="0CA4D092"/>
    <w:rsid w:val="0D2AF0DF"/>
    <w:rsid w:val="0E25E0F7"/>
    <w:rsid w:val="0E99DC65"/>
    <w:rsid w:val="0F876943"/>
    <w:rsid w:val="0F8D4749"/>
    <w:rsid w:val="10DA4066"/>
    <w:rsid w:val="12AE87AC"/>
    <w:rsid w:val="13669E7B"/>
    <w:rsid w:val="136CE4BD"/>
    <w:rsid w:val="142A3E3C"/>
    <w:rsid w:val="144985C8"/>
    <w:rsid w:val="15BB628C"/>
    <w:rsid w:val="164393BC"/>
    <w:rsid w:val="174B5DA5"/>
    <w:rsid w:val="17C45717"/>
    <w:rsid w:val="183F73B7"/>
    <w:rsid w:val="1A4805C2"/>
    <w:rsid w:val="1A6D823D"/>
    <w:rsid w:val="1AA8F962"/>
    <w:rsid w:val="1AD3F078"/>
    <w:rsid w:val="1AD867B5"/>
    <w:rsid w:val="1B06302F"/>
    <w:rsid w:val="1B789317"/>
    <w:rsid w:val="1BA786F4"/>
    <w:rsid w:val="1BE74C41"/>
    <w:rsid w:val="1C2D6436"/>
    <w:rsid w:val="1C42B32E"/>
    <w:rsid w:val="1E8E90FC"/>
    <w:rsid w:val="1ED977E5"/>
    <w:rsid w:val="1F2D0AC5"/>
    <w:rsid w:val="208B8E1C"/>
    <w:rsid w:val="20B1B25D"/>
    <w:rsid w:val="211B720B"/>
    <w:rsid w:val="2268F5DC"/>
    <w:rsid w:val="22F86A5D"/>
    <w:rsid w:val="23059211"/>
    <w:rsid w:val="239B655F"/>
    <w:rsid w:val="23A9563D"/>
    <w:rsid w:val="24A91B22"/>
    <w:rsid w:val="24FE5BAF"/>
    <w:rsid w:val="259895A1"/>
    <w:rsid w:val="25B24498"/>
    <w:rsid w:val="26B3DFA8"/>
    <w:rsid w:val="26FDAEEA"/>
    <w:rsid w:val="27059FEA"/>
    <w:rsid w:val="27AFE76E"/>
    <w:rsid w:val="286D9716"/>
    <w:rsid w:val="28903976"/>
    <w:rsid w:val="28E9BDBA"/>
    <w:rsid w:val="28F02827"/>
    <w:rsid w:val="29C6E20D"/>
    <w:rsid w:val="2A9DFAA7"/>
    <w:rsid w:val="2B369279"/>
    <w:rsid w:val="2B5ABE57"/>
    <w:rsid w:val="2BE6112C"/>
    <w:rsid w:val="2D6E43B7"/>
    <w:rsid w:val="2D79D80C"/>
    <w:rsid w:val="2E5B94AB"/>
    <w:rsid w:val="2FA0A3F5"/>
    <w:rsid w:val="2FA572FC"/>
    <w:rsid w:val="30580F47"/>
    <w:rsid w:val="316681F7"/>
    <w:rsid w:val="3381A59C"/>
    <w:rsid w:val="343E2BC9"/>
    <w:rsid w:val="35533ED1"/>
    <w:rsid w:val="355A9DAE"/>
    <w:rsid w:val="35F3A8DD"/>
    <w:rsid w:val="361B9BB8"/>
    <w:rsid w:val="3678FFA2"/>
    <w:rsid w:val="36A48C08"/>
    <w:rsid w:val="37A1A170"/>
    <w:rsid w:val="37F0C7D3"/>
    <w:rsid w:val="381366F8"/>
    <w:rsid w:val="39057A12"/>
    <w:rsid w:val="3908B56F"/>
    <w:rsid w:val="399DF1BD"/>
    <w:rsid w:val="39B316E4"/>
    <w:rsid w:val="3A9E74E2"/>
    <w:rsid w:val="3CC9C9B0"/>
    <w:rsid w:val="3D3C62DA"/>
    <w:rsid w:val="3E88D65F"/>
    <w:rsid w:val="3EC0153A"/>
    <w:rsid w:val="3F10BB7B"/>
    <w:rsid w:val="3FBD8454"/>
    <w:rsid w:val="403C0676"/>
    <w:rsid w:val="417C8E56"/>
    <w:rsid w:val="41808D73"/>
    <w:rsid w:val="41F51184"/>
    <w:rsid w:val="4232ACDC"/>
    <w:rsid w:val="42650E01"/>
    <w:rsid w:val="42A82C2B"/>
    <w:rsid w:val="42BDF052"/>
    <w:rsid w:val="44DBAB93"/>
    <w:rsid w:val="455DF79E"/>
    <w:rsid w:val="45D85459"/>
    <w:rsid w:val="46249C14"/>
    <w:rsid w:val="464B8189"/>
    <w:rsid w:val="4657DB2C"/>
    <w:rsid w:val="46FB84C8"/>
    <w:rsid w:val="474A98BA"/>
    <w:rsid w:val="483336DE"/>
    <w:rsid w:val="48B5F4FB"/>
    <w:rsid w:val="48C749E8"/>
    <w:rsid w:val="49D1C2F5"/>
    <w:rsid w:val="4B874DAC"/>
    <w:rsid w:val="4C1F422D"/>
    <w:rsid w:val="4C4D2B0C"/>
    <w:rsid w:val="4C8E4BE7"/>
    <w:rsid w:val="4D4FBEEA"/>
    <w:rsid w:val="4E22C8DB"/>
    <w:rsid w:val="4EB63CF5"/>
    <w:rsid w:val="50BF1B67"/>
    <w:rsid w:val="527DB5C4"/>
    <w:rsid w:val="529081C2"/>
    <w:rsid w:val="545E4C6E"/>
    <w:rsid w:val="5464C1A0"/>
    <w:rsid w:val="556F774C"/>
    <w:rsid w:val="562EBAD5"/>
    <w:rsid w:val="587A4E5D"/>
    <w:rsid w:val="588DE956"/>
    <w:rsid w:val="598ED9DD"/>
    <w:rsid w:val="59F8048A"/>
    <w:rsid w:val="5A999EB3"/>
    <w:rsid w:val="5ADCF85F"/>
    <w:rsid w:val="5B5659EF"/>
    <w:rsid w:val="5C172009"/>
    <w:rsid w:val="5C96211C"/>
    <w:rsid w:val="5E4977CB"/>
    <w:rsid w:val="5E525AD5"/>
    <w:rsid w:val="5EA86C11"/>
    <w:rsid w:val="5F7BB021"/>
    <w:rsid w:val="5FD37572"/>
    <w:rsid w:val="601DD230"/>
    <w:rsid w:val="61B6C21F"/>
    <w:rsid w:val="620FD9BC"/>
    <w:rsid w:val="62B7246B"/>
    <w:rsid w:val="6301C095"/>
    <w:rsid w:val="63B0E913"/>
    <w:rsid w:val="646707AD"/>
    <w:rsid w:val="64C3B9DB"/>
    <w:rsid w:val="65837D06"/>
    <w:rsid w:val="658B02EC"/>
    <w:rsid w:val="669ED865"/>
    <w:rsid w:val="68178F6A"/>
    <w:rsid w:val="682CBA37"/>
    <w:rsid w:val="68E4E9F0"/>
    <w:rsid w:val="68FEDD88"/>
    <w:rsid w:val="69DD605C"/>
    <w:rsid w:val="6B3A0E05"/>
    <w:rsid w:val="6B862BA7"/>
    <w:rsid w:val="6BF2A28D"/>
    <w:rsid w:val="6C6AA6AE"/>
    <w:rsid w:val="6C8CCAF2"/>
    <w:rsid w:val="6D32F03F"/>
    <w:rsid w:val="6D594562"/>
    <w:rsid w:val="6D88D827"/>
    <w:rsid w:val="6E03DF9F"/>
    <w:rsid w:val="6E47572F"/>
    <w:rsid w:val="6F5256F0"/>
    <w:rsid w:val="7044C5E3"/>
    <w:rsid w:val="70F7EFE6"/>
    <w:rsid w:val="7126DC36"/>
    <w:rsid w:val="719184B1"/>
    <w:rsid w:val="71A91DE4"/>
    <w:rsid w:val="71F52386"/>
    <w:rsid w:val="72E64922"/>
    <w:rsid w:val="730C254B"/>
    <w:rsid w:val="7338C730"/>
    <w:rsid w:val="73D3D3DB"/>
    <w:rsid w:val="74B14E04"/>
    <w:rsid w:val="75DD04D3"/>
    <w:rsid w:val="777719D4"/>
    <w:rsid w:val="78891E95"/>
    <w:rsid w:val="78C9F2BC"/>
    <w:rsid w:val="7A84351D"/>
    <w:rsid w:val="7D113EEF"/>
    <w:rsid w:val="7E23B59B"/>
    <w:rsid w:val="7F9C46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4FD4EA"/>
  <w15:chartTrackingRefBased/>
  <w15:docId w15:val="{CB024282-7AF8-452D-88C5-843472CA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hAnsi="Segoe UI"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7B0D"/>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04668"/>
    <w:pPr>
      <w:tabs>
        <w:tab w:val="center" w:pos="4320"/>
        <w:tab w:val="right" w:pos="8640"/>
      </w:tabs>
    </w:pPr>
  </w:style>
  <w:style w:type="character" w:customStyle="1" w:styleId="FooterChar">
    <w:name w:val="Footer Char"/>
    <w:basedOn w:val="DefaultParagraphFont"/>
    <w:link w:val="Footer"/>
    <w:rsid w:val="00404668"/>
    <w:rPr>
      <w:rFonts w:ascii="Times New Roman" w:eastAsia="Times New Roman" w:hAnsi="Times New Roman" w:cs="Times New Roman"/>
      <w:szCs w:val="24"/>
    </w:rPr>
  </w:style>
  <w:style w:type="character" w:styleId="PageNumber">
    <w:name w:val="page number"/>
    <w:basedOn w:val="DefaultParagraphFont"/>
    <w:rsid w:val="00404668"/>
  </w:style>
  <w:style w:type="paragraph" w:styleId="ListParagraph">
    <w:name w:val="List Paragraph"/>
    <w:basedOn w:val="Normal"/>
    <w:uiPriority w:val="34"/>
    <w:qFormat/>
    <w:rsid w:val="00404668"/>
    <w:pPr>
      <w:ind w:left="720"/>
    </w:pPr>
  </w:style>
  <w:style w:type="paragraph" w:customStyle="1" w:styleId="TableParagraph">
    <w:name w:val="Table Paragraph"/>
    <w:basedOn w:val="Normal"/>
    <w:uiPriority w:val="1"/>
    <w:qFormat/>
    <w:rsid w:val="00404668"/>
    <w:pPr>
      <w:widowControl w:val="0"/>
    </w:pPr>
    <w:rPr>
      <w:rFonts w:asciiTheme="minorHAnsi" w:eastAsiaTheme="minorHAnsi" w:hAnsiTheme="minorHAnsi" w:cstheme="minorBidi"/>
      <w:sz w:val="22"/>
      <w:szCs w:val="22"/>
    </w:rPr>
  </w:style>
  <w:style w:type="paragraph" w:styleId="FootnoteText">
    <w:name w:val="footnote text"/>
    <w:basedOn w:val="Normal"/>
    <w:link w:val="FootnoteTextChar"/>
    <w:semiHidden/>
    <w:unhideWhenUsed/>
    <w:rsid w:val="00404668"/>
    <w:rPr>
      <w:sz w:val="20"/>
      <w:szCs w:val="20"/>
    </w:rPr>
  </w:style>
  <w:style w:type="character" w:customStyle="1" w:styleId="FootnoteTextChar">
    <w:name w:val="Footnote Text Char"/>
    <w:basedOn w:val="DefaultParagraphFont"/>
    <w:link w:val="FootnoteText"/>
    <w:semiHidden/>
    <w:rsid w:val="00404668"/>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404668"/>
    <w:rPr>
      <w:vertAlign w:val="superscript"/>
    </w:rPr>
  </w:style>
  <w:style w:type="character" w:styleId="Hyperlink">
    <w:name w:val="Hyperlink"/>
    <w:basedOn w:val="DefaultParagraphFont"/>
    <w:uiPriority w:val="99"/>
    <w:unhideWhenUsed/>
    <w:rsid w:val="00404668"/>
    <w:rPr>
      <w:color w:val="0563C1"/>
      <w:u w:val="single"/>
    </w:rPr>
  </w:style>
  <w:style w:type="table" w:styleId="TableGrid">
    <w:name w:val="Table Grid"/>
    <w:basedOn w:val="TableNormal"/>
    <w:uiPriority w:val="59"/>
    <w:rsid w:val="0040466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04668"/>
    <w:rPr>
      <w:color w:val="954F72" w:themeColor="followedHyperlink"/>
      <w:u w:val="single"/>
    </w:rPr>
  </w:style>
  <w:style w:type="character" w:styleId="UnresolvedMention">
    <w:name w:val="Unresolved Mention"/>
    <w:basedOn w:val="DefaultParagraphFont"/>
    <w:uiPriority w:val="99"/>
    <w:semiHidden/>
    <w:unhideWhenUsed/>
    <w:rsid w:val="00404668"/>
    <w:rPr>
      <w:color w:val="605E5C"/>
      <w:shd w:val="clear" w:color="auto" w:fill="E1DFDD"/>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rPr>
  </w:style>
  <w:style w:type="character" w:styleId="CommentReference">
    <w:name w:val="annotation reference"/>
    <w:basedOn w:val="DefaultParagraphFont"/>
    <w:unhideWhenUsed/>
    <w:rPr>
      <w:sz w:val="16"/>
      <w:szCs w:val="16"/>
    </w:rPr>
  </w:style>
  <w:style w:type="paragraph" w:styleId="Header">
    <w:name w:val="header"/>
    <w:basedOn w:val="Normal"/>
    <w:link w:val="HeaderChar"/>
    <w:uiPriority w:val="99"/>
    <w:unhideWhenUsed/>
    <w:rsid w:val="0058476F"/>
    <w:pPr>
      <w:tabs>
        <w:tab w:val="center" w:pos="4680"/>
        <w:tab w:val="right" w:pos="9360"/>
      </w:tabs>
    </w:pPr>
  </w:style>
  <w:style w:type="character" w:customStyle="1" w:styleId="HeaderChar">
    <w:name w:val="Header Char"/>
    <w:basedOn w:val="DefaultParagraphFont"/>
    <w:link w:val="Header"/>
    <w:uiPriority w:val="99"/>
    <w:rsid w:val="0058476F"/>
    <w:rPr>
      <w:rFonts w:ascii="Times New Roman" w:eastAsia="Times New Roman" w:hAnsi="Times New Roman" w:cs="Times New Roman"/>
      <w:szCs w:val="24"/>
    </w:rPr>
  </w:style>
  <w:style w:type="table" w:customStyle="1" w:styleId="TableGrid1">
    <w:name w:val="Table Grid1"/>
    <w:basedOn w:val="TableNormal"/>
    <w:next w:val="TableGrid"/>
    <w:uiPriority w:val="59"/>
    <w:rsid w:val="00D26C86"/>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C4196"/>
    <w:rPr>
      <w:b/>
      <w:bCs/>
    </w:rPr>
  </w:style>
  <w:style w:type="character" w:customStyle="1" w:styleId="CommentSubjectChar">
    <w:name w:val="Comment Subject Char"/>
    <w:basedOn w:val="CommentTextChar"/>
    <w:link w:val="CommentSubject"/>
    <w:uiPriority w:val="99"/>
    <w:semiHidden/>
    <w:rsid w:val="00BC4196"/>
    <w:rPr>
      <w:rFonts w:ascii="Times New Roman" w:eastAsia="Times New Roman" w:hAnsi="Times New Roman" w:cs="Times New Roman"/>
      <w:b/>
      <w:bCs/>
      <w:sz w:val="20"/>
      <w:szCs w:val="20"/>
    </w:rPr>
  </w:style>
  <w:style w:type="paragraph" w:styleId="Revision">
    <w:name w:val="Revision"/>
    <w:hidden/>
    <w:uiPriority w:val="99"/>
    <w:semiHidden/>
    <w:rsid w:val="00AD6CA9"/>
    <w:rPr>
      <w:rFonts w:ascii="Times New Roman" w:eastAsia="Times New Roman" w:hAnsi="Times New Roman" w:cs="Times New Roman"/>
      <w:szCs w:val="24"/>
    </w:rPr>
  </w:style>
  <w:style w:type="character" w:styleId="Mention">
    <w:name w:val="Mention"/>
    <w:basedOn w:val="DefaultParagraphFont"/>
    <w:uiPriority w:val="99"/>
    <w:unhideWhenUsed/>
    <w:rsid w:val="00BA11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pdq/SurveyOutputServl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7640d37d67605e33e90a84d9e36d212b">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f9e95ac25c405fde2177bbdb325deb03"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Props1.xml><?xml version="1.0" encoding="utf-8"?>
<ds:datastoreItem xmlns:ds="http://schemas.openxmlformats.org/officeDocument/2006/customXml" ds:itemID="{3578C9A9-998B-48C5-AFA3-F6B611ACE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5B1AF-EE65-4295-9CF1-7E2670D7C953}">
  <ds:schemaRefs>
    <ds:schemaRef ds:uri="http://schemas.openxmlformats.org/officeDocument/2006/bibliography"/>
  </ds:schemaRefs>
</ds:datastoreItem>
</file>

<file path=customXml/itemProps3.xml><?xml version="1.0" encoding="utf-8"?>
<ds:datastoreItem xmlns:ds="http://schemas.openxmlformats.org/officeDocument/2006/customXml" ds:itemID="{5BBE8C60-B96C-44B4-A83A-A0ABFCA1FDD5}">
  <ds:schemaRefs>
    <ds:schemaRef ds:uri="http://schemas.microsoft.com/sharepoint/v3/contenttype/forms"/>
  </ds:schemaRefs>
</ds:datastoreItem>
</file>

<file path=customXml/itemProps4.xml><?xml version="1.0" encoding="utf-8"?>
<ds:datastoreItem xmlns:ds="http://schemas.openxmlformats.org/officeDocument/2006/customXml" ds:itemID="{C1A82A8B-9570-4CDD-B9C2-72C1AEDEA383}">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1797</Words>
  <Characters>10245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Gary R.</dc:creator>
  <cp:lastModifiedBy>ATF</cp:lastModifiedBy>
  <cp:revision>3</cp:revision>
  <dcterms:created xsi:type="dcterms:W3CDTF">2026-02-05T16:26:00Z</dcterms:created>
  <dcterms:modified xsi:type="dcterms:W3CDTF">2026-02-05T16:26:00Z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MediaServiceImageTags">
    <vt:lpwstr/>
  </property>
</Properties>
</file>