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p w:rsidR="007B4A04" w:rsidRPr="00FB457A" w:rsidP="00794A63" w14:paraId="4D6B41B9" w14:textId="564C1694">
      <w:pPr>
        <w:jc w:val="center"/>
        <w:rPr>
          <w:rFonts w:ascii="Times New Roman" w:hAnsi="Times New Roman"/>
          <w:b/>
          <w:sz w:val="28"/>
          <w:szCs w:val="28"/>
        </w:rPr>
      </w:pPr>
      <w:r w:rsidRPr="00FB457A">
        <w:rPr>
          <w:rFonts w:ascii="Times New Roman" w:hAnsi="Times New Roman"/>
          <w:b/>
          <w:sz w:val="28"/>
          <w:szCs w:val="28"/>
        </w:rPr>
        <w:t>S</w:t>
      </w:r>
      <w:r w:rsidRPr="00FB457A" w:rsidR="00D454BF">
        <w:rPr>
          <w:rFonts w:ascii="Times New Roman" w:hAnsi="Times New Roman"/>
          <w:b/>
          <w:sz w:val="28"/>
          <w:szCs w:val="28"/>
        </w:rPr>
        <w:t xml:space="preserve">upporting </w:t>
      </w:r>
      <w:r w:rsidRPr="00FB457A">
        <w:rPr>
          <w:rFonts w:ascii="Times New Roman" w:hAnsi="Times New Roman"/>
          <w:b/>
          <w:sz w:val="28"/>
          <w:szCs w:val="28"/>
        </w:rPr>
        <w:t>S</w:t>
      </w:r>
      <w:r w:rsidRPr="00FB457A" w:rsidR="00D454BF">
        <w:rPr>
          <w:rFonts w:ascii="Times New Roman" w:hAnsi="Times New Roman"/>
          <w:b/>
          <w:sz w:val="28"/>
          <w:szCs w:val="28"/>
        </w:rPr>
        <w:t>tatement</w:t>
      </w:r>
    </w:p>
    <w:p w:rsidR="007B4A04" w:rsidP="00794A63" w14:paraId="26C541CE" w14:textId="77777777">
      <w:pPr>
        <w:jc w:val="center"/>
        <w:rPr>
          <w:rFonts w:ascii="Times New Roman" w:hAnsi="Times New Roman"/>
          <w:bCs/>
        </w:rPr>
      </w:pPr>
      <w:r w:rsidRPr="001C0C5A">
        <w:rPr>
          <w:rFonts w:ascii="Times New Roman" w:hAnsi="Times New Roman"/>
          <w:bCs/>
        </w:rPr>
        <w:t>Internal Revenue Service</w:t>
      </w:r>
    </w:p>
    <w:p w:rsidR="002409A5" w:rsidP="00092E08" w14:paraId="025613E9" w14:textId="07EB8292">
      <w:pPr>
        <w:tabs>
          <w:tab w:val="center" w:pos="4680"/>
        </w:tabs>
        <w:jc w:val="center"/>
        <w:rPr>
          <w:rFonts w:ascii="Times New Roman" w:hAnsi="Times New Roman"/>
          <w:bCs/>
        </w:rPr>
      </w:pPr>
      <w:r w:rsidRPr="002409A5">
        <w:rPr>
          <w:rFonts w:ascii="Times New Roman" w:hAnsi="Times New Roman"/>
          <w:bCs/>
        </w:rPr>
        <w:t>Creditability of Foreign Taxes</w:t>
      </w:r>
    </w:p>
    <w:p w:rsidR="007B4A04" w:rsidRPr="001C0C5A" w:rsidP="00092E08" w14:paraId="289304B9" w14:textId="4C0F4EFD">
      <w:pPr>
        <w:tabs>
          <w:tab w:val="center" w:pos="4680"/>
        </w:tabs>
        <w:jc w:val="center"/>
        <w:rPr>
          <w:rFonts w:ascii="Times New Roman" w:hAnsi="Times New Roman"/>
          <w:bCs/>
        </w:rPr>
      </w:pPr>
      <w:r w:rsidRPr="001C0C5A">
        <w:rPr>
          <w:rFonts w:ascii="Times New Roman" w:hAnsi="Times New Roman"/>
          <w:bCs/>
        </w:rPr>
        <w:t>OMB</w:t>
      </w:r>
      <w:r w:rsidR="00D454BF">
        <w:rPr>
          <w:rFonts w:ascii="Times New Roman" w:hAnsi="Times New Roman"/>
          <w:bCs/>
        </w:rPr>
        <w:t xml:space="preserve"> </w:t>
      </w:r>
      <w:r w:rsidR="008B1645">
        <w:rPr>
          <w:rFonts w:ascii="Times New Roman" w:hAnsi="Times New Roman"/>
          <w:bCs/>
        </w:rPr>
        <w:t>Control Number</w:t>
      </w:r>
      <w:r w:rsidR="002F6DC5">
        <w:rPr>
          <w:rFonts w:ascii="Times New Roman" w:hAnsi="Times New Roman"/>
          <w:bCs/>
        </w:rPr>
        <w:t xml:space="preserve"> </w:t>
      </w:r>
      <w:r w:rsidRPr="001C0C5A">
        <w:rPr>
          <w:rFonts w:ascii="Times New Roman" w:hAnsi="Times New Roman"/>
          <w:bCs/>
        </w:rPr>
        <w:t>1545-</w:t>
      </w:r>
      <w:r w:rsidR="00330C76">
        <w:rPr>
          <w:rFonts w:ascii="Times New Roman" w:hAnsi="Times New Roman"/>
          <w:bCs/>
        </w:rPr>
        <w:t>0</w:t>
      </w:r>
      <w:r w:rsidR="002409A5">
        <w:rPr>
          <w:rFonts w:ascii="Times New Roman" w:hAnsi="Times New Roman"/>
          <w:bCs/>
        </w:rPr>
        <w:t>746</w:t>
      </w:r>
    </w:p>
    <w:p w:rsidR="00812555" w:rsidRPr="007B4A04" w14:paraId="2B28FE6E" w14:textId="77777777">
      <w:pPr>
        <w:widowControl/>
        <w:tabs>
          <w:tab w:val="center" w:pos="4680"/>
        </w:tabs>
        <w:rPr>
          <w:rFonts w:ascii="Times New Roman" w:hAnsi="Times New Roman"/>
        </w:rPr>
      </w:pPr>
    </w:p>
    <w:p w:rsidR="00812555" w:rsidRPr="008B1645" w14:paraId="5EB597E7" w14:textId="77777777">
      <w:pPr>
        <w:widowControl/>
        <w:rPr>
          <w:rFonts w:ascii="Times New Roman" w:hAnsi="Times New Roman"/>
          <w:b/>
          <w:bCs/>
        </w:rPr>
      </w:pPr>
    </w:p>
    <w:p w:rsidR="00812555" w:rsidRPr="008B1645" w14:paraId="77915FDE" w14:textId="77777777">
      <w:pPr>
        <w:widowControl/>
        <w:tabs>
          <w:tab w:val="left" w:pos="-1440"/>
        </w:tabs>
        <w:ind w:left="720" w:hanging="720"/>
        <w:rPr>
          <w:rFonts w:ascii="Times New Roman" w:hAnsi="Times New Roman"/>
          <w:b/>
          <w:bCs/>
          <w:u w:val="single"/>
        </w:rPr>
      </w:pPr>
      <w:r w:rsidRPr="008B1645">
        <w:rPr>
          <w:rFonts w:ascii="Times New Roman" w:hAnsi="Times New Roman"/>
          <w:b/>
          <w:bCs/>
        </w:rPr>
        <w:t>1.</w:t>
      </w:r>
      <w:r w:rsidRPr="008B1645">
        <w:rPr>
          <w:rFonts w:ascii="Times New Roman" w:hAnsi="Times New Roman"/>
          <w:b/>
          <w:bCs/>
        </w:rPr>
        <w:tab/>
      </w:r>
      <w:r w:rsidRPr="008B1645">
        <w:rPr>
          <w:rFonts w:ascii="Times New Roman" w:hAnsi="Times New Roman"/>
          <w:b/>
          <w:bCs/>
          <w:u w:val="single"/>
        </w:rPr>
        <w:t>CIRCUMSTANCES NECESSITATING COLLECTION OF INFORMATION</w:t>
      </w:r>
    </w:p>
    <w:p w:rsidR="002807C9" w:rsidRPr="007B4A04" w:rsidP="002807C9" w14:paraId="1F17B785" w14:textId="77777777">
      <w:pPr>
        <w:widowControl/>
        <w:tabs>
          <w:tab w:val="left" w:pos="-1440"/>
        </w:tabs>
        <w:rPr>
          <w:rFonts w:ascii="Times New Roman" w:hAnsi="Times New Roman"/>
        </w:rPr>
      </w:pPr>
    </w:p>
    <w:p w:rsidR="002409A5" w:rsidRPr="002409A5" w:rsidP="002409A5" w14:paraId="0C870E55" w14:textId="34153C23">
      <w:pPr>
        <w:widowControl/>
        <w:ind w:left="720"/>
        <w:rPr>
          <w:rFonts w:ascii="Times New Roman" w:hAnsi="Times New Roman"/>
        </w:rPr>
      </w:pPr>
      <w:r w:rsidRPr="002409A5">
        <w:rPr>
          <w:rFonts w:ascii="Times New Roman" w:hAnsi="Times New Roman"/>
        </w:rPr>
        <w:t>Internal Revenue Code (IRC) section 901 allows tax credit</w:t>
      </w:r>
      <w:r w:rsidR="00B07193">
        <w:rPr>
          <w:rFonts w:ascii="Times New Roman" w:hAnsi="Times New Roman"/>
        </w:rPr>
        <w:t>s</w:t>
      </w:r>
      <w:r w:rsidRPr="002409A5">
        <w:rPr>
          <w:rFonts w:ascii="Times New Roman" w:hAnsi="Times New Roman"/>
        </w:rPr>
        <w:t xml:space="preserve"> for the amount of any income, war profits, or excess profits taxes it has paid or accrued during the taxable year.</w:t>
      </w:r>
      <w:r w:rsidR="00747F06">
        <w:rPr>
          <w:rFonts w:ascii="Times New Roman" w:hAnsi="Times New Roman"/>
        </w:rPr>
        <w:t xml:space="preserve"> </w:t>
      </w:r>
      <w:r w:rsidRPr="002409A5">
        <w:rPr>
          <w:rFonts w:ascii="Times New Roman" w:hAnsi="Times New Roman"/>
        </w:rPr>
        <w:t xml:space="preserve"> The taxpayer must satisfy the criteria of IRC section 901 to claim the credit.</w:t>
      </w:r>
    </w:p>
    <w:p w:rsidR="002409A5" w:rsidRPr="002409A5" w:rsidP="002409A5" w14:paraId="343D80D0" w14:textId="77777777">
      <w:pPr>
        <w:widowControl/>
        <w:ind w:left="720"/>
        <w:rPr>
          <w:rFonts w:ascii="Times New Roman" w:hAnsi="Times New Roman"/>
        </w:rPr>
      </w:pPr>
    </w:p>
    <w:p w:rsidR="00E2080E" w:rsidP="002409A5" w14:paraId="759C3404" w14:textId="77777777">
      <w:pPr>
        <w:widowControl/>
        <w:ind w:left="720"/>
        <w:rPr>
          <w:rFonts w:ascii="Times New Roman" w:hAnsi="Times New Roman"/>
        </w:rPr>
      </w:pPr>
      <w:r w:rsidRPr="002409A5">
        <w:rPr>
          <w:rFonts w:ascii="Times New Roman" w:hAnsi="Times New Roman"/>
        </w:rPr>
        <w:t xml:space="preserve">Treasury Decision (TD) 7918 added Treasury Regulations section 1.901-2A, providing rules for dual capacity taxpayers with respect to the tax credit. </w:t>
      </w:r>
      <w:r w:rsidR="00747F06">
        <w:rPr>
          <w:rFonts w:ascii="Times New Roman" w:hAnsi="Times New Roman"/>
        </w:rPr>
        <w:t xml:space="preserve"> </w:t>
      </w:r>
      <w:r w:rsidRPr="002409A5">
        <w:rPr>
          <w:rFonts w:ascii="Times New Roman" w:hAnsi="Times New Roman"/>
        </w:rPr>
        <w:t xml:space="preserve">In general, such taxpayers have the burden of proof to establish what portion of a payment made pursuant to a foreign levy is treated as tax </w:t>
      </w:r>
      <w:r w:rsidRPr="002409A5">
        <w:rPr>
          <w:rFonts w:ascii="Times New Roman" w:hAnsi="Times New Roman"/>
        </w:rPr>
        <w:t>with regard to</w:t>
      </w:r>
      <w:r w:rsidRPr="002409A5">
        <w:rPr>
          <w:rFonts w:ascii="Times New Roman" w:hAnsi="Times New Roman"/>
        </w:rPr>
        <w:t xml:space="preserve"> the credit allowed in IRC section 901. </w:t>
      </w:r>
      <w:r w:rsidR="00747F06">
        <w:rPr>
          <w:rFonts w:ascii="Times New Roman" w:hAnsi="Times New Roman"/>
        </w:rPr>
        <w:t xml:space="preserve"> </w:t>
      </w:r>
    </w:p>
    <w:p w:rsidR="00E2080E" w:rsidP="002409A5" w14:paraId="528B8E6C" w14:textId="77777777">
      <w:pPr>
        <w:widowControl/>
        <w:ind w:left="720"/>
        <w:rPr>
          <w:rFonts w:ascii="Times New Roman" w:hAnsi="Times New Roman"/>
        </w:rPr>
      </w:pPr>
    </w:p>
    <w:p w:rsidR="009A7424" w:rsidP="002409A5" w14:paraId="70A0AC40" w14:textId="527AF811">
      <w:pPr>
        <w:widowControl/>
        <w:ind w:left="720"/>
        <w:rPr>
          <w:rFonts w:ascii="Times New Roman" w:hAnsi="Times New Roman"/>
        </w:rPr>
      </w:pPr>
      <w:r w:rsidRPr="002409A5">
        <w:rPr>
          <w:rFonts w:ascii="Times New Roman" w:hAnsi="Times New Roman"/>
        </w:rPr>
        <w:t xml:space="preserve">Section 1.901-2A(e) provides the safe harbor formula to determine the distinct element of a qualifying levy that is a tax and the amount paid by a dual capacity taxpayer pursuant to such qualifying levy that is the qualifying amount with respect to such levy. </w:t>
      </w:r>
      <w:r w:rsidR="00747F06">
        <w:rPr>
          <w:rFonts w:ascii="Times New Roman" w:hAnsi="Times New Roman"/>
        </w:rPr>
        <w:t xml:space="preserve"> </w:t>
      </w:r>
      <w:r w:rsidRPr="002409A5">
        <w:rPr>
          <w:rFonts w:ascii="Times New Roman" w:hAnsi="Times New Roman"/>
        </w:rPr>
        <w:t xml:space="preserve">Section 1.901-2A(d) requires a taxpayer wishing to use the safe harbor formula to attach a statement electing to use the safe harbor method to the income tax return for the taxable year for which the election is made. </w:t>
      </w:r>
      <w:r w:rsidR="00747F06">
        <w:rPr>
          <w:rFonts w:ascii="Times New Roman" w:hAnsi="Times New Roman"/>
        </w:rPr>
        <w:t xml:space="preserve"> </w:t>
      </w:r>
      <w:r w:rsidRPr="002409A5">
        <w:rPr>
          <w:rFonts w:ascii="Times New Roman" w:hAnsi="Times New Roman"/>
        </w:rPr>
        <w:t>The election applies to all subsequent taxable years and cannot be revoked without the consent of the Commissioner.</w:t>
      </w:r>
    </w:p>
    <w:p w:rsidR="002409A5" w:rsidRPr="007B4A04" w:rsidP="002409A5" w14:paraId="7949C45F" w14:textId="77777777">
      <w:pPr>
        <w:widowControl/>
        <w:ind w:left="720"/>
        <w:rPr>
          <w:rFonts w:ascii="Times New Roman" w:hAnsi="Times New Roman"/>
        </w:rPr>
      </w:pPr>
    </w:p>
    <w:p w:rsidR="00812555" w:rsidRPr="00A00C73" w14:paraId="460C8E89" w14:textId="77777777">
      <w:pPr>
        <w:widowControl/>
        <w:tabs>
          <w:tab w:val="left" w:pos="-1440"/>
        </w:tabs>
        <w:ind w:left="720" w:hanging="720"/>
        <w:rPr>
          <w:rFonts w:ascii="Times New Roman" w:hAnsi="Times New Roman"/>
          <w:b/>
          <w:bCs/>
          <w:u w:val="single"/>
        </w:rPr>
      </w:pPr>
      <w:r w:rsidRPr="00A00C73">
        <w:rPr>
          <w:rFonts w:ascii="Times New Roman" w:hAnsi="Times New Roman"/>
          <w:b/>
          <w:bCs/>
        </w:rPr>
        <w:t>2.</w:t>
      </w:r>
      <w:r w:rsidRPr="00A00C73">
        <w:rPr>
          <w:rFonts w:ascii="Times New Roman" w:hAnsi="Times New Roman"/>
          <w:b/>
          <w:bCs/>
        </w:rPr>
        <w:tab/>
      </w:r>
      <w:r w:rsidRPr="00A00C73">
        <w:rPr>
          <w:rFonts w:ascii="Times New Roman" w:hAnsi="Times New Roman"/>
          <w:b/>
          <w:bCs/>
          <w:u w:val="single"/>
        </w:rPr>
        <w:t>USE OF DATA</w:t>
      </w:r>
    </w:p>
    <w:p w:rsidR="00812555" w:rsidRPr="007B4A04" w14:paraId="6AC503F8" w14:textId="77777777">
      <w:pPr>
        <w:widowControl/>
        <w:rPr>
          <w:rFonts w:ascii="Times New Roman" w:hAnsi="Times New Roman"/>
          <w:u w:val="single"/>
        </w:rPr>
      </w:pPr>
    </w:p>
    <w:p w:rsidR="008658C5" w:rsidP="00205241" w14:paraId="720F6264" w14:textId="356A641F">
      <w:pPr>
        <w:widowControl/>
        <w:ind w:left="720"/>
        <w:rPr>
          <w:rFonts w:ascii="Times New Roman" w:hAnsi="Times New Roman"/>
        </w:rPr>
      </w:pPr>
      <w:r w:rsidRPr="007B4A04">
        <w:rPr>
          <w:rFonts w:ascii="Times New Roman" w:hAnsi="Times New Roman"/>
        </w:rPr>
        <w:t>Th</w:t>
      </w:r>
      <w:r w:rsidR="004F504D">
        <w:rPr>
          <w:rFonts w:ascii="Times New Roman" w:hAnsi="Times New Roman"/>
        </w:rPr>
        <w:t xml:space="preserve">e </w:t>
      </w:r>
      <w:r w:rsidRPr="004F504D" w:rsidR="004F504D">
        <w:rPr>
          <w:rFonts w:ascii="Times New Roman" w:hAnsi="Times New Roman"/>
        </w:rPr>
        <w:t>Internal Revenue Service</w:t>
      </w:r>
      <w:r w:rsidR="004F504D">
        <w:rPr>
          <w:rFonts w:ascii="Times New Roman" w:hAnsi="Times New Roman"/>
        </w:rPr>
        <w:t xml:space="preserve"> (IRS) </w:t>
      </w:r>
      <w:r w:rsidR="001900BD">
        <w:rPr>
          <w:rFonts w:ascii="Times New Roman" w:hAnsi="Times New Roman"/>
        </w:rPr>
        <w:t xml:space="preserve">uses the </w:t>
      </w:r>
      <w:r w:rsidRPr="007B4A04">
        <w:rPr>
          <w:rFonts w:ascii="Times New Roman" w:hAnsi="Times New Roman"/>
        </w:rPr>
        <w:t xml:space="preserve">information </w:t>
      </w:r>
      <w:r w:rsidR="002409A5">
        <w:rPr>
          <w:rFonts w:ascii="Times New Roman" w:hAnsi="Times New Roman"/>
        </w:rPr>
        <w:t xml:space="preserve">collected </w:t>
      </w:r>
      <w:r w:rsidRPr="002409A5" w:rsidR="002409A5">
        <w:rPr>
          <w:rFonts w:ascii="Times New Roman" w:hAnsi="Times New Roman"/>
        </w:rPr>
        <w:t>in the statement to determine which method the taxpayer is using to satisfy the burden of proof requirement and ensure the credit allowed in IRC section 901 is calculated correctly.</w:t>
      </w:r>
    </w:p>
    <w:p w:rsidR="002409A5" w:rsidRPr="007B4A04" w:rsidP="00205241" w14:paraId="210A04F9" w14:textId="77777777">
      <w:pPr>
        <w:widowControl/>
        <w:ind w:left="720"/>
        <w:rPr>
          <w:rFonts w:ascii="Times New Roman" w:hAnsi="Times New Roman"/>
        </w:rPr>
      </w:pPr>
    </w:p>
    <w:p w:rsidR="00812555" w:rsidRPr="008B1645" w:rsidP="00DF3138" w14:paraId="533E82F9" w14:textId="18A11546">
      <w:pPr>
        <w:keepNext/>
        <w:keepLines/>
        <w:widowControl/>
        <w:tabs>
          <w:tab w:val="left" w:pos="-1440"/>
        </w:tabs>
        <w:ind w:left="720" w:hanging="720"/>
        <w:rPr>
          <w:rFonts w:ascii="Times New Roman" w:hAnsi="Times New Roman"/>
          <w:b/>
          <w:bCs/>
          <w:u w:val="single"/>
        </w:rPr>
      </w:pPr>
      <w:r w:rsidRPr="008B1645">
        <w:rPr>
          <w:rFonts w:ascii="Times New Roman" w:hAnsi="Times New Roman"/>
          <w:b/>
          <w:bCs/>
        </w:rPr>
        <w:t>3.</w:t>
      </w:r>
      <w:r w:rsidRPr="008B1645">
        <w:rPr>
          <w:rFonts w:ascii="Times New Roman" w:hAnsi="Times New Roman"/>
          <w:b/>
          <w:bCs/>
        </w:rPr>
        <w:tab/>
      </w:r>
      <w:r w:rsidRPr="008B1645">
        <w:rPr>
          <w:rFonts w:ascii="Times New Roman" w:hAnsi="Times New Roman"/>
          <w:b/>
          <w:bCs/>
          <w:u w:val="single"/>
        </w:rPr>
        <w:t>USE OF IMPROVED INFORMATION TECHNOLOGY TO REDUCE BURDEN</w:t>
      </w:r>
    </w:p>
    <w:p w:rsidR="00812555" w:rsidRPr="007B4A04" w14:paraId="203372FC" w14:textId="77777777">
      <w:pPr>
        <w:keepNext/>
        <w:keepLines/>
        <w:widowControl/>
        <w:rPr>
          <w:rFonts w:ascii="Times New Roman" w:hAnsi="Times New Roman"/>
          <w:u w:val="single"/>
        </w:rPr>
      </w:pPr>
    </w:p>
    <w:p w:rsidR="00CC7067" w:rsidP="00CC7067" w14:paraId="4B47C348" w14:textId="56D1CCB3">
      <w:pPr>
        <w:keepLines/>
        <w:widowControl/>
        <w:ind w:left="720"/>
        <w:rPr>
          <w:rFonts w:ascii="Times New Roman" w:hAnsi="Times New Roman"/>
        </w:rPr>
      </w:pPr>
      <w:r w:rsidRPr="005B6043">
        <w:rPr>
          <w:rFonts w:ascii="Times New Roman" w:hAnsi="Times New Roman"/>
        </w:rPr>
        <w:t>IRS has no plans to offer electronic filing as this is an election statement made by the taxpayer</w:t>
      </w:r>
      <w:r w:rsidRPr="00CC7067" w:rsidR="00747F06">
        <w:rPr>
          <w:rFonts w:ascii="Times New Roman" w:hAnsi="Times New Roman"/>
        </w:rPr>
        <w:t xml:space="preserve">.  </w:t>
      </w:r>
    </w:p>
    <w:p w:rsidR="00CC7067" w:rsidRPr="007B4A04" w:rsidP="00CC7067" w14:paraId="50BE3C8E" w14:textId="77777777">
      <w:pPr>
        <w:keepLines/>
        <w:widowControl/>
        <w:ind w:firstLine="720"/>
        <w:rPr>
          <w:rFonts w:ascii="Times New Roman" w:hAnsi="Times New Roman"/>
        </w:rPr>
      </w:pPr>
    </w:p>
    <w:p w:rsidR="00812555" w:rsidRPr="008B1645" w14:paraId="2ABEF7CF" w14:textId="77777777">
      <w:pPr>
        <w:widowControl/>
        <w:tabs>
          <w:tab w:val="left" w:pos="-1440"/>
        </w:tabs>
        <w:ind w:left="720" w:hanging="720"/>
        <w:rPr>
          <w:rFonts w:ascii="Times New Roman" w:hAnsi="Times New Roman"/>
          <w:b/>
          <w:bCs/>
          <w:u w:val="single"/>
        </w:rPr>
      </w:pPr>
      <w:r w:rsidRPr="008B1645">
        <w:rPr>
          <w:rFonts w:ascii="Times New Roman" w:hAnsi="Times New Roman"/>
          <w:b/>
          <w:bCs/>
        </w:rPr>
        <w:t>4.</w:t>
      </w:r>
      <w:r w:rsidRPr="008B1645">
        <w:rPr>
          <w:rFonts w:ascii="Times New Roman" w:hAnsi="Times New Roman"/>
          <w:b/>
          <w:bCs/>
        </w:rPr>
        <w:tab/>
      </w:r>
      <w:r w:rsidRPr="008B1645">
        <w:rPr>
          <w:rFonts w:ascii="Times New Roman" w:hAnsi="Times New Roman"/>
          <w:b/>
          <w:bCs/>
          <w:u w:val="single"/>
        </w:rPr>
        <w:t>EFFORTS TO IDENTIFY DUPLICATION</w:t>
      </w:r>
    </w:p>
    <w:p w:rsidR="00812555" w:rsidRPr="007B4A04" w14:paraId="7B35958A" w14:textId="77777777">
      <w:pPr>
        <w:widowControl/>
        <w:rPr>
          <w:rFonts w:ascii="Times New Roman" w:hAnsi="Times New Roman"/>
          <w:u w:val="single"/>
        </w:rPr>
      </w:pPr>
    </w:p>
    <w:p w:rsidR="00D4545E" w:rsidRPr="00DD35D0" w:rsidP="00D4545E" w14:paraId="51B6CB10" w14:textId="77777777">
      <w:pPr>
        <w:widowControl/>
        <w:ind w:left="720"/>
        <w:rPr>
          <w:rFonts w:ascii="Times New Roman" w:hAnsi="Times New Roman"/>
        </w:rPr>
      </w:pPr>
      <w:r w:rsidRPr="00961FA1">
        <w:rPr>
          <w:rFonts w:ascii="Times New Roman" w:hAnsi="Times New Roman"/>
        </w:rPr>
        <w:t>The information obtained through this collection is unique and is not already available for use or</w:t>
      </w:r>
      <w:r>
        <w:rPr>
          <w:rFonts w:ascii="Times New Roman" w:hAnsi="Times New Roman"/>
        </w:rPr>
        <w:t xml:space="preserve"> adaptation from another source</w:t>
      </w:r>
      <w:r w:rsidRPr="00DD35D0">
        <w:rPr>
          <w:rFonts w:ascii="Times New Roman" w:hAnsi="Times New Roman"/>
        </w:rPr>
        <w:t>.</w:t>
      </w:r>
    </w:p>
    <w:p w:rsidR="00812555" w:rsidRPr="007B4A04" w14:paraId="6C990F6F" w14:textId="77777777">
      <w:pPr>
        <w:widowControl/>
        <w:rPr>
          <w:rFonts w:ascii="Times New Roman" w:hAnsi="Times New Roman"/>
        </w:rPr>
      </w:pPr>
    </w:p>
    <w:p w:rsidR="00812555" w:rsidRPr="008B1645" w14:paraId="46F2015F" w14:textId="77777777">
      <w:pPr>
        <w:widowControl/>
        <w:tabs>
          <w:tab w:val="left" w:pos="-1440"/>
        </w:tabs>
        <w:ind w:left="720" w:hanging="720"/>
        <w:rPr>
          <w:rFonts w:ascii="Times New Roman" w:hAnsi="Times New Roman"/>
          <w:b/>
          <w:bCs/>
          <w:u w:val="single"/>
        </w:rPr>
      </w:pPr>
      <w:r w:rsidRPr="008B1645">
        <w:rPr>
          <w:rFonts w:ascii="Times New Roman" w:hAnsi="Times New Roman"/>
          <w:b/>
          <w:bCs/>
        </w:rPr>
        <w:t>5.</w:t>
      </w:r>
      <w:r w:rsidRPr="008B1645">
        <w:rPr>
          <w:rFonts w:ascii="Times New Roman" w:hAnsi="Times New Roman"/>
          <w:b/>
          <w:bCs/>
        </w:rPr>
        <w:tab/>
      </w:r>
      <w:r w:rsidRPr="008B1645">
        <w:rPr>
          <w:rFonts w:ascii="Times New Roman" w:hAnsi="Times New Roman"/>
          <w:b/>
          <w:bCs/>
          <w:u w:val="single"/>
        </w:rPr>
        <w:t>METHODS TO MINIMIZE BURDEN ON SMALL BUSINESSES OR OTHER SMALL ENTITIES</w:t>
      </w:r>
    </w:p>
    <w:p w:rsidR="00812555" w:rsidRPr="007B4A04" w14:paraId="4D2B70A7" w14:textId="77777777">
      <w:pPr>
        <w:widowControl/>
        <w:rPr>
          <w:rFonts w:ascii="Times New Roman" w:hAnsi="Times New Roman"/>
          <w:u w:val="single"/>
        </w:rPr>
      </w:pPr>
    </w:p>
    <w:p w:rsidR="00584153" w:rsidP="00FD79F6" w14:paraId="3379A0C8" w14:textId="070C6A2C">
      <w:pPr>
        <w:widowControl/>
        <w:ind w:left="720"/>
        <w:rPr>
          <w:rFonts w:ascii="Times New Roman" w:hAnsi="Times New Roman"/>
        </w:rPr>
      </w:pPr>
      <w:r w:rsidRPr="00401386">
        <w:rPr>
          <w:rFonts w:ascii="Times New Roman" w:hAnsi="Times New Roman"/>
        </w:rPr>
        <w:t>The collection of information requirement will not have a significant economic impact on a substantial number of small entities.</w:t>
      </w:r>
    </w:p>
    <w:p w:rsidR="005B6043" w:rsidRPr="007B4A04" w:rsidP="00FD79F6" w14:paraId="1F4974C1" w14:textId="77777777">
      <w:pPr>
        <w:widowControl/>
        <w:ind w:left="720"/>
        <w:rPr>
          <w:rFonts w:ascii="Times New Roman" w:hAnsi="Times New Roman"/>
        </w:rPr>
      </w:pPr>
    </w:p>
    <w:p w:rsidR="00812555" w:rsidRPr="008B1645" w14:paraId="1E978510" w14:textId="77777777">
      <w:pPr>
        <w:widowControl/>
        <w:tabs>
          <w:tab w:val="left" w:pos="-1440"/>
        </w:tabs>
        <w:ind w:left="720" w:hanging="720"/>
        <w:rPr>
          <w:rFonts w:ascii="Times New Roman" w:hAnsi="Times New Roman"/>
          <w:b/>
          <w:bCs/>
          <w:u w:val="single"/>
        </w:rPr>
      </w:pPr>
      <w:r w:rsidRPr="008B1645">
        <w:rPr>
          <w:rFonts w:ascii="Times New Roman" w:hAnsi="Times New Roman"/>
          <w:b/>
          <w:bCs/>
        </w:rPr>
        <w:t>6.</w:t>
      </w:r>
      <w:r w:rsidRPr="008B1645">
        <w:rPr>
          <w:rFonts w:ascii="Times New Roman" w:hAnsi="Times New Roman"/>
          <w:b/>
          <w:bCs/>
        </w:rPr>
        <w:tab/>
      </w:r>
      <w:r w:rsidRPr="008B1645">
        <w:rPr>
          <w:rFonts w:ascii="Times New Roman" w:hAnsi="Times New Roman"/>
          <w:b/>
          <w:bCs/>
          <w:u w:val="single"/>
        </w:rPr>
        <w:t>CONSEQUENCES OF LESS FREQUENT COLLECTION ON FEDERAL PROGRAMS OR POLICY ACTIVITIES</w:t>
      </w:r>
    </w:p>
    <w:p w:rsidR="00812555" w:rsidRPr="007B4A04" w14:paraId="35D867E4" w14:textId="77777777">
      <w:pPr>
        <w:widowControl/>
        <w:rPr>
          <w:rFonts w:ascii="Times New Roman" w:hAnsi="Times New Roman"/>
          <w:u w:val="single"/>
        </w:rPr>
      </w:pPr>
    </w:p>
    <w:p w:rsidR="005B6043" w:rsidP="008D184F" w14:paraId="3BE5C44E" w14:textId="35442A52">
      <w:pPr>
        <w:ind w:left="720"/>
        <w:rPr>
          <w:rFonts w:ascii="Times New Roman" w:hAnsi="Times New Roman"/>
        </w:rPr>
      </w:pPr>
      <w:r w:rsidRPr="005B6043">
        <w:rPr>
          <w:rFonts w:ascii="Times New Roman" w:hAnsi="Times New Roman"/>
        </w:rPr>
        <w:t xml:space="preserve">The IRS will use the information to determine if the taxpayer correctly calculated the credit allowed by IRC section 901. </w:t>
      </w:r>
      <w:r w:rsidR="00747F06">
        <w:rPr>
          <w:rFonts w:ascii="Times New Roman" w:hAnsi="Times New Roman"/>
        </w:rPr>
        <w:t xml:space="preserve"> </w:t>
      </w:r>
      <w:r w:rsidRPr="005B6043">
        <w:rPr>
          <w:rFonts w:ascii="Times New Roman" w:hAnsi="Times New Roman"/>
        </w:rPr>
        <w:t xml:space="preserve">If this information is collected less frequently it would compromise the ability of the IRS to enforce tax compliance. </w:t>
      </w:r>
      <w:r w:rsidR="00747F06">
        <w:rPr>
          <w:rFonts w:ascii="Times New Roman" w:hAnsi="Times New Roman"/>
        </w:rPr>
        <w:t xml:space="preserve"> </w:t>
      </w:r>
      <w:r w:rsidRPr="005B6043">
        <w:rPr>
          <w:rFonts w:ascii="Times New Roman" w:hAnsi="Times New Roman"/>
        </w:rPr>
        <w:t>Tax compliance is a vital part of the government’s ability to meet its mission and serve the public.</w:t>
      </w:r>
    </w:p>
    <w:p w:rsidR="00812555" w:rsidRPr="007B4A04" w:rsidP="008D184F" w14:paraId="1FE5188F" w14:textId="14708688">
      <w:pPr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812555" w:rsidRPr="008B1645" w14:paraId="32EBEF4E" w14:textId="77777777">
      <w:pPr>
        <w:widowControl/>
        <w:tabs>
          <w:tab w:val="left" w:pos="-1440"/>
        </w:tabs>
        <w:ind w:left="720" w:hanging="720"/>
        <w:rPr>
          <w:rFonts w:ascii="Times New Roman" w:hAnsi="Times New Roman"/>
          <w:b/>
          <w:bCs/>
          <w:u w:val="single"/>
        </w:rPr>
      </w:pPr>
      <w:r w:rsidRPr="008B1645">
        <w:rPr>
          <w:rFonts w:ascii="Times New Roman" w:hAnsi="Times New Roman"/>
          <w:b/>
          <w:bCs/>
        </w:rPr>
        <w:t>7.</w:t>
      </w:r>
      <w:r w:rsidRPr="008B1645">
        <w:rPr>
          <w:rFonts w:ascii="Times New Roman" w:hAnsi="Times New Roman"/>
          <w:b/>
          <w:bCs/>
        </w:rPr>
        <w:tab/>
      </w:r>
      <w:r w:rsidRPr="008B1645">
        <w:rPr>
          <w:rFonts w:ascii="Times New Roman" w:hAnsi="Times New Roman"/>
          <w:b/>
          <w:bCs/>
          <w:u w:val="single"/>
        </w:rPr>
        <w:t>SPECIAL CIRCUMSTANCES REQUIRING DATA COLLECTION TO BE INCONSISTENT WITH GUIDELINES IN 5 CFR 1320.5(d)(2)</w:t>
      </w:r>
    </w:p>
    <w:p w:rsidR="00812555" w:rsidRPr="007B4A04" w14:paraId="20485682" w14:textId="77777777">
      <w:pPr>
        <w:widowControl/>
        <w:rPr>
          <w:rFonts w:ascii="Times New Roman" w:hAnsi="Times New Roman"/>
          <w:u w:val="single"/>
        </w:rPr>
      </w:pPr>
    </w:p>
    <w:p w:rsidR="005A4B68" w:rsidP="005A4B68" w14:paraId="122B8488" w14:textId="77777777">
      <w:pPr>
        <w:ind w:left="720"/>
        <w:rPr>
          <w:rFonts w:ascii="Times New Roman" w:hAnsi="Times New Roman"/>
        </w:rPr>
      </w:pPr>
      <w:r w:rsidRPr="002D0FF6">
        <w:rPr>
          <w:rFonts w:ascii="Times New Roman" w:hAnsi="Times New Roman"/>
        </w:rPr>
        <w:t>There are no special circumstances requiring data collection to be inconsistent with Guidelines in 5 CFR 1320.5(d)(2).</w:t>
      </w:r>
    </w:p>
    <w:p w:rsidR="00812555" w:rsidRPr="008B1645" w14:paraId="2A881DF0" w14:textId="77777777">
      <w:pPr>
        <w:widowControl/>
        <w:rPr>
          <w:rFonts w:ascii="Times New Roman" w:hAnsi="Times New Roman"/>
          <w:b/>
          <w:bCs/>
        </w:rPr>
      </w:pPr>
    </w:p>
    <w:p w:rsidR="00812555" w:rsidRPr="008B1645" w:rsidP="00B21FCD" w14:paraId="42F1536F" w14:textId="77777777">
      <w:pPr>
        <w:widowControl/>
        <w:tabs>
          <w:tab w:val="left" w:pos="-1440"/>
        </w:tabs>
        <w:ind w:left="720" w:hanging="720"/>
        <w:rPr>
          <w:rFonts w:ascii="Times New Roman" w:hAnsi="Times New Roman"/>
          <w:b/>
          <w:bCs/>
          <w:u w:val="single"/>
        </w:rPr>
      </w:pPr>
      <w:r w:rsidRPr="008B1645">
        <w:rPr>
          <w:rFonts w:ascii="Times New Roman" w:hAnsi="Times New Roman"/>
          <w:b/>
          <w:bCs/>
        </w:rPr>
        <w:t>8.</w:t>
      </w:r>
      <w:r w:rsidRPr="008B1645">
        <w:rPr>
          <w:rFonts w:ascii="Times New Roman" w:hAnsi="Times New Roman"/>
          <w:b/>
          <w:bCs/>
        </w:rPr>
        <w:tab/>
      </w:r>
      <w:r w:rsidRPr="008B1645">
        <w:rPr>
          <w:rFonts w:ascii="Times New Roman" w:hAnsi="Times New Roman"/>
          <w:b/>
          <w:bCs/>
          <w:u w:val="single"/>
        </w:rPr>
        <w:t>CONSULTATION WITH INDIVIDUALS OUTSIDE OF THE AGENCY ON AVAILABILITY OF DATA, FREQUENCY OF COLLECTION, CLARITY OF INSTRUCTIONS AND FORMS, AND DATA ELEMENTS</w:t>
      </w:r>
    </w:p>
    <w:p w:rsidR="00B21FCD" w:rsidP="00B21FCD" w14:paraId="3F1A9B99" w14:textId="77777777">
      <w:pPr>
        <w:widowControl/>
        <w:tabs>
          <w:tab w:val="left" w:pos="-1440"/>
        </w:tabs>
        <w:ind w:left="720" w:hanging="720"/>
        <w:rPr>
          <w:rFonts w:ascii="Times New Roman" w:hAnsi="Times New Roman"/>
          <w:u w:val="single"/>
        </w:rPr>
      </w:pPr>
    </w:p>
    <w:p w:rsidR="00CA1F1A" w:rsidRPr="00A62803" w:rsidP="00A04C3D" w14:paraId="0E5AC880" w14:textId="458E3AE2">
      <w:pPr>
        <w:ind w:left="720"/>
        <w:rPr>
          <w:rFonts w:ascii="Times New Roman" w:hAnsi="Times New Roman"/>
        </w:rPr>
      </w:pPr>
      <w:bookmarkStart w:id="0" w:name="_Hlk133482699"/>
      <w:r w:rsidRPr="00B07193">
        <w:rPr>
          <w:rFonts w:ascii="Times New Roman" w:hAnsi="Times New Roman"/>
        </w:rPr>
        <w:t>We received no comments during the comment period in response to the Federal Register notice (9</w:t>
      </w:r>
      <w:r w:rsidRPr="00B07193" w:rsidR="00D1357D">
        <w:rPr>
          <w:rFonts w:ascii="Times New Roman" w:hAnsi="Times New Roman"/>
        </w:rPr>
        <w:t>1</w:t>
      </w:r>
      <w:r w:rsidRPr="00B07193">
        <w:rPr>
          <w:rFonts w:ascii="Times New Roman" w:hAnsi="Times New Roman"/>
        </w:rPr>
        <w:t xml:space="preserve"> FR </w:t>
      </w:r>
      <w:r w:rsidRPr="00B07193" w:rsidR="00D1357D">
        <w:rPr>
          <w:rFonts w:ascii="Times New Roman" w:hAnsi="Times New Roman"/>
        </w:rPr>
        <w:t>1034</w:t>
      </w:r>
      <w:r w:rsidRPr="00B07193">
        <w:rPr>
          <w:rFonts w:ascii="Times New Roman" w:hAnsi="Times New Roman"/>
        </w:rPr>
        <w:t xml:space="preserve">), dated </w:t>
      </w:r>
      <w:r w:rsidRPr="00B07193" w:rsidR="00D1357D">
        <w:rPr>
          <w:rFonts w:ascii="Times New Roman" w:hAnsi="Times New Roman"/>
        </w:rPr>
        <w:t>January</w:t>
      </w:r>
      <w:r w:rsidRPr="00B07193" w:rsidR="00716582">
        <w:rPr>
          <w:rFonts w:ascii="Times New Roman" w:hAnsi="Times New Roman"/>
        </w:rPr>
        <w:t xml:space="preserve"> </w:t>
      </w:r>
      <w:r w:rsidRPr="00B07193" w:rsidR="00190F97">
        <w:rPr>
          <w:rFonts w:ascii="Times New Roman" w:hAnsi="Times New Roman"/>
        </w:rPr>
        <w:t>9</w:t>
      </w:r>
      <w:r w:rsidRPr="00B07193">
        <w:rPr>
          <w:rFonts w:ascii="Times New Roman" w:hAnsi="Times New Roman"/>
        </w:rPr>
        <w:t>, 202</w:t>
      </w:r>
      <w:r w:rsidRPr="00B07193" w:rsidR="00D1357D">
        <w:rPr>
          <w:rFonts w:ascii="Times New Roman" w:hAnsi="Times New Roman"/>
        </w:rPr>
        <w:t>6</w:t>
      </w:r>
      <w:r w:rsidRPr="00B07193">
        <w:rPr>
          <w:rFonts w:ascii="Times New Roman" w:hAnsi="Times New Roman"/>
        </w:rPr>
        <w:t>.</w:t>
      </w:r>
    </w:p>
    <w:bookmarkEnd w:id="0"/>
    <w:p w:rsidR="00A04C3D" w:rsidRPr="00A04C3D" w:rsidP="00A04C3D" w14:paraId="4AE1D8CB" w14:textId="77777777">
      <w:pPr>
        <w:ind w:left="720"/>
        <w:rPr>
          <w:rFonts w:ascii="Times New Roman" w:hAnsi="Times New Roman"/>
          <w:bCs/>
        </w:rPr>
      </w:pPr>
    </w:p>
    <w:p w:rsidR="00812555" w:rsidRPr="008B1645" w14:paraId="07AD96F2" w14:textId="77777777">
      <w:pPr>
        <w:widowControl/>
        <w:tabs>
          <w:tab w:val="left" w:pos="-1440"/>
        </w:tabs>
        <w:ind w:left="720" w:hanging="720"/>
        <w:rPr>
          <w:rFonts w:ascii="Times New Roman" w:hAnsi="Times New Roman"/>
          <w:b/>
          <w:bCs/>
          <w:u w:val="single"/>
        </w:rPr>
      </w:pPr>
      <w:r w:rsidRPr="008B1645">
        <w:rPr>
          <w:rFonts w:ascii="Times New Roman" w:hAnsi="Times New Roman"/>
          <w:b/>
          <w:bCs/>
        </w:rPr>
        <w:t>9.</w:t>
      </w:r>
      <w:r w:rsidRPr="008B1645">
        <w:rPr>
          <w:rFonts w:ascii="Times New Roman" w:hAnsi="Times New Roman"/>
          <w:b/>
          <w:bCs/>
        </w:rPr>
        <w:tab/>
      </w:r>
      <w:r w:rsidRPr="008B1645">
        <w:rPr>
          <w:rFonts w:ascii="Times New Roman" w:hAnsi="Times New Roman"/>
          <w:b/>
          <w:bCs/>
          <w:u w:val="single"/>
        </w:rPr>
        <w:t>EXPLANATION OF DECISION TO PROVIDE ANY PAYMENT OR GIFT TO RESPONDENTS</w:t>
      </w:r>
    </w:p>
    <w:p w:rsidR="00812555" w:rsidRPr="007B4A04" w14:paraId="298471B8" w14:textId="77777777">
      <w:pPr>
        <w:widowControl/>
        <w:rPr>
          <w:rFonts w:ascii="Times New Roman" w:hAnsi="Times New Roman"/>
          <w:u w:val="single"/>
        </w:rPr>
      </w:pPr>
    </w:p>
    <w:p w:rsidR="00812555" w:rsidRPr="007B4A04" w:rsidP="00B21FCD" w14:paraId="590B7556" w14:textId="77777777">
      <w:pPr>
        <w:ind w:left="720"/>
        <w:rPr>
          <w:rFonts w:ascii="Times New Roman" w:hAnsi="Times New Roman"/>
        </w:rPr>
      </w:pPr>
      <w:r w:rsidRPr="002D0FF6">
        <w:rPr>
          <w:rFonts w:ascii="Times New Roman" w:hAnsi="Times New Roman"/>
        </w:rPr>
        <w:t>No payment or gift has been provided to any respondents.</w:t>
      </w:r>
    </w:p>
    <w:p w:rsidR="00812555" w:rsidRPr="007B4A04" w14:paraId="27A147C0" w14:textId="77777777">
      <w:pPr>
        <w:widowControl/>
        <w:rPr>
          <w:rFonts w:ascii="Times New Roman" w:hAnsi="Times New Roman"/>
        </w:rPr>
      </w:pPr>
    </w:p>
    <w:p w:rsidR="00812555" w:rsidRPr="008B1645" w14:paraId="714A4C9D" w14:textId="77777777">
      <w:pPr>
        <w:keepNext/>
        <w:keepLines/>
        <w:widowControl/>
        <w:tabs>
          <w:tab w:val="left" w:pos="-1440"/>
        </w:tabs>
        <w:ind w:left="720" w:hanging="720"/>
        <w:rPr>
          <w:rFonts w:ascii="Times New Roman" w:hAnsi="Times New Roman"/>
          <w:b/>
          <w:bCs/>
          <w:u w:val="single"/>
        </w:rPr>
      </w:pPr>
      <w:r w:rsidRPr="008B1645">
        <w:rPr>
          <w:rFonts w:ascii="Times New Roman" w:hAnsi="Times New Roman"/>
          <w:b/>
          <w:bCs/>
        </w:rPr>
        <w:t>10.</w:t>
      </w:r>
      <w:r w:rsidRPr="008B1645">
        <w:rPr>
          <w:rFonts w:ascii="Times New Roman" w:hAnsi="Times New Roman"/>
          <w:b/>
          <w:bCs/>
        </w:rPr>
        <w:tab/>
      </w:r>
      <w:r w:rsidRPr="008B1645">
        <w:rPr>
          <w:rFonts w:ascii="Times New Roman" w:hAnsi="Times New Roman"/>
          <w:b/>
          <w:bCs/>
          <w:u w:val="single"/>
        </w:rPr>
        <w:t>ASSURANCE OF CONFIDENTIALITY OF RESPONSES</w:t>
      </w:r>
    </w:p>
    <w:p w:rsidR="00812555" w:rsidRPr="007B4A04" w14:paraId="4A6A2842" w14:textId="77777777">
      <w:pPr>
        <w:keepNext/>
        <w:keepLines/>
        <w:widowControl/>
        <w:rPr>
          <w:rFonts w:ascii="Times New Roman" w:hAnsi="Times New Roman"/>
          <w:u w:val="single"/>
        </w:rPr>
      </w:pPr>
    </w:p>
    <w:p w:rsidR="00B21FCD" w14:paraId="65974451" w14:textId="77777777">
      <w:pPr>
        <w:keepNext/>
        <w:keepLines/>
        <w:widowControl/>
        <w:ind w:left="720"/>
        <w:rPr>
          <w:rFonts w:ascii="Times New Roman" w:hAnsi="Times New Roman"/>
        </w:rPr>
      </w:pPr>
      <w:r w:rsidRPr="007B4A04">
        <w:rPr>
          <w:rFonts w:ascii="Times New Roman" w:hAnsi="Times New Roman"/>
        </w:rPr>
        <w:t xml:space="preserve">Generally, tax returns and tax return information are confidential as required by </w:t>
      </w:r>
    </w:p>
    <w:p w:rsidR="00812555" w:rsidRPr="007B4A04" w14:paraId="7724B72E" w14:textId="77777777">
      <w:pPr>
        <w:keepNext/>
        <w:keepLines/>
        <w:widowControl/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26 </w:t>
      </w:r>
      <w:r w:rsidRPr="007B4A04">
        <w:rPr>
          <w:rFonts w:ascii="Times New Roman" w:hAnsi="Times New Roman"/>
        </w:rPr>
        <w:t>U.S.C. 6103.</w:t>
      </w:r>
    </w:p>
    <w:p w:rsidR="00812555" w:rsidRPr="007B4A04" w14:paraId="56946528" w14:textId="77777777">
      <w:pPr>
        <w:keepLines/>
        <w:widowControl/>
        <w:rPr>
          <w:rFonts w:ascii="Times New Roman" w:hAnsi="Times New Roman"/>
        </w:rPr>
      </w:pPr>
    </w:p>
    <w:p w:rsidR="00812555" w:rsidRPr="008B1645" w14:paraId="15F99CB4" w14:textId="77777777">
      <w:pPr>
        <w:widowControl/>
        <w:tabs>
          <w:tab w:val="left" w:pos="-1440"/>
        </w:tabs>
        <w:ind w:left="720" w:hanging="720"/>
        <w:rPr>
          <w:rFonts w:ascii="Times New Roman" w:hAnsi="Times New Roman"/>
          <w:b/>
          <w:bCs/>
          <w:u w:val="single"/>
        </w:rPr>
      </w:pPr>
      <w:r w:rsidRPr="008B1645">
        <w:rPr>
          <w:rFonts w:ascii="Times New Roman" w:hAnsi="Times New Roman"/>
          <w:b/>
          <w:bCs/>
        </w:rPr>
        <w:t>11.</w:t>
      </w:r>
      <w:r w:rsidRPr="008B1645">
        <w:rPr>
          <w:rFonts w:ascii="Times New Roman" w:hAnsi="Times New Roman"/>
          <w:b/>
          <w:bCs/>
        </w:rPr>
        <w:tab/>
      </w:r>
      <w:r w:rsidRPr="008B1645">
        <w:rPr>
          <w:rFonts w:ascii="Times New Roman" w:hAnsi="Times New Roman"/>
          <w:b/>
          <w:bCs/>
          <w:u w:val="single"/>
        </w:rPr>
        <w:t>JUSTIFICATION OF SENSITIVE QUESTIONS</w:t>
      </w:r>
    </w:p>
    <w:p w:rsidR="00812555" w:rsidRPr="007B4A04" w14:paraId="23FD71D2" w14:textId="77777777">
      <w:pPr>
        <w:widowControl/>
        <w:rPr>
          <w:rFonts w:ascii="Times New Roman" w:hAnsi="Times New Roman"/>
          <w:u w:val="single"/>
        </w:rPr>
      </w:pPr>
    </w:p>
    <w:p w:rsidR="007C41D0" w:rsidP="000C1A71" w14:paraId="7E1B8EFD" w14:textId="6F203623">
      <w:pPr>
        <w:widowControl/>
        <w:ind w:firstLine="720"/>
        <w:rPr>
          <w:rFonts w:ascii="Times New Roman" w:hAnsi="Times New Roman"/>
        </w:rPr>
      </w:pPr>
      <w:r w:rsidRPr="000C1A71">
        <w:rPr>
          <w:rFonts w:ascii="Times New Roman" w:hAnsi="Times New Roman"/>
        </w:rPr>
        <w:t>There is no sensitive personally identifiable information (PII) in this collection.</w:t>
      </w:r>
    </w:p>
    <w:p w:rsidR="000C1A71" w14:paraId="74AEFD43" w14:textId="77777777">
      <w:pPr>
        <w:keepNext/>
        <w:keepLines/>
        <w:widowControl/>
        <w:tabs>
          <w:tab w:val="left" w:pos="-1440"/>
        </w:tabs>
        <w:ind w:left="720" w:hanging="720"/>
        <w:rPr>
          <w:rFonts w:ascii="Times New Roman" w:hAnsi="Times New Roman"/>
        </w:rPr>
      </w:pPr>
    </w:p>
    <w:p w:rsidR="00812555" w:rsidRPr="008B1645" w14:paraId="02498C41" w14:textId="41C9C59D">
      <w:pPr>
        <w:keepNext/>
        <w:keepLines/>
        <w:widowControl/>
        <w:tabs>
          <w:tab w:val="left" w:pos="-1440"/>
        </w:tabs>
        <w:ind w:left="720" w:hanging="720"/>
        <w:rPr>
          <w:rFonts w:ascii="Times New Roman" w:hAnsi="Times New Roman"/>
          <w:b/>
          <w:bCs/>
          <w:u w:val="single"/>
        </w:rPr>
      </w:pPr>
      <w:r w:rsidRPr="008B1645">
        <w:rPr>
          <w:rFonts w:ascii="Times New Roman" w:hAnsi="Times New Roman"/>
          <w:b/>
          <w:bCs/>
        </w:rPr>
        <w:t>12.</w:t>
      </w:r>
      <w:r w:rsidRPr="008B1645">
        <w:rPr>
          <w:rFonts w:ascii="Times New Roman" w:hAnsi="Times New Roman"/>
          <w:b/>
          <w:bCs/>
        </w:rPr>
        <w:tab/>
      </w:r>
      <w:r w:rsidRPr="008B1645">
        <w:rPr>
          <w:rFonts w:ascii="Times New Roman" w:hAnsi="Times New Roman"/>
          <w:b/>
          <w:bCs/>
          <w:u w:val="single"/>
        </w:rPr>
        <w:t>ESTIMATED BURDEN OF INFORMATION COLLECTION</w:t>
      </w:r>
    </w:p>
    <w:p w:rsidR="00F51090" w:rsidP="00A85A18" w14:paraId="462BA5E9" w14:textId="77777777">
      <w:pPr>
        <w:widowControl/>
        <w:rPr>
          <w:rFonts w:ascii="Times New Roman" w:hAnsi="Times New Roman"/>
        </w:rPr>
      </w:pPr>
    </w:p>
    <w:p w:rsidR="006E7C92" w:rsidP="000C1A71" w14:paraId="629A8516" w14:textId="0993914E">
      <w:pPr>
        <w:widowControl/>
        <w:ind w:left="720"/>
        <w:rPr>
          <w:rFonts w:ascii="Times New Roman" w:hAnsi="Times New Roman"/>
        </w:rPr>
      </w:pPr>
      <w:r w:rsidRPr="000C1A71">
        <w:rPr>
          <w:rFonts w:ascii="Times New Roman" w:hAnsi="Times New Roman"/>
        </w:rPr>
        <w:t xml:space="preserve">IRC section 901 allows a tax credit for the amount of any income, war profits, or excess profits taxes it has paid or accrued during the taxable year. </w:t>
      </w:r>
      <w:r w:rsidR="00312B17">
        <w:rPr>
          <w:rFonts w:ascii="Times New Roman" w:hAnsi="Times New Roman"/>
        </w:rPr>
        <w:t xml:space="preserve"> </w:t>
      </w:r>
      <w:r w:rsidRPr="000C1A71">
        <w:rPr>
          <w:rFonts w:ascii="Times New Roman" w:hAnsi="Times New Roman"/>
        </w:rPr>
        <w:t xml:space="preserve">Section 1.901-2A(d) requires a taxpayer wishing to use the safe harbor formula to attach a statement to the income tax return for the taxable year for which the election is made or submit a statement to the </w:t>
      </w:r>
      <w:r w:rsidRPr="000C1A71">
        <w:rPr>
          <w:rFonts w:ascii="Times New Roman" w:hAnsi="Times New Roman"/>
        </w:rPr>
        <w:t>Commissioner requesting revocation of the election.</w:t>
      </w:r>
      <w:r w:rsidR="00312B17">
        <w:rPr>
          <w:rFonts w:ascii="Times New Roman" w:hAnsi="Times New Roman"/>
        </w:rPr>
        <w:t xml:space="preserve"> </w:t>
      </w:r>
      <w:r w:rsidRPr="000C1A71">
        <w:rPr>
          <w:rFonts w:ascii="Times New Roman" w:hAnsi="Times New Roman"/>
        </w:rPr>
        <w:t xml:space="preserve"> The IRS estimates that there will be 120 respondents annually, with an estimated response time of 2</w:t>
      </w:r>
      <w:r w:rsidR="00102289">
        <w:rPr>
          <w:rFonts w:ascii="Times New Roman" w:hAnsi="Times New Roman"/>
        </w:rPr>
        <w:t>1</w:t>
      </w:r>
      <w:r w:rsidRPr="000C1A71">
        <w:rPr>
          <w:rFonts w:ascii="Times New Roman" w:hAnsi="Times New Roman"/>
        </w:rPr>
        <w:t xml:space="preserve"> minutes per respondent.</w:t>
      </w:r>
      <w:r w:rsidRPr="006E7C92" w:rsidR="00747F06">
        <w:rPr>
          <w:rFonts w:ascii="Times New Roman" w:hAnsi="Times New Roman"/>
        </w:rPr>
        <w:t xml:space="preserve"> </w:t>
      </w:r>
    </w:p>
    <w:p w:rsidR="000C1A71" w:rsidRPr="006E7C92" w:rsidP="000C1A71" w14:paraId="30776561" w14:textId="77777777">
      <w:pPr>
        <w:widowControl/>
        <w:ind w:left="720"/>
        <w:rPr>
          <w:rFonts w:ascii="Times New Roman" w:hAnsi="Times New Roman"/>
        </w:rPr>
      </w:pPr>
    </w:p>
    <w:p w:rsidR="006E7C92" w:rsidRPr="006E7C92" w:rsidP="00C22D2C" w14:paraId="5CF0770E" w14:textId="77777777">
      <w:pPr>
        <w:widowControl/>
        <w:ind w:firstLine="720"/>
        <w:rPr>
          <w:rFonts w:ascii="Times New Roman" w:hAnsi="Times New Roman"/>
        </w:rPr>
      </w:pPr>
      <w:r w:rsidRPr="006E7C92">
        <w:rPr>
          <w:rFonts w:ascii="Times New Roman" w:hAnsi="Times New Roman"/>
        </w:rPr>
        <w:t>The burden estimate is as follows:</w:t>
      </w:r>
    </w:p>
    <w:p w:rsidR="006E7C92" w:rsidRPr="006E7C92" w:rsidP="006E7C92" w14:paraId="10143AAB" w14:textId="77777777">
      <w:pPr>
        <w:widowControl/>
        <w:rPr>
          <w:rFonts w:ascii="Times New Roman" w:hAnsi="Times New Roman"/>
        </w:rPr>
      </w:pPr>
    </w:p>
    <w:tbl>
      <w:tblPr>
        <w:tblW w:w="8687" w:type="dxa"/>
        <w:tblInd w:w="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77"/>
        <w:gridCol w:w="1414"/>
        <w:gridCol w:w="1341"/>
        <w:gridCol w:w="1255"/>
        <w:gridCol w:w="1316"/>
        <w:gridCol w:w="1247"/>
        <w:gridCol w:w="1037"/>
      </w:tblGrid>
      <w:tr w14:paraId="7C39481E" w14:textId="77777777" w:rsidTr="009B7BBF">
        <w:tblPrEx>
          <w:tblW w:w="8687" w:type="dxa"/>
          <w:tblInd w:w="7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077" w:type="dxa"/>
            <w:vAlign w:val="bottom"/>
          </w:tcPr>
          <w:p w:rsidR="00F51090" w:rsidRPr="002F1F88" w:rsidP="00E022EC" w14:paraId="1388A3A7" w14:textId="77777777">
            <w:pPr>
              <w:keepNext/>
              <w:keepLines/>
              <w:numPr>
                <w:ilvl w:val="12"/>
                <w:numId w:val="0"/>
              </w:num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2F1F88">
              <w:rPr>
                <w:rFonts w:ascii="Times New Roman" w:hAnsi="Times New Roman"/>
                <w:bCs/>
                <w:sz w:val="22"/>
                <w:szCs w:val="22"/>
              </w:rPr>
              <w:t>Authority</w:t>
            </w:r>
          </w:p>
        </w:tc>
        <w:tc>
          <w:tcPr>
            <w:tcW w:w="1414" w:type="dxa"/>
            <w:vAlign w:val="bottom"/>
          </w:tcPr>
          <w:p w:rsidR="00F51090" w:rsidRPr="002F1F88" w:rsidP="00E022EC" w14:paraId="7BFB067F" w14:textId="77777777">
            <w:pPr>
              <w:keepNext/>
              <w:keepLines/>
              <w:numPr>
                <w:ilvl w:val="12"/>
                <w:numId w:val="0"/>
              </w:num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2F1F88">
              <w:rPr>
                <w:rFonts w:ascii="Times New Roman" w:hAnsi="Times New Roman"/>
                <w:bCs/>
                <w:sz w:val="22"/>
                <w:szCs w:val="22"/>
              </w:rPr>
              <w:t>Description</w:t>
            </w:r>
          </w:p>
        </w:tc>
        <w:tc>
          <w:tcPr>
            <w:tcW w:w="1341" w:type="dxa"/>
            <w:vAlign w:val="bottom"/>
          </w:tcPr>
          <w:p w:rsidR="00F51090" w:rsidRPr="002F1F88" w:rsidP="00E022EC" w14:paraId="68352541" w14:textId="77777777">
            <w:pPr>
              <w:keepNext/>
              <w:keepLines/>
              <w:numPr>
                <w:ilvl w:val="12"/>
                <w:numId w:val="0"/>
              </w:num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2F1F88">
              <w:rPr>
                <w:rFonts w:ascii="Times New Roman" w:hAnsi="Times New Roman"/>
                <w:bCs/>
                <w:sz w:val="22"/>
                <w:szCs w:val="22"/>
              </w:rPr>
              <w:t># of Respondents</w:t>
            </w:r>
          </w:p>
        </w:tc>
        <w:tc>
          <w:tcPr>
            <w:tcW w:w="1255" w:type="dxa"/>
            <w:vAlign w:val="bottom"/>
          </w:tcPr>
          <w:p w:rsidR="00F51090" w:rsidRPr="002F1F88" w:rsidP="00E022EC" w14:paraId="59E316D6" w14:textId="02670723">
            <w:pPr>
              <w:keepNext/>
              <w:keepLines/>
              <w:numPr>
                <w:ilvl w:val="12"/>
                <w:numId w:val="0"/>
              </w:num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2F1F88">
              <w:rPr>
                <w:rFonts w:ascii="Times New Roman" w:hAnsi="Times New Roman"/>
                <w:bCs/>
                <w:sz w:val="22"/>
                <w:szCs w:val="22"/>
              </w:rPr>
              <w:t xml:space="preserve"># </w:t>
            </w:r>
            <w:r w:rsidR="00A62803">
              <w:rPr>
                <w:rFonts w:ascii="Times New Roman" w:hAnsi="Times New Roman"/>
                <w:bCs/>
                <w:sz w:val="22"/>
                <w:szCs w:val="22"/>
              </w:rPr>
              <w:t xml:space="preserve">of </w:t>
            </w:r>
            <w:r w:rsidRPr="002F1F88">
              <w:rPr>
                <w:rFonts w:ascii="Times New Roman" w:hAnsi="Times New Roman"/>
                <w:bCs/>
                <w:sz w:val="22"/>
                <w:szCs w:val="22"/>
              </w:rPr>
              <w:t>Responses per Respondent</w:t>
            </w:r>
          </w:p>
        </w:tc>
        <w:tc>
          <w:tcPr>
            <w:tcW w:w="1316" w:type="dxa"/>
            <w:vAlign w:val="bottom"/>
          </w:tcPr>
          <w:p w:rsidR="00F51090" w:rsidRPr="002F1F88" w:rsidP="00E022EC" w14:paraId="77F002FB" w14:textId="77777777">
            <w:pPr>
              <w:keepNext/>
              <w:keepLines/>
              <w:numPr>
                <w:ilvl w:val="12"/>
                <w:numId w:val="0"/>
              </w:num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2F1F88">
              <w:rPr>
                <w:rFonts w:ascii="Times New Roman" w:hAnsi="Times New Roman"/>
                <w:bCs/>
                <w:sz w:val="22"/>
                <w:szCs w:val="22"/>
              </w:rPr>
              <w:t>Annual Responses</w:t>
            </w:r>
          </w:p>
        </w:tc>
        <w:tc>
          <w:tcPr>
            <w:tcW w:w="1247" w:type="dxa"/>
            <w:vAlign w:val="bottom"/>
          </w:tcPr>
          <w:p w:rsidR="00F51090" w:rsidRPr="002F1F88" w:rsidP="00E022EC" w14:paraId="4DAF3EF5" w14:textId="77777777">
            <w:pPr>
              <w:keepNext/>
              <w:keepLines/>
              <w:numPr>
                <w:ilvl w:val="12"/>
                <w:numId w:val="0"/>
              </w:num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2F1F88">
              <w:rPr>
                <w:rFonts w:ascii="Times New Roman" w:hAnsi="Times New Roman"/>
                <w:bCs/>
                <w:sz w:val="22"/>
                <w:szCs w:val="22"/>
              </w:rPr>
              <w:t>Hours per Response</w:t>
            </w:r>
          </w:p>
        </w:tc>
        <w:tc>
          <w:tcPr>
            <w:tcW w:w="1037" w:type="dxa"/>
            <w:vAlign w:val="bottom"/>
          </w:tcPr>
          <w:p w:rsidR="00F51090" w:rsidP="00E022EC" w14:paraId="5B5BE05E" w14:textId="77777777">
            <w:pPr>
              <w:keepNext/>
              <w:keepLines/>
              <w:numPr>
                <w:ilvl w:val="12"/>
                <w:numId w:val="0"/>
              </w:num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2F1F88">
              <w:rPr>
                <w:rFonts w:ascii="Times New Roman" w:hAnsi="Times New Roman"/>
                <w:bCs/>
                <w:sz w:val="22"/>
                <w:szCs w:val="22"/>
              </w:rPr>
              <w:t>Total Burden</w:t>
            </w:r>
          </w:p>
          <w:p w:rsidR="00D10001" w:rsidRPr="002F1F88" w:rsidP="00E022EC" w14:paraId="570F2CDF" w14:textId="2A6AD163">
            <w:pPr>
              <w:keepNext/>
              <w:keepLines/>
              <w:numPr>
                <w:ilvl w:val="12"/>
                <w:numId w:val="0"/>
              </w:num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Hours</w:t>
            </w:r>
          </w:p>
        </w:tc>
      </w:tr>
      <w:tr w14:paraId="04D65013" w14:textId="77777777" w:rsidTr="009B7BBF">
        <w:tblPrEx>
          <w:tblW w:w="8687" w:type="dxa"/>
          <w:tblInd w:w="715" w:type="dxa"/>
          <w:tblLayout w:type="fixed"/>
          <w:tblLook w:val="04A0"/>
        </w:tblPrEx>
        <w:tc>
          <w:tcPr>
            <w:tcW w:w="1077" w:type="dxa"/>
            <w:vAlign w:val="bottom"/>
          </w:tcPr>
          <w:p w:rsidR="00F51090" w:rsidRPr="002F1F88" w:rsidP="009B7BBF" w14:paraId="3C909053" w14:textId="684C7F62">
            <w:pPr>
              <w:keepNext/>
              <w:keepLines/>
              <w:numPr>
                <w:ilvl w:val="12"/>
                <w:numId w:val="0"/>
              </w:num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1F88">
              <w:rPr>
                <w:rFonts w:ascii="Times New Roman" w:hAnsi="Times New Roman"/>
                <w:sz w:val="22"/>
                <w:szCs w:val="22"/>
              </w:rPr>
              <w:t xml:space="preserve">IRC </w:t>
            </w:r>
            <w:r w:rsidRPr="002F1F88" w:rsidR="00276ED4">
              <w:rPr>
                <w:rFonts w:ascii="Times New Roman" w:hAnsi="Times New Roman"/>
                <w:sz w:val="22"/>
                <w:szCs w:val="22"/>
              </w:rPr>
              <w:t xml:space="preserve">§ </w:t>
            </w:r>
            <w:r w:rsidR="000C1A71">
              <w:rPr>
                <w:rFonts w:ascii="Times New Roman" w:hAnsi="Times New Roman"/>
                <w:sz w:val="22"/>
                <w:szCs w:val="22"/>
              </w:rPr>
              <w:t>901</w:t>
            </w:r>
          </w:p>
        </w:tc>
        <w:tc>
          <w:tcPr>
            <w:tcW w:w="1414" w:type="dxa"/>
            <w:vAlign w:val="bottom"/>
          </w:tcPr>
          <w:p w:rsidR="00F51090" w:rsidRPr="002F1F88" w:rsidP="009B7BBF" w14:paraId="10FD8983" w14:textId="6E24B081">
            <w:pPr>
              <w:keepNext/>
              <w:keepLines/>
              <w:numPr>
                <w:ilvl w:val="12"/>
                <w:numId w:val="0"/>
              </w:num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TD 7918</w:t>
            </w:r>
          </w:p>
        </w:tc>
        <w:tc>
          <w:tcPr>
            <w:tcW w:w="1341" w:type="dxa"/>
            <w:vAlign w:val="bottom"/>
          </w:tcPr>
          <w:p w:rsidR="00F51090" w:rsidRPr="002F1F88" w:rsidP="009B7BBF" w14:paraId="69911365" w14:textId="17FCBF5E">
            <w:pPr>
              <w:keepNext/>
              <w:keepLines/>
              <w:numPr>
                <w:ilvl w:val="12"/>
                <w:numId w:val="0"/>
              </w:num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120</w:t>
            </w:r>
          </w:p>
        </w:tc>
        <w:tc>
          <w:tcPr>
            <w:tcW w:w="1255" w:type="dxa"/>
            <w:vAlign w:val="bottom"/>
          </w:tcPr>
          <w:p w:rsidR="00F51090" w:rsidRPr="002F1F88" w:rsidP="009B7BBF" w14:paraId="7DA1FB5B" w14:textId="77777777">
            <w:pPr>
              <w:keepNext/>
              <w:keepLines/>
              <w:numPr>
                <w:ilvl w:val="12"/>
                <w:numId w:val="0"/>
              </w:num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1F88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316" w:type="dxa"/>
            <w:vAlign w:val="bottom"/>
          </w:tcPr>
          <w:p w:rsidR="00F51090" w:rsidRPr="002F1F88" w:rsidP="009B7BBF" w14:paraId="4A34C0F4" w14:textId="2308578F">
            <w:pPr>
              <w:keepNext/>
              <w:keepLines/>
              <w:numPr>
                <w:ilvl w:val="12"/>
                <w:numId w:val="0"/>
              </w:num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120</w:t>
            </w:r>
          </w:p>
        </w:tc>
        <w:tc>
          <w:tcPr>
            <w:tcW w:w="1247" w:type="dxa"/>
            <w:vAlign w:val="bottom"/>
          </w:tcPr>
          <w:p w:rsidR="00F51090" w:rsidRPr="002F1F88" w:rsidP="009B7BBF" w14:paraId="64DB23E2" w14:textId="33F6116E">
            <w:pPr>
              <w:keepNext/>
              <w:keepLines/>
              <w:numPr>
                <w:ilvl w:val="12"/>
                <w:numId w:val="0"/>
              </w:num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21 mins.</w:t>
            </w:r>
          </w:p>
        </w:tc>
        <w:tc>
          <w:tcPr>
            <w:tcW w:w="1037" w:type="dxa"/>
            <w:vAlign w:val="bottom"/>
          </w:tcPr>
          <w:p w:rsidR="00F51090" w:rsidRPr="002F1F88" w:rsidP="009B7BBF" w14:paraId="45FC8DBC" w14:textId="4818E176">
            <w:pPr>
              <w:keepNext/>
              <w:keepLines/>
              <w:numPr>
                <w:ilvl w:val="12"/>
                <w:numId w:val="0"/>
              </w:num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  <w:r w:rsidR="000C1A71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 w14:paraId="3EFE4030" w14:textId="77777777" w:rsidTr="009B7BBF">
        <w:tblPrEx>
          <w:tblW w:w="8687" w:type="dxa"/>
          <w:tblInd w:w="715" w:type="dxa"/>
          <w:tblLayout w:type="fixed"/>
          <w:tblLook w:val="04A0"/>
        </w:tblPrEx>
        <w:tc>
          <w:tcPr>
            <w:tcW w:w="1077" w:type="dxa"/>
            <w:vAlign w:val="bottom"/>
          </w:tcPr>
          <w:p w:rsidR="00F51090" w:rsidRPr="002F1F88" w:rsidP="009B7BBF" w14:paraId="42699059" w14:textId="77777777">
            <w:pPr>
              <w:keepNext/>
              <w:keepLines/>
              <w:numPr>
                <w:ilvl w:val="12"/>
                <w:numId w:val="0"/>
              </w:num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1F88">
              <w:rPr>
                <w:rFonts w:ascii="Times New Roman" w:hAnsi="Times New Roman"/>
                <w:sz w:val="22"/>
                <w:szCs w:val="22"/>
              </w:rPr>
              <w:t>Totals</w:t>
            </w:r>
          </w:p>
        </w:tc>
        <w:tc>
          <w:tcPr>
            <w:tcW w:w="1414" w:type="dxa"/>
            <w:vAlign w:val="bottom"/>
          </w:tcPr>
          <w:p w:rsidR="00F51090" w:rsidRPr="002F1F88" w:rsidP="009B7BBF" w14:paraId="66D37A2D" w14:textId="77777777">
            <w:pPr>
              <w:keepNext/>
              <w:keepLines/>
              <w:numPr>
                <w:ilvl w:val="12"/>
                <w:numId w:val="0"/>
              </w:num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1" w:type="dxa"/>
            <w:vAlign w:val="bottom"/>
          </w:tcPr>
          <w:p w:rsidR="00F51090" w:rsidRPr="002F1F88" w:rsidP="009B7BBF" w14:paraId="5A02F400" w14:textId="4BD54DCA">
            <w:pPr>
              <w:keepNext/>
              <w:keepLines/>
              <w:numPr>
                <w:ilvl w:val="12"/>
                <w:numId w:val="0"/>
              </w:num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120</w:t>
            </w:r>
          </w:p>
        </w:tc>
        <w:tc>
          <w:tcPr>
            <w:tcW w:w="1255" w:type="dxa"/>
            <w:vAlign w:val="bottom"/>
          </w:tcPr>
          <w:p w:rsidR="00F51090" w:rsidRPr="002F1F88" w:rsidP="009B7BBF" w14:paraId="3E57942B" w14:textId="77777777">
            <w:pPr>
              <w:keepNext/>
              <w:keepLines/>
              <w:numPr>
                <w:ilvl w:val="12"/>
                <w:numId w:val="0"/>
              </w:num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16" w:type="dxa"/>
            <w:vAlign w:val="bottom"/>
          </w:tcPr>
          <w:p w:rsidR="00F51090" w:rsidRPr="002F1F88" w:rsidP="009B7BBF" w14:paraId="40DC0C3D" w14:textId="14E8FF93">
            <w:pPr>
              <w:keepNext/>
              <w:keepLines/>
              <w:numPr>
                <w:ilvl w:val="12"/>
                <w:numId w:val="0"/>
              </w:num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120</w:t>
            </w:r>
          </w:p>
        </w:tc>
        <w:tc>
          <w:tcPr>
            <w:tcW w:w="1247" w:type="dxa"/>
            <w:vAlign w:val="bottom"/>
          </w:tcPr>
          <w:p w:rsidR="00F51090" w:rsidRPr="002F1F88" w:rsidP="009B7BBF" w14:paraId="54CE5919" w14:textId="77777777">
            <w:pPr>
              <w:keepNext/>
              <w:keepLines/>
              <w:numPr>
                <w:ilvl w:val="12"/>
                <w:numId w:val="0"/>
              </w:num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37" w:type="dxa"/>
            <w:vAlign w:val="bottom"/>
          </w:tcPr>
          <w:p w:rsidR="00F51090" w:rsidRPr="002F1F88" w:rsidP="009B7BBF" w14:paraId="0B3D053A" w14:textId="4D7EF737">
            <w:pPr>
              <w:keepNext/>
              <w:keepLines/>
              <w:numPr>
                <w:ilvl w:val="12"/>
                <w:numId w:val="0"/>
              </w:num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  <w:r w:rsidR="000C1A71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</w:tbl>
    <w:p w:rsidR="00F51090" w:rsidP="0095256B" w14:paraId="3AF13B2B" w14:textId="77777777">
      <w:pPr>
        <w:widowControl/>
        <w:ind w:left="720"/>
        <w:rPr>
          <w:rFonts w:ascii="Times New Roman" w:hAnsi="Times New Roman"/>
        </w:rPr>
      </w:pPr>
    </w:p>
    <w:p w:rsidR="000C1A71" w:rsidRPr="000C1A71" w:rsidP="000C1A71" w14:paraId="6AC9D9FB" w14:textId="179CF1CB">
      <w:pPr>
        <w:widowControl/>
        <w:ind w:left="720"/>
        <w:rPr>
          <w:rFonts w:ascii="Times New Roman" w:hAnsi="Times New Roman"/>
        </w:rPr>
      </w:pPr>
      <w:r w:rsidRPr="000C1A71">
        <w:rPr>
          <w:rFonts w:ascii="Times New Roman" w:hAnsi="Times New Roman"/>
        </w:rPr>
        <w:t>The following regulations impose no additional burden.</w:t>
      </w:r>
      <w:r w:rsidR="009C1E83">
        <w:rPr>
          <w:rFonts w:ascii="Times New Roman" w:hAnsi="Times New Roman"/>
        </w:rPr>
        <w:t xml:space="preserve"> </w:t>
      </w:r>
      <w:r w:rsidRPr="000C1A71">
        <w:rPr>
          <w:rFonts w:ascii="Times New Roman" w:hAnsi="Times New Roman"/>
        </w:rPr>
        <w:t xml:space="preserve"> Please continue to assign OMB number 1545-0746 to these regulations.</w:t>
      </w:r>
    </w:p>
    <w:p w:rsidR="000C1A71" w:rsidRPr="000C1A71" w:rsidP="000C1A71" w14:paraId="43ED582E" w14:textId="77777777">
      <w:pPr>
        <w:widowControl/>
        <w:ind w:left="720"/>
        <w:rPr>
          <w:rFonts w:ascii="Times New Roman" w:hAnsi="Times New Roman"/>
        </w:rPr>
      </w:pPr>
      <w:r w:rsidRPr="000C1A71">
        <w:rPr>
          <w:rFonts w:ascii="Times New Roman" w:hAnsi="Times New Roman"/>
        </w:rPr>
        <w:t xml:space="preserve"> </w:t>
      </w:r>
    </w:p>
    <w:p w:rsidR="000C1A71" w:rsidP="000C1A71" w14:paraId="613F486A" w14:textId="5A5BCA02">
      <w:pPr>
        <w:widowControl/>
        <w:ind w:left="720"/>
        <w:rPr>
          <w:rFonts w:ascii="Times New Roman" w:hAnsi="Times New Roman"/>
        </w:rPr>
      </w:pPr>
      <w:r w:rsidRPr="000C1A71">
        <w:rPr>
          <w:rFonts w:ascii="Times New Roman" w:hAnsi="Times New Roman"/>
        </w:rPr>
        <w:t>1.901-2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0C1A71">
        <w:rPr>
          <w:rFonts w:ascii="Times New Roman" w:hAnsi="Times New Roman"/>
        </w:rPr>
        <w:t>1.901-2A</w:t>
      </w:r>
    </w:p>
    <w:p w:rsidR="00A85A18" w:rsidP="00FC46F3" w14:paraId="4B9C657A" w14:textId="0405FDFF">
      <w:pPr>
        <w:widowControl/>
        <w:tabs>
          <w:tab w:val="left" w:pos="-1440"/>
        </w:tabs>
        <w:ind w:left="720" w:hanging="720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ab/>
      </w:r>
    </w:p>
    <w:p w:rsidR="00812555" w:rsidRPr="008B1645" w14:paraId="5377B045" w14:textId="754AA4AD">
      <w:pPr>
        <w:widowControl/>
        <w:tabs>
          <w:tab w:val="left" w:pos="-1440"/>
        </w:tabs>
        <w:ind w:left="720" w:hanging="720"/>
        <w:rPr>
          <w:rFonts w:ascii="Times New Roman" w:hAnsi="Times New Roman"/>
          <w:b/>
          <w:bCs/>
          <w:u w:val="single"/>
        </w:rPr>
      </w:pPr>
      <w:r w:rsidRPr="008B1645">
        <w:rPr>
          <w:rFonts w:ascii="Times New Roman" w:hAnsi="Times New Roman"/>
          <w:b/>
          <w:bCs/>
        </w:rPr>
        <w:t>13.</w:t>
      </w:r>
      <w:r w:rsidRPr="008B1645">
        <w:rPr>
          <w:rFonts w:ascii="Times New Roman" w:hAnsi="Times New Roman"/>
          <w:b/>
          <w:bCs/>
        </w:rPr>
        <w:tab/>
      </w:r>
      <w:r w:rsidRPr="008B1645">
        <w:rPr>
          <w:rFonts w:ascii="Times New Roman" w:hAnsi="Times New Roman"/>
          <w:b/>
          <w:bCs/>
          <w:u w:val="single"/>
        </w:rPr>
        <w:t>ESTIMATED TOTAL ANNUAL COST BURDEN TO RESPONDENTS</w:t>
      </w:r>
    </w:p>
    <w:p w:rsidR="00812555" w:rsidRPr="007B4A04" w14:paraId="31B22421" w14:textId="77777777">
      <w:pPr>
        <w:widowControl/>
        <w:rPr>
          <w:rFonts w:ascii="Times New Roman" w:hAnsi="Times New Roman"/>
          <w:u w:val="single"/>
        </w:rPr>
      </w:pPr>
    </w:p>
    <w:p w:rsidR="00747F06" w14:paraId="7149B669" w14:textId="3B26B9E5">
      <w:pPr>
        <w:widowControl/>
        <w:tabs>
          <w:tab w:val="left" w:pos="-1440"/>
        </w:tabs>
        <w:ind w:left="720" w:hanging="72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747F06">
        <w:rPr>
          <w:rFonts w:ascii="Times New Roman" w:hAnsi="Times New Roman"/>
        </w:rPr>
        <w:t>The IRS currently estimates the cost burden on respondents to be nominal.  There are no start-up or maintenance costs for this collection.  The collection does not require respondents to obtain specialized equipment or professional services.</w:t>
      </w:r>
    </w:p>
    <w:p w:rsidR="00747F06" w14:paraId="60E137CE" w14:textId="77777777">
      <w:pPr>
        <w:widowControl/>
        <w:tabs>
          <w:tab w:val="left" w:pos="-1440"/>
        </w:tabs>
        <w:ind w:left="720" w:hanging="720"/>
        <w:rPr>
          <w:rFonts w:ascii="Times New Roman" w:hAnsi="Times New Roman"/>
        </w:rPr>
      </w:pPr>
    </w:p>
    <w:p w:rsidR="00812555" w:rsidRPr="008B1645" w14:paraId="056698DB" w14:textId="6781954E">
      <w:pPr>
        <w:widowControl/>
        <w:tabs>
          <w:tab w:val="left" w:pos="-1440"/>
        </w:tabs>
        <w:ind w:left="720" w:hanging="720"/>
        <w:rPr>
          <w:rFonts w:ascii="Times New Roman" w:hAnsi="Times New Roman"/>
          <w:b/>
          <w:bCs/>
          <w:u w:val="single"/>
        </w:rPr>
      </w:pPr>
      <w:r w:rsidRPr="008B1645">
        <w:rPr>
          <w:rFonts w:ascii="Times New Roman" w:hAnsi="Times New Roman"/>
          <w:b/>
          <w:bCs/>
        </w:rPr>
        <w:t>14.</w:t>
      </w:r>
      <w:r w:rsidRPr="008B1645">
        <w:rPr>
          <w:rFonts w:ascii="Times New Roman" w:hAnsi="Times New Roman"/>
          <w:b/>
          <w:bCs/>
        </w:rPr>
        <w:tab/>
      </w:r>
      <w:r w:rsidRPr="008B1645">
        <w:rPr>
          <w:rFonts w:ascii="Times New Roman" w:hAnsi="Times New Roman"/>
          <w:b/>
          <w:bCs/>
          <w:u w:val="single"/>
        </w:rPr>
        <w:t>ESTIMATED ANNUALIZED COST TO THE FEDERAL GOVERNMENT</w:t>
      </w:r>
    </w:p>
    <w:p w:rsidR="00812555" w:rsidRPr="007B4A04" w14:paraId="4C02B10C" w14:textId="77777777">
      <w:pPr>
        <w:widowControl/>
        <w:rPr>
          <w:rFonts w:ascii="Times New Roman" w:hAnsi="Times New Roman"/>
          <w:u w:val="single"/>
        </w:rPr>
      </w:pPr>
    </w:p>
    <w:p w:rsidR="00092836" w:rsidP="00747F06" w14:paraId="5A0E59B3" w14:textId="7CD60F81">
      <w:pPr>
        <w:widowControl/>
        <w:ind w:left="720"/>
        <w:rPr>
          <w:rFonts w:ascii="Times New Roman" w:hAnsi="Times New Roman"/>
        </w:rPr>
      </w:pPr>
      <w:r w:rsidRPr="00747F06">
        <w:rPr>
          <w:rFonts w:ascii="Times New Roman" w:hAnsi="Times New Roman"/>
        </w:rPr>
        <w:t xml:space="preserve">There are no annualized costs to the </w:t>
      </w:r>
      <w:r>
        <w:rPr>
          <w:rFonts w:ascii="Times New Roman" w:hAnsi="Times New Roman"/>
        </w:rPr>
        <w:t>F</w:t>
      </w:r>
      <w:r w:rsidRPr="00747F06">
        <w:rPr>
          <w:rFonts w:ascii="Times New Roman" w:hAnsi="Times New Roman"/>
        </w:rPr>
        <w:t>ederal government outside of regular agency activities such as taxpayer assistance and enforcement.</w:t>
      </w:r>
    </w:p>
    <w:p w:rsidR="00747F06" w:rsidRPr="007B4A04" w14:paraId="2E5EF3AC" w14:textId="77777777">
      <w:pPr>
        <w:widowControl/>
        <w:rPr>
          <w:rFonts w:ascii="Times New Roman" w:hAnsi="Times New Roman"/>
        </w:rPr>
      </w:pPr>
    </w:p>
    <w:p w:rsidR="00812555" w14:paraId="20A2D456" w14:textId="77777777">
      <w:pPr>
        <w:widowControl/>
        <w:tabs>
          <w:tab w:val="left" w:pos="-1440"/>
        </w:tabs>
        <w:ind w:left="720" w:hanging="720"/>
        <w:rPr>
          <w:rFonts w:ascii="Times New Roman" w:hAnsi="Times New Roman"/>
          <w:b/>
          <w:bCs/>
          <w:u w:val="single"/>
        </w:rPr>
      </w:pPr>
      <w:r w:rsidRPr="008B1645">
        <w:rPr>
          <w:rFonts w:ascii="Times New Roman" w:hAnsi="Times New Roman"/>
          <w:b/>
          <w:bCs/>
        </w:rPr>
        <w:t>15.</w:t>
      </w:r>
      <w:r w:rsidRPr="008B1645">
        <w:rPr>
          <w:rFonts w:ascii="Times New Roman" w:hAnsi="Times New Roman"/>
          <w:b/>
          <w:bCs/>
        </w:rPr>
        <w:tab/>
      </w:r>
      <w:r w:rsidRPr="008B1645">
        <w:rPr>
          <w:rFonts w:ascii="Times New Roman" w:hAnsi="Times New Roman"/>
          <w:b/>
          <w:bCs/>
          <w:u w:val="single"/>
        </w:rPr>
        <w:t>REASONS FOR CHANGE IN BURDEN</w:t>
      </w:r>
    </w:p>
    <w:p w:rsidR="00305BB4" w:rsidRPr="008B1645" w14:paraId="174EFB78" w14:textId="77777777">
      <w:pPr>
        <w:widowControl/>
        <w:tabs>
          <w:tab w:val="left" w:pos="-1440"/>
        </w:tabs>
        <w:ind w:left="720" w:hanging="720"/>
        <w:rPr>
          <w:rFonts w:ascii="Times New Roman" w:hAnsi="Times New Roman"/>
          <w:b/>
          <w:bCs/>
          <w:u w:val="single"/>
        </w:rPr>
      </w:pPr>
    </w:p>
    <w:p w:rsidR="003E7374" w:rsidRPr="00305BB4" w:rsidP="00305BB4" w14:paraId="191613DA" w14:textId="34B375A5">
      <w:pPr>
        <w:widowControl/>
        <w:ind w:left="720"/>
        <w:rPr>
          <w:rFonts w:ascii="Times New Roman" w:hAnsi="Times New Roman"/>
        </w:rPr>
      </w:pPr>
      <w:r w:rsidRPr="00747F06">
        <w:rPr>
          <w:rFonts w:ascii="Times New Roman" w:hAnsi="Times New Roman"/>
        </w:rPr>
        <w:t>There is no change in the paperwork burden previously approved by OMB.  We are making this submission to renew the OMB approval.</w:t>
      </w:r>
    </w:p>
    <w:p w:rsidR="00C25AEC" w:rsidRPr="007B4A04" w:rsidP="00451146" w14:paraId="0C9CBE13" w14:textId="77777777">
      <w:pPr>
        <w:widowControl/>
        <w:ind w:left="720"/>
        <w:rPr>
          <w:rFonts w:ascii="Times New Roman" w:hAnsi="Times New Roman"/>
        </w:rPr>
      </w:pPr>
    </w:p>
    <w:p w:rsidR="00812555" w:rsidRPr="008B1645" w14:paraId="7E636B77" w14:textId="77777777">
      <w:pPr>
        <w:widowControl/>
        <w:tabs>
          <w:tab w:val="left" w:pos="-1440"/>
        </w:tabs>
        <w:ind w:left="720" w:hanging="720"/>
        <w:rPr>
          <w:rFonts w:ascii="Times New Roman" w:hAnsi="Times New Roman"/>
          <w:b/>
          <w:bCs/>
          <w:u w:val="single"/>
        </w:rPr>
      </w:pPr>
      <w:r w:rsidRPr="008B1645">
        <w:rPr>
          <w:rFonts w:ascii="Times New Roman" w:hAnsi="Times New Roman"/>
          <w:b/>
          <w:bCs/>
        </w:rPr>
        <w:t>16.</w:t>
      </w:r>
      <w:r w:rsidRPr="008B1645">
        <w:rPr>
          <w:rFonts w:ascii="Times New Roman" w:hAnsi="Times New Roman"/>
          <w:b/>
          <w:bCs/>
        </w:rPr>
        <w:tab/>
      </w:r>
      <w:r w:rsidRPr="008B1645">
        <w:rPr>
          <w:rFonts w:ascii="Times New Roman" w:hAnsi="Times New Roman"/>
          <w:b/>
          <w:bCs/>
          <w:u w:val="single"/>
        </w:rPr>
        <w:t xml:space="preserve">PLANS FOR TABULATION, STATISTICAL ANALYSIS AND PUBLICATION </w:t>
      </w:r>
    </w:p>
    <w:p w:rsidR="00812555" w:rsidRPr="007B4A04" w14:paraId="471EA85F" w14:textId="77777777">
      <w:pPr>
        <w:widowControl/>
        <w:rPr>
          <w:rFonts w:ascii="Times New Roman" w:hAnsi="Times New Roman"/>
          <w:u w:val="single"/>
        </w:rPr>
      </w:pPr>
    </w:p>
    <w:p w:rsidR="003A2142" w:rsidP="003A2142" w14:paraId="7E2E0CF7" w14:textId="77777777">
      <w:pPr>
        <w:ind w:left="720"/>
        <w:rPr>
          <w:rFonts w:ascii="Times New Roman" w:hAnsi="Times New Roman"/>
        </w:rPr>
      </w:pPr>
      <w:r w:rsidRPr="00BB3BED">
        <w:rPr>
          <w:rFonts w:ascii="Times New Roman" w:hAnsi="Times New Roman"/>
        </w:rPr>
        <w:t>There are no plans for tabulation, statistical analysis and publication.</w:t>
      </w:r>
    </w:p>
    <w:p w:rsidR="00812555" w:rsidRPr="007B4A04" w14:paraId="47B4525F" w14:textId="77777777">
      <w:pPr>
        <w:widowControl/>
        <w:rPr>
          <w:rFonts w:ascii="Times New Roman" w:hAnsi="Times New Roman"/>
        </w:rPr>
      </w:pPr>
    </w:p>
    <w:p w:rsidR="00812555" w:rsidRPr="008B1645" w14:paraId="6BC8DD0D" w14:textId="77777777">
      <w:pPr>
        <w:widowControl/>
        <w:tabs>
          <w:tab w:val="left" w:pos="-1440"/>
        </w:tabs>
        <w:ind w:left="720" w:hanging="720"/>
        <w:rPr>
          <w:rFonts w:ascii="Times New Roman" w:hAnsi="Times New Roman"/>
          <w:b/>
          <w:bCs/>
          <w:u w:val="single"/>
        </w:rPr>
      </w:pPr>
      <w:r w:rsidRPr="008B1645">
        <w:rPr>
          <w:rFonts w:ascii="Times New Roman" w:hAnsi="Times New Roman"/>
          <w:b/>
          <w:bCs/>
        </w:rPr>
        <w:t>17.</w:t>
      </w:r>
      <w:r w:rsidRPr="008B1645">
        <w:rPr>
          <w:rFonts w:ascii="Times New Roman" w:hAnsi="Times New Roman"/>
          <w:b/>
          <w:bCs/>
        </w:rPr>
        <w:tab/>
      </w:r>
      <w:r w:rsidRPr="008B1645">
        <w:rPr>
          <w:rFonts w:ascii="Times New Roman" w:hAnsi="Times New Roman"/>
          <w:b/>
          <w:bCs/>
          <w:u w:val="single"/>
        </w:rPr>
        <w:t>REASONS WHY DISPLAYING THE OMB EXPIRATION DATE IS INAPPROPRIATE</w:t>
      </w:r>
    </w:p>
    <w:p w:rsidR="00812555" w:rsidRPr="007B4A04" w14:paraId="13D5340F" w14:textId="77777777">
      <w:pPr>
        <w:widowControl/>
        <w:rPr>
          <w:rFonts w:ascii="Times New Roman" w:hAnsi="Times New Roman"/>
          <w:u w:val="single"/>
        </w:rPr>
      </w:pPr>
    </w:p>
    <w:p w:rsidR="00812555" w:rsidRPr="007B4A04" w14:paraId="753AF27F" w14:textId="2BD15413">
      <w:pPr>
        <w:widowControl/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 </w:t>
      </w:r>
      <w:r w:rsidR="00A3421B">
        <w:rPr>
          <w:rFonts w:ascii="Times New Roman" w:hAnsi="Times New Roman"/>
        </w:rPr>
        <w:t>IRS</w:t>
      </w:r>
      <w:r w:rsidRPr="007B4A04">
        <w:rPr>
          <w:rFonts w:ascii="Times New Roman" w:hAnsi="Times New Roman"/>
        </w:rPr>
        <w:t xml:space="preserve"> believe that displaying the OMB expiration date is inappropriate because it could cause confusion by leading taxpayers to believe that the </w:t>
      </w:r>
      <w:r w:rsidR="00546A20">
        <w:rPr>
          <w:rFonts w:ascii="Times New Roman" w:hAnsi="Times New Roman"/>
        </w:rPr>
        <w:t xml:space="preserve">collection </w:t>
      </w:r>
      <w:r>
        <w:rPr>
          <w:rFonts w:ascii="Times New Roman" w:hAnsi="Times New Roman"/>
        </w:rPr>
        <w:t>expire</w:t>
      </w:r>
      <w:r w:rsidR="00546A20">
        <w:rPr>
          <w:rFonts w:ascii="Times New Roman" w:hAnsi="Times New Roman"/>
        </w:rPr>
        <w:t>s</w:t>
      </w:r>
      <w:r>
        <w:rPr>
          <w:rFonts w:ascii="Times New Roman" w:hAnsi="Times New Roman"/>
        </w:rPr>
        <w:t xml:space="preserve"> as of the </w:t>
      </w:r>
      <w:r w:rsidRPr="007B4A04">
        <w:rPr>
          <w:rFonts w:ascii="Times New Roman" w:hAnsi="Times New Roman"/>
        </w:rPr>
        <w:t xml:space="preserve">expiration date.  Taxpayers are not likely to be aware that the </w:t>
      </w:r>
      <w:r>
        <w:rPr>
          <w:rFonts w:ascii="Times New Roman" w:hAnsi="Times New Roman"/>
        </w:rPr>
        <w:t>IRS</w:t>
      </w:r>
      <w:r w:rsidRPr="007B4A04">
        <w:rPr>
          <w:rFonts w:ascii="Times New Roman" w:hAnsi="Times New Roman"/>
        </w:rPr>
        <w:t xml:space="preserve"> intends to request renewal of OMB approval and obtain a new expiration date before the old one expires.</w:t>
      </w:r>
    </w:p>
    <w:p w:rsidR="00812555" w:rsidRPr="007B4A04" w14:paraId="7175E42D" w14:textId="77777777">
      <w:pPr>
        <w:widowControl/>
        <w:rPr>
          <w:rFonts w:ascii="Times New Roman" w:hAnsi="Times New Roman"/>
        </w:rPr>
      </w:pPr>
    </w:p>
    <w:p w:rsidR="00812555" w:rsidRPr="008B1645" w14:paraId="52BF7DDE" w14:textId="77777777">
      <w:pPr>
        <w:widowControl/>
        <w:tabs>
          <w:tab w:val="left" w:pos="-1440"/>
        </w:tabs>
        <w:ind w:left="720" w:hanging="720"/>
        <w:rPr>
          <w:rFonts w:ascii="Times New Roman" w:hAnsi="Times New Roman"/>
          <w:b/>
          <w:bCs/>
          <w:u w:val="single"/>
        </w:rPr>
      </w:pPr>
      <w:r w:rsidRPr="008B1645">
        <w:rPr>
          <w:rFonts w:ascii="Times New Roman" w:hAnsi="Times New Roman"/>
          <w:b/>
          <w:bCs/>
        </w:rPr>
        <w:t>18.</w:t>
      </w:r>
      <w:r w:rsidRPr="008B1645">
        <w:rPr>
          <w:rFonts w:ascii="Times New Roman" w:hAnsi="Times New Roman"/>
          <w:b/>
          <w:bCs/>
        </w:rPr>
        <w:tab/>
      </w:r>
      <w:r w:rsidRPr="008B1645">
        <w:rPr>
          <w:rFonts w:ascii="Times New Roman" w:hAnsi="Times New Roman"/>
          <w:b/>
          <w:bCs/>
          <w:u w:val="single"/>
        </w:rPr>
        <w:t xml:space="preserve">EXCEPTIONS TO THE CERTIFICATION STATEMENT </w:t>
      </w:r>
    </w:p>
    <w:p w:rsidR="00812555" w:rsidRPr="007B4A04" w14:paraId="174CA0AB" w14:textId="77777777">
      <w:pPr>
        <w:widowControl/>
        <w:rPr>
          <w:rFonts w:ascii="Times New Roman" w:hAnsi="Times New Roman"/>
          <w:u w:val="single"/>
        </w:rPr>
      </w:pPr>
    </w:p>
    <w:p w:rsidR="00812555" w:rsidRPr="007B4A04" w:rsidP="00305BB4" w14:paraId="2FBAAB58" w14:textId="123E9A4D">
      <w:pPr>
        <w:ind w:left="720"/>
        <w:rPr>
          <w:rFonts w:ascii="Times New Roman" w:hAnsi="Times New Roman"/>
        </w:rPr>
      </w:pPr>
      <w:r w:rsidRPr="00C04821">
        <w:rPr>
          <w:rFonts w:ascii="Times New Roman" w:hAnsi="Times New Roman"/>
        </w:rPr>
        <w:t>There are no exceptions to the certification statement</w:t>
      </w:r>
      <w:r w:rsidR="00B21FCD">
        <w:rPr>
          <w:rFonts w:ascii="Times New Roman" w:hAnsi="Times New Roman"/>
        </w:rPr>
        <w:t xml:space="preserve"> for this collection</w:t>
      </w:r>
      <w:r w:rsidRPr="00C04821">
        <w:rPr>
          <w:rFonts w:ascii="Times New Roman" w:hAnsi="Times New Roman"/>
        </w:rPr>
        <w:t>.</w:t>
      </w:r>
    </w:p>
    <w:sectPr w:rsidSect="00812555">
      <w:headerReference w:type="default" r:id="rId4"/>
      <w:type w:val="continuous"/>
      <w:pgSz w:w="12240" w:h="15840"/>
      <w:pgMar w:top="1440" w:right="1440" w:bottom="1440" w:left="1440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63576" w:rsidP="005401DA" w14:paraId="7953745B" w14:textId="1E3C91B4">
    <w:pPr>
      <w:framePr w:w="9361" w:wrap="notBeside" w:vAnchor="text" w:hAnchor="text" w:x="1" w:y="1"/>
      <w:rPr>
        <w:rFonts w:cs="Arial"/>
      </w:rPr>
    </w:pPr>
  </w:p>
  <w:p w:rsidR="00F63576" w:rsidP="005401DA" w14:paraId="52FDA8A3" w14:textId="77777777">
    <w:pPr>
      <w:spacing w:line="24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in;height:3in" o:bullet="t"/>
    </w:pict>
  </w:numPicBullet>
  <w:abstractNum w:abstractNumId="0">
    <w:nsid w:val="0861189D"/>
    <w:multiLevelType w:val="hybridMultilevel"/>
    <w:tmpl w:val="34EA3CC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CB4FC2"/>
    <w:multiLevelType w:val="hybridMultilevel"/>
    <w:tmpl w:val="34EA3CC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3171F6"/>
    <w:multiLevelType w:val="hybridMultilevel"/>
    <w:tmpl w:val="D59E971A"/>
    <w:lvl w:ilvl="0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4A54E7"/>
    <w:multiLevelType w:val="hybridMultilevel"/>
    <w:tmpl w:val="34EA3CC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574BC1"/>
    <w:multiLevelType w:val="multilevel"/>
    <w:tmpl w:val="E52A4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10414015">
    <w:abstractNumId w:val="2"/>
  </w:num>
  <w:num w:numId="2" w16cid:durableId="54862060">
    <w:abstractNumId w:val="4"/>
  </w:num>
  <w:num w:numId="3" w16cid:durableId="1261453267">
    <w:abstractNumId w:val="3"/>
  </w:num>
  <w:num w:numId="4" w16cid:durableId="661738985">
    <w:abstractNumId w:val="0"/>
  </w:num>
  <w:num w:numId="5" w16cid:durableId="1890735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embedSystemFonts/>
  <w:bordersDoNotSurroundHeader/>
  <w:bordersDoNotSurroundFooter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EmbedSmartTags/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555"/>
    <w:rsid w:val="00002277"/>
    <w:rsid w:val="0002386E"/>
    <w:rsid w:val="000329D6"/>
    <w:rsid w:val="00032A9B"/>
    <w:rsid w:val="00041B8A"/>
    <w:rsid w:val="00051585"/>
    <w:rsid w:val="00056FAA"/>
    <w:rsid w:val="00064385"/>
    <w:rsid w:val="000723F0"/>
    <w:rsid w:val="00092836"/>
    <w:rsid w:val="00092E08"/>
    <w:rsid w:val="00095973"/>
    <w:rsid w:val="000C012F"/>
    <w:rsid w:val="000C1A71"/>
    <w:rsid w:val="000C1BEB"/>
    <w:rsid w:val="000C27C5"/>
    <w:rsid w:val="000C3DED"/>
    <w:rsid w:val="000C4DE2"/>
    <w:rsid w:val="000C74B9"/>
    <w:rsid w:val="000D0086"/>
    <w:rsid w:val="000D44B6"/>
    <w:rsid w:val="000D7805"/>
    <w:rsid w:val="000E5B66"/>
    <w:rsid w:val="000F5374"/>
    <w:rsid w:val="000F7719"/>
    <w:rsid w:val="00102289"/>
    <w:rsid w:val="00136B3A"/>
    <w:rsid w:val="00150E6A"/>
    <w:rsid w:val="00151BC1"/>
    <w:rsid w:val="001658A5"/>
    <w:rsid w:val="00167DCF"/>
    <w:rsid w:val="00171B29"/>
    <w:rsid w:val="00181ECA"/>
    <w:rsid w:val="0018663C"/>
    <w:rsid w:val="001900BD"/>
    <w:rsid w:val="00190F97"/>
    <w:rsid w:val="001B1264"/>
    <w:rsid w:val="001C0C5A"/>
    <w:rsid w:val="001D21B0"/>
    <w:rsid w:val="001E01C4"/>
    <w:rsid w:val="001E1DD1"/>
    <w:rsid w:val="002046CD"/>
    <w:rsid w:val="00205241"/>
    <w:rsid w:val="00206D32"/>
    <w:rsid w:val="00222312"/>
    <w:rsid w:val="002227AE"/>
    <w:rsid w:val="00224168"/>
    <w:rsid w:val="002262D1"/>
    <w:rsid w:val="00231AB8"/>
    <w:rsid w:val="002409A5"/>
    <w:rsid w:val="00245779"/>
    <w:rsid w:val="002503C0"/>
    <w:rsid w:val="00252C7C"/>
    <w:rsid w:val="00254F7D"/>
    <w:rsid w:val="00255F32"/>
    <w:rsid w:val="00265384"/>
    <w:rsid w:val="002657A2"/>
    <w:rsid w:val="00265C8A"/>
    <w:rsid w:val="00266598"/>
    <w:rsid w:val="0027183C"/>
    <w:rsid w:val="00276ED4"/>
    <w:rsid w:val="00280266"/>
    <w:rsid w:val="002807C9"/>
    <w:rsid w:val="0028285B"/>
    <w:rsid w:val="00291AFF"/>
    <w:rsid w:val="00293D06"/>
    <w:rsid w:val="002A1A85"/>
    <w:rsid w:val="002B2ED0"/>
    <w:rsid w:val="002D0D00"/>
    <w:rsid w:val="002D0FF6"/>
    <w:rsid w:val="002D55BF"/>
    <w:rsid w:val="002D77C5"/>
    <w:rsid w:val="002E1A54"/>
    <w:rsid w:val="002E4753"/>
    <w:rsid w:val="002E5505"/>
    <w:rsid w:val="002F1F88"/>
    <w:rsid w:val="002F6DC5"/>
    <w:rsid w:val="00305BB4"/>
    <w:rsid w:val="0031058C"/>
    <w:rsid w:val="003126F1"/>
    <w:rsid w:val="00312B17"/>
    <w:rsid w:val="003169E1"/>
    <w:rsid w:val="00330C76"/>
    <w:rsid w:val="003459C5"/>
    <w:rsid w:val="0035309D"/>
    <w:rsid w:val="00355737"/>
    <w:rsid w:val="003668FC"/>
    <w:rsid w:val="00381597"/>
    <w:rsid w:val="0039000A"/>
    <w:rsid w:val="003A2142"/>
    <w:rsid w:val="003A6B56"/>
    <w:rsid w:val="003B17AB"/>
    <w:rsid w:val="003C624D"/>
    <w:rsid w:val="003D3CE3"/>
    <w:rsid w:val="003E7374"/>
    <w:rsid w:val="003F4B56"/>
    <w:rsid w:val="003F7022"/>
    <w:rsid w:val="00401386"/>
    <w:rsid w:val="00406513"/>
    <w:rsid w:val="00411A08"/>
    <w:rsid w:val="00417051"/>
    <w:rsid w:val="00420573"/>
    <w:rsid w:val="004211B7"/>
    <w:rsid w:val="00423E67"/>
    <w:rsid w:val="00433D0D"/>
    <w:rsid w:val="00435505"/>
    <w:rsid w:val="0043787B"/>
    <w:rsid w:val="00451146"/>
    <w:rsid w:val="00470E4F"/>
    <w:rsid w:val="00470E87"/>
    <w:rsid w:val="00477585"/>
    <w:rsid w:val="00492E32"/>
    <w:rsid w:val="004A7274"/>
    <w:rsid w:val="004B0156"/>
    <w:rsid w:val="004B0DF9"/>
    <w:rsid w:val="004E13E8"/>
    <w:rsid w:val="004F4E7C"/>
    <w:rsid w:val="004F504D"/>
    <w:rsid w:val="00505FC7"/>
    <w:rsid w:val="0050792B"/>
    <w:rsid w:val="00507FDC"/>
    <w:rsid w:val="0051318E"/>
    <w:rsid w:val="00531241"/>
    <w:rsid w:val="00535187"/>
    <w:rsid w:val="005401DA"/>
    <w:rsid w:val="00540CD5"/>
    <w:rsid w:val="00543C72"/>
    <w:rsid w:val="00546A20"/>
    <w:rsid w:val="005606EE"/>
    <w:rsid w:val="00564444"/>
    <w:rsid w:val="005679E1"/>
    <w:rsid w:val="005769DA"/>
    <w:rsid w:val="0058228F"/>
    <w:rsid w:val="00584153"/>
    <w:rsid w:val="00593614"/>
    <w:rsid w:val="005A1CFC"/>
    <w:rsid w:val="005A4B68"/>
    <w:rsid w:val="005A59BE"/>
    <w:rsid w:val="005A70D9"/>
    <w:rsid w:val="005B0F0F"/>
    <w:rsid w:val="005B6043"/>
    <w:rsid w:val="005C0B2C"/>
    <w:rsid w:val="005D0F84"/>
    <w:rsid w:val="005E4F25"/>
    <w:rsid w:val="005E4FA3"/>
    <w:rsid w:val="005E57FF"/>
    <w:rsid w:val="005F1229"/>
    <w:rsid w:val="005F48AE"/>
    <w:rsid w:val="006207F2"/>
    <w:rsid w:val="00635F37"/>
    <w:rsid w:val="00642CF5"/>
    <w:rsid w:val="00661732"/>
    <w:rsid w:val="0067430F"/>
    <w:rsid w:val="00682831"/>
    <w:rsid w:val="0068305F"/>
    <w:rsid w:val="0069009F"/>
    <w:rsid w:val="006B56E1"/>
    <w:rsid w:val="006B6761"/>
    <w:rsid w:val="006C5CE7"/>
    <w:rsid w:val="006E30E4"/>
    <w:rsid w:val="006E6377"/>
    <w:rsid w:val="006E7C92"/>
    <w:rsid w:val="006F15D5"/>
    <w:rsid w:val="00702669"/>
    <w:rsid w:val="007163C0"/>
    <w:rsid w:val="00716582"/>
    <w:rsid w:val="0074626E"/>
    <w:rsid w:val="00747F06"/>
    <w:rsid w:val="00756340"/>
    <w:rsid w:val="00770548"/>
    <w:rsid w:val="007775D0"/>
    <w:rsid w:val="00794A63"/>
    <w:rsid w:val="007A3CBF"/>
    <w:rsid w:val="007B4A04"/>
    <w:rsid w:val="007B6890"/>
    <w:rsid w:val="007C01D1"/>
    <w:rsid w:val="007C41D0"/>
    <w:rsid w:val="007D3BD9"/>
    <w:rsid w:val="007D57DC"/>
    <w:rsid w:val="007E17FB"/>
    <w:rsid w:val="007F2F19"/>
    <w:rsid w:val="00812555"/>
    <w:rsid w:val="008210F3"/>
    <w:rsid w:val="00822D1B"/>
    <w:rsid w:val="008312F2"/>
    <w:rsid w:val="00850119"/>
    <w:rsid w:val="0085089A"/>
    <w:rsid w:val="00850ED6"/>
    <w:rsid w:val="00851BB9"/>
    <w:rsid w:val="0085376B"/>
    <w:rsid w:val="00863C54"/>
    <w:rsid w:val="008658C5"/>
    <w:rsid w:val="00870E75"/>
    <w:rsid w:val="00872669"/>
    <w:rsid w:val="00885D51"/>
    <w:rsid w:val="00895A02"/>
    <w:rsid w:val="008B1645"/>
    <w:rsid w:val="008D184F"/>
    <w:rsid w:val="008D5F8A"/>
    <w:rsid w:val="008D6596"/>
    <w:rsid w:val="008E3C27"/>
    <w:rsid w:val="008E3D2F"/>
    <w:rsid w:val="008E44FB"/>
    <w:rsid w:val="008F75FB"/>
    <w:rsid w:val="00903738"/>
    <w:rsid w:val="0090421C"/>
    <w:rsid w:val="009079F5"/>
    <w:rsid w:val="00910941"/>
    <w:rsid w:val="00935600"/>
    <w:rsid w:val="00942D47"/>
    <w:rsid w:val="0095095B"/>
    <w:rsid w:val="00951541"/>
    <w:rsid w:val="0095256B"/>
    <w:rsid w:val="00961FA1"/>
    <w:rsid w:val="009717E1"/>
    <w:rsid w:val="00977520"/>
    <w:rsid w:val="009811E7"/>
    <w:rsid w:val="00981219"/>
    <w:rsid w:val="0098366E"/>
    <w:rsid w:val="00983E73"/>
    <w:rsid w:val="00987234"/>
    <w:rsid w:val="00991054"/>
    <w:rsid w:val="009A1C47"/>
    <w:rsid w:val="009A1F76"/>
    <w:rsid w:val="009A4E2F"/>
    <w:rsid w:val="009A7424"/>
    <w:rsid w:val="009B1060"/>
    <w:rsid w:val="009B7BBF"/>
    <w:rsid w:val="009C1E83"/>
    <w:rsid w:val="009C42CA"/>
    <w:rsid w:val="009C7797"/>
    <w:rsid w:val="009D3002"/>
    <w:rsid w:val="009F2875"/>
    <w:rsid w:val="00A00773"/>
    <w:rsid w:val="00A00C73"/>
    <w:rsid w:val="00A04C3D"/>
    <w:rsid w:val="00A14435"/>
    <w:rsid w:val="00A15A49"/>
    <w:rsid w:val="00A240EA"/>
    <w:rsid w:val="00A32F5A"/>
    <w:rsid w:val="00A3421B"/>
    <w:rsid w:val="00A62803"/>
    <w:rsid w:val="00A673BF"/>
    <w:rsid w:val="00A74705"/>
    <w:rsid w:val="00A749EF"/>
    <w:rsid w:val="00A8436C"/>
    <w:rsid w:val="00A846A4"/>
    <w:rsid w:val="00A85A18"/>
    <w:rsid w:val="00AA3732"/>
    <w:rsid w:val="00AD183B"/>
    <w:rsid w:val="00AE7926"/>
    <w:rsid w:val="00AE7B2F"/>
    <w:rsid w:val="00B01ADB"/>
    <w:rsid w:val="00B052E4"/>
    <w:rsid w:val="00B07193"/>
    <w:rsid w:val="00B14D8B"/>
    <w:rsid w:val="00B21FCD"/>
    <w:rsid w:val="00B222E0"/>
    <w:rsid w:val="00B262E7"/>
    <w:rsid w:val="00B36FE1"/>
    <w:rsid w:val="00B74F2D"/>
    <w:rsid w:val="00BA2CF3"/>
    <w:rsid w:val="00BA3FF7"/>
    <w:rsid w:val="00BA593A"/>
    <w:rsid w:val="00BB3BED"/>
    <w:rsid w:val="00BD6D4E"/>
    <w:rsid w:val="00BE001B"/>
    <w:rsid w:val="00BF6F22"/>
    <w:rsid w:val="00C04821"/>
    <w:rsid w:val="00C10CD3"/>
    <w:rsid w:val="00C17F33"/>
    <w:rsid w:val="00C21434"/>
    <w:rsid w:val="00C22D2C"/>
    <w:rsid w:val="00C25AEC"/>
    <w:rsid w:val="00C2616C"/>
    <w:rsid w:val="00C31A4C"/>
    <w:rsid w:val="00C40A88"/>
    <w:rsid w:val="00C42847"/>
    <w:rsid w:val="00C62232"/>
    <w:rsid w:val="00C66BAA"/>
    <w:rsid w:val="00C66DAA"/>
    <w:rsid w:val="00C721C0"/>
    <w:rsid w:val="00C727AE"/>
    <w:rsid w:val="00C90D02"/>
    <w:rsid w:val="00C9259C"/>
    <w:rsid w:val="00C9381A"/>
    <w:rsid w:val="00CA1F1A"/>
    <w:rsid w:val="00CB5A99"/>
    <w:rsid w:val="00CC14F5"/>
    <w:rsid w:val="00CC5896"/>
    <w:rsid w:val="00CC7067"/>
    <w:rsid w:val="00CD65F2"/>
    <w:rsid w:val="00CE2FF3"/>
    <w:rsid w:val="00CE7803"/>
    <w:rsid w:val="00CE7EB4"/>
    <w:rsid w:val="00CF2794"/>
    <w:rsid w:val="00CF4475"/>
    <w:rsid w:val="00D01E29"/>
    <w:rsid w:val="00D10001"/>
    <w:rsid w:val="00D1357D"/>
    <w:rsid w:val="00D17CDF"/>
    <w:rsid w:val="00D42522"/>
    <w:rsid w:val="00D4545E"/>
    <w:rsid w:val="00D454BF"/>
    <w:rsid w:val="00D562A5"/>
    <w:rsid w:val="00D77511"/>
    <w:rsid w:val="00D822AF"/>
    <w:rsid w:val="00D86E61"/>
    <w:rsid w:val="00D916F0"/>
    <w:rsid w:val="00D97EAA"/>
    <w:rsid w:val="00DA37B7"/>
    <w:rsid w:val="00DD35D0"/>
    <w:rsid w:val="00DD493D"/>
    <w:rsid w:val="00DE6952"/>
    <w:rsid w:val="00DE6A68"/>
    <w:rsid w:val="00DF3138"/>
    <w:rsid w:val="00DF5A57"/>
    <w:rsid w:val="00E022EC"/>
    <w:rsid w:val="00E0235C"/>
    <w:rsid w:val="00E03952"/>
    <w:rsid w:val="00E0658E"/>
    <w:rsid w:val="00E158A7"/>
    <w:rsid w:val="00E2080E"/>
    <w:rsid w:val="00E2425A"/>
    <w:rsid w:val="00E32268"/>
    <w:rsid w:val="00E4156C"/>
    <w:rsid w:val="00E42283"/>
    <w:rsid w:val="00E44777"/>
    <w:rsid w:val="00E53958"/>
    <w:rsid w:val="00E6366A"/>
    <w:rsid w:val="00E839C1"/>
    <w:rsid w:val="00E97B67"/>
    <w:rsid w:val="00EA0CE9"/>
    <w:rsid w:val="00EA4BC3"/>
    <w:rsid w:val="00EE05AB"/>
    <w:rsid w:val="00EE6052"/>
    <w:rsid w:val="00EF6852"/>
    <w:rsid w:val="00EF7C9B"/>
    <w:rsid w:val="00F01F62"/>
    <w:rsid w:val="00F06CC4"/>
    <w:rsid w:val="00F107B0"/>
    <w:rsid w:val="00F13CE2"/>
    <w:rsid w:val="00F21A9D"/>
    <w:rsid w:val="00F26197"/>
    <w:rsid w:val="00F33057"/>
    <w:rsid w:val="00F50BD0"/>
    <w:rsid w:val="00F51090"/>
    <w:rsid w:val="00F6033E"/>
    <w:rsid w:val="00F63576"/>
    <w:rsid w:val="00F70F05"/>
    <w:rsid w:val="00F732B6"/>
    <w:rsid w:val="00F77A35"/>
    <w:rsid w:val="00F92C3F"/>
    <w:rsid w:val="00F94E87"/>
    <w:rsid w:val="00F971C0"/>
    <w:rsid w:val="00FB457A"/>
    <w:rsid w:val="00FC347D"/>
    <w:rsid w:val="00FC362E"/>
    <w:rsid w:val="00FC46F3"/>
    <w:rsid w:val="00FC54F5"/>
    <w:rsid w:val="00FC6257"/>
    <w:rsid w:val="00FD722B"/>
    <w:rsid w:val="00FD76BF"/>
    <w:rsid w:val="00FD79F6"/>
    <w:rsid w:val="00FE1AE4"/>
    <w:rsid w:val="00FE4BBA"/>
    <w:rsid w:val="00FF40FB"/>
    <w:rsid w:val="00FF5346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  <w14:docId w14:val="0CB05687"/>
  <w15:chartTrackingRefBased/>
  <w15:docId w15:val="{B62C0668-AF5A-4E14-A2D9-4EA4A6765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rsid w:val="007F2F1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F2F19"/>
  </w:style>
  <w:style w:type="paragraph" w:styleId="Footer">
    <w:name w:val="footer"/>
    <w:basedOn w:val="Normal"/>
    <w:rsid w:val="007F2F19"/>
    <w:pPr>
      <w:tabs>
        <w:tab w:val="center" w:pos="4320"/>
        <w:tab w:val="right" w:pos="8640"/>
      </w:tabs>
    </w:pPr>
  </w:style>
  <w:style w:type="character" w:styleId="Hyperlink">
    <w:name w:val="Hyperlink"/>
    <w:rsid w:val="00002277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7E17F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7E17FB"/>
    <w:rPr>
      <w:rFonts w:ascii="Segoe UI" w:hAnsi="Segoe UI" w:cs="Segoe UI"/>
      <w:sz w:val="18"/>
      <w:szCs w:val="18"/>
    </w:rPr>
  </w:style>
  <w:style w:type="character" w:styleId="FollowedHyperlink">
    <w:name w:val="FollowedHyperlink"/>
    <w:rsid w:val="007E17FB"/>
    <w:rPr>
      <w:color w:val="954F72"/>
      <w:u w:val="single"/>
    </w:rPr>
  </w:style>
  <w:style w:type="paragraph" w:styleId="ListParagraph">
    <w:name w:val="List Paragraph"/>
    <w:basedOn w:val="Normal"/>
    <w:uiPriority w:val="34"/>
    <w:qFormat/>
    <w:rsid w:val="00265384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CommentReference">
    <w:name w:val="annotation reference"/>
    <w:basedOn w:val="DefaultParagraphFont"/>
    <w:rsid w:val="00872669"/>
    <w:rPr>
      <w:sz w:val="16"/>
      <w:szCs w:val="16"/>
    </w:rPr>
  </w:style>
  <w:style w:type="paragraph" w:styleId="CommentText">
    <w:name w:val="annotation text"/>
    <w:basedOn w:val="Normal"/>
    <w:link w:val="CommentTextChar"/>
    <w:rsid w:val="0087266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72669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8726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72669"/>
    <w:rPr>
      <w:rFonts w:ascii="Arial" w:hAnsi="Arial"/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69009F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9775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150E6A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869</Words>
  <Characters>4954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the Treasury</Company>
  <LinksUpToDate>false</LinksUpToDate>
  <CharactersWithSpaces>5812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mcgroartypatrickt</dc:creator>
  <cp:lastModifiedBy>Schoonmaker Jason M</cp:lastModifiedBy>
  <cp:revision>2</cp:revision>
  <cp:lastPrinted>2014-11-30T15:15:00Z</cp:lastPrinted>
  <dcterms:created xsi:type="dcterms:W3CDTF">2026-04-30T17:39:00Z</dcterms:created>
  <dcterms:modified xsi:type="dcterms:W3CDTF">2026-04-30T17:39:00Z</dcterms:modified>
</cp:coreProperties>
</file>