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94418" w:rsidRPr="00E04D4E" w14:paraId="796C301A" w14:textId="77777777">
      <w:pPr>
        <w:tabs>
          <w:tab w:val="center" w:pos="4680"/>
        </w:tabs>
        <w:rPr>
          <w:rFonts w:ascii="Times New Roman" w:hAnsi="Times New Roman"/>
          <w:b/>
          <w:bCs/>
          <w:sz w:val="22"/>
          <w:szCs w:val="22"/>
        </w:rPr>
      </w:pPr>
      <w:r>
        <w:rPr>
          <w:rFonts w:ascii="Elephant" w:hAnsi="Elephant" w:cs="Elephant"/>
          <w:b/>
          <w:bCs/>
        </w:rPr>
        <w:tab/>
      </w:r>
      <w:r w:rsidRPr="00E04D4E">
        <w:rPr>
          <w:rFonts w:ascii="Times New Roman" w:hAnsi="Times New Roman"/>
          <w:b/>
          <w:bCs/>
          <w:sz w:val="22"/>
          <w:szCs w:val="22"/>
        </w:rPr>
        <w:t>SUPPORTING STATEMENT</w:t>
      </w:r>
    </w:p>
    <w:p w:rsidR="00894418" w:rsidRPr="00E04D4E" w14:paraId="467E45EA" w14:textId="77777777">
      <w:pPr>
        <w:tabs>
          <w:tab w:val="center" w:pos="4680"/>
        </w:tabs>
        <w:rPr>
          <w:rFonts w:ascii="Times New Roman" w:hAnsi="Times New Roman"/>
          <w:bCs/>
          <w:sz w:val="22"/>
          <w:szCs w:val="22"/>
        </w:rPr>
      </w:pPr>
      <w:r w:rsidRPr="00E04D4E">
        <w:rPr>
          <w:rFonts w:ascii="Times New Roman" w:hAnsi="Times New Roman"/>
          <w:bCs/>
          <w:sz w:val="22"/>
          <w:szCs w:val="22"/>
        </w:rPr>
        <w:tab/>
        <w:t xml:space="preserve"> </w:t>
      </w:r>
      <w:r w:rsidRPr="00E04D4E" w:rsidR="00820B40">
        <w:rPr>
          <w:rFonts w:ascii="Times New Roman" w:hAnsi="Times New Roman"/>
          <w:bCs/>
          <w:sz w:val="22"/>
          <w:szCs w:val="22"/>
        </w:rPr>
        <w:t xml:space="preserve">Internal </w:t>
      </w:r>
      <w:r w:rsidRPr="00E04D4E" w:rsidR="00D37D90">
        <w:rPr>
          <w:rFonts w:ascii="Times New Roman" w:hAnsi="Times New Roman"/>
          <w:bCs/>
          <w:sz w:val="22"/>
          <w:szCs w:val="22"/>
        </w:rPr>
        <w:t>R</w:t>
      </w:r>
      <w:r w:rsidRPr="00E04D4E" w:rsidR="00820B40">
        <w:rPr>
          <w:rFonts w:ascii="Times New Roman" w:hAnsi="Times New Roman"/>
          <w:bCs/>
          <w:sz w:val="22"/>
          <w:szCs w:val="22"/>
        </w:rPr>
        <w:t xml:space="preserve">evenue Service </w:t>
      </w:r>
    </w:p>
    <w:p w:rsidR="00213304" w:rsidRPr="00E04D4E" w:rsidP="00213304" w14:paraId="754CEE35" w14:textId="77777777">
      <w:pPr>
        <w:tabs>
          <w:tab w:val="center" w:pos="4680"/>
        </w:tabs>
        <w:jc w:val="center"/>
        <w:rPr>
          <w:rFonts w:ascii="Times New Roman" w:hAnsi="Times New Roman"/>
          <w:color w:val="000000"/>
          <w:sz w:val="22"/>
          <w:szCs w:val="22"/>
        </w:rPr>
      </w:pPr>
      <w:bookmarkStart w:id="0" w:name="_Hlk6394083"/>
      <w:r w:rsidRPr="00E04D4E">
        <w:rPr>
          <w:rFonts w:ascii="Times New Roman" w:hAnsi="Times New Roman"/>
          <w:color w:val="000000"/>
          <w:sz w:val="22"/>
          <w:szCs w:val="22"/>
        </w:rPr>
        <w:t>Debt Instru</w:t>
      </w:r>
      <w:r w:rsidRPr="00E04D4E" w:rsidR="002F0E54">
        <w:rPr>
          <w:rFonts w:ascii="Times New Roman" w:hAnsi="Times New Roman"/>
          <w:color w:val="000000"/>
          <w:sz w:val="22"/>
          <w:szCs w:val="22"/>
        </w:rPr>
        <w:t xml:space="preserve">ments </w:t>
      </w:r>
      <w:r w:rsidRPr="00E04D4E">
        <w:rPr>
          <w:rFonts w:ascii="Times New Roman" w:hAnsi="Times New Roman"/>
          <w:color w:val="000000"/>
          <w:sz w:val="22"/>
          <w:szCs w:val="22"/>
        </w:rPr>
        <w:t xml:space="preserve">with OID; Contingent Payments; Anti-Abuse Rule </w:t>
      </w:r>
    </w:p>
    <w:bookmarkEnd w:id="0"/>
    <w:p w:rsidR="00894418" w:rsidRPr="00E04D4E" w:rsidP="00E04D4E" w14:paraId="030D3728" w14:textId="2C1F8771">
      <w:pPr>
        <w:tabs>
          <w:tab w:val="center" w:pos="4680"/>
        </w:tabs>
        <w:jc w:val="center"/>
        <w:rPr>
          <w:rFonts w:ascii="Times New Roman" w:hAnsi="Times New Roman"/>
          <w:bCs/>
          <w:sz w:val="22"/>
          <w:szCs w:val="22"/>
        </w:rPr>
      </w:pPr>
      <w:r w:rsidRPr="00E04D4E">
        <w:rPr>
          <w:rFonts w:ascii="Times New Roman" w:hAnsi="Times New Roman"/>
          <w:color w:val="000000"/>
          <w:sz w:val="22"/>
          <w:szCs w:val="22"/>
        </w:rPr>
        <w:t>OMB</w:t>
      </w:r>
      <w:r w:rsidR="00241B57">
        <w:rPr>
          <w:rFonts w:ascii="Times New Roman" w:hAnsi="Times New Roman"/>
          <w:color w:val="000000"/>
          <w:sz w:val="22"/>
          <w:szCs w:val="22"/>
        </w:rPr>
        <w:t xml:space="preserve"> Control Number</w:t>
      </w:r>
      <w:r w:rsidRPr="00E04D4E">
        <w:rPr>
          <w:rFonts w:ascii="Times New Roman" w:hAnsi="Times New Roman"/>
          <w:color w:val="000000"/>
          <w:sz w:val="22"/>
          <w:szCs w:val="22"/>
        </w:rPr>
        <w:t xml:space="preserve"> </w:t>
      </w:r>
      <w:r w:rsidRPr="005E53D1" w:rsidR="00DA6CC6">
        <w:rPr>
          <w:rFonts w:ascii="Times New Roman" w:hAnsi="Times New Roman"/>
          <w:color w:val="000000"/>
          <w:sz w:val="22"/>
          <w:szCs w:val="22"/>
        </w:rPr>
        <w:t>1545-</w:t>
      </w:r>
      <w:r w:rsidRPr="005E53D1" w:rsidR="00213304">
        <w:rPr>
          <w:rFonts w:ascii="Times New Roman" w:hAnsi="Times New Roman"/>
          <w:color w:val="000000"/>
          <w:sz w:val="22"/>
          <w:szCs w:val="22"/>
        </w:rPr>
        <w:t>1450</w:t>
      </w:r>
    </w:p>
    <w:p w:rsidR="001033CA" w:rsidRPr="00A933CE" w:rsidP="001033CA" w14:paraId="7C4DCB7E" w14:textId="77777777">
      <w:pPr>
        <w:spacing w:line="276" w:lineRule="auto"/>
        <w:jc w:val="center"/>
        <w:rPr>
          <w:rFonts w:asciiTheme="minorHAnsi" w:hAnsiTheme="minorHAnsi" w:cstheme="minorHAnsi"/>
          <w:b/>
          <w:bCs/>
          <w:sz w:val="22"/>
          <w:szCs w:val="22"/>
        </w:rPr>
      </w:pPr>
    </w:p>
    <w:p w:rsidR="001033CA" w:rsidRPr="001033CA" w:rsidP="001033CA" w14:paraId="4F849DFA" w14:textId="77777777">
      <w:pPr>
        <w:pStyle w:val="Heading1"/>
        <w:numPr>
          <w:ilvl w:val="0"/>
          <w:numId w:val="4"/>
        </w:numPr>
        <w:ind w:hanging="720"/>
        <w:rPr>
          <w:rFonts w:ascii="Times New Roman" w:hAnsi="Times New Roman"/>
          <w:sz w:val="22"/>
          <w:szCs w:val="22"/>
        </w:rPr>
      </w:pPr>
      <w:r w:rsidRPr="001033CA">
        <w:rPr>
          <w:rFonts w:ascii="Times New Roman" w:hAnsi="Times New Roman"/>
          <w:sz w:val="22"/>
          <w:szCs w:val="22"/>
          <w:u w:val="single"/>
        </w:rPr>
        <w:t>CIRCUMSTANCES NECESSITATING COLLECTION OF INFORMATION</w:t>
      </w:r>
    </w:p>
    <w:p w:rsidR="001033CA" w:rsidP="00153811" w14:paraId="1B7B8143" w14:textId="77777777">
      <w:pPr>
        <w:ind w:left="720"/>
        <w:rPr>
          <w:rFonts w:ascii="Times New Roman" w:hAnsi="Times New Roman"/>
          <w:bCs/>
          <w:sz w:val="22"/>
          <w:szCs w:val="22"/>
        </w:rPr>
      </w:pPr>
    </w:p>
    <w:p w:rsidR="00DB4A53" w:rsidP="00153811" w14:paraId="78068CFF" w14:textId="0FE46AEE">
      <w:pPr>
        <w:ind w:left="720"/>
        <w:rPr>
          <w:rFonts w:ascii="Times New Roman" w:hAnsi="Times New Roman"/>
          <w:bCs/>
          <w:sz w:val="22"/>
          <w:szCs w:val="22"/>
        </w:rPr>
      </w:pPr>
      <w:r w:rsidRPr="00DB4A53">
        <w:rPr>
          <w:rFonts w:ascii="Times New Roman" w:hAnsi="Times New Roman"/>
          <w:bCs/>
          <w:sz w:val="22"/>
          <w:szCs w:val="22"/>
        </w:rPr>
        <w:t>Treasury Decision</w:t>
      </w:r>
      <w:r>
        <w:rPr>
          <w:rFonts w:ascii="Times New Roman" w:hAnsi="Times New Roman"/>
          <w:bCs/>
          <w:sz w:val="22"/>
          <w:szCs w:val="22"/>
        </w:rPr>
        <w:t xml:space="preserve"> (</w:t>
      </w:r>
      <w:r w:rsidRPr="00DB4A53">
        <w:rPr>
          <w:rFonts w:ascii="Times New Roman" w:hAnsi="Times New Roman"/>
          <w:bCs/>
          <w:sz w:val="22"/>
          <w:szCs w:val="22"/>
        </w:rPr>
        <w:t>TD</w:t>
      </w:r>
      <w:r>
        <w:rPr>
          <w:rFonts w:ascii="Times New Roman" w:hAnsi="Times New Roman"/>
          <w:bCs/>
          <w:sz w:val="22"/>
          <w:szCs w:val="22"/>
        </w:rPr>
        <w:t>)</w:t>
      </w:r>
      <w:r w:rsidRPr="00DB4A53">
        <w:rPr>
          <w:rFonts w:ascii="Times New Roman" w:hAnsi="Times New Roman"/>
          <w:bCs/>
          <w:sz w:val="22"/>
          <w:szCs w:val="22"/>
        </w:rPr>
        <w:t xml:space="preserve"> 8674 finalized rules about how partnerships allocate income, deductions, and other tax items among partners under I</w:t>
      </w:r>
      <w:r>
        <w:rPr>
          <w:rFonts w:ascii="Times New Roman" w:hAnsi="Times New Roman"/>
          <w:bCs/>
          <w:sz w:val="22"/>
          <w:szCs w:val="22"/>
        </w:rPr>
        <w:t xml:space="preserve">nternal </w:t>
      </w:r>
      <w:r w:rsidRPr="00DB4A53">
        <w:rPr>
          <w:rFonts w:ascii="Times New Roman" w:hAnsi="Times New Roman"/>
          <w:bCs/>
          <w:sz w:val="22"/>
          <w:szCs w:val="22"/>
        </w:rPr>
        <w:t>R</w:t>
      </w:r>
      <w:r>
        <w:rPr>
          <w:rFonts w:ascii="Times New Roman" w:hAnsi="Times New Roman"/>
          <w:bCs/>
          <w:sz w:val="22"/>
          <w:szCs w:val="22"/>
        </w:rPr>
        <w:t xml:space="preserve">evenue </w:t>
      </w:r>
      <w:r w:rsidRPr="00DB4A53">
        <w:rPr>
          <w:rFonts w:ascii="Times New Roman" w:hAnsi="Times New Roman"/>
          <w:bCs/>
          <w:sz w:val="22"/>
          <w:szCs w:val="22"/>
        </w:rPr>
        <w:t>C</w:t>
      </w:r>
      <w:r>
        <w:rPr>
          <w:rFonts w:ascii="Times New Roman" w:hAnsi="Times New Roman"/>
          <w:bCs/>
          <w:sz w:val="22"/>
          <w:szCs w:val="22"/>
        </w:rPr>
        <w:t>ode (IRC)</w:t>
      </w:r>
      <w:r w:rsidRPr="00DB4A53">
        <w:rPr>
          <w:rFonts w:ascii="Times New Roman" w:hAnsi="Times New Roman"/>
          <w:bCs/>
          <w:sz w:val="22"/>
          <w:szCs w:val="22"/>
        </w:rPr>
        <w:t xml:space="preserve"> Section 704(b).</w:t>
      </w:r>
    </w:p>
    <w:p w:rsidR="00DB4A53" w:rsidP="00153811" w14:paraId="1A2F57C1" w14:textId="77777777">
      <w:pPr>
        <w:ind w:left="720"/>
        <w:rPr>
          <w:rFonts w:ascii="Times New Roman" w:hAnsi="Times New Roman"/>
          <w:bCs/>
          <w:sz w:val="22"/>
          <w:szCs w:val="22"/>
        </w:rPr>
      </w:pPr>
    </w:p>
    <w:p w:rsidR="00153811" w:rsidRPr="00E04D4E" w:rsidP="00153811" w14:paraId="4E0A4EEB" w14:textId="61803143">
      <w:pPr>
        <w:ind w:left="720"/>
        <w:rPr>
          <w:rFonts w:ascii="Times New Roman" w:hAnsi="Times New Roman"/>
          <w:bCs/>
          <w:sz w:val="22"/>
          <w:szCs w:val="22"/>
        </w:rPr>
      </w:pPr>
      <w:r>
        <w:rPr>
          <w:rFonts w:ascii="Times New Roman" w:hAnsi="Times New Roman"/>
          <w:bCs/>
          <w:sz w:val="22"/>
          <w:szCs w:val="22"/>
        </w:rPr>
        <w:t xml:space="preserve">IRC </w:t>
      </w:r>
      <w:r w:rsidRPr="00E04D4E" w:rsidR="003D03EC">
        <w:rPr>
          <w:rFonts w:ascii="Times New Roman" w:hAnsi="Times New Roman"/>
          <w:bCs/>
          <w:sz w:val="22"/>
          <w:szCs w:val="22"/>
        </w:rPr>
        <w:t>Section 1275(d) grants the Secretary the authority to prescribe regulations under the original issue discount (OID) provisions of the Code (sections 163(e) and 1271 through 1275), including regulations relating to debt instruments that provide for contingent payments.</w:t>
      </w:r>
    </w:p>
    <w:p w:rsidR="00153811" w:rsidRPr="00E04D4E" w:rsidP="00213304" w14:paraId="2FD5AA47" w14:textId="77777777">
      <w:pPr>
        <w:ind w:left="720"/>
        <w:rPr>
          <w:rFonts w:ascii="Times New Roman" w:hAnsi="Times New Roman"/>
          <w:bCs/>
          <w:sz w:val="22"/>
          <w:szCs w:val="22"/>
        </w:rPr>
      </w:pPr>
    </w:p>
    <w:p w:rsidR="00213304" w:rsidRPr="00E04D4E" w:rsidP="00213304" w14:paraId="7366CC9F" w14:textId="7C825A78">
      <w:pPr>
        <w:ind w:left="720"/>
        <w:rPr>
          <w:rFonts w:ascii="Times New Roman" w:hAnsi="Times New Roman"/>
          <w:bCs/>
          <w:sz w:val="22"/>
          <w:szCs w:val="22"/>
        </w:rPr>
      </w:pPr>
      <w:r w:rsidRPr="00E04D4E">
        <w:rPr>
          <w:rFonts w:ascii="Times New Roman" w:hAnsi="Times New Roman"/>
          <w:bCs/>
          <w:sz w:val="22"/>
          <w:szCs w:val="22"/>
        </w:rPr>
        <w:t>(a) Under section 1.1275</w:t>
      </w:r>
      <w:r w:rsidRPr="00E04D4E" w:rsidR="00974A01">
        <w:rPr>
          <w:rFonts w:ascii="Times New Roman" w:hAnsi="Times New Roman"/>
          <w:bCs/>
          <w:sz w:val="22"/>
          <w:szCs w:val="22"/>
        </w:rPr>
        <w:t>-</w:t>
      </w:r>
      <w:r w:rsidRPr="00E04D4E">
        <w:rPr>
          <w:rFonts w:ascii="Times New Roman" w:hAnsi="Times New Roman"/>
          <w:bCs/>
          <w:sz w:val="22"/>
          <w:szCs w:val="22"/>
        </w:rPr>
        <w:t xml:space="preserve">2(h)(5) of this regulation, the issuer's determination that a contingency is </w:t>
      </w:r>
      <w:r w:rsidRPr="00E04D4E" w:rsidR="00D4262D">
        <w:rPr>
          <w:rFonts w:ascii="Times New Roman" w:hAnsi="Times New Roman"/>
          <w:bCs/>
          <w:sz w:val="22"/>
          <w:szCs w:val="22"/>
        </w:rPr>
        <w:t>remote,</w:t>
      </w:r>
      <w:r w:rsidRPr="00E04D4E">
        <w:rPr>
          <w:rFonts w:ascii="Times New Roman" w:hAnsi="Times New Roman"/>
          <w:bCs/>
          <w:sz w:val="22"/>
          <w:szCs w:val="22"/>
        </w:rPr>
        <w:t xml:space="preserve"> or incidental is binding on all holders.  However, the issuer's determination is not binding on a holder that explicitly discloses that its determination is different from the issuer's determination.  Unless otherwise prescribed by the Commissioner, the disclosure must be made on a statement attached to the holder's timely filed federal income tax return for the taxable year that includes the acquisition date of the debt instrument.</w:t>
      </w:r>
    </w:p>
    <w:p w:rsidR="00213304" w:rsidRPr="00E04D4E" w:rsidP="00213304" w14:paraId="49C4D9A3" w14:textId="77777777">
      <w:pPr>
        <w:ind w:left="720"/>
        <w:rPr>
          <w:rFonts w:ascii="Times New Roman" w:hAnsi="Times New Roman"/>
          <w:bCs/>
          <w:sz w:val="22"/>
          <w:szCs w:val="22"/>
        </w:rPr>
      </w:pPr>
    </w:p>
    <w:p w:rsidR="00213304" w:rsidRPr="00E04D4E" w:rsidP="00213304" w14:paraId="1FDE0F05" w14:textId="77777777">
      <w:pPr>
        <w:ind w:left="720"/>
        <w:rPr>
          <w:rFonts w:ascii="Times New Roman" w:hAnsi="Times New Roman"/>
          <w:bCs/>
          <w:sz w:val="22"/>
          <w:szCs w:val="22"/>
        </w:rPr>
      </w:pPr>
      <w:r w:rsidRPr="00E04D4E">
        <w:rPr>
          <w:rFonts w:ascii="Times New Roman" w:hAnsi="Times New Roman"/>
          <w:bCs/>
          <w:sz w:val="22"/>
          <w:szCs w:val="22"/>
        </w:rPr>
        <w:t>(b) In general, §1.1275-3(b)(1) of this regulation requires an issuer of a debt instrument issued with original issue discount (OID) to place certain information on the face of the debt instrument (the legending requirement).  The legending requirement, however, only applies to a nonpublicly offered debt instrument that is issued in physical form.  Under §1.1275 3(b)(1)(i), if the legending requirement applies to a debt instrument, the issuer of the debt instrument must (i) set forth on the face of the debt</w:t>
      </w:r>
      <w:r w:rsidRPr="00E04D4E">
        <w:rPr>
          <w:rFonts w:ascii="Times New Roman" w:hAnsi="Times New Roman"/>
          <w:bCs/>
          <w:sz w:val="22"/>
          <w:szCs w:val="22"/>
        </w:rPr>
        <w:t xml:space="preserve"> instrument the issue price, the amount of OID, the issue date, and the yield to maturity or (ii) provide the name, address, and telephone number of a representative of the issuer who will provide the information to the holder of the debt instrument.</w:t>
      </w:r>
    </w:p>
    <w:p w:rsidR="00213304" w:rsidRPr="00E04D4E" w:rsidP="00213304" w14:paraId="24F2ED43" w14:textId="77777777">
      <w:pPr>
        <w:ind w:left="720"/>
        <w:rPr>
          <w:rFonts w:ascii="Times New Roman" w:hAnsi="Times New Roman"/>
          <w:bCs/>
          <w:sz w:val="22"/>
          <w:szCs w:val="22"/>
        </w:rPr>
      </w:pPr>
    </w:p>
    <w:p w:rsidR="00213304" w:rsidRPr="00E04D4E" w:rsidP="00213304" w14:paraId="1684F0E5" w14:textId="77777777">
      <w:pPr>
        <w:ind w:left="720"/>
        <w:rPr>
          <w:rFonts w:ascii="Times New Roman" w:hAnsi="Times New Roman"/>
          <w:bCs/>
          <w:sz w:val="22"/>
          <w:szCs w:val="22"/>
        </w:rPr>
      </w:pPr>
      <w:r w:rsidRPr="00E04D4E">
        <w:rPr>
          <w:rFonts w:ascii="Times New Roman" w:hAnsi="Times New Roman"/>
          <w:bCs/>
          <w:sz w:val="22"/>
          <w:szCs w:val="22"/>
        </w:rPr>
        <w:t>Under §1.1275-4(b) of this regulation, if the noncontingent bond method applies to a contingent payment debt instrument, the issuer must create a projected payment schedule for the debt instrument.  Because the projected payment schedule is used by the holder to compute interest and OID accruals, the regulation amends §1.1275-3(b)(1)(i) by adding the projected payment schedule to the list of information required for a contingent payment debt instrument subject to the legending requirement.</w:t>
      </w:r>
    </w:p>
    <w:p w:rsidR="00213304" w:rsidRPr="00E04D4E" w:rsidP="00213304" w14:paraId="051A3499" w14:textId="77777777">
      <w:pPr>
        <w:ind w:left="720"/>
        <w:rPr>
          <w:rFonts w:ascii="Times New Roman" w:hAnsi="Times New Roman"/>
          <w:bCs/>
          <w:sz w:val="22"/>
          <w:szCs w:val="22"/>
        </w:rPr>
      </w:pPr>
      <w:r w:rsidRPr="00E04D4E">
        <w:rPr>
          <w:rFonts w:ascii="Times New Roman" w:hAnsi="Times New Roman"/>
          <w:bCs/>
          <w:sz w:val="22"/>
          <w:szCs w:val="22"/>
        </w:rPr>
        <w:t xml:space="preserve">   </w:t>
      </w:r>
    </w:p>
    <w:p w:rsidR="00213304" w:rsidRPr="00E04D4E" w:rsidP="00213304" w14:paraId="596075EC" w14:textId="77777777">
      <w:pPr>
        <w:ind w:left="720"/>
        <w:rPr>
          <w:rFonts w:ascii="Times New Roman" w:hAnsi="Times New Roman"/>
          <w:bCs/>
          <w:sz w:val="22"/>
          <w:szCs w:val="22"/>
        </w:rPr>
      </w:pPr>
      <w:r w:rsidRPr="00E04D4E">
        <w:rPr>
          <w:rFonts w:ascii="Times New Roman" w:hAnsi="Times New Roman"/>
          <w:bCs/>
          <w:sz w:val="22"/>
          <w:szCs w:val="22"/>
        </w:rPr>
        <w:t>(c) In the case of a contingent payment debt instrument subject to the noncontingent bond method, §1.1275-4(b)(4)(iv) of this regulation provides that the projected payment schedule used by the issuer to compute interest accruals and adjustments determines the holder's interest accruals and adjustments.  The issuer must provide the projected payment schedule to the holder in a manner consistent with the issuer disclosure rules of §1.1275-2(e). If the issuer does not create a projected payment schedule for a</w:t>
      </w:r>
      <w:r w:rsidRPr="00E04D4E">
        <w:rPr>
          <w:rFonts w:ascii="Times New Roman" w:hAnsi="Times New Roman"/>
          <w:bCs/>
          <w:sz w:val="22"/>
          <w:szCs w:val="22"/>
        </w:rPr>
        <w:t xml:space="preserve"> debt instrument or the payment schedule set by the issuer is unreasonable, the holder of the debt instrument must set a projected payment schedule.  A holder that sets its own projected payment schedule must explicitly disclose this fact and the reasons why the holder set its own schedule.  Unless otherwise prescribed by the Commissioner, the disclosure must be made on a statement attached to the holder's timely filed Federal income tax return for the taxable year that includes the acquisition date of the </w:t>
      </w:r>
      <w:r w:rsidRPr="00E04D4E">
        <w:rPr>
          <w:rFonts w:ascii="Times New Roman" w:hAnsi="Times New Roman"/>
          <w:bCs/>
          <w:sz w:val="22"/>
          <w:szCs w:val="22"/>
        </w:rPr>
        <w:t>debt instrument.</w:t>
      </w:r>
    </w:p>
    <w:p w:rsidR="00213304" w:rsidRPr="00E04D4E" w:rsidP="00213304" w14:paraId="6498BC3E" w14:textId="77777777">
      <w:pPr>
        <w:ind w:left="720"/>
        <w:rPr>
          <w:rFonts w:ascii="Times New Roman" w:hAnsi="Times New Roman"/>
          <w:bCs/>
          <w:sz w:val="22"/>
          <w:szCs w:val="22"/>
        </w:rPr>
      </w:pPr>
      <w:r w:rsidRPr="00E04D4E">
        <w:rPr>
          <w:rFonts w:ascii="Times New Roman" w:hAnsi="Times New Roman"/>
          <w:bCs/>
          <w:sz w:val="22"/>
          <w:szCs w:val="22"/>
        </w:rPr>
        <w:t xml:space="preserve"> </w:t>
      </w:r>
    </w:p>
    <w:p w:rsidR="00894418" w:rsidP="00213304" w14:paraId="527A8ABD" w14:textId="1D8AEFCD">
      <w:pPr>
        <w:ind w:left="720"/>
        <w:rPr>
          <w:rFonts w:ascii="Times New Roman" w:hAnsi="Times New Roman"/>
          <w:bCs/>
          <w:sz w:val="22"/>
          <w:szCs w:val="22"/>
        </w:rPr>
      </w:pPr>
      <w:r w:rsidRPr="00E04D4E">
        <w:rPr>
          <w:rFonts w:ascii="Times New Roman" w:hAnsi="Times New Roman"/>
          <w:bCs/>
          <w:sz w:val="22"/>
          <w:szCs w:val="22"/>
        </w:rPr>
        <w:t>(d) Section 1.1275-6 of this regulation provides rules for the integration of a qualifying debt instrument with a hedge or combination of hedges.  In the case of an integrated transaction, §1.1275-6(e) of the regulation provides that the taxpayer must enter and retain as part of its books and records the following information:  (i) the date the qualifying debt instrument was issued or acquired by the taxpayer and the date the §1.1275-6 hedge was entered into by the taxpayer; (ii) a description of the qualif</w:t>
      </w:r>
      <w:r w:rsidRPr="00E04D4E">
        <w:rPr>
          <w:rFonts w:ascii="Times New Roman" w:hAnsi="Times New Roman"/>
          <w:bCs/>
          <w:sz w:val="22"/>
          <w:szCs w:val="22"/>
        </w:rPr>
        <w:t>ying debt instrument and the §1.1275-6 hedge; and (iii)a summary of the cash flows and accruals resulting from treating the qualifying debt instrument and §1.1275-6 hedge as an integrated transaction</w:t>
      </w:r>
      <w:r w:rsidRPr="00E04D4E" w:rsidR="00F3734C">
        <w:rPr>
          <w:rFonts w:ascii="Times New Roman" w:hAnsi="Times New Roman"/>
          <w:bCs/>
          <w:sz w:val="22"/>
          <w:szCs w:val="22"/>
        </w:rPr>
        <w:t xml:space="preserve">.  </w:t>
      </w:r>
    </w:p>
    <w:p w:rsidR="00E04D4E" w:rsidP="00213304" w14:paraId="761E5ABE" w14:textId="058C31F9">
      <w:pPr>
        <w:ind w:left="720"/>
        <w:rPr>
          <w:rFonts w:ascii="Times New Roman" w:hAnsi="Times New Roman"/>
          <w:bCs/>
          <w:sz w:val="22"/>
          <w:szCs w:val="22"/>
        </w:rPr>
      </w:pPr>
    </w:p>
    <w:p w:rsidR="00AE15EE" w:rsidP="00E04D4E" w14:paraId="1DE40BC6" w14:textId="77777777">
      <w:pPr>
        <w:ind w:left="720"/>
        <w:rPr>
          <w:rFonts w:ascii="Times New Roman" w:hAnsi="Times New Roman"/>
        </w:rPr>
      </w:pPr>
      <w:r>
        <w:rPr>
          <w:rFonts w:ascii="Times New Roman" w:hAnsi="Times New Roman"/>
        </w:rPr>
        <w:t xml:space="preserve">The burden related to these </w:t>
      </w:r>
      <w:r w:rsidRPr="003C613F">
        <w:rPr>
          <w:rFonts w:ascii="Times New Roman" w:hAnsi="Times New Roman"/>
        </w:rPr>
        <w:t xml:space="preserve">four sections </w:t>
      </w:r>
      <w:r>
        <w:rPr>
          <w:rFonts w:ascii="Times New Roman" w:hAnsi="Times New Roman"/>
        </w:rPr>
        <w:t>covers</w:t>
      </w:r>
      <w:r w:rsidRPr="003C613F">
        <w:rPr>
          <w:rFonts w:ascii="Times New Roman" w:hAnsi="Times New Roman"/>
        </w:rPr>
        <w:t xml:space="preserve"> how to properly measure and tax interest (especially OID) when debt instruments are more complex than simple fixed-rate bonds</w:t>
      </w:r>
      <w:r>
        <w:rPr>
          <w:rFonts w:ascii="Times New Roman" w:hAnsi="Times New Roman"/>
        </w:rPr>
        <w:t xml:space="preserve">.  </w:t>
      </w:r>
    </w:p>
    <w:p w:rsidR="00AE15EE" w:rsidP="00E04D4E" w14:paraId="515B58B0" w14:textId="77777777">
      <w:pPr>
        <w:ind w:left="720"/>
        <w:rPr>
          <w:rFonts w:ascii="Times New Roman" w:hAnsi="Times New Roman"/>
        </w:rPr>
      </w:pPr>
    </w:p>
    <w:p w:rsidR="00E04D4E" w:rsidP="00E04D4E" w14:paraId="53D66971" w14:textId="50A47CFA">
      <w:pPr>
        <w:ind w:left="720"/>
        <w:rPr>
          <w:rFonts w:ascii="Times New Roman" w:hAnsi="Times New Roman"/>
        </w:rPr>
      </w:pPr>
      <w:r w:rsidRPr="007B7711">
        <w:rPr>
          <w:rFonts w:ascii="Times New Roman" w:hAnsi="Times New Roman"/>
        </w:rPr>
        <w:t xml:space="preserve">This request is being submitted to renew the OMB </w:t>
      </w:r>
      <w:r>
        <w:rPr>
          <w:rFonts w:ascii="Times New Roman" w:hAnsi="Times New Roman"/>
        </w:rPr>
        <w:t xml:space="preserve">approval. </w:t>
      </w:r>
      <w:r w:rsidRPr="007B7711">
        <w:rPr>
          <w:rFonts w:ascii="Times New Roman" w:hAnsi="Times New Roman"/>
        </w:rPr>
        <w:t xml:space="preserve"> </w:t>
      </w:r>
      <w:r>
        <w:rPr>
          <w:rFonts w:ascii="Times New Roman" w:hAnsi="Times New Roman"/>
        </w:rPr>
        <w:t xml:space="preserve"> </w:t>
      </w:r>
    </w:p>
    <w:p w:rsidR="001033CA" w:rsidRPr="00A933CE" w:rsidP="001033CA" w14:paraId="43577F55" w14:textId="77777777">
      <w:pPr>
        <w:widowControl/>
        <w:ind w:left="360"/>
        <w:rPr>
          <w:rFonts w:asciiTheme="minorHAnsi" w:hAnsiTheme="minorHAnsi" w:cstheme="minorHAnsi"/>
          <w:sz w:val="22"/>
          <w:szCs w:val="22"/>
        </w:rPr>
      </w:pPr>
    </w:p>
    <w:p w:rsidR="001033CA" w:rsidRPr="00342FC6" w:rsidP="001033CA" w14:paraId="0EBCBAD8" w14:textId="77777777">
      <w:pPr>
        <w:pStyle w:val="Heading1"/>
        <w:numPr>
          <w:ilvl w:val="0"/>
          <w:numId w:val="4"/>
        </w:numPr>
        <w:ind w:hanging="720"/>
        <w:rPr>
          <w:rFonts w:ascii="Times New Roman" w:hAnsi="Times New Roman"/>
          <w:sz w:val="22"/>
          <w:szCs w:val="22"/>
          <w:u w:val="single"/>
        </w:rPr>
      </w:pPr>
      <w:r w:rsidRPr="00342FC6">
        <w:rPr>
          <w:rFonts w:ascii="Times New Roman" w:hAnsi="Times New Roman"/>
          <w:sz w:val="22"/>
          <w:szCs w:val="22"/>
          <w:u w:val="single"/>
        </w:rPr>
        <w:t>USE OF DATA</w:t>
      </w:r>
    </w:p>
    <w:p w:rsidR="00342FC6" w:rsidP="00213304" w14:paraId="5286CE3D" w14:textId="77777777">
      <w:pPr>
        <w:widowControl/>
        <w:ind w:left="720"/>
        <w:rPr>
          <w:rFonts w:ascii="Times New Roman" w:hAnsi="Times New Roman"/>
          <w:bCs/>
          <w:sz w:val="22"/>
          <w:szCs w:val="22"/>
        </w:rPr>
      </w:pPr>
    </w:p>
    <w:p w:rsidR="00894418" w:rsidRPr="00E04D4E" w:rsidP="00213304" w14:paraId="48C79783" w14:textId="66AB3E6D">
      <w:pPr>
        <w:widowControl/>
        <w:ind w:left="720"/>
        <w:rPr>
          <w:rFonts w:ascii="Times New Roman" w:hAnsi="Times New Roman"/>
          <w:bCs/>
          <w:sz w:val="22"/>
          <w:szCs w:val="22"/>
        </w:rPr>
      </w:pPr>
      <w:r w:rsidRPr="00E04D4E">
        <w:rPr>
          <w:rFonts w:ascii="Times New Roman" w:hAnsi="Times New Roman"/>
          <w:bCs/>
          <w:sz w:val="22"/>
          <w:szCs w:val="22"/>
        </w:rPr>
        <w:t>Responses to these collections of information are required to determine a taxpayer’s interest income or deductions on a contingent payment debt instrument</w:t>
      </w:r>
      <w:r w:rsidRPr="00E04D4E" w:rsidR="005668A3">
        <w:rPr>
          <w:rFonts w:ascii="Times New Roman" w:eastAsia="HelveticaNeue-Roman" w:hAnsi="Times New Roman"/>
          <w:sz w:val="22"/>
          <w:szCs w:val="22"/>
        </w:rPr>
        <w:t>.</w:t>
      </w:r>
      <w:r w:rsidRPr="00E04D4E">
        <w:rPr>
          <w:rFonts w:ascii="Times New Roman" w:eastAsia="HelveticaNeue-Roman" w:hAnsi="Times New Roman"/>
          <w:sz w:val="22"/>
          <w:szCs w:val="22"/>
        </w:rPr>
        <w:t xml:space="preserve">  The data is used by the Internal Revenue Service and taxpayers to verify that the proper amount of tax is reported.  </w:t>
      </w:r>
    </w:p>
    <w:p w:rsidR="00342FC6" w:rsidRPr="00A933CE" w:rsidP="00342FC6" w14:paraId="3F89F9E7" w14:textId="77777777">
      <w:pPr>
        <w:widowControl/>
        <w:ind w:left="360"/>
        <w:rPr>
          <w:rFonts w:asciiTheme="minorHAnsi" w:hAnsiTheme="minorHAnsi" w:cstheme="minorHAnsi"/>
          <w:sz w:val="22"/>
          <w:szCs w:val="22"/>
        </w:rPr>
      </w:pPr>
      <w:r w:rsidRPr="00E04D4E">
        <w:rPr>
          <w:rFonts w:ascii="Times New Roman" w:hAnsi="Times New Roman"/>
          <w:bCs/>
          <w:sz w:val="22"/>
          <w:szCs w:val="22"/>
        </w:rPr>
        <w:t xml:space="preserve">           </w:t>
      </w:r>
    </w:p>
    <w:p w:rsidR="00342FC6" w:rsidRPr="00342FC6" w:rsidP="00342FC6" w14:paraId="2B44F646" w14:textId="77777777">
      <w:pPr>
        <w:pStyle w:val="Heading1"/>
        <w:numPr>
          <w:ilvl w:val="0"/>
          <w:numId w:val="4"/>
        </w:numPr>
        <w:ind w:hanging="720"/>
        <w:rPr>
          <w:rFonts w:ascii="Times New Roman" w:hAnsi="Times New Roman"/>
          <w:sz w:val="22"/>
          <w:szCs w:val="22"/>
          <w:u w:val="single"/>
        </w:rPr>
      </w:pPr>
      <w:r w:rsidRPr="00342FC6">
        <w:rPr>
          <w:rFonts w:ascii="Times New Roman" w:hAnsi="Times New Roman"/>
          <w:sz w:val="22"/>
          <w:szCs w:val="22"/>
          <w:u w:val="single"/>
        </w:rPr>
        <w:t>USE OF IMPROVED INFORMATION TECHNOLOGY TO REDUCE BURDEN</w:t>
      </w:r>
    </w:p>
    <w:p w:rsidR="00894418" w:rsidRPr="00E04D4E" w14:paraId="2FB5DCF8" w14:textId="77777777">
      <w:pPr>
        <w:rPr>
          <w:rFonts w:ascii="Times New Roman" w:hAnsi="Times New Roman"/>
          <w:bCs/>
          <w:sz w:val="22"/>
          <w:szCs w:val="22"/>
        </w:rPr>
      </w:pPr>
    </w:p>
    <w:p w:rsidR="00894418" w:rsidRPr="00E04D4E" w14:paraId="6EEADFBF" w14:textId="0544E1B1">
      <w:pPr>
        <w:ind w:left="720"/>
        <w:rPr>
          <w:rFonts w:ascii="Times New Roman" w:hAnsi="Times New Roman"/>
          <w:bCs/>
          <w:sz w:val="22"/>
          <w:szCs w:val="22"/>
        </w:rPr>
      </w:pPr>
      <w:r>
        <w:rPr>
          <w:rFonts w:ascii="Times New Roman" w:hAnsi="Times New Roman"/>
          <w:bCs/>
          <w:sz w:val="22"/>
          <w:szCs w:val="22"/>
        </w:rPr>
        <w:t xml:space="preserve">The IRS allows </w:t>
      </w:r>
      <w:r w:rsidR="0021211A">
        <w:rPr>
          <w:rFonts w:ascii="Times New Roman" w:hAnsi="Times New Roman"/>
          <w:bCs/>
          <w:sz w:val="22"/>
          <w:szCs w:val="22"/>
        </w:rPr>
        <w:t>taxpayers to attach statements to electronically filed tax returns</w:t>
      </w:r>
      <w:r w:rsidRPr="00E04D4E" w:rsidR="003D03EC">
        <w:rPr>
          <w:rFonts w:ascii="Times New Roman" w:hAnsi="Times New Roman"/>
          <w:bCs/>
          <w:sz w:val="22"/>
          <w:szCs w:val="22"/>
        </w:rPr>
        <w:t xml:space="preserve">.  </w:t>
      </w:r>
    </w:p>
    <w:p w:rsidR="00342FC6" w:rsidRPr="00A933CE" w:rsidP="00342FC6" w14:paraId="2DCDD5EF" w14:textId="77777777">
      <w:pPr>
        <w:widowControl/>
        <w:ind w:left="360"/>
        <w:rPr>
          <w:rFonts w:asciiTheme="minorHAnsi" w:hAnsiTheme="minorHAnsi" w:cstheme="minorHAnsi"/>
          <w:sz w:val="22"/>
          <w:szCs w:val="22"/>
        </w:rPr>
      </w:pPr>
    </w:p>
    <w:p w:rsidR="00342FC6" w:rsidRPr="00342FC6" w:rsidP="00342FC6" w14:paraId="4C950B4A" w14:textId="77777777">
      <w:pPr>
        <w:pStyle w:val="Heading1"/>
        <w:numPr>
          <w:ilvl w:val="0"/>
          <w:numId w:val="4"/>
        </w:numPr>
        <w:ind w:hanging="720"/>
        <w:rPr>
          <w:rFonts w:ascii="Times New Roman" w:hAnsi="Times New Roman"/>
          <w:sz w:val="22"/>
          <w:szCs w:val="22"/>
          <w:u w:val="single"/>
        </w:rPr>
      </w:pPr>
      <w:r w:rsidRPr="00342FC6">
        <w:rPr>
          <w:rFonts w:ascii="Times New Roman" w:hAnsi="Times New Roman"/>
          <w:sz w:val="22"/>
          <w:szCs w:val="22"/>
          <w:u w:val="single"/>
        </w:rPr>
        <w:t>EFFORTS TO IDENTIFY DUPLICATION</w:t>
      </w:r>
    </w:p>
    <w:p w:rsidR="00894418" w:rsidRPr="00E04D4E" w14:paraId="39D5B736" w14:textId="77777777">
      <w:pPr>
        <w:rPr>
          <w:rFonts w:ascii="Times New Roman" w:hAnsi="Times New Roman"/>
          <w:bCs/>
          <w:sz w:val="22"/>
          <w:szCs w:val="22"/>
        </w:rPr>
      </w:pPr>
    </w:p>
    <w:p w:rsidR="00894418" w:rsidRPr="00E04D4E" w14:paraId="56E275E6" w14:textId="77777777">
      <w:pPr>
        <w:tabs>
          <w:tab w:val="left" w:pos="-1440"/>
        </w:tabs>
        <w:ind w:left="720" w:hanging="720"/>
        <w:rPr>
          <w:rFonts w:ascii="Times New Roman" w:hAnsi="Times New Roman"/>
          <w:bCs/>
          <w:sz w:val="22"/>
          <w:szCs w:val="22"/>
        </w:rPr>
      </w:pPr>
      <w:r w:rsidRPr="00E04D4E">
        <w:rPr>
          <w:rFonts w:ascii="Times New Roman" w:hAnsi="Times New Roman"/>
          <w:bCs/>
          <w:sz w:val="22"/>
          <w:szCs w:val="22"/>
        </w:rPr>
        <w:t xml:space="preserve"> </w:t>
      </w:r>
      <w:r w:rsidRPr="00E04D4E">
        <w:rPr>
          <w:rFonts w:ascii="Times New Roman" w:hAnsi="Times New Roman"/>
          <w:bCs/>
          <w:sz w:val="22"/>
          <w:szCs w:val="22"/>
        </w:rPr>
        <w:tab/>
      </w:r>
      <w:r w:rsidRPr="00E04D4E" w:rsidR="00820B40">
        <w:rPr>
          <w:rFonts w:ascii="Times New Roman" w:hAnsi="Times New Roman"/>
          <w:bCs/>
          <w:sz w:val="22"/>
          <w:szCs w:val="22"/>
        </w:rPr>
        <w:t>The information obtained through this collection is unique and is not already available for use or adaptation from another source.</w:t>
      </w:r>
      <w:r w:rsidRPr="00E04D4E">
        <w:rPr>
          <w:rFonts w:ascii="Times New Roman" w:hAnsi="Times New Roman"/>
          <w:bCs/>
          <w:sz w:val="22"/>
          <w:szCs w:val="22"/>
        </w:rPr>
        <w:t xml:space="preserve">  </w:t>
      </w:r>
    </w:p>
    <w:p w:rsidR="00894418" w:rsidRPr="00E04D4E" w14:paraId="48D1DCE2" w14:textId="77777777">
      <w:pPr>
        <w:rPr>
          <w:rFonts w:ascii="Times New Roman" w:hAnsi="Times New Roman"/>
          <w:b/>
          <w:bCs/>
          <w:sz w:val="22"/>
          <w:szCs w:val="22"/>
        </w:rPr>
      </w:pPr>
    </w:p>
    <w:p w:rsidR="00894418" w:rsidRPr="00E04D4E" w:rsidP="00820B40" w14:paraId="3613AC42" w14:textId="49B91BD9">
      <w:pPr>
        <w:pStyle w:val="Level1"/>
        <w:numPr>
          <w:ilvl w:val="0"/>
          <w:numId w:val="1"/>
        </w:numPr>
        <w:tabs>
          <w:tab w:val="left" w:pos="-1440"/>
        </w:tabs>
        <w:rPr>
          <w:rFonts w:ascii="Times New Roman" w:hAnsi="Times New Roman"/>
          <w:sz w:val="22"/>
          <w:szCs w:val="22"/>
        </w:rPr>
      </w:pPr>
      <w:r w:rsidRPr="00E04D4E">
        <w:rPr>
          <w:rFonts w:ascii="Times New Roman" w:hAnsi="Times New Roman"/>
          <w:sz w:val="22"/>
          <w:szCs w:val="22"/>
          <w:u w:val="single"/>
        </w:rPr>
        <w:t>METHODS TO MINIMIZE BURDEN ON SMALL BUSINESSES OR OTHER</w:t>
      </w:r>
      <w:r w:rsidRPr="00414355" w:rsidR="00414355">
        <w:rPr>
          <w:rFonts w:ascii="Times New Roman" w:hAnsi="Times New Roman"/>
          <w:sz w:val="22"/>
          <w:szCs w:val="22"/>
          <w:u w:val="single"/>
        </w:rPr>
        <w:t xml:space="preserve"> </w:t>
      </w:r>
      <w:r w:rsidRPr="00E04D4E">
        <w:rPr>
          <w:rFonts w:ascii="Times New Roman" w:hAnsi="Times New Roman"/>
          <w:sz w:val="22"/>
          <w:szCs w:val="22"/>
          <w:u w:val="single"/>
        </w:rPr>
        <w:t>SMALL ENTITIES</w:t>
      </w:r>
    </w:p>
    <w:p w:rsidR="00894418" w:rsidRPr="00E04D4E" w14:paraId="2BC437DE" w14:textId="77777777">
      <w:pPr>
        <w:rPr>
          <w:rFonts w:ascii="Times New Roman" w:hAnsi="Times New Roman"/>
          <w:sz w:val="22"/>
          <w:szCs w:val="22"/>
        </w:rPr>
      </w:pPr>
    </w:p>
    <w:p w:rsidR="00B33DD5" w:rsidRPr="00E04D4E" w:rsidP="00213304" w14:paraId="7F262BEC" w14:textId="70839498">
      <w:pPr>
        <w:ind w:left="720"/>
        <w:rPr>
          <w:rFonts w:ascii="Times New Roman" w:hAnsi="Times New Roman"/>
          <w:sz w:val="22"/>
          <w:szCs w:val="22"/>
        </w:rPr>
      </w:pPr>
      <w:r w:rsidRPr="00E04D4E">
        <w:rPr>
          <w:rFonts w:ascii="Times New Roman" w:hAnsi="Times New Roman"/>
          <w:snapToGrid w:val="0"/>
          <w:sz w:val="22"/>
          <w:szCs w:val="22"/>
        </w:rPr>
        <w:t>The collection of information in these regulations will not have a significant economic impact on a substantial number of small entities.  Responses to these collections of information are required to determine a taxpayer’s interest income or deductions on a</w:t>
      </w:r>
      <w:r w:rsidR="006D39B9">
        <w:rPr>
          <w:rFonts w:ascii="Times New Roman" w:hAnsi="Times New Roman"/>
          <w:snapToGrid w:val="0"/>
          <w:sz w:val="22"/>
          <w:szCs w:val="22"/>
        </w:rPr>
        <w:t xml:space="preserve"> </w:t>
      </w:r>
      <w:r w:rsidRPr="00E04D4E">
        <w:rPr>
          <w:rFonts w:ascii="Times New Roman" w:hAnsi="Times New Roman"/>
          <w:snapToGrid w:val="0"/>
          <w:sz w:val="22"/>
          <w:szCs w:val="22"/>
        </w:rPr>
        <w:t>contingent payment debt instrument.</w:t>
      </w:r>
    </w:p>
    <w:p w:rsidR="00B33DD5" w:rsidRPr="00E04D4E" w:rsidP="00213304" w14:paraId="766FF9A3" w14:textId="77777777">
      <w:pPr>
        <w:ind w:left="720"/>
        <w:rPr>
          <w:rFonts w:ascii="Times New Roman" w:hAnsi="Times New Roman"/>
          <w:sz w:val="22"/>
          <w:szCs w:val="22"/>
        </w:rPr>
      </w:pPr>
    </w:p>
    <w:p w:rsidR="00894418" w:rsidRPr="00E04D4E" w14:paraId="40C8DAA0" w14:textId="77777777">
      <w:pPr>
        <w:pStyle w:val="Level1"/>
        <w:numPr>
          <w:ilvl w:val="0"/>
          <w:numId w:val="1"/>
        </w:numPr>
        <w:tabs>
          <w:tab w:val="left" w:pos="-1440"/>
          <w:tab w:val="num" w:pos="720"/>
        </w:tabs>
        <w:rPr>
          <w:rFonts w:ascii="Times New Roman" w:hAnsi="Times New Roman"/>
          <w:sz w:val="22"/>
          <w:szCs w:val="22"/>
        </w:rPr>
      </w:pPr>
      <w:r w:rsidRPr="00E04D4E">
        <w:rPr>
          <w:rFonts w:ascii="Times New Roman" w:hAnsi="Times New Roman"/>
          <w:sz w:val="22"/>
          <w:szCs w:val="22"/>
          <w:u w:val="single"/>
        </w:rPr>
        <w:t>CONSEQUENCES OF LESS FREQUENT COLLECTION ON FEDERAL PROGRAMS OR POLICY ACTIVITIES</w:t>
      </w:r>
    </w:p>
    <w:p w:rsidR="00894418" w:rsidRPr="00E04D4E" w14:paraId="74780211" w14:textId="77777777">
      <w:pPr>
        <w:rPr>
          <w:rFonts w:ascii="Times New Roman" w:hAnsi="Times New Roman"/>
          <w:sz w:val="22"/>
          <w:szCs w:val="22"/>
        </w:rPr>
      </w:pPr>
    </w:p>
    <w:p w:rsidR="00894418" w:rsidRPr="00E04D4E" w:rsidP="000D1446" w14:paraId="3AF42D21" w14:textId="77777777">
      <w:pPr>
        <w:widowControl/>
        <w:ind w:left="720"/>
        <w:rPr>
          <w:rFonts w:ascii="Times New Roman" w:hAnsi="Times New Roman"/>
          <w:sz w:val="22"/>
          <w:szCs w:val="22"/>
        </w:rPr>
      </w:pPr>
      <w:r w:rsidRPr="00E04D4E">
        <w:rPr>
          <w:rFonts w:ascii="Times New Roman" w:hAnsi="Times New Roman"/>
          <w:bCs/>
          <w:sz w:val="22"/>
          <w:szCs w:val="22"/>
        </w:rPr>
        <w:t>The information required of U.S. persons will be used on audit to verify compliance with Section 1275 of the Internal Revenue Code. Less frequent collection of taxes and tax information could adversely affect the governments effectiveness and would reduce the oversight of the public in ensuring compliance with Internal Revenue Service Code</w:t>
      </w:r>
      <w:r w:rsidRPr="00E04D4E" w:rsidR="000D1446">
        <w:rPr>
          <w:rFonts w:ascii="Times New Roman" w:eastAsia="HelveticaNeue-Roman" w:hAnsi="Times New Roman"/>
          <w:sz w:val="22"/>
          <w:szCs w:val="22"/>
        </w:rPr>
        <w:t xml:space="preserve">. </w:t>
      </w:r>
    </w:p>
    <w:p w:rsidR="005668A3" w:rsidRPr="00E04D4E" w:rsidP="000D1446" w14:paraId="447414A5" w14:textId="77777777">
      <w:pPr>
        <w:ind w:left="720"/>
        <w:rPr>
          <w:rFonts w:ascii="Times New Roman" w:hAnsi="Times New Roman"/>
          <w:sz w:val="22"/>
          <w:szCs w:val="22"/>
        </w:rPr>
      </w:pPr>
    </w:p>
    <w:p w:rsidR="00894418" w:rsidRPr="00E04D4E" w14:paraId="3448C69F" w14:textId="77777777">
      <w:pPr>
        <w:pStyle w:val="Level1"/>
        <w:numPr>
          <w:ilvl w:val="0"/>
          <w:numId w:val="1"/>
        </w:numPr>
        <w:tabs>
          <w:tab w:val="left" w:pos="-1440"/>
          <w:tab w:val="num" w:pos="720"/>
        </w:tabs>
        <w:rPr>
          <w:rFonts w:ascii="Times New Roman" w:hAnsi="Times New Roman"/>
          <w:sz w:val="22"/>
          <w:szCs w:val="22"/>
        </w:rPr>
      </w:pPr>
      <w:r w:rsidRPr="00E04D4E">
        <w:rPr>
          <w:rFonts w:ascii="Times New Roman" w:hAnsi="Times New Roman"/>
          <w:sz w:val="22"/>
          <w:szCs w:val="22"/>
          <w:u w:val="single"/>
        </w:rPr>
        <w:t>SPECIAL CIRCUMSTANCES REQUIRING DATA COLLECTION TO BE</w:t>
      </w:r>
      <w:r w:rsidRPr="00E04D4E">
        <w:rPr>
          <w:rFonts w:ascii="Times New Roman" w:hAnsi="Times New Roman"/>
          <w:sz w:val="22"/>
          <w:szCs w:val="22"/>
        </w:rPr>
        <w:t xml:space="preserve"> </w:t>
      </w:r>
      <w:r w:rsidRPr="00E04D4E">
        <w:rPr>
          <w:rFonts w:ascii="Times New Roman" w:hAnsi="Times New Roman"/>
          <w:sz w:val="22"/>
          <w:szCs w:val="22"/>
          <w:u w:val="single"/>
        </w:rPr>
        <w:t>INCONSISTENT WITH GUIDELINES IN 5 CFR 1320.5(d)(2)</w:t>
      </w:r>
    </w:p>
    <w:p w:rsidR="00894418" w:rsidRPr="00E04D4E" w14:paraId="66F8A2F1" w14:textId="77777777">
      <w:pPr>
        <w:rPr>
          <w:rFonts w:ascii="Times New Roman" w:hAnsi="Times New Roman"/>
          <w:sz w:val="22"/>
          <w:szCs w:val="22"/>
        </w:rPr>
      </w:pPr>
    </w:p>
    <w:p w:rsidR="00033535" w:rsidRPr="00E04D4E" w:rsidP="00033535" w14:paraId="6B8FE7F1" w14:textId="3E93095C">
      <w:pPr>
        <w:autoSpaceDE/>
        <w:autoSpaceDN/>
        <w:adjustRightInd/>
        <w:ind w:left="720" w:firstLine="15"/>
        <w:rPr>
          <w:rFonts w:ascii="Times New Roman" w:hAnsi="Times New Roman"/>
          <w:snapToGrid w:val="0"/>
          <w:sz w:val="22"/>
          <w:szCs w:val="22"/>
        </w:rPr>
      </w:pPr>
      <w:r w:rsidRPr="00E04D4E">
        <w:rPr>
          <w:rFonts w:ascii="Times New Roman" w:hAnsi="Times New Roman"/>
          <w:snapToGrid w:val="0"/>
          <w:sz w:val="22"/>
          <w:szCs w:val="22"/>
        </w:rPr>
        <w:t xml:space="preserve">There are no special circumstances requiring data collection to be inconsistent with </w:t>
      </w:r>
      <w:r w:rsidR="0021211A">
        <w:rPr>
          <w:rFonts w:ascii="Times New Roman" w:hAnsi="Times New Roman"/>
          <w:snapToGrid w:val="0"/>
          <w:sz w:val="22"/>
          <w:szCs w:val="22"/>
        </w:rPr>
        <w:t>g</w:t>
      </w:r>
      <w:r w:rsidRPr="00E04D4E">
        <w:rPr>
          <w:rFonts w:ascii="Times New Roman" w:hAnsi="Times New Roman"/>
          <w:snapToGrid w:val="0"/>
          <w:sz w:val="22"/>
          <w:szCs w:val="22"/>
        </w:rPr>
        <w:t xml:space="preserve">uidelines in 5 CFR 1320.5(d)(2). </w:t>
      </w:r>
    </w:p>
    <w:p w:rsidR="00342FC6" w:rsidP="00342FC6" w14:paraId="4B934448" w14:textId="77777777">
      <w:pPr>
        <w:widowControl/>
        <w:ind w:left="360"/>
        <w:rPr>
          <w:rFonts w:asciiTheme="minorHAnsi" w:hAnsiTheme="minorHAnsi" w:cstheme="minorHAnsi"/>
          <w:sz w:val="22"/>
          <w:szCs w:val="22"/>
        </w:rPr>
      </w:pPr>
    </w:p>
    <w:p w:rsidR="00127866" w:rsidP="00342FC6" w14:paraId="0598B875" w14:textId="77777777">
      <w:pPr>
        <w:widowControl/>
        <w:ind w:left="360"/>
        <w:rPr>
          <w:rFonts w:asciiTheme="minorHAnsi" w:hAnsiTheme="minorHAnsi" w:cstheme="minorHAnsi"/>
          <w:sz w:val="22"/>
          <w:szCs w:val="22"/>
        </w:rPr>
      </w:pPr>
    </w:p>
    <w:p w:rsidR="00127866" w:rsidP="00342FC6" w14:paraId="5EE41387" w14:textId="77777777">
      <w:pPr>
        <w:widowControl/>
        <w:ind w:left="360"/>
        <w:rPr>
          <w:rFonts w:asciiTheme="minorHAnsi" w:hAnsiTheme="minorHAnsi" w:cstheme="minorHAnsi"/>
          <w:sz w:val="22"/>
          <w:szCs w:val="22"/>
        </w:rPr>
      </w:pPr>
    </w:p>
    <w:p w:rsidR="00127866" w:rsidP="00342FC6" w14:paraId="6F955B26" w14:textId="77777777">
      <w:pPr>
        <w:widowControl/>
        <w:ind w:left="360"/>
        <w:rPr>
          <w:rFonts w:asciiTheme="minorHAnsi" w:hAnsiTheme="minorHAnsi" w:cstheme="minorHAnsi"/>
          <w:sz w:val="22"/>
          <w:szCs w:val="22"/>
        </w:rPr>
      </w:pPr>
    </w:p>
    <w:p w:rsidR="00127866" w:rsidRPr="00A933CE" w:rsidP="00342FC6" w14:paraId="7CA03C81" w14:textId="77777777">
      <w:pPr>
        <w:widowControl/>
        <w:ind w:left="360"/>
        <w:rPr>
          <w:rFonts w:asciiTheme="minorHAnsi" w:hAnsiTheme="minorHAnsi" w:cstheme="minorHAnsi"/>
          <w:sz w:val="22"/>
          <w:szCs w:val="22"/>
        </w:rPr>
      </w:pPr>
    </w:p>
    <w:p w:rsidR="00342FC6" w:rsidRPr="00342FC6" w:rsidP="00342FC6" w14:paraId="6BAF5A3E" w14:textId="77777777">
      <w:pPr>
        <w:pStyle w:val="Heading1"/>
        <w:numPr>
          <w:ilvl w:val="0"/>
          <w:numId w:val="5"/>
        </w:numPr>
        <w:ind w:hanging="720"/>
        <w:rPr>
          <w:rFonts w:ascii="Times New Roman" w:hAnsi="Times New Roman"/>
          <w:sz w:val="22"/>
          <w:szCs w:val="22"/>
          <w:u w:val="single"/>
        </w:rPr>
      </w:pPr>
      <w:r w:rsidRPr="00342FC6">
        <w:rPr>
          <w:rFonts w:ascii="Times New Roman" w:hAnsi="Times New Roman"/>
          <w:sz w:val="22"/>
          <w:szCs w:val="22"/>
          <w:u w:val="single"/>
        </w:rPr>
        <w:t>CONSULTATION WITH INDIVIDUALS OUTSIDE OF THE AGENCY ON AVAILABILITY OF DATA, FREQUENCY OF COLLECTION, CLARITY OF INSTRUCTIONS AND FORMS, AND DATA ELEMENTS</w:t>
      </w:r>
    </w:p>
    <w:p w:rsidR="00894418" w:rsidRPr="00E04D4E" w14:paraId="45E1214C" w14:textId="77777777">
      <w:pPr>
        <w:rPr>
          <w:rFonts w:ascii="Times New Roman" w:hAnsi="Times New Roman"/>
          <w:sz w:val="22"/>
          <w:szCs w:val="22"/>
        </w:rPr>
      </w:pPr>
    </w:p>
    <w:p w:rsidR="00894418" w:rsidRPr="00E04D4E" w:rsidP="00E04D4E" w14:paraId="45E4E87B" w14:textId="420563D0">
      <w:pPr>
        <w:ind w:left="720"/>
        <w:rPr>
          <w:rFonts w:ascii="Times New Roman" w:hAnsi="Times New Roman"/>
          <w:sz w:val="22"/>
          <w:szCs w:val="22"/>
        </w:rPr>
      </w:pPr>
      <w:r w:rsidRPr="00E04D4E">
        <w:rPr>
          <w:rFonts w:ascii="Times New Roman" w:hAnsi="Times New Roman"/>
          <w:sz w:val="22"/>
          <w:szCs w:val="22"/>
        </w:rPr>
        <w:t>In response to the Federal Register notice (</w:t>
      </w:r>
      <w:r w:rsidR="00C11E27">
        <w:rPr>
          <w:rFonts w:ascii="Times New Roman" w:hAnsi="Times New Roman"/>
          <w:sz w:val="22"/>
          <w:szCs w:val="22"/>
        </w:rPr>
        <w:t>90</w:t>
      </w:r>
      <w:r w:rsidRPr="00E04D4E">
        <w:rPr>
          <w:rFonts w:ascii="Times New Roman" w:hAnsi="Times New Roman"/>
          <w:sz w:val="22"/>
          <w:szCs w:val="22"/>
        </w:rPr>
        <w:t xml:space="preserve"> FR </w:t>
      </w:r>
      <w:r w:rsidR="00127866">
        <w:rPr>
          <w:rFonts w:ascii="Times New Roman" w:hAnsi="Times New Roman"/>
          <w:sz w:val="22"/>
          <w:szCs w:val="22"/>
        </w:rPr>
        <w:t>52163</w:t>
      </w:r>
      <w:r w:rsidRPr="00E04D4E">
        <w:rPr>
          <w:rFonts w:ascii="Times New Roman" w:hAnsi="Times New Roman"/>
          <w:sz w:val="22"/>
          <w:szCs w:val="22"/>
        </w:rPr>
        <w:t xml:space="preserve">), dated </w:t>
      </w:r>
      <w:r w:rsidR="002E0404">
        <w:rPr>
          <w:rFonts w:ascii="Times New Roman" w:hAnsi="Times New Roman"/>
          <w:sz w:val="22"/>
          <w:szCs w:val="22"/>
        </w:rPr>
        <w:t>November</w:t>
      </w:r>
      <w:r w:rsidRPr="00E04D4E">
        <w:rPr>
          <w:rFonts w:ascii="Times New Roman" w:hAnsi="Times New Roman"/>
          <w:sz w:val="22"/>
          <w:szCs w:val="22"/>
        </w:rPr>
        <w:t xml:space="preserve"> </w:t>
      </w:r>
      <w:r w:rsidR="00127866">
        <w:rPr>
          <w:rFonts w:ascii="Times New Roman" w:hAnsi="Times New Roman"/>
          <w:sz w:val="22"/>
          <w:szCs w:val="22"/>
        </w:rPr>
        <w:t>19</w:t>
      </w:r>
      <w:r w:rsidRPr="00E04D4E">
        <w:rPr>
          <w:rFonts w:ascii="Times New Roman" w:hAnsi="Times New Roman"/>
          <w:sz w:val="22"/>
          <w:szCs w:val="22"/>
        </w:rPr>
        <w:t xml:space="preserve">, </w:t>
      </w:r>
      <w:r w:rsidR="00C11E27">
        <w:rPr>
          <w:rFonts w:ascii="Times New Roman" w:hAnsi="Times New Roman"/>
          <w:sz w:val="22"/>
          <w:szCs w:val="22"/>
        </w:rPr>
        <w:t>2025</w:t>
      </w:r>
      <w:r w:rsidRPr="00E04D4E">
        <w:rPr>
          <w:rFonts w:ascii="Times New Roman" w:hAnsi="Times New Roman"/>
          <w:sz w:val="22"/>
          <w:szCs w:val="22"/>
        </w:rPr>
        <w:t xml:space="preserve">, we received no comments during the comment period regarding this </w:t>
      </w:r>
      <w:r w:rsidR="00C11E27">
        <w:rPr>
          <w:rFonts w:ascii="Times New Roman" w:hAnsi="Times New Roman"/>
          <w:sz w:val="22"/>
          <w:szCs w:val="22"/>
        </w:rPr>
        <w:t>collection</w:t>
      </w:r>
      <w:r w:rsidRPr="00E04D4E">
        <w:rPr>
          <w:rFonts w:ascii="Times New Roman" w:hAnsi="Times New Roman"/>
          <w:sz w:val="22"/>
          <w:szCs w:val="22"/>
        </w:rPr>
        <w:t>.</w:t>
      </w:r>
    </w:p>
    <w:p w:rsidR="00310E45" w:rsidRPr="00E04D4E" w14:paraId="117B1E81" w14:textId="77777777">
      <w:pPr>
        <w:rPr>
          <w:rFonts w:ascii="Times New Roman" w:hAnsi="Times New Roman"/>
          <w:sz w:val="22"/>
          <w:szCs w:val="22"/>
        </w:rPr>
      </w:pPr>
    </w:p>
    <w:p w:rsidR="00894418" w:rsidRPr="00E04D4E" w14:paraId="3B4DE50C" w14:textId="77777777">
      <w:pPr>
        <w:pStyle w:val="Level1"/>
        <w:tabs>
          <w:tab w:val="left" w:pos="-1440"/>
          <w:tab w:val="num" w:pos="720"/>
        </w:tabs>
        <w:rPr>
          <w:rFonts w:ascii="Times New Roman" w:hAnsi="Times New Roman"/>
          <w:sz w:val="22"/>
          <w:szCs w:val="22"/>
        </w:rPr>
      </w:pPr>
      <w:r w:rsidRPr="00E04D4E">
        <w:rPr>
          <w:rFonts w:ascii="Times New Roman" w:hAnsi="Times New Roman"/>
          <w:sz w:val="22"/>
          <w:szCs w:val="22"/>
          <w:u w:val="single"/>
        </w:rPr>
        <w:t>EXPLANATION OF DECISION TO PROVIDE ANY PAYMENT OR GIFT TO</w:t>
      </w:r>
      <w:r w:rsidRPr="00E04D4E">
        <w:rPr>
          <w:rFonts w:ascii="Times New Roman" w:hAnsi="Times New Roman"/>
          <w:sz w:val="22"/>
          <w:szCs w:val="22"/>
        </w:rPr>
        <w:t xml:space="preserve"> </w:t>
      </w:r>
      <w:r w:rsidRPr="00E04D4E">
        <w:rPr>
          <w:rFonts w:ascii="Times New Roman" w:hAnsi="Times New Roman"/>
          <w:sz w:val="22"/>
          <w:szCs w:val="22"/>
          <w:u w:val="single"/>
        </w:rPr>
        <w:t>RESPONDENTS</w:t>
      </w:r>
    </w:p>
    <w:p w:rsidR="00894418" w:rsidRPr="00E04D4E" w14:paraId="3658E151" w14:textId="77777777">
      <w:pPr>
        <w:rPr>
          <w:rFonts w:ascii="Times New Roman" w:hAnsi="Times New Roman"/>
          <w:sz w:val="22"/>
          <w:szCs w:val="22"/>
        </w:rPr>
      </w:pPr>
    </w:p>
    <w:p w:rsidR="00894418" w:rsidRPr="00E04D4E" w:rsidP="00033535" w14:paraId="0AC89FBE" w14:textId="77777777">
      <w:pPr>
        <w:ind w:left="720"/>
        <w:rPr>
          <w:rFonts w:ascii="Times New Roman" w:hAnsi="Times New Roman"/>
          <w:sz w:val="22"/>
          <w:szCs w:val="22"/>
        </w:rPr>
      </w:pPr>
      <w:r w:rsidRPr="00E04D4E">
        <w:rPr>
          <w:rFonts w:ascii="Times New Roman" w:eastAsia="Calibri" w:hAnsi="Times New Roman"/>
          <w:sz w:val="22"/>
          <w:szCs w:val="22"/>
        </w:rPr>
        <w:t>No payment or gift has been provided to any respondents.</w:t>
      </w:r>
    </w:p>
    <w:p w:rsidR="00894418" w:rsidRPr="00E04D4E" w14:paraId="4DA50228" w14:textId="77777777">
      <w:pPr>
        <w:rPr>
          <w:rFonts w:ascii="Times New Roman" w:hAnsi="Times New Roman"/>
          <w:sz w:val="22"/>
          <w:szCs w:val="22"/>
        </w:rPr>
      </w:pPr>
    </w:p>
    <w:p w:rsidR="00894418" w:rsidRPr="00E04D4E" w14:paraId="4E5092F8" w14:textId="77777777">
      <w:pPr>
        <w:pStyle w:val="Level1"/>
        <w:tabs>
          <w:tab w:val="left" w:pos="-1440"/>
          <w:tab w:val="num" w:pos="720"/>
        </w:tabs>
        <w:rPr>
          <w:rFonts w:ascii="Times New Roman" w:hAnsi="Times New Roman"/>
          <w:sz w:val="22"/>
          <w:szCs w:val="22"/>
        </w:rPr>
      </w:pPr>
      <w:r w:rsidRPr="00E04D4E">
        <w:rPr>
          <w:rFonts w:ascii="Times New Roman" w:hAnsi="Times New Roman"/>
          <w:sz w:val="22"/>
          <w:szCs w:val="22"/>
          <w:u w:val="single"/>
        </w:rPr>
        <w:t>ASSURANCE OF CONFIDENTIALITY OF RESPONSES</w:t>
      </w:r>
    </w:p>
    <w:p w:rsidR="00894418" w:rsidRPr="00E04D4E" w14:paraId="04231727" w14:textId="77777777">
      <w:pPr>
        <w:rPr>
          <w:rFonts w:ascii="Times New Roman" w:hAnsi="Times New Roman"/>
          <w:sz w:val="22"/>
          <w:szCs w:val="22"/>
        </w:rPr>
      </w:pPr>
    </w:p>
    <w:p w:rsidR="00894418" w:rsidRPr="00E04D4E" w14:paraId="513BEB97" w14:textId="77777777">
      <w:pPr>
        <w:ind w:left="720"/>
        <w:rPr>
          <w:rFonts w:ascii="Times New Roman" w:hAnsi="Times New Roman"/>
          <w:sz w:val="22"/>
          <w:szCs w:val="22"/>
        </w:rPr>
      </w:pPr>
      <w:r w:rsidRPr="00E04D4E">
        <w:rPr>
          <w:rFonts w:ascii="Times New Roman" w:hAnsi="Times New Roman"/>
          <w:sz w:val="22"/>
          <w:szCs w:val="22"/>
        </w:rPr>
        <w:t>Generally, tax returns and tax return information are confidential as required by 26 USC 6103.</w:t>
      </w:r>
    </w:p>
    <w:p w:rsidR="00894418" w:rsidRPr="00E04D4E" w14:paraId="02C9D115" w14:textId="77777777">
      <w:pPr>
        <w:rPr>
          <w:rFonts w:ascii="Times New Roman" w:hAnsi="Times New Roman"/>
          <w:sz w:val="22"/>
          <w:szCs w:val="22"/>
        </w:rPr>
      </w:pPr>
    </w:p>
    <w:p w:rsidR="00894418" w:rsidRPr="00E04D4E" w14:paraId="1366C236" w14:textId="77777777">
      <w:pPr>
        <w:pStyle w:val="Level1"/>
        <w:tabs>
          <w:tab w:val="left" w:pos="-1440"/>
          <w:tab w:val="num" w:pos="720"/>
        </w:tabs>
        <w:rPr>
          <w:rFonts w:ascii="Times New Roman" w:hAnsi="Times New Roman"/>
          <w:sz w:val="22"/>
          <w:szCs w:val="22"/>
          <w:u w:val="single"/>
        </w:rPr>
      </w:pPr>
      <w:r w:rsidRPr="00E04D4E">
        <w:rPr>
          <w:rFonts w:ascii="Times New Roman" w:hAnsi="Times New Roman"/>
          <w:sz w:val="22"/>
          <w:szCs w:val="22"/>
          <w:u w:val="single"/>
        </w:rPr>
        <w:t>JUSTIFICATION OF SENSITIVE QUESTIONS</w:t>
      </w:r>
    </w:p>
    <w:p w:rsidR="00894418" w:rsidRPr="00E04D4E" w14:paraId="68355235" w14:textId="77777777">
      <w:pPr>
        <w:rPr>
          <w:rFonts w:ascii="Times New Roman" w:hAnsi="Times New Roman"/>
          <w:sz w:val="22"/>
          <w:szCs w:val="22"/>
          <w:u w:val="single"/>
        </w:rPr>
      </w:pPr>
    </w:p>
    <w:p w:rsidR="00894418" w:rsidRPr="00E04D4E" w:rsidP="000D1446" w14:paraId="609F9BC3" w14:textId="77777777">
      <w:pPr>
        <w:widowControl/>
        <w:autoSpaceDE/>
        <w:autoSpaceDN/>
        <w:adjustRightInd/>
        <w:spacing w:after="200" w:line="276" w:lineRule="auto"/>
        <w:ind w:left="720"/>
        <w:rPr>
          <w:rFonts w:ascii="Times New Roman" w:hAnsi="Times New Roman"/>
          <w:sz w:val="22"/>
          <w:szCs w:val="22"/>
        </w:rPr>
      </w:pPr>
      <w:r w:rsidRPr="00E04D4E">
        <w:rPr>
          <w:rFonts w:ascii="Times New Roman" w:eastAsia="Calibri" w:hAnsi="Times New Roman"/>
          <w:sz w:val="22"/>
          <w:szCs w:val="22"/>
        </w:rPr>
        <w:t>No PII (Personally Identifiable Information) is being collected</w:t>
      </w:r>
      <w:r w:rsidRPr="00E04D4E" w:rsidR="00033535">
        <w:rPr>
          <w:rFonts w:ascii="Times New Roman" w:eastAsia="Calibri" w:hAnsi="Times New Roman"/>
          <w:sz w:val="22"/>
          <w:szCs w:val="22"/>
        </w:rPr>
        <w:t>.</w:t>
      </w:r>
    </w:p>
    <w:p w:rsidR="00894418" w:rsidRPr="00E04D4E" w14:paraId="66275FE1" w14:textId="77777777">
      <w:pPr>
        <w:pStyle w:val="Level1"/>
        <w:tabs>
          <w:tab w:val="left" w:pos="-1440"/>
          <w:tab w:val="num" w:pos="720"/>
        </w:tabs>
        <w:rPr>
          <w:rFonts w:ascii="Times New Roman" w:hAnsi="Times New Roman"/>
          <w:sz w:val="22"/>
          <w:szCs w:val="22"/>
        </w:rPr>
      </w:pPr>
      <w:r w:rsidRPr="00E04D4E">
        <w:rPr>
          <w:rFonts w:ascii="Times New Roman" w:hAnsi="Times New Roman"/>
          <w:sz w:val="22"/>
          <w:szCs w:val="22"/>
          <w:u w:val="single"/>
        </w:rPr>
        <w:t>ESTIMATED BURDEN OF INFORMATION COLLECTION</w:t>
      </w:r>
    </w:p>
    <w:p w:rsidR="00894418" w:rsidRPr="00E04D4E" w14:paraId="0F9624FD" w14:textId="77777777">
      <w:pPr>
        <w:rPr>
          <w:rFonts w:ascii="Times New Roman" w:hAnsi="Times New Roman"/>
          <w:sz w:val="22"/>
          <w:szCs w:val="22"/>
        </w:rPr>
      </w:pPr>
    </w:p>
    <w:p w:rsidR="00310E45" w:rsidRPr="00E04D4E" w:rsidP="00310E45" w14:paraId="0E15C71E" w14:textId="77777777">
      <w:pPr>
        <w:ind w:left="720"/>
        <w:rPr>
          <w:rFonts w:ascii="Times New Roman" w:hAnsi="Times New Roman"/>
          <w:bCs/>
          <w:sz w:val="22"/>
          <w:szCs w:val="22"/>
        </w:rPr>
      </w:pPr>
      <w:r w:rsidRPr="00E04D4E">
        <w:rPr>
          <w:rFonts w:ascii="Times New Roman" w:hAnsi="Times New Roman"/>
          <w:b/>
          <w:bCs/>
          <w:sz w:val="22"/>
          <w:szCs w:val="22"/>
        </w:rPr>
        <w:t>(a)</w:t>
      </w:r>
      <w:r w:rsidRPr="00E04D4E">
        <w:rPr>
          <w:rFonts w:ascii="Times New Roman" w:hAnsi="Times New Roman"/>
          <w:bCs/>
          <w:sz w:val="22"/>
          <w:szCs w:val="22"/>
        </w:rPr>
        <w:t xml:space="preserve">  Under section 1.1275</w:t>
      </w:r>
      <w:r w:rsidRPr="00E04D4E" w:rsidR="00A82E76">
        <w:rPr>
          <w:rFonts w:ascii="Times New Roman" w:hAnsi="Times New Roman"/>
          <w:bCs/>
          <w:sz w:val="22"/>
          <w:szCs w:val="22"/>
        </w:rPr>
        <w:t>-</w:t>
      </w:r>
      <w:r w:rsidRPr="00E04D4E">
        <w:rPr>
          <w:rFonts w:ascii="Times New Roman" w:hAnsi="Times New Roman"/>
          <w:bCs/>
          <w:sz w:val="22"/>
          <w:szCs w:val="22"/>
        </w:rPr>
        <w:t>2(h)(5), the issuer's determination that a contingency is remote, or incidental is binding on all holders.  However, the issuer's determination is not binding on a holder that explicitly discloses that its determination is different from the issuer's determination.  Unless otherwise prescribed by the Commissioner, the disclosure must be made on a statement attached to the holder's timely filed federal income tax return for the taxable year that includes the acquisition date of the deb</w:t>
      </w:r>
      <w:r w:rsidRPr="00E04D4E">
        <w:rPr>
          <w:rFonts w:ascii="Times New Roman" w:hAnsi="Times New Roman"/>
          <w:bCs/>
          <w:sz w:val="22"/>
          <w:szCs w:val="22"/>
        </w:rPr>
        <w:t>t instrument.</w:t>
      </w:r>
    </w:p>
    <w:p w:rsidR="00310E45" w:rsidRPr="00E04D4E" w:rsidP="00310E45" w14:paraId="74848F21" w14:textId="77777777">
      <w:pPr>
        <w:ind w:left="720"/>
        <w:rPr>
          <w:rFonts w:ascii="Times New Roman" w:hAnsi="Times New Roman"/>
          <w:bCs/>
          <w:sz w:val="22"/>
          <w:szCs w:val="22"/>
        </w:rPr>
      </w:pPr>
    </w:p>
    <w:p w:rsidR="00310E45" w:rsidRPr="00E04D4E" w:rsidP="00310E45" w14:paraId="1C73DEE6" w14:textId="77777777">
      <w:pPr>
        <w:ind w:left="720"/>
        <w:rPr>
          <w:rFonts w:ascii="Times New Roman" w:hAnsi="Times New Roman"/>
          <w:bCs/>
          <w:sz w:val="22"/>
          <w:szCs w:val="22"/>
        </w:rPr>
      </w:pPr>
      <w:r w:rsidRPr="00E04D4E">
        <w:rPr>
          <w:rFonts w:ascii="Times New Roman" w:hAnsi="Times New Roman"/>
          <w:bCs/>
          <w:sz w:val="22"/>
          <w:szCs w:val="22"/>
        </w:rPr>
        <w:t>The total reporting burden estimates:</w:t>
      </w:r>
    </w:p>
    <w:p w:rsidR="00310E45" w:rsidRPr="00E04D4E" w:rsidP="00310E45" w14:paraId="243AE56A" w14:textId="77777777">
      <w:pPr>
        <w:ind w:left="720"/>
        <w:rPr>
          <w:rFonts w:ascii="Times New Roman" w:hAnsi="Times New Roman"/>
          <w:bCs/>
          <w:sz w:val="22"/>
          <w:szCs w:val="22"/>
          <w:u w:val="single"/>
        </w:rPr>
      </w:pPr>
      <w:r w:rsidRPr="00E04D4E">
        <w:rPr>
          <w:rFonts w:ascii="Times New Roman" w:hAnsi="Times New Roman"/>
          <w:bCs/>
          <w:sz w:val="22"/>
          <w:szCs w:val="22"/>
          <w:u w:val="single"/>
        </w:rPr>
        <w:t>Respondents                      Hours per Record          Total Annual Burden Hours</w:t>
      </w:r>
    </w:p>
    <w:p w:rsidR="00310E45" w:rsidRPr="00E04D4E" w:rsidP="00310E45" w14:paraId="027FCE68" w14:textId="77777777">
      <w:pPr>
        <w:ind w:left="720"/>
        <w:rPr>
          <w:rFonts w:ascii="Times New Roman" w:hAnsi="Times New Roman"/>
          <w:bCs/>
          <w:sz w:val="22"/>
          <w:szCs w:val="22"/>
        </w:rPr>
      </w:pPr>
      <w:r w:rsidRPr="00E04D4E">
        <w:rPr>
          <w:rFonts w:ascii="Times New Roman" w:hAnsi="Times New Roman"/>
          <w:bCs/>
          <w:sz w:val="22"/>
          <w:szCs w:val="22"/>
        </w:rPr>
        <w:t xml:space="preserve">      5000                                    .30 hours.                           1500 hours</w:t>
      </w:r>
    </w:p>
    <w:p w:rsidR="00310E45" w:rsidRPr="00E04D4E" w:rsidP="00310E45" w14:paraId="7C1E166A" w14:textId="77777777">
      <w:pPr>
        <w:ind w:left="720"/>
        <w:rPr>
          <w:rFonts w:ascii="Times New Roman" w:hAnsi="Times New Roman"/>
          <w:bCs/>
          <w:sz w:val="22"/>
          <w:szCs w:val="22"/>
        </w:rPr>
      </w:pPr>
    </w:p>
    <w:p w:rsidR="00310E45" w:rsidRPr="00E04D4E" w:rsidP="00310E45" w14:paraId="294EC7EA" w14:textId="77777777">
      <w:pPr>
        <w:ind w:left="720"/>
        <w:rPr>
          <w:rFonts w:ascii="Times New Roman" w:hAnsi="Times New Roman"/>
          <w:bCs/>
          <w:sz w:val="22"/>
          <w:szCs w:val="22"/>
        </w:rPr>
      </w:pPr>
      <w:r w:rsidRPr="00E04D4E">
        <w:rPr>
          <w:rFonts w:ascii="Times New Roman" w:hAnsi="Times New Roman"/>
          <w:bCs/>
          <w:sz w:val="22"/>
          <w:szCs w:val="22"/>
        </w:rPr>
        <w:t xml:space="preserve"> </w:t>
      </w:r>
    </w:p>
    <w:p w:rsidR="00310E45" w:rsidRPr="00E04D4E" w:rsidP="00310E45" w14:paraId="4E5819AC" w14:textId="77777777">
      <w:pPr>
        <w:ind w:left="720"/>
        <w:rPr>
          <w:rFonts w:ascii="Times New Roman" w:hAnsi="Times New Roman"/>
          <w:bCs/>
          <w:sz w:val="22"/>
          <w:szCs w:val="22"/>
        </w:rPr>
      </w:pPr>
      <w:r w:rsidRPr="00E04D4E">
        <w:rPr>
          <w:rFonts w:ascii="Times New Roman" w:hAnsi="Times New Roman"/>
          <w:b/>
          <w:bCs/>
          <w:sz w:val="22"/>
          <w:szCs w:val="22"/>
        </w:rPr>
        <w:t>(b)</w:t>
      </w:r>
      <w:r w:rsidRPr="00E04D4E">
        <w:rPr>
          <w:rFonts w:ascii="Times New Roman" w:hAnsi="Times New Roman"/>
          <w:bCs/>
          <w:sz w:val="22"/>
          <w:szCs w:val="22"/>
        </w:rPr>
        <w:t xml:space="preserve">  Under </w:t>
      </w:r>
      <w:r w:rsidRPr="00E04D4E" w:rsidR="00A82E76">
        <w:rPr>
          <w:rFonts w:ascii="Times New Roman" w:hAnsi="Times New Roman"/>
          <w:bCs/>
          <w:sz w:val="22"/>
          <w:szCs w:val="22"/>
        </w:rPr>
        <w:t>section</w:t>
      </w:r>
      <w:r w:rsidRPr="00E04D4E">
        <w:rPr>
          <w:rFonts w:ascii="Times New Roman" w:hAnsi="Times New Roman"/>
          <w:bCs/>
          <w:sz w:val="22"/>
          <w:szCs w:val="22"/>
        </w:rPr>
        <w:t xml:space="preserve">1.1275-4(b) of the regulation, if the noncontingent bond method applies to a contingent payment debt instrument, the issuer must create a projected payment schedule for the debt instrument.  Because the projected payment schedule is used by the holder to compute interest and OID accruals, the regulation amends </w:t>
      </w:r>
      <w:r w:rsidRPr="00E04D4E" w:rsidR="00A82E76">
        <w:rPr>
          <w:rFonts w:ascii="Times New Roman" w:hAnsi="Times New Roman"/>
          <w:bCs/>
          <w:sz w:val="22"/>
          <w:szCs w:val="22"/>
        </w:rPr>
        <w:t xml:space="preserve">section </w:t>
      </w:r>
      <w:r w:rsidRPr="00E04D4E">
        <w:rPr>
          <w:rFonts w:ascii="Times New Roman" w:hAnsi="Times New Roman"/>
          <w:bCs/>
          <w:sz w:val="22"/>
          <w:szCs w:val="22"/>
        </w:rPr>
        <w:t>1.1275-3(b)(1)(i) by adding the projected payment schedule to the list of information required for a contingent payment debt instrument subject to the requirement.</w:t>
      </w:r>
    </w:p>
    <w:p w:rsidR="00310E45" w:rsidRPr="00E04D4E" w:rsidP="00310E45" w14:paraId="24DDC822" w14:textId="77777777">
      <w:pPr>
        <w:ind w:left="720"/>
        <w:rPr>
          <w:rFonts w:ascii="Times New Roman" w:hAnsi="Times New Roman"/>
          <w:bCs/>
          <w:sz w:val="22"/>
          <w:szCs w:val="22"/>
        </w:rPr>
      </w:pPr>
      <w:r w:rsidRPr="00E04D4E">
        <w:rPr>
          <w:rFonts w:ascii="Times New Roman" w:hAnsi="Times New Roman"/>
          <w:bCs/>
          <w:sz w:val="22"/>
          <w:szCs w:val="22"/>
        </w:rPr>
        <w:t xml:space="preserve">     </w:t>
      </w:r>
    </w:p>
    <w:p w:rsidR="00310E45" w:rsidRPr="00E04D4E" w:rsidP="00310E45" w14:paraId="6B53825C" w14:textId="77777777">
      <w:pPr>
        <w:ind w:left="720"/>
        <w:rPr>
          <w:rFonts w:ascii="Times New Roman" w:hAnsi="Times New Roman"/>
          <w:bCs/>
          <w:sz w:val="22"/>
          <w:szCs w:val="22"/>
        </w:rPr>
      </w:pPr>
      <w:r w:rsidRPr="00E04D4E">
        <w:rPr>
          <w:rFonts w:ascii="Times New Roman" w:hAnsi="Times New Roman"/>
          <w:bCs/>
          <w:sz w:val="22"/>
          <w:szCs w:val="22"/>
        </w:rPr>
        <w:t>The recordkeeping burden for this requirement is contained in 1545-1466, Third-Party Disclosure Requirements in IRS Regulations.</w:t>
      </w:r>
    </w:p>
    <w:p w:rsidR="00310E45" w:rsidRPr="00E04D4E" w:rsidP="00310E45" w14:paraId="7DBD0498" w14:textId="77777777">
      <w:pPr>
        <w:ind w:left="720"/>
        <w:rPr>
          <w:rFonts w:ascii="Times New Roman" w:hAnsi="Times New Roman"/>
          <w:bCs/>
          <w:sz w:val="22"/>
          <w:szCs w:val="22"/>
        </w:rPr>
      </w:pPr>
    </w:p>
    <w:p w:rsidR="00310E45" w:rsidRPr="00E04D4E" w:rsidP="00310E45" w14:paraId="5766411D" w14:textId="77777777">
      <w:pPr>
        <w:ind w:left="720"/>
        <w:rPr>
          <w:rFonts w:ascii="Times New Roman" w:hAnsi="Times New Roman"/>
          <w:bCs/>
          <w:sz w:val="22"/>
          <w:szCs w:val="22"/>
        </w:rPr>
      </w:pPr>
      <w:r w:rsidRPr="00E04D4E">
        <w:rPr>
          <w:rFonts w:ascii="Times New Roman" w:hAnsi="Times New Roman"/>
          <w:b/>
          <w:bCs/>
          <w:sz w:val="22"/>
          <w:szCs w:val="22"/>
        </w:rPr>
        <w:t>(c)</w:t>
      </w:r>
      <w:r w:rsidRPr="00E04D4E">
        <w:rPr>
          <w:rFonts w:ascii="Times New Roman" w:hAnsi="Times New Roman"/>
          <w:bCs/>
          <w:sz w:val="22"/>
          <w:szCs w:val="22"/>
        </w:rPr>
        <w:t xml:space="preserve">  In the case of a contingent payment debt instrument subject to the noncontingent bond method, </w:t>
      </w:r>
      <w:r w:rsidRPr="00E04D4E" w:rsidR="00A82E76">
        <w:rPr>
          <w:rFonts w:ascii="Times New Roman" w:hAnsi="Times New Roman"/>
          <w:bCs/>
          <w:sz w:val="22"/>
          <w:szCs w:val="22"/>
        </w:rPr>
        <w:t xml:space="preserve">section </w:t>
      </w:r>
      <w:r w:rsidRPr="00E04D4E">
        <w:rPr>
          <w:rFonts w:ascii="Times New Roman" w:hAnsi="Times New Roman"/>
          <w:bCs/>
          <w:sz w:val="22"/>
          <w:szCs w:val="22"/>
        </w:rPr>
        <w:t xml:space="preserve">1.1275-4(b)(4)(iv) of this regulation provides that the projected payment schedule used by the issuer to compute interest accruals and adjustments determines the holder's interest accruals and adjustments.  The issuer must provide the projected payment schedule to the holder in a manner consistent with the issuer disclosure rules of </w:t>
      </w:r>
      <w:r w:rsidRPr="00E04D4E" w:rsidR="00A82E76">
        <w:rPr>
          <w:rFonts w:ascii="Times New Roman" w:hAnsi="Times New Roman"/>
          <w:bCs/>
          <w:sz w:val="22"/>
          <w:szCs w:val="22"/>
        </w:rPr>
        <w:t xml:space="preserve">section </w:t>
      </w:r>
      <w:r w:rsidRPr="00E04D4E">
        <w:rPr>
          <w:rFonts w:ascii="Times New Roman" w:hAnsi="Times New Roman"/>
          <w:bCs/>
          <w:sz w:val="22"/>
          <w:szCs w:val="22"/>
        </w:rPr>
        <w:t>1.1275-2(e).  If the issuer does not create a projected payment s</w:t>
      </w:r>
      <w:r w:rsidRPr="00E04D4E">
        <w:rPr>
          <w:rFonts w:ascii="Times New Roman" w:hAnsi="Times New Roman"/>
          <w:bCs/>
          <w:sz w:val="22"/>
          <w:szCs w:val="22"/>
        </w:rPr>
        <w:t>chedule for a debt instrument or the payment schedule set by the issuer is unreasonable, the holder of the debt instrument must set a projected payment schedule.  A holder that sets its own projected payment schedule must explicitly disclose this fact and the reasons why the holder set its own schedule.  Unless otherwise prescribed by the Commissioner, the disclosure must be made on a statement attached to the holder's timely filed Federal income tax return for the taxable year that includes the acquisition</w:t>
      </w:r>
      <w:r w:rsidRPr="00E04D4E">
        <w:rPr>
          <w:rFonts w:ascii="Times New Roman" w:hAnsi="Times New Roman"/>
          <w:bCs/>
          <w:sz w:val="22"/>
          <w:szCs w:val="22"/>
        </w:rPr>
        <w:t xml:space="preserve"> date of the debt instrument.</w:t>
      </w:r>
    </w:p>
    <w:p w:rsidR="00310E45" w:rsidRPr="00E04D4E" w:rsidP="00310E45" w14:paraId="08DCE628" w14:textId="77777777">
      <w:pPr>
        <w:ind w:left="720"/>
        <w:rPr>
          <w:rFonts w:ascii="Times New Roman" w:hAnsi="Times New Roman"/>
          <w:bCs/>
          <w:sz w:val="22"/>
          <w:szCs w:val="22"/>
        </w:rPr>
      </w:pPr>
    </w:p>
    <w:p w:rsidR="00310E45" w:rsidRPr="00E04D4E" w:rsidP="00310E45" w14:paraId="1D76403C" w14:textId="77777777">
      <w:pPr>
        <w:ind w:left="720"/>
        <w:rPr>
          <w:rFonts w:ascii="Times New Roman" w:hAnsi="Times New Roman"/>
          <w:bCs/>
          <w:sz w:val="22"/>
          <w:szCs w:val="22"/>
        </w:rPr>
      </w:pPr>
      <w:r w:rsidRPr="00E04D4E">
        <w:rPr>
          <w:rFonts w:ascii="Times New Roman" w:hAnsi="Times New Roman"/>
          <w:bCs/>
          <w:sz w:val="22"/>
          <w:szCs w:val="22"/>
        </w:rPr>
        <w:t>The total estimated reporting burden:</w:t>
      </w:r>
    </w:p>
    <w:p w:rsidR="00310E45" w:rsidRPr="00E04D4E" w:rsidP="00310E45" w14:paraId="5C8AFE02" w14:textId="77777777">
      <w:pPr>
        <w:ind w:left="720"/>
        <w:rPr>
          <w:rFonts w:ascii="Times New Roman" w:hAnsi="Times New Roman"/>
          <w:bCs/>
          <w:sz w:val="22"/>
          <w:szCs w:val="22"/>
          <w:u w:val="single"/>
        </w:rPr>
      </w:pPr>
      <w:r w:rsidRPr="00E04D4E">
        <w:rPr>
          <w:rFonts w:ascii="Times New Roman" w:hAnsi="Times New Roman"/>
          <w:bCs/>
          <w:sz w:val="22"/>
          <w:szCs w:val="22"/>
          <w:u w:val="single"/>
        </w:rPr>
        <w:t>Respondents                      Hours per Statement           Total Burden Hours</w:t>
      </w:r>
    </w:p>
    <w:p w:rsidR="00310E45" w:rsidRPr="00E04D4E" w:rsidP="00310E45" w14:paraId="5B3F861D" w14:textId="77777777">
      <w:pPr>
        <w:ind w:left="720"/>
        <w:rPr>
          <w:rFonts w:ascii="Times New Roman" w:hAnsi="Times New Roman"/>
          <w:bCs/>
          <w:sz w:val="22"/>
          <w:szCs w:val="22"/>
        </w:rPr>
      </w:pPr>
      <w:r w:rsidRPr="00E04D4E">
        <w:rPr>
          <w:rFonts w:ascii="Times New Roman" w:hAnsi="Times New Roman"/>
          <w:bCs/>
          <w:sz w:val="22"/>
          <w:szCs w:val="22"/>
        </w:rPr>
        <w:t xml:space="preserve">   100,000                                  .5 hours                                 50,000</w:t>
      </w:r>
    </w:p>
    <w:p w:rsidR="00310E45" w:rsidRPr="00E04D4E" w:rsidP="00310E45" w14:paraId="2F08FC40" w14:textId="77777777">
      <w:pPr>
        <w:ind w:left="720"/>
        <w:rPr>
          <w:rFonts w:ascii="Times New Roman" w:hAnsi="Times New Roman"/>
          <w:bCs/>
          <w:sz w:val="22"/>
          <w:szCs w:val="22"/>
        </w:rPr>
      </w:pPr>
    </w:p>
    <w:p w:rsidR="00310E45" w:rsidRPr="00E04D4E" w:rsidP="00310E45" w14:paraId="06C1E471" w14:textId="77777777">
      <w:pPr>
        <w:ind w:left="720"/>
        <w:rPr>
          <w:rFonts w:ascii="Times New Roman" w:hAnsi="Times New Roman"/>
          <w:bCs/>
          <w:sz w:val="22"/>
          <w:szCs w:val="22"/>
        </w:rPr>
      </w:pPr>
      <w:r w:rsidRPr="00E04D4E">
        <w:rPr>
          <w:rFonts w:ascii="Times New Roman" w:hAnsi="Times New Roman"/>
          <w:b/>
          <w:bCs/>
          <w:sz w:val="22"/>
          <w:szCs w:val="22"/>
        </w:rPr>
        <w:t>(d)</w:t>
      </w:r>
      <w:r w:rsidRPr="00E04D4E">
        <w:rPr>
          <w:rFonts w:ascii="Times New Roman" w:hAnsi="Times New Roman"/>
          <w:bCs/>
          <w:sz w:val="22"/>
          <w:szCs w:val="22"/>
        </w:rPr>
        <w:t xml:space="preserve"> Section 1.1275-6 of this regulation provides rules for the integration of a qualifying debt instrument with a hedge or combination of hedges.  In the case of an integrated transaction, </w:t>
      </w:r>
      <w:r w:rsidRPr="00E04D4E" w:rsidR="00A82E76">
        <w:rPr>
          <w:rFonts w:ascii="Times New Roman" w:hAnsi="Times New Roman"/>
          <w:bCs/>
          <w:sz w:val="22"/>
          <w:szCs w:val="22"/>
        </w:rPr>
        <w:t xml:space="preserve">section </w:t>
      </w:r>
      <w:r w:rsidRPr="00E04D4E">
        <w:rPr>
          <w:rFonts w:ascii="Times New Roman" w:hAnsi="Times New Roman"/>
          <w:bCs/>
          <w:sz w:val="22"/>
          <w:szCs w:val="22"/>
        </w:rPr>
        <w:t xml:space="preserve">1.1275-6(e) of the regulation provides that the taxpayer must enter and retain as part of its books and records the following information:  (i) the date the qualifying debt instrument was issued or acquired by the taxpayer and the date the </w:t>
      </w:r>
      <w:r w:rsidRPr="00E04D4E" w:rsidR="00A82E76">
        <w:rPr>
          <w:rFonts w:ascii="Times New Roman" w:hAnsi="Times New Roman"/>
          <w:bCs/>
          <w:sz w:val="22"/>
          <w:szCs w:val="22"/>
        </w:rPr>
        <w:t xml:space="preserve">section </w:t>
      </w:r>
      <w:r w:rsidRPr="00E04D4E">
        <w:rPr>
          <w:rFonts w:ascii="Times New Roman" w:hAnsi="Times New Roman"/>
          <w:bCs/>
          <w:sz w:val="22"/>
          <w:szCs w:val="22"/>
        </w:rPr>
        <w:t xml:space="preserve">1.1275-6 hedge was entered into by the taxpayer; (ii) a description of the qualifying debt instrument and the </w:t>
      </w:r>
      <w:r w:rsidRPr="00E04D4E" w:rsidR="00A82E76">
        <w:rPr>
          <w:rFonts w:ascii="Times New Roman" w:hAnsi="Times New Roman"/>
          <w:bCs/>
          <w:sz w:val="22"/>
          <w:szCs w:val="22"/>
        </w:rPr>
        <w:t xml:space="preserve">section </w:t>
      </w:r>
      <w:r w:rsidRPr="00E04D4E">
        <w:rPr>
          <w:rFonts w:ascii="Times New Roman" w:hAnsi="Times New Roman"/>
          <w:bCs/>
          <w:sz w:val="22"/>
          <w:szCs w:val="22"/>
        </w:rPr>
        <w:t xml:space="preserve">1.1275-6 hedge; and (iii) a summary of the cash flows and accruals resulting from treating the qualifying debt instrument and </w:t>
      </w:r>
      <w:r w:rsidRPr="00E04D4E" w:rsidR="00A82E76">
        <w:rPr>
          <w:rFonts w:ascii="Times New Roman" w:hAnsi="Times New Roman"/>
          <w:bCs/>
          <w:sz w:val="22"/>
          <w:szCs w:val="22"/>
        </w:rPr>
        <w:t xml:space="preserve">section </w:t>
      </w:r>
      <w:r w:rsidRPr="00E04D4E">
        <w:rPr>
          <w:rFonts w:ascii="Times New Roman" w:hAnsi="Times New Roman"/>
          <w:bCs/>
          <w:sz w:val="22"/>
          <w:szCs w:val="22"/>
        </w:rPr>
        <w:t>1.1275-6 hedge as an integrated transaction.</w:t>
      </w:r>
    </w:p>
    <w:p w:rsidR="00310E45" w:rsidRPr="00E04D4E" w:rsidP="00310E45" w14:paraId="57657793" w14:textId="77777777">
      <w:pPr>
        <w:ind w:left="720"/>
        <w:rPr>
          <w:rFonts w:ascii="Times New Roman" w:hAnsi="Times New Roman"/>
          <w:bCs/>
          <w:sz w:val="22"/>
          <w:szCs w:val="22"/>
        </w:rPr>
      </w:pPr>
    </w:p>
    <w:p w:rsidR="00310E45" w:rsidRPr="00E04D4E" w:rsidP="00310E45" w14:paraId="6AA928E7" w14:textId="77777777">
      <w:pPr>
        <w:ind w:left="720"/>
        <w:rPr>
          <w:rFonts w:ascii="Times New Roman" w:hAnsi="Times New Roman"/>
          <w:bCs/>
          <w:sz w:val="22"/>
          <w:szCs w:val="22"/>
        </w:rPr>
      </w:pPr>
      <w:r w:rsidRPr="00E04D4E">
        <w:rPr>
          <w:rFonts w:ascii="Times New Roman" w:hAnsi="Times New Roman"/>
          <w:bCs/>
          <w:sz w:val="22"/>
          <w:szCs w:val="22"/>
        </w:rPr>
        <w:t>The total recordkeeping burden estimate:</w:t>
      </w:r>
    </w:p>
    <w:p w:rsidR="00310E45" w:rsidRPr="00E04D4E" w:rsidP="00310E45" w14:paraId="76931256" w14:textId="77777777">
      <w:pPr>
        <w:ind w:left="720"/>
        <w:rPr>
          <w:rFonts w:ascii="Times New Roman" w:hAnsi="Times New Roman"/>
          <w:bCs/>
          <w:sz w:val="22"/>
          <w:szCs w:val="22"/>
          <w:u w:val="single"/>
        </w:rPr>
      </w:pPr>
      <w:r w:rsidRPr="00E04D4E">
        <w:rPr>
          <w:rFonts w:ascii="Times New Roman" w:hAnsi="Times New Roman"/>
          <w:bCs/>
          <w:sz w:val="22"/>
          <w:szCs w:val="22"/>
          <w:u w:val="single"/>
        </w:rPr>
        <w:t>Recordkeepers                    Hours per Record                 Total Burden Hours</w:t>
      </w:r>
    </w:p>
    <w:p w:rsidR="00E9356B" w:rsidRPr="00E04D4E" w:rsidP="00310E45" w14:paraId="03336714" w14:textId="77777777">
      <w:pPr>
        <w:ind w:left="720"/>
        <w:rPr>
          <w:rFonts w:ascii="Times New Roman" w:hAnsi="Times New Roman"/>
          <w:sz w:val="22"/>
          <w:szCs w:val="22"/>
        </w:rPr>
      </w:pPr>
      <w:r w:rsidRPr="00E04D4E">
        <w:rPr>
          <w:rFonts w:ascii="Times New Roman" w:hAnsi="Times New Roman"/>
          <w:bCs/>
          <w:sz w:val="22"/>
          <w:szCs w:val="22"/>
        </w:rPr>
        <w:t xml:space="preserve">    75,000                                .5 per record                           37,500 hours.</w:t>
      </w:r>
    </w:p>
    <w:p w:rsidR="00E9356B" w:rsidRPr="00E04D4E" w14:paraId="66062B3A" w14:textId="77777777">
      <w:pPr>
        <w:rPr>
          <w:rFonts w:ascii="Times New Roman" w:hAnsi="Times New Roman"/>
          <w:sz w:val="22"/>
          <w:szCs w:val="22"/>
        </w:rPr>
      </w:pPr>
    </w:p>
    <w:p w:rsidR="00894418" w:rsidRPr="00E04D4E" w:rsidP="00E9356B" w14:paraId="15B53C6C" w14:textId="77777777">
      <w:pPr>
        <w:ind w:left="810"/>
        <w:rPr>
          <w:rFonts w:ascii="Times New Roman" w:hAnsi="Times New Roman"/>
          <w:sz w:val="22"/>
          <w:szCs w:val="22"/>
        </w:rPr>
      </w:pPr>
      <w:r w:rsidRPr="00E04D4E">
        <w:rPr>
          <w:rFonts w:ascii="Times New Roman" w:hAnsi="Times New Roman"/>
          <w:sz w:val="22"/>
          <w:szCs w:val="22"/>
        </w:rPr>
        <w:t>The burden estimate is as follows:</w:t>
      </w:r>
    </w:p>
    <w:p w:rsidR="000D1446" w:rsidRPr="00E04D4E" w14:paraId="64DBB860" w14:textId="77777777">
      <w:pPr>
        <w:rPr>
          <w:rFonts w:ascii="Times New Roman" w:hAnsi="Times New Roman"/>
          <w:sz w:val="22"/>
          <w:szCs w:val="22"/>
        </w:rPr>
      </w:pPr>
    </w:p>
    <w:tbl>
      <w:tblPr>
        <w:tblW w:w="822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8"/>
        <w:gridCol w:w="1229"/>
        <w:gridCol w:w="1607"/>
        <w:gridCol w:w="1463"/>
        <w:gridCol w:w="1253"/>
        <w:gridCol w:w="1410"/>
      </w:tblGrid>
      <w:tr w14:paraId="3EC8AF4A" w14:textId="77777777" w:rsidTr="00A82E76">
        <w:tblPrEx>
          <w:tblW w:w="8220"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8" w:type="dxa"/>
            <w:tcBorders>
              <w:top w:val="single" w:sz="4" w:space="0" w:color="auto"/>
              <w:left w:val="single" w:sz="4" w:space="0" w:color="auto"/>
              <w:bottom w:val="single" w:sz="4" w:space="0" w:color="auto"/>
              <w:right w:val="single" w:sz="4" w:space="0" w:color="auto"/>
            </w:tcBorders>
            <w:vAlign w:val="bottom"/>
            <w:hideMark/>
          </w:tcPr>
          <w:p w:rsidR="00820B40" w:rsidRPr="00E04D4E" w14:paraId="5C3D1D1B" w14:textId="77777777">
            <w:pPr>
              <w:keepNext/>
              <w:keepLines/>
              <w:numPr>
                <w:ilvl w:val="12"/>
                <w:numId w:val="0"/>
              </w:numPr>
              <w:jc w:val="center"/>
              <w:rPr>
                <w:rFonts w:ascii="Times New Roman" w:hAnsi="Times New Roman"/>
                <w:b/>
                <w:sz w:val="22"/>
                <w:szCs w:val="22"/>
              </w:rPr>
            </w:pPr>
            <w:r w:rsidRPr="00E04D4E">
              <w:rPr>
                <w:rFonts w:ascii="Times New Roman" w:hAnsi="Times New Roman"/>
                <w:b/>
                <w:sz w:val="22"/>
                <w:szCs w:val="22"/>
              </w:rPr>
              <w:t>OMB Collection</w:t>
            </w:r>
          </w:p>
        </w:tc>
        <w:tc>
          <w:tcPr>
            <w:tcW w:w="1229" w:type="dxa"/>
            <w:tcBorders>
              <w:top w:val="single" w:sz="4" w:space="0" w:color="auto"/>
              <w:left w:val="single" w:sz="4" w:space="0" w:color="auto"/>
              <w:bottom w:val="single" w:sz="4" w:space="0" w:color="auto"/>
              <w:right w:val="single" w:sz="4" w:space="0" w:color="auto"/>
            </w:tcBorders>
            <w:vAlign w:val="bottom"/>
            <w:hideMark/>
          </w:tcPr>
          <w:p w:rsidR="00820B40" w:rsidRPr="00E04D4E" w14:paraId="2F9273AB" w14:textId="77777777">
            <w:pPr>
              <w:keepNext/>
              <w:keepLines/>
              <w:numPr>
                <w:ilvl w:val="12"/>
                <w:numId w:val="0"/>
              </w:numPr>
              <w:jc w:val="center"/>
              <w:rPr>
                <w:rFonts w:ascii="Times New Roman" w:hAnsi="Times New Roman"/>
                <w:b/>
                <w:sz w:val="22"/>
                <w:szCs w:val="22"/>
              </w:rPr>
            </w:pPr>
            <w:r w:rsidRPr="00E04D4E">
              <w:rPr>
                <w:rFonts w:ascii="Times New Roman" w:hAnsi="Times New Roman"/>
                <w:b/>
                <w:sz w:val="22"/>
                <w:szCs w:val="22"/>
              </w:rPr>
              <w:t>Authority</w:t>
            </w:r>
          </w:p>
        </w:tc>
        <w:tc>
          <w:tcPr>
            <w:tcW w:w="1607" w:type="dxa"/>
            <w:tcBorders>
              <w:top w:val="single" w:sz="4" w:space="0" w:color="auto"/>
              <w:left w:val="single" w:sz="4" w:space="0" w:color="auto"/>
              <w:bottom w:val="single" w:sz="4" w:space="0" w:color="auto"/>
              <w:right w:val="single" w:sz="4" w:space="0" w:color="auto"/>
            </w:tcBorders>
            <w:vAlign w:val="bottom"/>
            <w:hideMark/>
          </w:tcPr>
          <w:p w:rsidR="00820B40" w:rsidRPr="00E04D4E" w14:paraId="206C3F50" w14:textId="77777777">
            <w:pPr>
              <w:keepNext/>
              <w:keepLines/>
              <w:numPr>
                <w:ilvl w:val="12"/>
                <w:numId w:val="0"/>
              </w:numPr>
              <w:jc w:val="center"/>
              <w:rPr>
                <w:rFonts w:ascii="Times New Roman" w:hAnsi="Times New Roman"/>
                <w:b/>
                <w:sz w:val="22"/>
                <w:szCs w:val="22"/>
              </w:rPr>
            </w:pPr>
            <w:r w:rsidRPr="00E04D4E">
              <w:rPr>
                <w:rFonts w:ascii="Times New Roman" w:hAnsi="Times New Roman"/>
                <w:b/>
                <w:sz w:val="22"/>
                <w:szCs w:val="22"/>
              </w:rPr>
              <w:t>Form</w:t>
            </w:r>
          </w:p>
        </w:tc>
        <w:tc>
          <w:tcPr>
            <w:tcW w:w="1463" w:type="dxa"/>
            <w:tcBorders>
              <w:top w:val="single" w:sz="4" w:space="0" w:color="auto"/>
              <w:left w:val="single" w:sz="4" w:space="0" w:color="auto"/>
              <w:bottom w:val="single" w:sz="4" w:space="0" w:color="auto"/>
              <w:right w:val="single" w:sz="4" w:space="0" w:color="auto"/>
            </w:tcBorders>
            <w:vAlign w:val="bottom"/>
            <w:hideMark/>
          </w:tcPr>
          <w:p w:rsidR="00820B40" w:rsidRPr="00E04D4E" w14:paraId="73C5B1E2" w14:textId="77777777">
            <w:pPr>
              <w:keepNext/>
              <w:keepLines/>
              <w:numPr>
                <w:ilvl w:val="12"/>
                <w:numId w:val="0"/>
              </w:numPr>
              <w:jc w:val="center"/>
              <w:rPr>
                <w:rFonts w:ascii="Times New Roman" w:hAnsi="Times New Roman"/>
                <w:b/>
                <w:sz w:val="22"/>
                <w:szCs w:val="22"/>
              </w:rPr>
            </w:pPr>
            <w:r w:rsidRPr="00E04D4E">
              <w:rPr>
                <w:rFonts w:ascii="Times New Roman" w:hAnsi="Times New Roman"/>
                <w:b/>
                <w:sz w:val="22"/>
                <w:szCs w:val="22"/>
              </w:rPr>
              <w:t>Annual Responses</w:t>
            </w:r>
          </w:p>
        </w:tc>
        <w:tc>
          <w:tcPr>
            <w:tcW w:w="1253" w:type="dxa"/>
            <w:tcBorders>
              <w:top w:val="single" w:sz="4" w:space="0" w:color="auto"/>
              <w:left w:val="single" w:sz="4" w:space="0" w:color="auto"/>
              <w:bottom w:val="single" w:sz="4" w:space="0" w:color="auto"/>
              <w:right w:val="single" w:sz="4" w:space="0" w:color="auto"/>
            </w:tcBorders>
            <w:vAlign w:val="bottom"/>
            <w:hideMark/>
          </w:tcPr>
          <w:p w:rsidR="00820B40" w:rsidRPr="00E04D4E" w14:paraId="0246126F" w14:textId="77777777">
            <w:pPr>
              <w:keepNext/>
              <w:keepLines/>
              <w:numPr>
                <w:ilvl w:val="12"/>
                <w:numId w:val="0"/>
              </w:numPr>
              <w:jc w:val="center"/>
              <w:rPr>
                <w:rFonts w:ascii="Times New Roman" w:hAnsi="Times New Roman"/>
                <w:b/>
                <w:sz w:val="22"/>
                <w:szCs w:val="22"/>
              </w:rPr>
            </w:pPr>
            <w:r w:rsidRPr="00E04D4E">
              <w:rPr>
                <w:rFonts w:ascii="Times New Roman" w:hAnsi="Times New Roman"/>
                <w:b/>
                <w:sz w:val="22"/>
                <w:szCs w:val="22"/>
              </w:rPr>
              <w:t>Hours per Response</w:t>
            </w:r>
          </w:p>
        </w:tc>
        <w:tc>
          <w:tcPr>
            <w:tcW w:w="1410" w:type="dxa"/>
            <w:tcBorders>
              <w:top w:val="single" w:sz="4" w:space="0" w:color="auto"/>
              <w:left w:val="single" w:sz="4" w:space="0" w:color="auto"/>
              <w:bottom w:val="single" w:sz="4" w:space="0" w:color="auto"/>
              <w:right w:val="single" w:sz="4" w:space="0" w:color="auto"/>
            </w:tcBorders>
            <w:vAlign w:val="bottom"/>
            <w:hideMark/>
          </w:tcPr>
          <w:p w:rsidR="00820B40" w:rsidRPr="00E04D4E" w14:paraId="553DCC05" w14:textId="77777777">
            <w:pPr>
              <w:keepNext/>
              <w:keepLines/>
              <w:numPr>
                <w:ilvl w:val="12"/>
                <w:numId w:val="0"/>
              </w:numPr>
              <w:jc w:val="center"/>
              <w:rPr>
                <w:rFonts w:ascii="Times New Roman" w:hAnsi="Times New Roman"/>
                <w:b/>
                <w:sz w:val="22"/>
                <w:szCs w:val="22"/>
              </w:rPr>
            </w:pPr>
            <w:r w:rsidRPr="00E04D4E">
              <w:rPr>
                <w:rFonts w:ascii="Times New Roman" w:hAnsi="Times New Roman"/>
                <w:b/>
                <w:sz w:val="22"/>
                <w:szCs w:val="22"/>
              </w:rPr>
              <w:t>Total Burden</w:t>
            </w:r>
          </w:p>
        </w:tc>
      </w:tr>
      <w:tr w14:paraId="2FE9B588" w14:textId="77777777" w:rsidTr="00A82E76">
        <w:tblPrEx>
          <w:tblW w:w="8220" w:type="dxa"/>
          <w:tblInd w:w="888" w:type="dxa"/>
          <w:tblLook w:val="04A0"/>
        </w:tblPrEx>
        <w:tc>
          <w:tcPr>
            <w:tcW w:w="1258" w:type="dxa"/>
            <w:tcBorders>
              <w:top w:val="single" w:sz="4" w:space="0" w:color="auto"/>
              <w:left w:val="single" w:sz="4" w:space="0" w:color="auto"/>
              <w:bottom w:val="single" w:sz="4" w:space="0" w:color="auto"/>
              <w:right w:val="single" w:sz="4" w:space="0" w:color="auto"/>
            </w:tcBorders>
            <w:hideMark/>
          </w:tcPr>
          <w:p w:rsidR="00820B40" w:rsidRPr="00E04D4E" w14:paraId="33F981B3" w14:textId="77777777">
            <w:pPr>
              <w:keepNext/>
              <w:keepLines/>
              <w:numPr>
                <w:ilvl w:val="12"/>
                <w:numId w:val="0"/>
              </w:numPr>
              <w:jc w:val="center"/>
              <w:rPr>
                <w:rFonts w:ascii="Times New Roman" w:hAnsi="Times New Roman"/>
                <w:sz w:val="22"/>
                <w:szCs w:val="22"/>
              </w:rPr>
            </w:pPr>
            <w:r w:rsidRPr="00E04D4E">
              <w:rPr>
                <w:rFonts w:ascii="Times New Roman" w:hAnsi="Times New Roman"/>
                <w:sz w:val="22"/>
                <w:szCs w:val="22"/>
              </w:rPr>
              <w:t>IRS</w:t>
            </w:r>
          </w:p>
          <w:p w:rsidR="00820B40" w:rsidRPr="00E04D4E" w14:paraId="05F18560" w14:textId="77777777">
            <w:pPr>
              <w:keepNext/>
              <w:keepLines/>
              <w:numPr>
                <w:ilvl w:val="12"/>
                <w:numId w:val="0"/>
              </w:numPr>
              <w:jc w:val="center"/>
              <w:rPr>
                <w:rFonts w:ascii="Times New Roman" w:hAnsi="Times New Roman"/>
                <w:sz w:val="22"/>
                <w:szCs w:val="22"/>
              </w:rPr>
            </w:pPr>
            <w:r w:rsidRPr="00E04D4E">
              <w:rPr>
                <w:rFonts w:ascii="Times New Roman" w:hAnsi="Times New Roman"/>
                <w:sz w:val="22"/>
                <w:szCs w:val="22"/>
              </w:rPr>
              <w:t>1545-</w:t>
            </w:r>
            <w:r w:rsidRPr="00E04D4E" w:rsidR="008E34B0">
              <w:rPr>
                <w:rFonts w:ascii="Times New Roman" w:hAnsi="Times New Roman"/>
                <w:sz w:val="22"/>
                <w:szCs w:val="22"/>
              </w:rPr>
              <w:t>1</w:t>
            </w:r>
            <w:r w:rsidRPr="00E04D4E" w:rsidR="00A82E76">
              <w:rPr>
                <w:rFonts w:ascii="Times New Roman" w:hAnsi="Times New Roman"/>
                <w:sz w:val="22"/>
                <w:szCs w:val="22"/>
              </w:rPr>
              <w:t>450</w:t>
            </w:r>
          </w:p>
        </w:tc>
        <w:tc>
          <w:tcPr>
            <w:tcW w:w="1229" w:type="dxa"/>
            <w:tcBorders>
              <w:top w:val="single" w:sz="4" w:space="0" w:color="auto"/>
              <w:left w:val="single" w:sz="4" w:space="0" w:color="auto"/>
              <w:bottom w:val="single" w:sz="4" w:space="0" w:color="auto"/>
              <w:right w:val="single" w:sz="4" w:space="0" w:color="auto"/>
            </w:tcBorders>
            <w:vAlign w:val="bottom"/>
            <w:hideMark/>
          </w:tcPr>
          <w:p w:rsidR="00820B40" w:rsidRPr="00E04D4E" w14:paraId="1D966315" w14:textId="77777777">
            <w:pPr>
              <w:keepNext/>
              <w:keepLines/>
              <w:numPr>
                <w:ilvl w:val="12"/>
                <w:numId w:val="0"/>
              </w:numPr>
              <w:jc w:val="center"/>
              <w:rPr>
                <w:rFonts w:ascii="Times New Roman" w:hAnsi="Times New Roman"/>
                <w:sz w:val="22"/>
                <w:szCs w:val="22"/>
              </w:rPr>
            </w:pPr>
            <w:r w:rsidRPr="00E04D4E">
              <w:rPr>
                <w:rFonts w:ascii="Times New Roman" w:hAnsi="Times New Roman"/>
                <w:sz w:val="22"/>
                <w:szCs w:val="22"/>
              </w:rPr>
              <w:t>1.1275-2</w:t>
            </w:r>
          </w:p>
        </w:tc>
        <w:tc>
          <w:tcPr>
            <w:tcW w:w="1607" w:type="dxa"/>
            <w:tcBorders>
              <w:top w:val="single" w:sz="4" w:space="0" w:color="auto"/>
              <w:left w:val="single" w:sz="4" w:space="0" w:color="auto"/>
              <w:bottom w:val="single" w:sz="4" w:space="0" w:color="auto"/>
              <w:right w:val="single" w:sz="4" w:space="0" w:color="auto"/>
            </w:tcBorders>
            <w:vAlign w:val="bottom"/>
            <w:hideMark/>
          </w:tcPr>
          <w:p w:rsidR="00820B40" w:rsidRPr="00E04D4E" w14:paraId="2D63E0BD" w14:textId="77777777">
            <w:pPr>
              <w:keepNext/>
              <w:keepLines/>
              <w:numPr>
                <w:ilvl w:val="12"/>
                <w:numId w:val="0"/>
              </w:numPr>
              <w:jc w:val="center"/>
              <w:rPr>
                <w:rFonts w:ascii="Times New Roman" w:hAnsi="Times New Roman"/>
                <w:sz w:val="22"/>
                <w:szCs w:val="22"/>
              </w:rPr>
            </w:pPr>
            <w:r w:rsidRPr="00E04D4E">
              <w:rPr>
                <w:rFonts w:ascii="Times New Roman" w:hAnsi="Times New Roman"/>
                <w:sz w:val="22"/>
                <w:szCs w:val="22"/>
              </w:rPr>
              <w:t>---</w:t>
            </w:r>
          </w:p>
        </w:tc>
        <w:tc>
          <w:tcPr>
            <w:tcW w:w="1463" w:type="dxa"/>
            <w:tcBorders>
              <w:top w:val="single" w:sz="4" w:space="0" w:color="auto"/>
              <w:left w:val="single" w:sz="4" w:space="0" w:color="auto"/>
              <w:bottom w:val="single" w:sz="4" w:space="0" w:color="auto"/>
              <w:right w:val="single" w:sz="4" w:space="0" w:color="auto"/>
            </w:tcBorders>
            <w:vAlign w:val="bottom"/>
            <w:hideMark/>
          </w:tcPr>
          <w:p w:rsidR="00820B40" w:rsidRPr="00E04D4E" w14:paraId="6BB190C5" w14:textId="77777777">
            <w:pPr>
              <w:keepNext/>
              <w:keepLines/>
              <w:numPr>
                <w:ilvl w:val="12"/>
                <w:numId w:val="0"/>
              </w:numPr>
              <w:jc w:val="center"/>
              <w:rPr>
                <w:rFonts w:ascii="Times New Roman" w:hAnsi="Times New Roman"/>
                <w:sz w:val="22"/>
                <w:szCs w:val="22"/>
              </w:rPr>
            </w:pPr>
            <w:r w:rsidRPr="00E04D4E">
              <w:rPr>
                <w:rFonts w:ascii="Times New Roman" w:hAnsi="Times New Roman"/>
                <w:sz w:val="22"/>
                <w:szCs w:val="22"/>
              </w:rPr>
              <w:t>5</w:t>
            </w:r>
            <w:r w:rsidRPr="00E04D4E" w:rsidR="008E34B0">
              <w:rPr>
                <w:rFonts w:ascii="Times New Roman" w:hAnsi="Times New Roman"/>
                <w:sz w:val="22"/>
                <w:szCs w:val="22"/>
              </w:rPr>
              <w:t>,000</w:t>
            </w:r>
          </w:p>
        </w:tc>
        <w:tc>
          <w:tcPr>
            <w:tcW w:w="1253" w:type="dxa"/>
            <w:tcBorders>
              <w:top w:val="single" w:sz="4" w:space="0" w:color="auto"/>
              <w:left w:val="single" w:sz="4" w:space="0" w:color="auto"/>
              <w:bottom w:val="single" w:sz="4" w:space="0" w:color="auto"/>
              <w:right w:val="single" w:sz="4" w:space="0" w:color="auto"/>
            </w:tcBorders>
            <w:vAlign w:val="bottom"/>
            <w:hideMark/>
          </w:tcPr>
          <w:p w:rsidR="00820B40" w:rsidRPr="00E04D4E" w14:paraId="160BB4CE" w14:textId="77777777">
            <w:pPr>
              <w:keepNext/>
              <w:keepLines/>
              <w:numPr>
                <w:ilvl w:val="12"/>
                <w:numId w:val="0"/>
              </w:numPr>
              <w:jc w:val="center"/>
              <w:rPr>
                <w:rFonts w:ascii="Times New Roman" w:hAnsi="Times New Roman"/>
                <w:sz w:val="22"/>
                <w:szCs w:val="22"/>
              </w:rPr>
            </w:pPr>
            <w:r w:rsidRPr="00E04D4E">
              <w:rPr>
                <w:rFonts w:ascii="Times New Roman" w:hAnsi="Times New Roman"/>
                <w:sz w:val="22"/>
                <w:szCs w:val="22"/>
              </w:rPr>
              <w:t>.3</w:t>
            </w:r>
          </w:p>
        </w:tc>
        <w:tc>
          <w:tcPr>
            <w:tcW w:w="1410" w:type="dxa"/>
            <w:tcBorders>
              <w:top w:val="single" w:sz="4" w:space="0" w:color="auto"/>
              <w:left w:val="single" w:sz="4" w:space="0" w:color="auto"/>
              <w:bottom w:val="single" w:sz="4" w:space="0" w:color="auto"/>
              <w:right w:val="single" w:sz="4" w:space="0" w:color="auto"/>
            </w:tcBorders>
            <w:vAlign w:val="bottom"/>
            <w:hideMark/>
          </w:tcPr>
          <w:p w:rsidR="00820B40" w:rsidRPr="00E04D4E" w14:paraId="5A23F137" w14:textId="77777777">
            <w:pPr>
              <w:keepNext/>
              <w:keepLines/>
              <w:numPr>
                <w:ilvl w:val="12"/>
                <w:numId w:val="0"/>
              </w:numPr>
              <w:jc w:val="center"/>
              <w:rPr>
                <w:rFonts w:ascii="Times New Roman" w:hAnsi="Times New Roman"/>
                <w:sz w:val="22"/>
                <w:szCs w:val="22"/>
              </w:rPr>
            </w:pPr>
            <w:r w:rsidRPr="00E04D4E">
              <w:rPr>
                <w:rFonts w:ascii="Times New Roman" w:hAnsi="Times New Roman"/>
                <w:sz w:val="22"/>
                <w:szCs w:val="22"/>
              </w:rPr>
              <w:t>1,500</w:t>
            </w:r>
          </w:p>
        </w:tc>
      </w:tr>
      <w:tr w14:paraId="4F9F227C" w14:textId="77777777" w:rsidTr="00A82E76">
        <w:tblPrEx>
          <w:tblW w:w="8220" w:type="dxa"/>
          <w:tblInd w:w="888" w:type="dxa"/>
          <w:tblLook w:val="04A0"/>
        </w:tblPrEx>
        <w:tc>
          <w:tcPr>
            <w:tcW w:w="1258" w:type="dxa"/>
            <w:tcBorders>
              <w:top w:val="single" w:sz="4" w:space="0" w:color="auto"/>
              <w:left w:val="single" w:sz="4" w:space="0" w:color="auto"/>
              <w:bottom w:val="single" w:sz="4" w:space="0" w:color="auto"/>
              <w:right w:val="single" w:sz="4" w:space="0" w:color="auto"/>
            </w:tcBorders>
          </w:tcPr>
          <w:p w:rsidR="00A82E76" w:rsidRPr="00E04D4E" w:rsidP="00A82E76" w14:paraId="33E5E11F" w14:textId="77777777">
            <w:pPr>
              <w:keepNext/>
              <w:keepLines/>
              <w:numPr>
                <w:ilvl w:val="12"/>
                <w:numId w:val="0"/>
              </w:numPr>
              <w:jc w:val="center"/>
              <w:rPr>
                <w:rFonts w:ascii="Times New Roman" w:hAnsi="Times New Roman"/>
                <w:sz w:val="22"/>
                <w:szCs w:val="22"/>
              </w:rPr>
            </w:pPr>
          </w:p>
        </w:tc>
        <w:tc>
          <w:tcPr>
            <w:tcW w:w="1229" w:type="dxa"/>
            <w:tcBorders>
              <w:top w:val="single" w:sz="4" w:space="0" w:color="auto"/>
              <w:left w:val="single" w:sz="4" w:space="0" w:color="auto"/>
              <w:bottom w:val="single" w:sz="4" w:space="0" w:color="auto"/>
              <w:right w:val="single" w:sz="4" w:space="0" w:color="auto"/>
            </w:tcBorders>
            <w:vAlign w:val="bottom"/>
          </w:tcPr>
          <w:p w:rsidR="00A82E76" w:rsidRPr="00E04D4E" w:rsidP="00A82E76" w14:paraId="14FA3D61" w14:textId="77777777">
            <w:pPr>
              <w:keepNext/>
              <w:keepLines/>
              <w:numPr>
                <w:ilvl w:val="12"/>
                <w:numId w:val="0"/>
              </w:numPr>
              <w:jc w:val="center"/>
              <w:rPr>
                <w:rFonts w:ascii="Times New Roman" w:hAnsi="Times New Roman"/>
                <w:sz w:val="22"/>
                <w:szCs w:val="22"/>
              </w:rPr>
            </w:pPr>
            <w:r w:rsidRPr="00E04D4E">
              <w:rPr>
                <w:rFonts w:ascii="Times New Roman" w:hAnsi="Times New Roman"/>
                <w:sz w:val="22"/>
                <w:szCs w:val="22"/>
              </w:rPr>
              <w:t>1.1275-4</w:t>
            </w:r>
          </w:p>
        </w:tc>
        <w:tc>
          <w:tcPr>
            <w:tcW w:w="1607" w:type="dxa"/>
            <w:tcBorders>
              <w:top w:val="single" w:sz="4" w:space="0" w:color="auto"/>
              <w:left w:val="single" w:sz="4" w:space="0" w:color="auto"/>
              <w:bottom w:val="single" w:sz="4" w:space="0" w:color="auto"/>
              <w:right w:val="single" w:sz="4" w:space="0" w:color="auto"/>
            </w:tcBorders>
          </w:tcPr>
          <w:p w:rsidR="00A82E76" w:rsidRPr="00E04D4E" w:rsidP="00A82E76" w14:paraId="5F1160EB" w14:textId="77777777">
            <w:pPr>
              <w:jc w:val="center"/>
              <w:rPr>
                <w:rFonts w:ascii="Times New Roman" w:hAnsi="Times New Roman"/>
                <w:sz w:val="22"/>
                <w:szCs w:val="22"/>
              </w:rPr>
            </w:pPr>
            <w:r w:rsidRPr="00E04D4E">
              <w:rPr>
                <w:rFonts w:ascii="Times New Roman" w:hAnsi="Times New Roman"/>
                <w:sz w:val="22"/>
                <w:szCs w:val="22"/>
              </w:rPr>
              <w:t>---</w:t>
            </w:r>
          </w:p>
        </w:tc>
        <w:tc>
          <w:tcPr>
            <w:tcW w:w="1463" w:type="dxa"/>
            <w:tcBorders>
              <w:top w:val="single" w:sz="4" w:space="0" w:color="auto"/>
              <w:left w:val="single" w:sz="4" w:space="0" w:color="auto"/>
              <w:bottom w:val="single" w:sz="4" w:space="0" w:color="auto"/>
              <w:right w:val="single" w:sz="4" w:space="0" w:color="auto"/>
            </w:tcBorders>
            <w:vAlign w:val="bottom"/>
          </w:tcPr>
          <w:p w:rsidR="00A82E76" w:rsidRPr="00E04D4E" w:rsidP="00A82E76" w14:paraId="38BFF76E" w14:textId="77777777">
            <w:pPr>
              <w:keepNext/>
              <w:keepLines/>
              <w:numPr>
                <w:ilvl w:val="12"/>
                <w:numId w:val="0"/>
              </w:numPr>
              <w:jc w:val="center"/>
              <w:rPr>
                <w:rFonts w:ascii="Times New Roman" w:hAnsi="Times New Roman"/>
                <w:sz w:val="22"/>
                <w:szCs w:val="22"/>
              </w:rPr>
            </w:pPr>
            <w:r w:rsidRPr="00E04D4E">
              <w:rPr>
                <w:rFonts w:ascii="Times New Roman" w:hAnsi="Times New Roman"/>
                <w:sz w:val="22"/>
                <w:szCs w:val="22"/>
              </w:rPr>
              <w:t>100,000</w:t>
            </w:r>
          </w:p>
        </w:tc>
        <w:tc>
          <w:tcPr>
            <w:tcW w:w="1253" w:type="dxa"/>
            <w:tcBorders>
              <w:top w:val="single" w:sz="4" w:space="0" w:color="auto"/>
              <w:left w:val="single" w:sz="4" w:space="0" w:color="auto"/>
              <w:bottom w:val="single" w:sz="4" w:space="0" w:color="auto"/>
              <w:right w:val="single" w:sz="4" w:space="0" w:color="auto"/>
            </w:tcBorders>
            <w:vAlign w:val="bottom"/>
          </w:tcPr>
          <w:p w:rsidR="00A82E76" w:rsidRPr="00E04D4E" w:rsidP="00A82E76" w14:paraId="37840B8E" w14:textId="77777777">
            <w:pPr>
              <w:keepNext/>
              <w:keepLines/>
              <w:numPr>
                <w:ilvl w:val="12"/>
                <w:numId w:val="0"/>
              </w:numPr>
              <w:jc w:val="center"/>
              <w:rPr>
                <w:rFonts w:ascii="Times New Roman" w:hAnsi="Times New Roman"/>
                <w:sz w:val="22"/>
                <w:szCs w:val="22"/>
              </w:rPr>
            </w:pPr>
            <w:r w:rsidRPr="00E04D4E">
              <w:rPr>
                <w:rFonts w:ascii="Times New Roman" w:hAnsi="Times New Roman"/>
                <w:sz w:val="22"/>
                <w:szCs w:val="22"/>
              </w:rPr>
              <w:t>.5</w:t>
            </w:r>
          </w:p>
        </w:tc>
        <w:tc>
          <w:tcPr>
            <w:tcW w:w="1410" w:type="dxa"/>
            <w:tcBorders>
              <w:top w:val="single" w:sz="4" w:space="0" w:color="auto"/>
              <w:left w:val="single" w:sz="4" w:space="0" w:color="auto"/>
              <w:bottom w:val="single" w:sz="4" w:space="0" w:color="auto"/>
              <w:right w:val="single" w:sz="4" w:space="0" w:color="auto"/>
            </w:tcBorders>
            <w:vAlign w:val="bottom"/>
          </w:tcPr>
          <w:p w:rsidR="00A82E76" w:rsidRPr="00E04D4E" w:rsidP="00A82E76" w14:paraId="5FBC2332" w14:textId="77777777">
            <w:pPr>
              <w:keepNext/>
              <w:keepLines/>
              <w:numPr>
                <w:ilvl w:val="12"/>
                <w:numId w:val="0"/>
              </w:numPr>
              <w:jc w:val="center"/>
              <w:rPr>
                <w:rFonts w:ascii="Times New Roman" w:hAnsi="Times New Roman"/>
                <w:sz w:val="22"/>
                <w:szCs w:val="22"/>
              </w:rPr>
            </w:pPr>
            <w:r w:rsidRPr="00E04D4E">
              <w:rPr>
                <w:rFonts w:ascii="Times New Roman" w:hAnsi="Times New Roman"/>
                <w:sz w:val="22"/>
                <w:szCs w:val="22"/>
              </w:rPr>
              <w:t>50,000</w:t>
            </w:r>
          </w:p>
        </w:tc>
      </w:tr>
      <w:tr w14:paraId="4B4FC163" w14:textId="77777777" w:rsidTr="00A82E76">
        <w:tblPrEx>
          <w:tblW w:w="8220" w:type="dxa"/>
          <w:tblInd w:w="888" w:type="dxa"/>
          <w:tblLook w:val="04A0"/>
        </w:tblPrEx>
        <w:tc>
          <w:tcPr>
            <w:tcW w:w="1258" w:type="dxa"/>
            <w:tcBorders>
              <w:top w:val="single" w:sz="4" w:space="0" w:color="auto"/>
              <w:left w:val="single" w:sz="4" w:space="0" w:color="auto"/>
              <w:bottom w:val="single" w:sz="4" w:space="0" w:color="auto"/>
              <w:right w:val="single" w:sz="4" w:space="0" w:color="auto"/>
            </w:tcBorders>
          </w:tcPr>
          <w:p w:rsidR="00A82E76" w:rsidRPr="00E04D4E" w:rsidP="00A82E76" w14:paraId="26FAC96A" w14:textId="77777777">
            <w:pPr>
              <w:keepNext/>
              <w:keepLines/>
              <w:numPr>
                <w:ilvl w:val="12"/>
                <w:numId w:val="0"/>
              </w:numPr>
              <w:jc w:val="center"/>
              <w:rPr>
                <w:rFonts w:ascii="Times New Roman" w:hAnsi="Times New Roman"/>
                <w:sz w:val="22"/>
                <w:szCs w:val="22"/>
              </w:rPr>
            </w:pPr>
          </w:p>
        </w:tc>
        <w:tc>
          <w:tcPr>
            <w:tcW w:w="1229" w:type="dxa"/>
            <w:tcBorders>
              <w:top w:val="single" w:sz="4" w:space="0" w:color="auto"/>
              <w:left w:val="single" w:sz="4" w:space="0" w:color="auto"/>
              <w:bottom w:val="single" w:sz="4" w:space="0" w:color="auto"/>
              <w:right w:val="single" w:sz="4" w:space="0" w:color="auto"/>
            </w:tcBorders>
            <w:vAlign w:val="bottom"/>
          </w:tcPr>
          <w:p w:rsidR="00A82E76" w:rsidRPr="00E04D4E" w:rsidP="00A82E76" w14:paraId="7E0D9D3A" w14:textId="77777777">
            <w:pPr>
              <w:keepNext/>
              <w:keepLines/>
              <w:numPr>
                <w:ilvl w:val="12"/>
                <w:numId w:val="0"/>
              </w:numPr>
              <w:jc w:val="center"/>
              <w:rPr>
                <w:rFonts w:ascii="Times New Roman" w:hAnsi="Times New Roman"/>
                <w:sz w:val="22"/>
                <w:szCs w:val="22"/>
              </w:rPr>
            </w:pPr>
            <w:r w:rsidRPr="00E04D4E">
              <w:rPr>
                <w:rFonts w:ascii="Times New Roman" w:hAnsi="Times New Roman"/>
                <w:sz w:val="22"/>
                <w:szCs w:val="22"/>
              </w:rPr>
              <w:t>1.1275-6</w:t>
            </w:r>
          </w:p>
        </w:tc>
        <w:tc>
          <w:tcPr>
            <w:tcW w:w="1607" w:type="dxa"/>
            <w:tcBorders>
              <w:top w:val="single" w:sz="4" w:space="0" w:color="auto"/>
              <w:left w:val="single" w:sz="4" w:space="0" w:color="auto"/>
              <w:bottom w:val="single" w:sz="4" w:space="0" w:color="auto"/>
              <w:right w:val="single" w:sz="4" w:space="0" w:color="auto"/>
            </w:tcBorders>
          </w:tcPr>
          <w:p w:rsidR="00A82E76" w:rsidRPr="00E04D4E" w:rsidP="00A82E76" w14:paraId="6B55C356" w14:textId="77777777">
            <w:pPr>
              <w:jc w:val="center"/>
              <w:rPr>
                <w:rFonts w:ascii="Times New Roman" w:hAnsi="Times New Roman"/>
                <w:sz w:val="22"/>
                <w:szCs w:val="22"/>
              </w:rPr>
            </w:pPr>
            <w:r w:rsidRPr="00E04D4E">
              <w:rPr>
                <w:rFonts w:ascii="Times New Roman" w:hAnsi="Times New Roman"/>
                <w:sz w:val="22"/>
                <w:szCs w:val="22"/>
              </w:rPr>
              <w:t>---</w:t>
            </w:r>
          </w:p>
        </w:tc>
        <w:tc>
          <w:tcPr>
            <w:tcW w:w="1463" w:type="dxa"/>
            <w:tcBorders>
              <w:top w:val="single" w:sz="4" w:space="0" w:color="auto"/>
              <w:left w:val="single" w:sz="4" w:space="0" w:color="auto"/>
              <w:bottom w:val="single" w:sz="4" w:space="0" w:color="auto"/>
              <w:right w:val="single" w:sz="4" w:space="0" w:color="auto"/>
            </w:tcBorders>
            <w:vAlign w:val="bottom"/>
          </w:tcPr>
          <w:p w:rsidR="00A82E76" w:rsidRPr="00E04D4E" w:rsidP="00A82E76" w14:paraId="5433B174" w14:textId="77777777">
            <w:pPr>
              <w:keepNext/>
              <w:keepLines/>
              <w:numPr>
                <w:ilvl w:val="12"/>
                <w:numId w:val="0"/>
              </w:numPr>
              <w:jc w:val="center"/>
              <w:rPr>
                <w:rFonts w:ascii="Times New Roman" w:hAnsi="Times New Roman"/>
                <w:sz w:val="22"/>
                <w:szCs w:val="22"/>
              </w:rPr>
            </w:pPr>
            <w:r w:rsidRPr="00E04D4E">
              <w:rPr>
                <w:rFonts w:ascii="Times New Roman" w:hAnsi="Times New Roman"/>
                <w:sz w:val="22"/>
                <w:szCs w:val="22"/>
              </w:rPr>
              <w:t>75,000</w:t>
            </w:r>
          </w:p>
        </w:tc>
        <w:tc>
          <w:tcPr>
            <w:tcW w:w="1253" w:type="dxa"/>
            <w:tcBorders>
              <w:top w:val="single" w:sz="4" w:space="0" w:color="auto"/>
              <w:left w:val="single" w:sz="4" w:space="0" w:color="auto"/>
              <w:bottom w:val="single" w:sz="4" w:space="0" w:color="auto"/>
              <w:right w:val="single" w:sz="4" w:space="0" w:color="auto"/>
            </w:tcBorders>
            <w:vAlign w:val="bottom"/>
          </w:tcPr>
          <w:p w:rsidR="00A82E76" w:rsidRPr="00E04D4E" w:rsidP="00A82E76" w14:paraId="5E2B88AE" w14:textId="77777777">
            <w:pPr>
              <w:keepNext/>
              <w:keepLines/>
              <w:numPr>
                <w:ilvl w:val="12"/>
                <w:numId w:val="0"/>
              </w:numPr>
              <w:jc w:val="center"/>
              <w:rPr>
                <w:rFonts w:ascii="Times New Roman" w:hAnsi="Times New Roman"/>
                <w:sz w:val="22"/>
                <w:szCs w:val="22"/>
              </w:rPr>
            </w:pPr>
            <w:r w:rsidRPr="00E04D4E">
              <w:rPr>
                <w:rFonts w:ascii="Times New Roman" w:hAnsi="Times New Roman"/>
                <w:sz w:val="22"/>
                <w:szCs w:val="22"/>
              </w:rPr>
              <w:t>.5</w:t>
            </w:r>
          </w:p>
        </w:tc>
        <w:tc>
          <w:tcPr>
            <w:tcW w:w="1410" w:type="dxa"/>
            <w:tcBorders>
              <w:top w:val="single" w:sz="4" w:space="0" w:color="auto"/>
              <w:left w:val="single" w:sz="4" w:space="0" w:color="auto"/>
              <w:bottom w:val="single" w:sz="4" w:space="0" w:color="auto"/>
              <w:right w:val="single" w:sz="4" w:space="0" w:color="auto"/>
            </w:tcBorders>
            <w:vAlign w:val="bottom"/>
          </w:tcPr>
          <w:p w:rsidR="00A82E76" w:rsidRPr="00E04D4E" w:rsidP="00A82E76" w14:paraId="4727575F" w14:textId="77777777">
            <w:pPr>
              <w:keepNext/>
              <w:keepLines/>
              <w:numPr>
                <w:ilvl w:val="12"/>
                <w:numId w:val="0"/>
              </w:numPr>
              <w:jc w:val="center"/>
              <w:rPr>
                <w:rFonts w:ascii="Times New Roman" w:hAnsi="Times New Roman"/>
                <w:sz w:val="22"/>
                <w:szCs w:val="22"/>
              </w:rPr>
            </w:pPr>
            <w:r w:rsidRPr="00E04D4E">
              <w:rPr>
                <w:rFonts w:ascii="Times New Roman" w:hAnsi="Times New Roman"/>
                <w:sz w:val="22"/>
                <w:szCs w:val="22"/>
              </w:rPr>
              <w:t>37,500</w:t>
            </w:r>
          </w:p>
        </w:tc>
      </w:tr>
      <w:tr w14:paraId="754F0D54" w14:textId="77777777" w:rsidTr="00A82E76">
        <w:tblPrEx>
          <w:tblW w:w="8220" w:type="dxa"/>
          <w:tblInd w:w="888" w:type="dxa"/>
          <w:tblLook w:val="04A0"/>
        </w:tblPrEx>
        <w:tc>
          <w:tcPr>
            <w:tcW w:w="1258" w:type="dxa"/>
            <w:tcBorders>
              <w:top w:val="single" w:sz="4" w:space="0" w:color="auto"/>
              <w:left w:val="single" w:sz="4" w:space="0" w:color="auto"/>
              <w:bottom w:val="single" w:sz="4" w:space="0" w:color="auto"/>
              <w:right w:val="single" w:sz="4" w:space="0" w:color="auto"/>
            </w:tcBorders>
          </w:tcPr>
          <w:p w:rsidR="00820B40" w:rsidRPr="00E04D4E" w14:paraId="4DBABFB1" w14:textId="77777777">
            <w:pPr>
              <w:keepNext/>
              <w:keepLines/>
              <w:numPr>
                <w:ilvl w:val="12"/>
                <w:numId w:val="0"/>
              </w:numPr>
              <w:jc w:val="center"/>
              <w:rPr>
                <w:rFonts w:ascii="Times New Roman" w:hAnsi="Times New Roman"/>
                <w:b/>
                <w:sz w:val="22"/>
                <w:szCs w:val="22"/>
              </w:rPr>
            </w:pPr>
          </w:p>
        </w:tc>
        <w:tc>
          <w:tcPr>
            <w:tcW w:w="1229" w:type="dxa"/>
            <w:tcBorders>
              <w:top w:val="single" w:sz="4" w:space="0" w:color="auto"/>
              <w:left w:val="single" w:sz="4" w:space="0" w:color="auto"/>
              <w:bottom w:val="single" w:sz="4" w:space="0" w:color="auto"/>
              <w:right w:val="single" w:sz="4" w:space="0" w:color="auto"/>
            </w:tcBorders>
            <w:vAlign w:val="bottom"/>
            <w:hideMark/>
          </w:tcPr>
          <w:p w:rsidR="00820B40" w:rsidRPr="00E04D4E" w14:paraId="1058C325" w14:textId="77777777">
            <w:pPr>
              <w:keepNext/>
              <w:keepLines/>
              <w:numPr>
                <w:ilvl w:val="12"/>
                <w:numId w:val="0"/>
              </w:numPr>
              <w:jc w:val="center"/>
              <w:rPr>
                <w:rFonts w:ascii="Times New Roman" w:hAnsi="Times New Roman"/>
                <w:b/>
                <w:sz w:val="22"/>
                <w:szCs w:val="22"/>
              </w:rPr>
            </w:pPr>
            <w:r w:rsidRPr="00E04D4E">
              <w:rPr>
                <w:rFonts w:ascii="Times New Roman" w:hAnsi="Times New Roman"/>
                <w:b/>
                <w:sz w:val="22"/>
                <w:szCs w:val="22"/>
              </w:rPr>
              <w:t>IRS TOTAL</w:t>
            </w:r>
          </w:p>
        </w:tc>
        <w:tc>
          <w:tcPr>
            <w:tcW w:w="1607" w:type="dxa"/>
            <w:tcBorders>
              <w:top w:val="single" w:sz="4" w:space="0" w:color="auto"/>
              <w:left w:val="single" w:sz="4" w:space="0" w:color="auto"/>
              <w:bottom w:val="single" w:sz="4" w:space="0" w:color="auto"/>
              <w:right w:val="single" w:sz="4" w:space="0" w:color="auto"/>
            </w:tcBorders>
            <w:vAlign w:val="bottom"/>
          </w:tcPr>
          <w:p w:rsidR="00820B40" w:rsidRPr="00E04D4E" w14:paraId="38430DC0" w14:textId="77777777">
            <w:pPr>
              <w:keepNext/>
              <w:keepLines/>
              <w:numPr>
                <w:ilvl w:val="12"/>
                <w:numId w:val="0"/>
              </w:numPr>
              <w:jc w:val="center"/>
              <w:rPr>
                <w:rFonts w:ascii="Times New Roman" w:hAnsi="Times New Roman"/>
                <w:b/>
                <w:sz w:val="22"/>
                <w:szCs w:val="22"/>
              </w:rPr>
            </w:pPr>
          </w:p>
        </w:tc>
        <w:tc>
          <w:tcPr>
            <w:tcW w:w="1463" w:type="dxa"/>
            <w:tcBorders>
              <w:top w:val="single" w:sz="4" w:space="0" w:color="auto"/>
              <w:left w:val="single" w:sz="4" w:space="0" w:color="auto"/>
              <w:bottom w:val="single" w:sz="4" w:space="0" w:color="auto"/>
              <w:right w:val="single" w:sz="4" w:space="0" w:color="auto"/>
            </w:tcBorders>
            <w:vAlign w:val="bottom"/>
            <w:hideMark/>
          </w:tcPr>
          <w:p w:rsidR="00820B40" w:rsidRPr="00E04D4E" w14:paraId="7F735823" w14:textId="77777777">
            <w:pPr>
              <w:keepNext/>
              <w:keepLines/>
              <w:numPr>
                <w:ilvl w:val="12"/>
                <w:numId w:val="0"/>
              </w:numPr>
              <w:jc w:val="center"/>
              <w:rPr>
                <w:rFonts w:ascii="Times New Roman" w:hAnsi="Times New Roman"/>
                <w:b/>
                <w:sz w:val="22"/>
                <w:szCs w:val="22"/>
              </w:rPr>
            </w:pPr>
            <w:r w:rsidRPr="00E04D4E">
              <w:rPr>
                <w:rFonts w:ascii="Times New Roman" w:hAnsi="Times New Roman"/>
                <w:b/>
                <w:sz w:val="22"/>
                <w:szCs w:val="22"/>
              </w:rPr>
              <w:t>180</w:t>
            </w:r>
            <w:r w:rsidRPr="00E04D4E" w:rsidR="008E34B0">
              <w:rPr>
                <w:rFonts w:ascii="Times New Roman" w:hAnsi="Times New Roman"/>
                <w:b/>
                <w:sz w:val="22"/>
                <w:szCs w:val="22"/>
              </w:rPr>
              <w:t>,000</w:t>
            </w:r>
          </w:p>
        </w:tc>
        <w:tc>
          <w:tcPr>
            <w:tcW w:w="1253" w:type="dxa"/>
            <w:tcBorders>
              <w:top w:val="single" w:sz="4" w:space="0" w:color="auto"/>
              <w:left w:val="single" w:sz="4" w:space="0" w:color="auto"/>
              <w:bottom w:val="single" w:sz="4" w:space="0" w:color="auto"/>
              <w:right w:val="single" w:sz="4" w:space="0" w:color="auto"/>
            </w:tcBorders>
            <w:vAlign w:val="bottom"/>
            <w:hideMark/>
          </w:tcPr>
          <w:p w:rsidR="00820B40" w:rsidRPr="00E04D4E" w14:paraId="07092B4F" w14:textId="77777777">
            <w:pPr>
              <w:rPr>
                <w:rFonts w:ascii="Times New Roman" w:hAnsi="Times New Roman"/>
                <w:b/>
                <w:sz w:val="22"/>
                <w:szCs w:val="22"/>
              </w:rPr>
            </w:pPr>
          </w:p>
        </w:tc>
        <w:tc>
          <w:tcPr>
            <w:tcW w:w="1410" w:type="dxa"/>
            <w:tcBorders>
              <w:top w:val="single" w:sz="4" w:space="0" w:color="auto"/>
              <w:left w:val="single" w:sz="4" w:space="0" w:color="auto"/>
              <w:bottom w:val="single" w:sz="4" w:space="0" w:color="auto"/>
              <w:right w:val="single" w:sz="4" w:space="0" w:color="auto"/>
            </w:tcBorders>
            <w:vAlign w:val="bottom"/>
            <w:hideMark/>
          </w:tcPr>
          <w:p w:rsidR="00820B40" w:rsidRPr="00E04D4E" w14:paraId="05CF1B18" w14:textId="77777777">
            <w:pPr>
              <w:keepNext/>
              <w:keepLines/>
              <w:numPr>
                <w:ilvl w:val="12"/>
                <w:numId w:val="0"/>
              </w:numPr>
              <w:jc w:val="center"/>
              <w:rPr>
                <w:rFonts w:ascii="Times New Roman" w:hAnsi="Times New Roman"/>
                <w:b/>
                <w:sz w:val="22"/>
                <w:szCs w:val="22"/>
              </w:rPr>
            </w:pPr>
            <w:r w:rsidRPr="00E04D4E">
              <w:rPr>
                <w:rFonts w:ascii="Times New Roman" w:hAnsi="Times New Roman"/>
                <w:b/>
                <w:sz w:val="22"/>
                <w:szCs w:val="22"/>
              </w:rPr>
              <w:t>89,000</w:t>
            </w:r>
          </w:p>
        </w:tc>
      </w:tr>
    </w:tbl>
    <w:p w:rsidR="00BE387D" w:rsidP="00127866" w14:paraId="5439B810" w14:textId="77777777">
      <w:pPr>
        <w:rPr>
          <w:rFonts w:ascii="Times New Roman" w:hAnsi="Times New Roman"/>
          <w:sz w:val="22"/>
          <w:szCs w:val="22"/>
        </w:rPr>
      </w:pPr>
    </w:p>
    <w:p w:rsidR="00894418" w:rsidRPr="00E04D4E" w14:paraId="6B704B6E" w14:textId="788CFFAE">
      <w:pPr>
        <w:ind w:left="720"/>
        <w:rPr>
          <w:rFonts w:ascii="Times New Roman" w:hAnsi="Times New Roman"/>
          <w:sz w:val="22"/>
          <w:szCs w:val="22"/>
        </w:rPr>
      </w:pPr>
      <w:r w:rsidRPr="00E04D4E">
        <w:rPr>
          <w:rFonts w:ascii="Times New Roman" w:hAnsi="Times New Roman"/>
          <w:sz w:val="22"/>
          <w:szCs w:val="22"/>
        </w:rPr>
        <w:t>Please continue to assign OMB number 1545-</w:t>
      </w:r>
      <w:r w:rsidRPr="00E04D4E" w:rsidR="00A82E76">
        <w:rPr>
          <w:rFonts w:ascii="Times New Roman" w:hAnsi="Times New Roman"/>
          <w:sz w:val="22"/>
          <w:szCs w:val="22"/>
        </w:rPr>
        <w:t>1450</w:t>
      </w:r>
      <w:r w:rsidRPr="00E04D4E">
        <w:rPr>
          <w:rFonts w:ascii="Times New Roman" w:hAnsi="Times New Roman"/>
          <w:sz w:val="22"/>
          <w:szCs w:val="22"/>
        </w:rPr>
        <w:t xml:space="preserve"> to these regulations.</w:t>
      </w:r>
    </w:p>
    <w:p w:rsidR="00894418" w:rsidRPr="00E04D4E" w14:paraId="4E0ABE03" w14:textId="77777777">
      <w:pPr>
        <w:rPr>
          <w:rFonts w:ascii="Times New Roman" w:hAnsi="Times New Roman"/>
          <w:sz w:val="22"/>
          <w:szCs w:val="22"/>
        </w:rPr>
      </w:pPr>
    </w:p>
    <w:p w:rsidR="00894418" w:rsidRPr="00E04D4E" w:rsidP="00374F04" w14:paraId="0D284718" w14:textId="77777777">
      <w:pPr>
        <w:ind w:left="720"/>
        <w:rPr>
          <w:rFonts w:ascii="Times New Roman" w:hAnsi="Times New Roman"/>
          <w:sz w:val="22"/>
          <w:szCs w:val="22"/>
        </w:rPr>
      </w:pPr>
      <w:r w:rsidRPr="00E04D4E">
        <w:rPr>
          <w:rFonts w:ascii="Times New Roman" w:hAnsi="Times New Roman"/>
          <w:sz w:val="22"/>
          <w:szCs w:val="22"/>
        </w:rPr>
        <w:t>1</w:t>
      </w:r>
      <w:r w:rsidRPr="00E04D4E" w:rsidR="00374F04">
        <w:rPr>
          <w:rFonts w:ascii="Times New Roman" w:hAnsi="Times New Roman"/>
          <w:sz w:val="22"/>
          <w:szCs w:val="22"/>
        </w:rPr>
        <w:t>.</w:t>
      </w:r>
      <w:r w:rsidRPr="00E04D4E" w:rsidR="00A82E76">
        <w:rPr>
          <w:rFonts w:ascii="Times New Roman" w:hAnsi="Times New Roman"/>
          <w:sz w:val="22"/>
          <w:szCs w:val="22"/>
        </w:rPr>
        <w:t>1275-2</w:t>
      </w:r>
      <w:r w:rsidRPr="00E04D4E" w:rsidR="00374F04">
        <w:rPr>
          <w:rFonts w:ascii="Times New Roman" w:hAnsi="Times New Roman"/>
          <w:sz w:val="22"/>
          <w:szCs w:val="22"/>
        </w:rPr>
        <w:tab/>
      </w:r>
      <w:r w:rsidRPr="00E04D4E" w:rsidR="00374F04">
        <w:rPr>
          <w:rFonts w:ascii="Times New Roman" w:hAnsi="Times New Roman"/>
          <w:sz w:val="22"/>
          <w:szCs w:val="22"/>
        </w:rPr>
        <w:tab/>
        <w:t>1.</w:t>
      </w:r>
      <w:r w:rsidRPr="00E04D4E" w:rsidR="00A82E76">
        <w:rPr>
          <w:rFonts w:ascii="Times New Roman" w:hAnsi="Times New Roman"/>
          <w:sz w:val="22"/>
          <w:szCs w:val="22"/>
        </w:rPr>
        <w:t>1275-3</w:t>
      </w:r>
      <w:r w:rsidRPr="00E04D4E" w:rsidR="00A82E76">
        <w:rPr>
          <w:rFonts w:ascii="Times New Roman" w:hAnsi="Times New Roman"/>
          <w:sz w:val="22"/>
          <w:szCs w:val="22"/>
        </w:rPr>
        <w:tab/>
      </w:r>
      <w:r w:rsidRPr="00E04D4E" w:rsidR="00A82E76">
        <w:rPr>
          <w:rFonts w:ascii="Times New Roman" w:hAnsi="Times New Roman"/>
          <w:sz w:val="22"/>
          <w:szCs w:val="22"/>
        </w:rPr>
        <w:tab/>
        <w:t>1.1275-4</w:t>
      </w:r>
      <w:r w:rsidRPr="00E04D4E" w:rsidR="00A82E76">
        <w:rPr>
          <w:rFonts w:ascii="Times New Roman" w:hAnsi="Times New Roman"/>
          <w:sz w:val="22"/>
          <w:szCs w:val="22"/>
        </w:rPr>
        <w:tab/>
      </w:r>
      <w:r w:rsidRPr="00E04D4E" w:rsidR="00A82E76">
        <w:rPr>
          <w:rFonts w:ascii="Times New Roman" w:hAnsi="Times New Roman"/>
          <w:sz w:val="22"/>
          <w:szCs w:val="22"/>
        </w:rPr>
        <w:tab/>
        <w:t>1.1275-6</w:t>
      </w:r>
    </w:p>
    <w:p w:rsidR="00C11E27" w:rsidRPr="00E04D4E" w14:paraId="14817D2F" w14:textId="77777777">
      <w:pPr>
        <w:ind w:left="720"/>
        <w:rPr>
          <w:rFonts w:ascii="Times New Roman" w:hAnsi="Times New Roman"/>
          <w:sz w:val="22"/>
          <w:szCs w:val="22"/>
        </w:rPr>
      </w:pPr>
    </w:p>
    <w:p w:rsidR="00894418" w:rsidRPr="00342FC6" w14:paraId="65D40504" w14:textId="77777777">
      <w:pPr>
        <w:pStyle w:val="Level1"/>
        <w:tabs>
          <w:tab w:val="left" w:pos="-1440"/>
          <w:tab w:val="num" w:pos="720"/>
        </w:tabs>
        <w:rPr>
          <w:rFonts w:ascii="Times New Roman" w:hAnsi="Times New Roman"/>
          <w:sz w:val="22"/>
          <w:szCs w:val="22"/>
        </w:rPr>
      </w:pPr>
      <w:r w:rsidRPr="00E04D4E">
        <w:rPr>
          <w:rFonts w:ascii="Times New Roman" w:hAnsi="Times New Roman"/>
          <w:sz w:val="22"/>
          <w:szCs w:val="22"/>
          <w:u w:val="single"/>
        </w:rPr>
        <w:t>ESTIMATED TOTAL ANNUAL COST BURDEN TO RESPONDENTS</w:t>
      </w:r>
    </w:p>
    <w:p w:rsidR="00342FC6" w:rsidP="00342FC6" w14:paraId="567E923A" w14:textId="77777777">
      <w:pPr>
        <w:jc w:val="both"/>
        <w:rPr>
          <w:rFonts w:asciiTheme="minorHAnsi" w:hAnsiTheme="minorHAnsi" w:cstheme="minorHAnsi"/>
          <w:sz w:val="22"/>
          <w:szCs w:val="22"/>
        </w:rPr>
      </w:pPr>
    </w:p>
    <w:p w:rsidR="00342FC6" w:rsidRPr="00E04D4E" w:rsidP="00342FC6" w14:paraId="53B94957" w14:textId="77777777">
      <w:pPr>
        <w:ind w:left="720"/>
        <w:rPr>
          <w:rFonts w:ascii="Times New Roman" w:hAnsi="Times New Roman"/>
          <w:snapToGrid w:val="0"/>
          <w:sz w:val="22"/>
          <w:szCs w:val="22"/>
        </w:rPr>
      </w:pPr>
      <w:r w:rsidRPr="00C11E27">
        <w:rPr>
          <w:rFonts w:ascii="Times New Roman" w:hAnsi="Times New Roman"/>
          <w:snapToGrid w:val="0"/>
          <w:sz w:val="22"/>
          <w:szCs w:val="22"/>
        </w:rPr>
        <w:t xml:space="preserve">The IRS currently estimates the cost burden on respondents to be nominal. There are no start-up or maintenance costs for this collection.  The collection does not require respondents to obtain </w:t>
      </w:r>
      <w:r w:rsidRPr="00C11E27">
        <w:rPr>
          <w:rFonts w:ascii="Times New Roman" w:hAnsi="Times New Roman"/>
          <w:snapToGrid w:val="0"/>
          <w:sz w:val="22"/>
          <w:szCs w:val="22"/>
        </w:rPr>
        <w:t>specialized equipment or professional services</w:t>
      </w:r>
      <w:r w:rsidRPr="00E04D4E">
        <w:rPr>
          <w:rFonts w:ascii="Times New Roman" w:hAnsi="Times New Roman"/>
          <w:snapToGrid w:val="0"/>
          <w:sz w:val="22"/>
          <w:szCs w:val="22"/>
        </w:rPr>
        <w:t>.</w:t>
      </w:r>
    </w:p>
    <w:p w:rsidR="00342FC6" w:rsidRPr="004E5B0E" w:rsidP="00342FC6" w14:paraId="38C431B1" w14:textId="77777777">
      <w:pPr>
        <w:ind w:left="720"/>
        <w:jc w:val="both"/>
        <w:rPr>
          <w:rFonts w:asciiTheme="minorHAnsi" w:hAnsiTheme="minorHAnsi" w:cstheme="minorHAnsi"/>
          <w:sz w:val="22"/>
          <w:szCs w:val="22"/>
        </w:rPr>
      </w:pPr>
    </w:p>
    <w:p w:rsidR="00342FC6" w:rsidRPr="00342FC6" w:rsidP="00342FC6" w14:paraId="50BCAA7D" w14:textId="77777777">
      <w:pPr>
        <w:pStyle w:val="Heading1"/>
        <w:numPr>
          <w:ilvl w:val="0"/>
          <w:numId w:val="6"/>
        </w:numPr>
        <w:ind w:hanging="720"/>
        <w:rPr>
          <w:rFonts w:ascii="Times New Roman" w:hAnsi="Times New Roman"/>
          <w:sz w:val="22"/>
          <w:szCs w:val="22"/>
          <w:u w:val="single"/>
        </w:rPr>
      </w:pPr>
      <w:r w:rsidRPr="00342FC6">
        <w:rPr>
          <w:rFonts w:ascii="Times New Roman" w:hAnsi="Times New Roman"/>
          <w:sz w:val="22"/>
          <w:szCs w:val="22"/>
          <w:u w:val="single"/>
        </w:rPr>
        <w:t>ESTIMATED ANNUALIZED COST TO THE FEDERAL GOVERNMENT</w:t>
      </w:r>
    </w:p>
    <w:p w:rsidR="00894418" w:rsidRPr="00E04D4E" w:rsidP="00342FC6" w14:paraId="57C7E832" w14:textId="7CC6D49C">
      <w:pPr>
        <w:tabs>
          <w:tab w:val="left" w:pos="-1440"/>
        </w:tabs>
        <w:rPr>
          <w:rFonts w:ascii="Times New Roman" w:hAnsi="Times New Roman"/>
          <w:sz w:val="22"/>
          <w:szCs w:val="22"/>
        </w:rPr>
      </w:pPr>
    </w:p>
    <w:p w:rsidR="00E04D4E" w:rsidRPr="00E04D4E" w:rsidP="00E04D4E" w14:paraId="3272E96C" w14:textId="21911EFE">
      <w:pPr>
        <w:ind w:left="720"/>
        <w:rPr>
          <w:rFonts w:ascii="Times New Roman" w:hAnsi="Times New Roman"/>
          <w:sz w:val="22"/>
          <w:szCs w:val="22"/>
        </w:rPr>
      </w:pPr>
      <w:r w:rsidRPr="00E04D4E">
        <w:rPr>
          <w:rFonts w:ascii="Times New Roman" w:hAnsi="Times New Roman"/>
          <w:sz w:val="22"/>
          <w:szCs w:val="22"/>
        </w:rPr>
        <w:t>There is no annualized cost to the federal government.</w:t>
      </w:r>
    </w:p>
    <w:p w:rsidR="00342FC6" w:rsidRPr="00A933CE" w:rsidP="00342FC6" w14:paraId="6981CCF5" w14:textId="77777777">
      <w:pPr>
        <w:widowControl/>
        <w:ind w:left="360"/>
        <w:rPr>
          <w:rFonts w:asciiTheme="minorHAnsi" w:hAnsiTheme="minorHAnsi" w:cstheme="minorHAnsi"/>
          <w:sz w:val="22"/>
          <w:szCs w:val="22"/>
        </w:rPr>
      </w:pPr>
    </w:p>
    <w:p w:rsidR="00342FC6" w:rsidRPr="00342FC6" w:rsidP="00342FC6" w14:paraId="33A0CFFC" w14:textId="77777777">
      <w:pPr>
        <w:pStyle w:val="Heading1"/>
        <w:numPr>
          <w:ilvl w:val="0"/>
          <w:numId w:val="7"/>
        </w:numPr>
        <w:ind w:hanging="720"/>
        <w:rPr>
          <w:rFonts w:ascii="Times New Roman" w:hAnsi="Times New Roman"/>
          <w:sz w:val="22"/>
          <w:szCs w:val="22"/>
          <w:u w:val="single"/>
        </w:rPr>
      </w:pPr>
      <w:r w:rsidRPr="00342FC6">
        <w:rPr>
          <w:rFonts w:ascii="Times New Roman" w:hAnsi="Times New Roman"/>
          <w:sz w:val="22"/>
          <w:szCs w:val="22"/>
          <w:u w:val="single"/>
        </w:rPr>
        <w:t>REASONS FOR CHANGE IN BURDEN</w:t>
      </w:r>
    </w:p>
    <w:p w:rsidR="00342FC6" w:rsidRPr="00A933CE" w:rsidP="00342FC6" w14:paraId="3B57CF7D" w14:textId="77777777">
      <w:pPr>
        <w:widowControl/>
        <w:ind w:left="360"/>
        <w:rPr>
          <w:rFonts w:asciiTheme="minorHAnsi" w:hAnsiTheme="minorHAnsi" w:cstheme="minorHAnsi"/>
          <w:sz w:val="22"/>
          <w:szCs w:val="22"/>
        </w:rPr>
      </w:pPr>
    </w:p>
    <w:p w:rsidR="00342FC6" w:rsidP="005E53D1" w14:paraId="270A4D93" w14:textId="005AA7C1">
      <w:pPr>
        <w:tabs>
          <w:tab w:val="left" w:pos="-1440"/>
        </w:tabs>
        <w:ind w:left="720"/>
        <w:rPr>
          <w:rFonts w:asciiTheme="minorHAnsi" w:hAnsiTheme="minorHAnsi" w:cstheme="minorHAnsi"/>
          <w:b/>
          <w:bCs/>
          <w:sz w:val="22"/>
          <w:szCs w:val="22"/>
        </w:rPr>
      </w:pPr>
      <w:r w:rsidRPr="00E04D4E">
        <w:rPr>
          <w:rFonts w:ascii="Times New Roman" w:hAnsi="Times New Roman"/>
          <w:sz w:val="22"/>
          <w:szCs w:val="22"/>
        </w:rPr>
        <w:t xml:space="preserve">There are no changes to the </w:t>
      </w:r>
      <w:r w:rsidRPr="00E04D4E" w:rsidR="001A1CA2">
        <w:rPr>
          <w:rFonts w:ascii="Times New Roman" w:hAnsi="Times New Roman"/>
          <w:sz w:val="22"/>
          <w:szCs w:val="22"/>
        </w:rPr>
        <w:t>burden</w:t>
      </w:r>
      <w:r w:rsidRPr="00E04D4E" w:rsidR="008E34B0">
        <w:rPr>
          <w:rFonts w:ascii="Times New Roman" w:hAnsi="Times New Roman"/>
          <w:sz w:val="22"/>
          <w:szCs w:val="22"/>
        </w:rPr>
        <w:t>.</w:t>
      </w:r>
      <w:r w:rsidR="00D7558A">
        <w:rPr>
          <w:rFonts w:ascii="Times New Roman" w:hAnsi="Times New Roman"/>
          <w:sz w:val="22"/>
          <w:szCs w:val="22"/>
        </w:rPr>
        <w:t xml:space="preserve"> </w:t>
      </w:r>
      <w:r w:rsidR="00D7558A">
        <w:rPr>
          <w:rFonts w:ascii="Times New Roman" w:hAnsi="Times New Roman"/>
          <w:sz w:val="22"/>
          <w:szCs w:val="22"/>
        </w:rPr>
        <w:t>W</w:t>
      </w:r>
      <w:r w:rsidRPr="00E04D4E" w:rsidR="00D7558A">
        <w:rPr>
          <w:rFonts w:ascii="Times New Roman" w:hAnsi="Times New Roman"/>
          <w:sz w:val="22"/>
          <w:szCs w:val="22"/>
        </w:rPr>
        <w:t>e are submitting this request for renewal purposes only.</w:t>
      </w:r>
      <w:r w:rsidRPr="00E04D4E" w:rsidR="008E34B0">
        <w:rPr>
          <w:rFonts w:ascii="Times New Roman" w:hAnsi="Times New Roman"/>
          <w:sz w:val="22"/>
          <w:szCs w:val="22"/>
        </w:rPr>
        <w:t xml:space="preserve"> </w:t>
      </w:r>
    </w:p>
    <w:p w:rsidR="00342FC6" w:rsidRPr="00342FC6" w:rsidP="00342FC6" w14:paraId="514EC722" w14:textId="77777777">
      <w:pPr>
        <w:pStyle w:val="Heading1"/>
        <w:numPr>
          <w:ilvl w:val="0"/>
          <w:numId w:val="8"/>
        </w:numPr>
        <w:ind w:hanging="720"/>
        <w:rPr>
          <w:rFonts w:ascii="Times New Roman" w:hAnsi="Times New Roman"/>
          <w:sz w:val="22"/>
          <w:szCs w:val="22"/>
          <w:u w:val="single"/>
        </w:rPr>
      </w:pPr>
      <w:r w:rsidRPr="00342FC6">
        <w:rPr>
          <w:rFonts w:ascii="Times New Roman" w:hAnsi="Times New Roman"/>
          <w:sz w:val="22"/>
          <w:szCs w:val="22"/>
          <w:u w:val="single"/>
        </w:rPr>
        <w:t>PLANS FOR TABULATION, STATISTICAL ANALYSIS AND PUBLICATION</w:t>
      </w:r>
    </w:p>
    <w:p w:rsidR="00894418" w:rsidRPr="00E04D4E" w14:paraId="017BDBE0" w14:textId="591ECFC9">
      <w:pPr>
        <w:rPr>
          <w:rFonts w:ascii="Times New Roman" w:hAnsi="Times New Roman"/>
          <w:sz w:val="22"/>
          <w:szCs w:val="22"/>
        </w:rPr>
      </w:pPr>
    </w:p>
    <w:p w:rsidR="00894418" w:rsidRPr="00E04D4E" w:rsidP="005668A3" w14:paraId="07AED2F5" w14:textId="6533C0BB">
      <w:pPr>
        <w:ind w:left="720" w:firstLine="15"/>
        <w:rPr>
          <w:rFonts w:ascii="Times New Roman" w:hAnsi="Times New Roman"/>
          <w:sz w:val="22"/>
          <w:szCs w:val="22"/>
        </w:rPr>
      </w:pPr>
      <w:r w:rsidRPr="00E04D4E">
        <w:rPr>
          <w:rFonts w:ascii="Times New Roman" w:hAnsi="Times New Roman"/>
          <w:snapToGrid w:val="0"/>
          <w:sz w:val="22"/>
          <w:szCs w:val="22"/>
        </w:rPr>
        <w:t xml:space="preserve">There are no plans for tabulation, statistical </w:t>
      </w:r>
      <w:r w:rsidRPr="00E04D4E" w:rsidR="00E04D4E">
        <w:rPr>
          <w:rFonts w:ascii="Times New Roman" w:hAnsi="Times New Roman"/>
          <w:snapToGrid w:val="0"/>
          <w:sz w:val="22"/>
          <w:szCs w:val="22"/>
        </w:rPr>
        <w:t>analysis,</w:t>
      </w:r>
      <w:r w:rsidRPr="00E04D4E">
        <w:rPr>
          <w:rFonts w:ascii="Times New Roman" w:hAnsi="Times New Roman"/>
          <w:snapToGrid w:val="0"/>
          <w:sz w:val="22"/>
          <w:szCs w:val="22"/>
        </w:rPr>
        <w:t xml:space="preserve"> and publication.</w:t>
      </w:r>
    </w:p>
    <w:p w:rsidR="00BE387D" w:rsidRPr="00E04D4E" w14:paraId="47AB2CEC" w14:textId="77777777">
      <w:pPr>
        <w:rPr>
          <w:rFonts w:ascii="Times New Roman" w:hAnsi="Times New Roman"/>
          <w:sz w:val="22"/>
          <w:szCs w:val="22"/>
        </w:rPr>
      </w:pPr>
    </w:p>
    <w:p w:rsidR="00894418" w:rsidRPr="00E04D4E" w:rsidP="00D37D90" w14:paraId="16D9E9DB" w14:textId="327EB1A0">
      <w:pPr>
        <w:pStyle w:val="Level1"/>
        <w:numPr>
          <w:ilvl w:val="0"/>
          <w:numId w:val="3"/>
        </w:numPr>
        <w:tabs>
          <w:tab w:val="left" w:pos="-1440"/>
        </w:tabs>
        <w:ind w:left="720" w:hanging="720"/>
        <w:rPr>
          <w:rFonts w:ascii="Times New Roman" w:hAnsi="Times New Roman"/>
          <w:sz w:val="22"/>
          <w:szCs w:val="22"/>
        </w:rPr>
      </w:pPr>
      <w:r w:rsidRPr="00E04D4E">
        <w:rPr>
          <w:rFonts w:ascii="Times New Roman" w:hAnsi="Times New Roman"/>
          <w:sz w:val="22"/>
          <w:szCs w:val="22"/>
          <w:u w:val="single"/>
        </w:rPr>
        <w:t>REASONS WHY DISPLAYING THE OMB EXPIRATION DATE IS</w:t>
      </w:r>
      <w:r w:rsidR="00E04D4E">
        <w:rPr>
          <w:rFonts w:ascii="Times New Roman" w:hAnsi="Times New Roman"/>
          <w:sz w:val="22"/>
          <w:szCs w:val="22"/>
          <w:u w:val="single"/>
        </w:rPr>
        <w:t xml:space="preserve"> </w:t>
      </w:r>
      <w:r w:rsidRPr="00E04D4E">
        <w:rPr>
          <w:rFonts w:ascii="Times New Roman" w:hAnsi="Times New Roman"/>
          <w:sz w:val="22"/>
          <w:szCs w:val="22"/>
          <w:u w:val="single"/>
        </w:rPr>
        <w:t>INAPPROPRIATE</w:t>
      </w:r>
    </w:p>
    <w:p w:rsidR="00894418" w:rsidRPr="00E04D4E" w14:paraId="40ED289C" w14:textId="77777777">
      <w:pPr>
        <w:rPr>
          <w:rFonts w:ascii="Times New Roman" w:hAnsi="Times New Roman"/>
          <w:sz w:val="22"/>
          <w:szCs w:val="22"/>
        </w:rPr>
      </w:pPr>
    </w:p>
    <w:p w:rsidR="00894418" w:rsidRPr="00E04D4E" w:rsidP="005668A3" w14:paraId="653BCF66" w14:textId="30E2499E">
      <w:pPr>
        <w:ind w:left="720"/>
        <w:rPr>
          <w:rFonts w:ascii="Times New Roman" w:hAnsi="Times New Roman"/>
          <w:sz w:val="22"/>
          <w:szCs w:val="22"/>
        </w:rPr>
      </w:pPr>
      <w:r>
        <w:rPr>
          <w:rFonts w:ascii="Times New Roman" w:hAnsi="Times New Roman"/>
          <w:sz w:val="22"/>
          <w:szCs w:val="22"/>
        </w:rPr>
        <w:t xml:space="preserve">The </w:t>
      </w:r>
      <w:r w:rsidRPr="00E04D4E" w:rsidR="005E301C">
        <w:rPr>
          <w:rFonts w:ascii="Times New Roman" w:hAnsi="Times New Roman"/>
          <w:sz w:val="22"/>
          <w:szCs w:val="22"/>
        </w:rPr>
        <w:t xml:space="preserve">IRS believes that displaying the OMB expiration date is inappropriate because it could cause confusion by leading taxpayers to believe that the </w:t>
      </w:r>
      <w:r w:rsidR="00194237">
        <w:rPr>
          <w:rFonts w:ascii="Times New Roman" w:hAnsi="Times New Roman"/>
          <w:sz w:val="22"/>
          <w:szCs w:val="22"/>
        </w:rPr>
        <w:t>collection</w:t>
      </w:r>
      <w:r w:rsidRPr="00E04D4E" w:rsidR="005E301C">
        <w:rPr>
          <w:rFonts w:ascii="Times New Roman" w:hAnsi="Times New Roman"/>
          <w:sz w:val="22"/>
          <w:szCs w:val="22"/>
        </w:rPr>
        <w:t xml:space="preserve"> </w:t>
      </w:r>
      <w:r>
        <w:rPr>
          <w:rFonts w:ascii="Times New Roman" w:hAnsi="Times New Roman"/>
          <w:sz w:val="22"/>
          <w:szCs w:val="22"/>
        </w:rPr>
        <w:t>expires</w:t>
      </w:r>
      <w:r w:rsidRPr="00E04D4E">
        <w:rPr>
          <w:rFonts w:ascii="Times New Roman" w:hAnsi="Times New Roman"/>
          <w:sz w:val="22"/>
          <w:szCs w:val="22"/>
        </w:rPr>
        <w:t xml:space="preserve"> </w:t>
      </w:r>
      <w:r w:rsidRPr="00E04D4E" w:rsidR="005E301C">
        <w:rPr>
          <w:rFonts w:ascii="Times New Roman" w:hAnsi="Times New Roman"/>
          <w:sz w:val="22"/>
          <w:szCs w:val="22"/>
        </w:rPr>
        <w:t xml:space="preserve">as of the expiration date.  Taxpayers are not likely to be aware that the </w:t>
      </w:r>
      <w:r w:rsidR="00186A71">
        <w:rPr>
          <w:rFonts w:ascii="Times New Roman" w:hAnsi="Times New Roman"/>
          <w:sz w:val="22"/>
          <w:szCs w:val="22"/>
        </w:rPr>
        <w:t>IRS</w:t>
      </w:r>
      <w:r w:rsidRPr="00E04D4E" w:rsidR="005E301C">
        <w:rPr>
          <w:rFonts w:ascii="Times New Roman" w:hAnsi="Times New Roman"/>
          <w:sz w:val="22"/>
          <w:szCs w:val="22"/>
        </w:rPr>
        <w:t xml:space="preserve"> intends to request renewal of OMB approval and obtain a new expiration date before the old one expires</w:t>
      </w:r>
      <w:r w:rsidRPr="00E04D4E" w:rsidR="005668A3">
        <w:rPr>
          <w:rFonts w:ascii="Times New Roman" w:hAnsi="Times New Roman"/>
          <w:sz w:val="22"/>
          <w:szCs w:val="22"/>
        </w:rPr>
        <w:t>.</w:t>
      </w:r>
    </w:p>
    <w:p w:rsidR="005668A3" w:rsidRPr="00E04D4E" w:rsidP="005668A3" w14:paraId="42905705" w14:textId="77777777">
      <w:pPr>
        <w:ind w:left="720"/>
        <w:rPr>
          <w:rFonts w:ascii="Times New Roman" w:hAnsi="Times New Roman"/>
          <w:sz w:val="22"/>
          <w:szCs w:val="22"/>
        </w:rPr>
      </w:pPr>
    </w:p>
    <w:p w:rsidR="00894418" w:rsidRPr="00E04D4E" w:rsidP="00D37D90" w14:paraId="366721ED" w14:textId="77777777">
      <w:pPr>
        <w:pStyle w:val="Level1"/>
        <w:numPr>
          <w:ilvl w:val="0"/>
          <w:numId w:val="3"/>
        </w:numPr>
        <w:tabs>
          <w:tab w:val="left" w:pos="-1440"/>
        </w:tabs>
        <w:rPr>
          <w:rFonts w:ascii="Times New Roman" w:hAnsi="Times New Roman"/>
          <w:sz w:val="22"/>
          <w:szCs w:val="22"/>
        </w:rPr>
      </w:pPr>
      <w:r w:rsidRPr="00E04D4E">
        <w:rPr>
          <w:rFonts w:ascii="Times New Roman" w:hAnsi="Times New Roman"/>
          <w:sz w:val="22"/>
          <w:szCs w:val="22"/>
          <w:u w:val="single"/>
        </w:rPr>
        <w:t>EXCEPTIONS TO THE CERTIFICATION STATEMENT</w:t>
      </w:r>
    </w:p>
    <w:p w:rsidR="00894418" w:rsidRPr="00E04D4E" w14:paraId="2D8D4309" w14:textId="77777777">
      <w:pPr>
        <w:rPr>
          <w:rFonts w:ascii="Times New Roman" w:hAnsi="Times New Roman"/>
          <w:sz w:val="22"/>
          <w:szCs w:val="22"/>
        </w:rPr>
      </w:pPr>
    </w:p>
    <w:p w:rsidR="00894418" w:rsidRPr="00E04D4E" w14:paraId="1F51841E" w14:textId="77777777">
      <w:pPr>
        <w:ind w:firstLine="720"/>
        <w:rPr>
          <w:rFonts w:ascii="Times New Roman" w:hAnsi="Times New Roman"/>
          <w:sz w:val="22"/>
          <w:szCs w:val="22"/>
        </w:rPr>
      </w:pPr>
      <w:r w:rsidRPr="00E04D4E">
        <w:rPr>
          <w:rFonts w:ascii="Times New Roman" w:hAnsi="Times New Roman"/>
          <w:sz w:val="22"/>
          <w:szCs w:val="22"/>
        </w:rPr>
        <w:t>There are no exceptions to the certification statement.</w:t>
      </w:r>
    </w:p>
    <w:sectPr w:rsidSect="00127866">
      <w:type w:val="continuous"/>
      <w:pgSz w:w="12240" w:h="15840"/>
      <w:pgMar w:top="1440" w:right="1440" w:bottom="180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3">
    <w:nsid w:val="1E363195"/>
    <w:multiLevelType w:val="hybridMultilevel"/>
    <w:tmpl w:val="D464AAF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EB395F"/>
    <w:multiLevelType w:val="hybridMultilevel"/>
    <w:tmpl w:val="3D962E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ED60C1"/>
    <w:multiLevelType w:val="hybridMultilevel"/>
    <w:tmpl w:val="285CA3E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165F41"/>
    <w:multiLevelType w:val="hybridMultilevel"/>
    <w:tmpl w:val="3BE082BC"/>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D205CD"/>
    <w:multiLevelType w:val="hybridMultilevel"/>
    <w:tmpl w:val="70E68728"/>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759092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04893561">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12474063">
    <w:abstractNumId w:val="2"/>
  </w:num>
  <w:num w:numId="4" w16cid:durableId="1112088118">
    <w:abstractNumId w:val="4"/>
  </w:num>
  <w:num w:numId="5" w16cid:durableId="2103723273">
    <w:abstractNumId w:val="3"/>
  </w:num>
  <w:num w:numId="6" w16cid:durableId="215090837">
    <w:abstractNumId w:val="5"/>
  </w:num>
  <w:num w:numId="7" w16cid:durableId="4718931">
    <w:abstractNumId w:val="7"/>
  </w:num>
  <w:num w:numId="8" w16cid:durableId="1710958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18"/>
    <w:rsid w:val="000317F3"/>
    <w:rsid w:val="00033535"/>
    <w:rsid w:val="000B30C5"/>
    <w:rsid w:val="000D1446"/>
    <w:rsid w:val="0010293A"/>
    <w:rsid w:val="001033CA"/>
    <w:rsid w:val="00115C3E"/>
    <w:rsid w:val="00127866"/>
    <w:rsid w:val="00133C4A"/>
    <w:rsid w:val="00153811"/>
    <w:rsid w:val="00186A71"/>
    <w:rsid w:val="00194237"/>
    <w:rsid w:val="001A1CA2"/>
    <w:rsid w:val="0021211A"/>
    <w:rsid w:val="00213304"/>
    <w:rsid w:val="00241B57"/>
    <w:rsid w:val="002E0404"/>
    <w:rsid w:val="002F0E54"/>
    <w:rsid w:val="002F6C8B"/>
    <w:rsid w:val="00310E45"/>
    <w:rsid w:val="0033180A"/>
    <w:rsid w:val="00342FC6"/>
    <w:rsid w:val="00374F04"/>
    <w:rsid w:val="003951ED"/>
    <w:rsid w:val="003C613F"/>
    <w:rsid w:val="003D03EC"/>
    <w:rsid w:val="003D3A76"/>
    <w:rsid w:val="00414355"/>
    <w:rsid w:val="00416D2E"/>
    <w:rsid w:val="00495DFF"/>
    <w:rsid w:val="004C4228"/>
    <w:rsid w:val="004E5B0E"/>
    <w:rsid w:val="004E72E4"/>
    <w:rsid w:val="005443EF"/>
    <w:rsid w:val="005668A3"/>
    <w:rsid w:val="005E301C"/>
    <w:rsid w:val="005E53D1"/>
    <w:rsid w:val="00615FF7"/>
    <w:rsid w:val="00692CEC"/>
    <w:rsid w:val="00694645"/>
    <w:rsid w:val="00694EC2"/>
    <w:rsid w:val="006956F8"/>
    <w:rsid w:val="006B353A"/>
    <w:rsid w:val="006D39B9"/>
    <w:rsid w:val="00792237"/>
    <w:rsid w:val="007B7711"/>
    <w:rsid w:val="00802DBC"/>
    <w:rsid w:val="00820B40"/>
    <w:rsid w:val="008250F5"/>
    <w:rsid w:val="00850DBA"/>
    <w:rsid w:val="008818C1"/>
    <w:rsid w:val="00894418"/>
    <w:rsid w:val="008958DA"/>
    <w:rsid w:val="008B06DA"/>
    <w:rsid w:val="008C641B"/>
    <w:rsid w:val="008E34B0"/>
    <w:rsid w:val="009201A2"/>
    <w:rsid w:val="00974A01"/>
    <w:rsid w:val="009B0447"/>
    <w:rsid w:val="009D434B"/>
    <w:rsid w:val="009E453C"/>
    <w:rsid w:val="009E7690"/>
    <w:rsid w:val="009F38F0"/>
    <w:rsid w:val="00A26206"/>
    <w:rsid w:val="00A635EC"/>
    <w:rsid w:val="00A80A76"/>
    <w:rsid w:val="00A82E76"/>
    <w:rsid w:val="00A933CE"/>
    <w:rsid w:val="00AE15EE"/>
    <w:rsid w:val="00AF6781"/>
    <w:rsid w:val="00B33DD5"/>
    <w:rsid w:val="00B613A2"/>
    <w:rsid w:val="00B6345E"/>
    <w:rsid w:val="00B72C21"/>
    <w:rsid w:val="00BE387D"/>
    <w:rsid w:val="00C11E27"/>
    <w:rsid w:val="00C12300"/>
    <w:rsid w:val="00C254F7"/>
    <w:rsid w:val="00C46534"/>
    <w:rsid w:val="00C6010A"/>
    <w:rsid w:val="00C6328B"/>
    <w:rsid w:val="00C77026"/>
    <w:rsid w:val="00CE27D7"/>
    <w:rsid w:val="00CE2BE7"/>
    <w:rsid w:val="00CE6394"/>
    <w:rsid w:val="00D135BD"/>
    <w:rsid w:val="00D1657B"/>
    <w:rsid w:val="00D27829"/>
    <w:rsid w:val="00D37D90"/>
    <w:rsid w:val="00D4262D"/>
    <w:rsid w:val="00D45A77"/>
    <w:rsid w:val="00D7558A"/>
    <w:rsid w:val="00DA6CC6"/>
    <w:rsid w:val="00DB4A53"/>
    <w:rsid w:val="00E01C41"/>
    <w:rsid w:val="00E04D4E"/>
    <w:rsid w:val="00E16B62"/>
    <w:rsid w:val="00E20C8E"/>
    <w:rsid w:val="00E9356B"/>
    <w:rsid w:val="00F045F2"/>
    <w:rsid w:val="00F078AB"/>
    <w:rsid w:val="00F273A2"/>
    <w:rsid w:val="00F3734C"/>
    <w:rsid w:val="00F601B7"/>
    <w:rsid w:val="00F72007"/>
    <w:rsid w:val="00F77C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C22A202"/>
  <w15:chartTrackingRefBased/>
  <w15:docId w15:val="{6608C9C4-A23F-47C2-975B-CCC57CCA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
    <w:qFormat/>
    <w:rsid w:val="001033CA"/>
    <w:pPr>
      <w:keepNext/>
      <w:tabs>
        <w:tab w:val="left" w:pos="720"/>
      </w:tabs>
      <w:ind w:left="1440" w:hanging="1440"/>
      <w:outlineLv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C4228"/>
    <w:rPr>
      <w:color w:val="0000FF"/>
      <w:u w:val="single"/>
    </w:rPr>
  </w:style>
  <w:style w:type="character" w:styleId="UnresolvedMention">
    <w:name w:val="Unresolved Mention"/>
    <w:uiPriority w:val="99"/>
    <w:semiHidden/>
    <w:unhideWhenUsed/>
    <w:rsid w:val="008E34B0"/>
    <w:rPr>
      <w:color w:val="808080"/>
      <w:shd w:val="clear" w:color="auto" w:fill="E6E6E6"/>
    </w:rPr>
  </w:style>
  <w:style w:type="character" w:styleId="CommentReference">
    <w:name w:val="annotation reference"/>
    <w:basedOn w:val="DefaultParagraphFont"/>
    <w:rsid w:val="006D39B9"/>
    <w:rPr>
      <w:sz w:val="16"/>
      <w:szCs w:val="16"/>
    </w:rPr>
  </w:style>
  <w:style w:type="paragraph" w:styleId="CommentText">
    <w:name w:val="annotation text"/>
    <w:basedOn w:val="Normal"/>
    <w:link w:val="CommentTextChar"/>
    <w:rsid w:val="006D39B9"/>
    <w:rPr>
      <w:sz w:val="20"/>
      <w:szCs w:val="20"/>
    </w:rPr>
  </w:style>
  <w:style w:type="character" w:customStyle="1" w:styleId="CommentTextChar">
    <w:name w:val="Comment Text Char"/>
    <w:basedOn w:val="DefaultParagraphFont"/>
    <w:link w:val="CommentText"/>
    <w:rsid w:val="006D39B9"/>
    <w:rPr>
      <w:rFonts w:ascii="Courier" w:hAnsi="Courier"/>
    </w:rPr>
  </w:style>
  <w:style w:type="paragraph" w:styleId="CommentSubject">
    <w:name w:val="annotation subject"/>
    <w:basedOn w:val="CommentText"/>
    <w:next w:val="CommentText"/>
    <w:link w:val="CommentSubjectChar"/>
    <w:rsid w:val="006D39B9"/>
    <w:rPr>
      <w:b/>
      <w:bCs/>
    </w:rPr>
  </w:style>
  <w:style w:type="character" w:customStyle="1" w:styleId="CommentSubjectChar">
    <w:name w:val="Comment Subject Char"/>
    <w:basedOn w:val="CommentTextChar"/>
    <w:link w:val="CommentSubject"/>
    <w:rsid w:val="006D39B9"/>
    <w:rPr>
      <w:rFonts w:ascii="Courier" w:hAnsi="Courier"/>
      <w:b/>
      <w:bCs/>
    </w:rPr>
  </w:style>
  <w:style w:type="character" w:customStyle="1" w:styleId="Heading1Char">
    <w:name w:val="Heading 1 Char"/>
    <w:basedOn w:val="DefaultParagraphFont"/>
    <w:link w:val="Heading1"/>
    <w:uiPriority w:val="9"/>
    <w:rsid w:val="001033CA"/>
    <w:rPr>
      <w:rFonts w:ascii="CG Times" w:hAnsi="CG Times"/>
      <w:sz w:val="24"/>
      <w:szCs w:val="24"/>
    </w:rPr>
  </w:style>
  <w:style w:type="paragraph" w:styleId="Revision">
    <w:name w:val="Revision"/>
    <w:hidden/>
    <w:uiPriority w:val="99"/>
    <w:semiHidden/>
    <w:rsid w:val="00241B57"/>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2372b85-8802-490c-b196-7b96c73fee3b}" enabled="0" method="" siteId="{f2372b85-8802-490c-b196-7b96c73fee3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Jon R. Callahan</cp:lastModifiedBy>
  <cp:revision>3</cp:revision>
  <cp:lastPrinted>2006-05-24T14:55:00Z</cp:lastPrinted>
  <dcterms:created xsi:type="dcterms:W3CDTF">2026-05-22T13:19:00Z</dcterms:created>
  <dcterms:modified xsi:type="dcterms:W3CDTF">2026-05-22T13:19:00Z</dcterms:modified>
</cp:coreProperties>
</file>