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15069" w:rsidRPr="0084502F" w:rsidP="00715069" w14:paraId="0160CD32" w14:textId="042356FB">
      <w:pPr>
        <w:pStyle w:val="Heading1"/>
      </w:pPr>
      <w:bookmarkStart w:id="0" w:name="_Toc215310900"/>
      <w:bookmarkStart w:id="1" w:name="_Toc215312873"/>
      <w:r w:rsidRPr="00D67B9F">
        <w:drawing>
          <wp:anchor distT="0" distB="0" distL="114300" distR="114300" simplePos="0" relativeHeight="251658240" behindDoc="1" locked="0" layoutInCell="1" allowOverlap="1">
            <wp:simplePos x="0" y="0"/>
            <wp:positionH relativeFrom="page">
              <wp:posOffset>0</wp:posOffset>
            </wp:positionH>
            <wp:positionV relativeFrom="paragraph">
              <wp:posOffset>-195799</wp:posOffset>
            </wp:positionV>
            <wp:extent cx="7772400" cy="10058400"/>
            <wp:effectExtent l="0" t="0" r="0" b="0"/>
            <wp:wrapNone/>
            <wp:docPr id="19" name="Picture 13" descr="A white background with blue and white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3" descr="A white background with blue and white circles"/>
                    <pic:cNvPicPr>
                      <a:picLocks noChangeAspect="1" noChangeArrowheads="1"/>
                    </pic:cNvPicPr>
                  </pic:nvPicPr>
                  <pic:blipFill>
                    <a:blip xmlns:r="http://schemas.openxmlformats.org/officeDocument/2006/relationships" r:embed="rId10"/>
                    <a:stretch>
                      <a:fillRect/>
                    </a:stretch>
                  </pic:blipFill>
                  <pic:spPr bwMode="auto">
                    <a:xfrm>
                      <a:off x="0" y="0"/>
                      <a:ext cx="7772400" cy="10058400"/>
                    </a:xfrm>
                    <a:prstGeom prst="rect">
                      <a:avLst/>
                    </a:prstGeom>
                    <a:noFill/>
                    <a:ln>
                      <a:noFill/>
                    </a:ln>
                  </pic:spPr>
                </pic:pic>
              </a:graphicData>
            </a:graphic>
          </wp:anchor>
        </w:drawing>
      </w:r>
      <w:r w:rsidRPr="0084502F">
        <w:t>National Study of Special Education Spending</w:t>
      </w:r>
      <w:bookmarkEnd w:id="0"/>
      <w:bookmarkEnd w:id="1"/>
      <w:r w:rsidR="00AE519D">
        <w:t xml:space="preserve"> </w:t>
      </w:r>
    </w:p>
    <w:p w:rsidR="00715069" w:rsidP="00715069" w14:paraId="71181BDE" w14:textId="7EE02601">
      <w:pPr>
        <w:pStyle w:val="DocumentSubtitle"/>
      </w:pPr>
      <w:bookmarkStart w:id="2" w:name="_Toc215310901"/>
      <w:r>
        <w:t>Supporting Statement for OMB Clearance Request</w:t>
      </w:r>
      <w:r w:rsidR="00AE519D">
        <w:t xml:space="preserve"> for </w:t>
      </w:r>
      <w:r w:rsidR="00761AA7">
        <w:t xml:space="preserve">Full-Scale </w:t>
      </w:r>
      <w:r w:rsidR="00AE519D">
        <w:t>Study Recruitment Activities</w:t>
      </w:r>
      <w:r w:rsidR="00761AA7">
        <w:t xml:space="preserve"> (Phase 1)</w:t>
      </w:r>
      <w:r>
        <w:br/>
        <w:t>Part A: Justification</w:t>
      </w:r>
      <w:bookmarkEnd w:id="2"/>
    </w:p>
    <w:p w:rsidR="37E32E00" w:rsidP="5002F315" w14:paraId="12DBEB86" w14:textId="5C3188E9">
      <w:pPr>
        <w:pStyle w:val="DocumentDate"/>
      </w:pPr>
      <w:r>
        <w:t>April</w:t>
      </w:r>
      <w:r>
        <w:t xml:space="preserve"> 2026</w:t>
      </w:r>
    </w:p>
    <w:p w:rsidR="004A0566" w:rsidP="00715069" w14:paraId="642C2C0E" w14:textId="77777777">
      <w:pPr>
        <w:pStyle w:val="DocumentDate"/>
        <w:sectPr w:rsidSect="004A0566">
          <w:headerReference w:type="default" r:id="rId11"/>
          <w:footerReference w:type="default" r:id="rId12"/>
          <w:pgSz w:w="12240" w:h="15840" w:code="1"/>
          <w:pgMar w:top="1440" w:right="1440" w:bottom="1440" w:left="1440" w:header="720" w:footer="432" w:gutter="0"/>
          <w:pgNumType w:fmt="lowerRoman" w:start="1"/>
          <w:cols w:space="720"/>
          <w:docGrid w:linePitch="326"/>
        </w:sectPr>
      </w:pPr>
    </w:p>
    <w:p w:rsidR="00715069" w:rsidP="00715069" w14:paraId="14FEEECF" w14:textId="038B22E2">
      <w:pPr>
        <w:pStyle w:val="TOCHeading"/>
      </w:pPr>
      <w:r w:rsidRPr="00552958">
        <w:t>Table of Contents</w:t>
      </w:r>
    </w:p>
    <w:p w:rsidR="00715069" w:rsidRPr="00715069" w:rsidP="00715069" w14:paraId="4075DAC3" w14:textId="77777777">
      <w:pPr>
        <w:pStyle w:val="H2TOCLine1-12-6"/>
        <w:framePr w:wrap="notBeside"/>
        <w:rPr>
          <w:lang w:eastAsia="en-US"/>
        </w:rPr>
      </w:pPr>
    </w:p>
    <w:p w:rsidR="00D1278F" w14:paraId="079D94D1" w14:textId="6CE32CBF">
      <w:pPr>
        <w:pStyle w:val="TOC1"/>
        <w:rPr>
          <w:rFonts w:eastAsiaTheme="minorEastAsia" w:cstheme="minorBidi"/>
          <w:color w:val="auto"/>
          <w:kern w:val="2"/>
          <w14:ligatures w14:val="standardContextual"/>
        </w:rPr>
      </w:pPr>
      <w:r>
        <w:fldChar w:fldCharType="begin"/>
      </w:r>
      <w:r>
        <w:instrText xml:space="preserve"> TOC \h \z \t "Heading 3,2,Heading 2 Report,1" </w:instrText>
      </w:r>
      <w:r>
        <w:fldChar w:fldCharType="separate"/>
      </w:r>
      <w:hyperlink w:anchor="_Toc217325178" w:history="1">
        <w:r w:rsidRPr="006B700F">
          <w:rPr>
            <w:rStyle w:val="Hyperlink"/>
          </w:rPr>
          <w:t>Introduction</w:t>
        </w:r>
        <w:r>
          <w:rPr>
            <w:webHidden/>
          </w:rPr>
          <w:tab/>
        </w:r>
        <w:r>
          <w:rPr>
            <w:webHidden/>
          </w:rPr>
          <w:fldChar w:fldCharType="begin"/>
        </w:r>
        <w:r>
          <w:rPr>
            <w:webHidden/>
          </w:rPr>
          <w:instrText xml:space="preserve"> PAGEREF _Toc217325178 \h </w:instrText>
        </w:r>
        <w:r>
          <w:rPr>
            <w:webHidden/>
          </w:rPr>
          <w:fldChar w:fldCharType="separate"/>
        </w:r>
        <w:r>
          <w:rPr>
            <w:webHidden/>
          </w:rPr>
          <w:t>1</w:t>
        </w:r>
        <w:r>
          <w:rPr>
            <w:webHidden/>
          </w:rPr>
          <w:fldChar w:fldCharType="end"/>
        </w:r>
      </w:hyperlink>
    </w:p>
    <w:p w:rsidR="00D1278F" w14:paraId="4362D936" w14:textId="31063DFB">
      <w:pPr>
        <w:pStyle w:val="TOC2"/>
        <w:rPr>
          <w:rFonts w:eastAsiaTheme="minorEastAsia" w:cstheme="minorBidi"/>
          <w:color w:val="auto"/>
          <w:kern w:val="2"/>
          <w14:ligatures w14:val="standardContextual"/>
        </w:rPr>
      </w:pPr>
      <w:hyperlink w:anchor="_Toc217325179" w:history="1">
        <w:r w:rsidRPr="006B700F">
          <w:rPr>
            <w:rStyle w:val="Hyperlink"/>
          </w:rPr>
          <w:t>A.1. Circumstances Making Collection of Information Necessary</w:t>
        </w:r>
        <w:r>
          <w:rPr>
            <w:webHidden/>
          </w:rPr>
          <w:tab/>
        </w:r>
        <w:r>
          <w:rPr>
            <w:webHidden/>
          </w:rPr>
          <w:fldChar w:fldCharType="begin"/>
        </w:r>
        <w:r>
          <w:rPr>
            <w:webHidden/>
          </w:rPr>
          <w:instrText xml:space="preserve"> PAGEREF _Toc217325179 \h </w:instrText>
        </w:r>
        <w:r>
          <w:rPr>
            <w:webHidden/>
          </w:rPr>
          <w:fldChar w:fldCharType="separate"/>
        </w:r>
        <w:r>
          <w:rPr>
            <w:webHidden/>
          </w:rPr>
          <w:t>1</w:t>
        </w:r>
        <w:r>
          <w:rPr>
            <w:webHidden/>
          </w:rPr>
          <w:fldChar w:fldCharType="end"/>
        </w:r>
      </w:hyperlink>
    </w:p>
    <w:p w:rsidR="00D1278F" w14:paraId="4233CACD" w14:textId="16EA6D1F">
      <w:pPr>
        <w:pStyle w:val="TOC2"/>
        <w:rPr>
          <w:rFonts w:eastAsiaTheme="minorEastAsia" w:cstheme="minorBidi"/>
          <w:color w:val="auto"/>
          <w:kern w:val="2"/>
          <w14:ligatures w14:val="standardContextual"/>
        </w:rPr>
      </w:pPr>
      <w:hyperlink w:anchor="_Toc217325180" w:history="1">
        <w:r w:rsidRPr="006B700F">
          <w:rPr>
            <w:rStyle w:val="Hyperlink"/>
          </w:rPr>
          <w:t>A.2. Purposes and Uses of the Data</w:t>
        </w:r>
        <w:r>
          <w:rPr>
            <w:webHidden/>
          </w:rPr>
          <w:tab/>
        </w:r>
        <w:r>
          <w:rPr>
            <w:webHidden/>
          </w:rPr>
          <w:fldChar w:fldCharType="begin"/>
        </w:r>
        <w:r>
          <w:rPr>
            <w:webHidden/>
          </w:rPr>
          <w:instrText xml:space="preserve"> PAGEREF _Toc217325180 \h </w:instrText>
        </w:r>
        <w:r>
          <w:rPr>
            <w:webHidden/>
          </w:rPr>
          <w:fldChar w:fldCharType="separate"/>
        </w:r>
        <w:r>
          <w:rPr>
            <w:webHidden/>
          </w:rPr>
          <w:t>3</w:t>
        </w:r>
        <w:r>
          <w:rPr>
            <w:webHidden/>
          </w:rPr>
          <w:fldChar w:fldCharType="end"/>
        </w:r>
      </w:hyperlink>
    </w:p>
    <w:p w:rsidR="00D1278F" w14:paraId="57F800AC" w14:textId="67790C8B">
      <w:pPr>
        <w:pStyle w:val="TOC2"/>
        <w:rPr>
          <w:rFonts w:eastAsiaTheme="minorEastAsia" w:cstheme="minorBidi"/>
          <w:color w:val="auto"/>
          <w:kern w:val="2"/>
          <w14:ligatures w14:val="standardContextual"/>
        </w:rPr>
      </w:pPr>
      <w:hyperlink w:anchor="_Toc217325181" w:history="1">
        <w:r w:rsidRPr="006B700F">
          <w:rPr>
            <w:rStyle w:val="Hyperlink"/>
          </w:rPr>
          <w:t>A.3. Use of Technology to Reduce Burden</w:t>
        </w:r>
        <w:r>
          <w:rPr>
            <w:webHidden/>
          </w:rPr>
          <w:tab/>
        </w:r>
        <w:r>
          <w:rPr>
            <w:webHidden/>
          </w:rPr>
          <w:fldChar w:fldCharType="begin"/>
        </w:r>
        <w:r>
          <w:rPr>
            <w:webHidden/>
          </w:rPr>
          <w:instrText xml:space="preserve"> PAGEREF _Toc217325181 \h </w:instrText>
        </w:r>
        <w:r>
          <w:rPr>
            <w:webHidden/>
          </w:rPr>
          <w:fldChar w:fldCharType="separate"/>
        </w:r>
        <w:r>
          <w:rPr>
            <w:webHidden/>
          </w:rPr>
          <w:t>8</w:t>
        </w:r>
        <w:r>
          <w:rPr>
            <w:webHidden/>
          </w:rPr>
          <w:fldChar w:fldCharType="end"/>
        </w:r>
      </w:hyperlink>
    </w:p>
    <w:p w:rsidR="00D1278F" w14:paraId="603EBD65" w14:textId="0BE433CC">
      <w:pPr>
        <w:pStyle w:val="TOC2"/>
        <w:rPr>
          <w:rFonts w:eastAsiaTheme="minorEastAsia" w:cstheme="minorBidi"/>
          <w:color w:val="auto"/>
          <w:kern w:val="2"/>
          <w14:ligatures w14:val="standardContextual"/>
        </w:rPr>
      </w:pPr>
      <w:hyperlink w:anchor="_Toc217325182" w:history="1">
        <w:r w:rsidRPr="006B700F">
          <w:rPr>
            <w:rStyle w:val="Hyperlink"/>
          </w:rPr>
          <w:t>A.4. Efforts to Avoid Duplication</w:t>
        </w:r>
        <w:r>
          <w:rPr>
            <w:webHidden/>
          </w:rPr>
          <w:tab/>
        </w:r>
        <w:r>
          <w:rPr>
            <w:webHidden/>
          </w:rPr>
          <w:fldChar w:fldCharType="begin"/>
        </w:r>
        <w:r>
          <w:rPr>
            <w:webHidden/>
          </w:rPr>
          <w:instrText xml:space="preserve"> PAGEREF _Toc217325182 \h </w:instrText>
        </w:r>
        <w:r>
          <w:rPr>
            <w:webHidden/>
          </w:rPr>
          <w:fldChar w:fldCharType="separate"/>
        </w:r>
        <w:r>
          <w:rPr>
            <w:webHidden/>
          </w:rPr>
          <w:t>9</w:t>
        </w:r>
        <w:r>
          <w:rPr>
            <w:webHidden/>
          </w:rPr>
          <w:fldChar w:fldCharType="end"/>
        </w:r>
      </w:hyperlink>
    </w:p>
    <w:p w:rsidR="00D1278F" w14:paraId="61F4AFA5" w14:textId="44483884">
      <w:pPr>
        <w:pStyle w:val="TOC2"/>
        <w:rPr>
          <w:rFonts w:eastAsiaTheme="minorEastAsia" w:cstheme="minorBidi"/>
          <w:color w:val="auto"/>
          <w:kern w:val="2"/>
          <w14:ligatures w14:val="standardContextual"/>
        </w:rPr>
      </w:pPr>
      <w:hyperlink w:anchor="_Toc217325183" w:history="1">
        <w:r w:rsidRPr="006B700F">
          <w:rPr>
            <w:rStyle w:val="Hyperlink"/>
          </w:rPr>
          <w:t>A.5. Methods to Minimize Burden on Small Businesses and Other Small Entities</w:t>
        </w:r>
        <w:r>
          <w:rPr>
            <w:webHidden/>
          </w:rPr>
          <w:tab/>
        </w:r>
        <w:r>
          <w:rPr>
            <w:webHidden/>
          </w:rPr>
          <w:fldChar w:fldCharType="begin"/>
        </w:r>
        <w:r>
          <w:rPr>
            <w:webHidden/>
          </w:rPr>
          <w:instrText xml:space="preserve"> PAGEREF _Toc217325183 \h </w:instrText>
        </w:r>
        <w:r>
          <w:rPr>
            <w:webHidden/>
          </w:rPr>
          <w:fldChar w:fldCharType="separate"/>
        </w:r>
        <w:r>
          <w:rPr>
            <w:webHidden/>
          </w:rPr>
          <w:t>9</w:t>
        </w:r>
        <w:r>
          <w:rPr>
            <w:webHidden/>
          </w:rPr>
          <w:fldChar w:fldCharType="end"/>
        </w:r>
      </w:hyperlink>
    </w:p>
    <w:p w:rsidR="00D1278F" w14:paraId="030332A0" w14:textId="03E95312">
      <w:pPr>
        <w:pStyle w:val="TOC2"/>
        <w:rPr>
          <w:rFonts w:eastAsiaTheme="minorEastAsia" w:cstheme="minorBidi"/>
          <w:color w:val="auto"/>
          <w:kern w:val="2"/>
          <w14:ligatures w14:val="standardContextual"/>
        </w:rPr>
      </w:pPr>
      <w:hyperlink w:anchor="_Toc217325184" w:history="1">
        <w:r w:rsidRPr="006B700F">
          <w:rPr>
            <w:rStyle w:val="Hyperlink"/>
          </w:rPr>
          <w:t>A.6. Consequences of Not Collecting Data</w:t>
        </w:r>
        <w:r>
          <w:rPr>
            <w:webHidden/>
          </w:rPr>
          <w:tab/>
        </w:r>
        <w:r>
          <w:rPr>
            <w:webHidden/>
          </w:rPr>
          <w:fldChar w:fldCharType="begin"/>
        </w:r>
        <w:r>
          <w:rPr>
            <w:webHidden/>
          </w:rPr>
          <w:instrText xml:space="preserve"> PAGEREF _Toc217325184 \h </w:instrText>
        </w:r>
        <w:r>
          <w:rPr>
            <w:webHidden/>
          </w:rPr>
          <w:fldChar w:fldCharType="separate"/>
        </w:r>
        <w:r>
          <w:rPr>
            <w:webHidden/>
          </w:rPr>
          <w:t>10</w:t>
        </w:r>
        <w:r>
          <w:rPr>
            <w:webHidden/>
          </w:rPr>
          <w:fldChar w:fldCharType="end"/>
        </w:r>
      </w:hyperlink>
    </w:p>
    <w:p w:rsidR="00D1278F" w14:paraId="2CB9C3E5" w14:textId="7788238C">
      <w:pPr>
        <w:pStyle w:val="TOC2"/>
        <w:rPr>
          <w:rFonts w:eastAsiaTheme="minorEastAsia" w:cstheme="minorBidi"/>
          <w:color w:val="auto"/>
          <w:kern w:val="2"/>
          <w14:ligatures w14:val="standardContextual"/>
        </w:rPr>
      </w:pPr>
      <w:hyperlink w:anchor="_Toc217325185" w:history="1">
        <w:r w:rsidRPr="006B700F">
          <w:rPr>
            <w:rStyle w:val="Hyperlink"/>
          </w:rPr>
          <w:t>A.7. Special Circumstances</w:t>
        </w:r>
        <w:r>
          <w:rPr>
            <w:webHidden/>
          </w:rPr>
          <w:tab/>
        </w:r>
        <w:r>
          <w:rPr>
            <w:webHidden/>
          </w:rPr>
          <w:fldChar w:fldCharType="begin"/>
        </w:r>
        <w:r>
          <w:rPr>
            <w:webHidden/>
          </w:rPr>
          <w:instrText xml:space="preserve"> PAGEREF _Toc217325185 \h </w:instrText>
        </w:r>
        <w:r>
          <w:rPr>
            <w:webHidden/>
          </w:rPr>
          <w:fldChar w:fldCharType="separate"/>
        </w:r>
        <w:r>
          <w:rPr>
            <w:webHidden/>
          </w:rPr>
          <w:t>10</w:t>
        </w:r>
        <w:r>
          <w:rPr>
            <w:webHidden/>
          </w:rPr>
          <w:fldChar w:fldCharType="end"/>
        </w:r>
      </w:hyperlink>
    </w:p>
    <w:p w:rsidR="00D1278F" w14:paraId="6D9D02A1" w14:textId="7AEAFB67">
      <w:pPr>
        <w:pStyle w:val="TOC2"/>
        <w:rPr>
          <w:rFonts w:eastAsiaTheme="minorEastAsia" w:cstheme="minorBidi"/>
          <w:color w:val="auto"/>
          <w:kern w:val="2"/>
          <w14:ligatures w14:val="standardContextual"/>
        </w:rPr>
      </w:pPr>
      <w:hyperlink w:anchor="_Toc217325186" w:history="1">
        <w:r w:rsidRPr="006B700F">
          <w:rPr>
            <w:rStyle w:val="Hyperlink"/>
          </w:rPr>
          <w:t>A.8. Consultations Beyond the Agency</w:t>
        </w:r>
        <w:r>
          <w:rPr>
            <w:webHidden/>
          </w:rPr>
          <w:tab/>
        </w:r>
        <w:r>
          <w:rPr>
            <w:webHidden/>
          </w:rPr>
          <w:fldChar w:fldCharType="begin"/>
        </w:r>
        <w:r>
          <w:rPr>
            <w:webHidden/>
          </w:rPr>
          <w:instrText xml:space="preserve"> PAGEREF _Toc217325186 \h </w:instrText>
        </w:r>
        <w:r>
          <w:rPr>
            <w:webHidden/>
          </w:rPr>
          <w:fldChar w:fldCharType="separate"/>
        </w:r>
        <w:r>
          <w:rPr>
            <w:webHidden/>
          </w:rPr>
          <w:t>10</w:t>
        </w:r>
        <w:r>
          <w:rPr>
            <w:webHidden/>
          </w:rPr>
          <w:fldChar w:fldCharType="end"/>
        </w:r>
      </w:hyperlink>
    </w:p>
    <w:p w:rsidR="00D1278F" w14:paraId="3B7AD48C" w14:textId="6F67EF71">
      <w:pPr>
        <w:pStyle w:val="TOC2"/>
        <w:rPr>
          <w:rFonts w:eastAsiaTheme="minorEastAsia" w:cstheme="minorBidi"/>
          <w:color w:val="auto"/>
          <w:kern w:val="2"/>
          <w14:ligatures w14:val="standardContextual"/>
        </w:rPr>
      </w:pPr>
      <w:hyperlink w:anchor="_Toc217325187" w:history="1">
        <w:r w:rsidRPr="006B700F">
          <w:rPr>
            <w:rStyle w:val="Hyperlink"/>
          </w:rPr>
          <w:t>A.9. Payment or Gifts to Respondents</w:t>
        </w:r>
        <w:r>
          <w:rPr>
            <w:webHidden/>
          </w:rPr>
          <w:tab/>
        </w:r>
        <w:r>
          <w:rPr>
            <w:webHidden/>
          </w:rPr>
          <w:fldChar w:fldCharType="begin"/>
        </w:r>
        <w:r>
          <w:rPr>
            <w:webHidden/>
          </w:rPr>
          <w:instrText xml:space="preserve"> PAGEREF _Toc217325187 \h </w:instrText>
        </w:r>
        <w:r>
          <w:rPr>
            <w:webHidden/>
          </w:rPr>
          <w:fldChar w:fldCharType="separate"/>
        </w:r>
        <w:r>
          <w:rPr>
            <w:webHidden/>
          </w:rPr>
          <w:t>11</w:t>
        </w:r>
        <w:r>
          <w:rPr>
            <w:webHidden/>
          </w:rPr>
          <w:fldChar w:fldCharType="end"/>
        </w:r>
      </w:hyperlink>
    </w:p>
    <w:p w:rsidR="00D1278F" w14:paraId="7238D4A6" w14:textId="6792D66B">
      <w:pPr>
        <w:pStyle w:val="TOC2"/>
        <w:rPr>
          <w:rFonts w:eastAsiaTheme="minorEastAsia" w:cstheme="minorBidi"/>
          <w:color w:val="auto"/>
          <w:kern w:val="2"/>
          <w14:ligatures w14:val="standardContextual"/>
        </w:rPr>
      </w:pPr>
      <w:hyperlink w:anchor="_Toc217325188" w:history="1">
        <w:r w:rsidRPr="006B700F">
          <w:rPr>
            <w:rStyle w:val="Hyperlink"/>
          </w:rPr>
          <w:t>A.10. Assurances of Confidentiality Provided to Respondents</w:t>
        </w:r>
        <w:r>
          <w:rPr>
            <w:webHidden/>
          </w:rPr>
          <w:tab/>
        </w:r>
        <w:r>
          <w:rPr>
            <w:webHidden/>
          </w:rPr>
          <w:fldChar w:fldCharType="begin"/>
        </w:r>
        <w:r>
          <w:rPr>
            <w:webHidden/>
          </w:rPr>
          <w:instrText xml:space="preserve"> PAGEREF _Toc217325188 \h </w:instrText>
        </w:r>
        <w:r>
          <w:rPr>
            <w:webHidden/>
          </w:rPr>
          <w:fldChar w:fldCharType="separate"/>
        </w:r>
        <w:r>
          <w:rPr>
            <w:webHidden/>
          </w:rPr>
          <w:t>14</w:t>
        </w:r>
        <w:r>
          <w:rPr>
            <w:webHidden/>
          </w:rPr>
          <w:fldChar w:fldCharType="end"/>
        </w:r>
      </w:hyperlink>
    </w:p>
    <w:p w:rsidR="00D1278F" w14:paraId="0942E3B0" w14:textId="253A8392">
      <w:pPr>
        <w:pStyle w:val="TOC2"/>
        <w:rPr>
          <w:rFonts w:eastAsiaTheme="minorEastAsia" w:cstheme="minorBidi"/>
          <w:color w:val="auto"/>
          <w:kern w:val="2"/>
          <w14:ligatures w14:val="standardContextual"/>
        </w:rPr>
      </w:pPr>
      <w:hyperlink w:anchor="_Toc217325189" w:history="1">
        <w:r w:rsidRPr="006B700F">
          <w:rPr>
            <w:rStyle w:val="Hyperlink"/>
          </w:rPr>
          <w:t>A.11. Justification of Sensitive Questions</w:t>
        </w:r>
        <w:r>
          <w:rPr>
            <w:webHidden/>
          </w:rPr>
          <w:tab/>
        </w:r>
        <w:r>
          <w:rPr>
            <w:webHidden/>
          </w:rPr>
          <w:fldChar w:fldCharType="begin"/>
        </w:r>
        <w:r>
          <w:rPr>
            <w:webHidden/>
          </w:rPr>
          <w:instrText xml:space="preserve"> PAGEREF _Toc217325189 \h </w:instrText>
        </w:r>
        <w:r>
          <w:rPr>
            <w:webHidden/>
          </w:rPr>
          <w:fldChar w:fldCharType="separate"/>
        </w:r>
        <w:r>
          <w:rPr>
            <w:webHidden/>
          </w:rPr>
          <w:t>16</w:t>
        </w:r>
        <w:r>
          <w:rPr>
            <w:webHidden/>
          </w:rPr>
          <w:fldChar w:fldCharType="end"/>
        </w:r>
      </w:hyperlink>
    </w:p>
    <w:p w:rsidR="00D1278F" w14:paraId="66258252" w14:textId="45F69A1B">
      <w:pPr>
        <w:pStyle w:val="TOC2"/>
        <w:rPr>
          <w:rFonts w:eastAsiaTheme="minorEastAsia" w:cstheme="minorBidi"/>
          <w:color w:val="auto"/>
          <w:kern w:val="2"/>
          <w14:ligatures w14:val="standardContextual"/>
        </w:rPr>
      </w:pPr>
      <w:hyperlink w:anchor="_Toc217325190" w:history="1">
        <w:r w:rsidRPr="006B700F">
          <w:rPr>
            <w:rStyle w:val="Hyperlink"/>
          </w:rPr>
          <w:t>A.12. Estimates of Respondent Burden</w:t>
        </w:r>
        <w:r>
          <w:rPr>
            <w:webHidden/>
          </w:rPr>
          <w:tab/>
        </w:r>
        <w:r>
          <w:rPr>
            <w:webHidden/>
          </w:rPr>
          <w:fldChar w:fldCharType="begin"/>
        </w:r>
        <w:r>
          <w:rPr>
            <w:webHidden/>
          </w:rPr>
          <w:instrText xml:space="preserve"> PAGEREF _Toc217325190 \h </w:instrText>
        </w:r>
        <w:r>
          <w:rPr>
            <w:webHidden/>
          </w:rPr>
          <w:fldChar w:fldCharType="separate"/>
        </w:r>
        <w:r>
          <w:rPr>
            <w:webHidden/>
          </w:rPr>
          <w:t>16</w:t>
        </w:r>
        <w:r>
          <w:rPr>
            <w:webHidden/>
          </w:rPr>
          <w:fldChar w:fldCharType="end"/>
        </w:r>
      </w:hyperlink>
    </w:p>
    <w:p w:rsidR="00D1278F" w14:paraId="48056426" w14:textId="54812508">
      <w:pPr>
        <w:pStyle w:val="TOC2"/>
        <w:rPr>
          <w:rFonts w:eastAsiaTheme="minorEastAsia" w:cstheme="minorBidi"/>
          <w:color w:val="auto"/>
          <w:kern w:val="2"/>
          <w14:ligatures w14:val="standardContextual"/>
        </w:rPr>
      </w:pPr>
      <w:hyperlink w:anchor="_Toc217325191" w:history="1">
        <w:r w:rsidRPr="006B700F">
          <w:rPr>
            <w:rStyle w:val="Hyperlink"/>
          </w:rPr>
          <w:t>A.13. Estimates of Other Costs to Respondents</w:t>
        </w:r>
        <w:r>
          <w:rPr>
            <w:webHidden/>
          </w:rPr>
          <w:tab/>
        </w:r>
        <w:r>
          <w:rPr>
            <w:webHidden/>
          </w:rPr>
          <w:fldChar w:fldCharType="begin"/>
        </w:r>
        <w:r>
          <w:rPr>
            <w:webHidden/>
          </w:rPr>
          <w:instrText xml:space="preserve"> PAGEREF _Toc217325191 \h </w:instrText>
        </w:r>
        <w:r>
          <w:rPr>
            <w:webHidden/>
          </w:rPr>
          <w:fldChar w:fldCharType="separate"/>
        </w:r>
        <w:r>
          <w:rPr>
            <w:webHidden/>
          </w:rPr>
          <w:t>17</w:t>
        </w:r>
        <w:r>
          <w:rPr>
            <w:webHidden/>
          </w:rPr>
          <w:fldChar w:fldCharType="end"/>
        </w:r>
      </w:hyperlink>
    </w:p>
    <w:p w:rsidR="00D1278F" w14:paraId="11DFCFE9" w14:textId="5194DC21">
      <w:pPr>
        <w:pStyle w:val="TOC2"/>
        <w:rPr>
          <w:rFonts w:eastAsiaTheme="minorEastAsia" w:cstheme="minorBidi"/>
          <w:color w:val="auto"/>
          <w:kern w:val="2"/>
          <w14:ligatures w14:val="standardContextual"/>
        </w:rPr>
      </w:pPr>
      <w:hyperlink w:anchor="_Toc217325192" w:history="1">
        <w:r w:rsidRPr="006B700F">
          <w:rPr>
            <w:rStyle w:val="Hyperlink"/>
          </w:rPr>
          <w:t>A.14. Estimates of Annualized Costs to the Federal Government</w:t>
        </w:r>
        <w:r>
          <w:rPr>
            <w:webHidden/>
          </w:rPr>
          <w:tab/>
        </w:r>
        <w:r>
          <w:rPr>
            <w:webHidden/>
          </w:rPr>
          <w:fldChar w:fldCharType="begin"/>
        </w:r>
        <w:r>
          <w:rPr>
            <w:webHidden/>
          </w:rPr>
          <w:instrText xml:space="preserve"> PAGEREF _Toc217325192 \h </w:instrText>
        </w:r>
        <w:r>
          <w:rPr>
            <w:webHidden/>
          </w:rPr>
          <w:fldChar w:fldCharType="separate"/>
        </w:r>
        <w:r>
          <w:rPr>
            <w:webHidden/>
          </w:rPr>
          <w:t>17</w:t>
        </w:r>
        <w:r>
          <w:rPr>
            <w:webHidden/>
          </w:rPr>
          <w:fldChar w:fldCharType="end"/>
        </w:r>
      </w:hyperlink>
    </w:p>
    <w:p w:rsidR="00D1278F" w14:paraId="5237E9C5" w14:textId="2B62E517">
      <w:pPr>
        <w:pStyle w:val="TOC2"/>
        <w:rPr>
          <w:rFonts w:eastAsiaTheme="minorEastAsia" w:cstheme="minorBidi"/>
          <w:color w:val="auto"/>
          <w:kern w:val="2"/>
          <w14:ligatures w14:val="standardContextual"/>
        </w:rPr>
      </w:pPr>
      <w:hyperlink w:anchor="_Toc217325193" w:history="1">
        <w:r w:rsidRPr="006B700F">
          <w:rPr>
            <w:rStyle w:val="Hyperlink"/>
          </w:rPr>
          <w:t>A.15. Explanation for Program Changes or Adjustments to Burden</w:t>
        </w:r>
        <w:r>
          <w:rPr>
            <w:webHidden/>
          </w:rPr>
          <w:tab/>
        </w:r>
        <w:r>
          <w:rPr>
            <w:webHidden/>
          </w:rPr>
          <w:fldChar w:fldCharType="begin"/>
        </w:r>
        <w:r>
          <w:rPr>
            <w:webHidden/>
          </w:rPr>
          <w:instrText xml:space="preserve"> PAGEREF _Toc217325193 \h </w:instrText>
        </w:r>
        <w:r>
          <w:rPr>
            <w:webHidden/>
          </w:rPr>
          <w:fldChar w:fldCharType="separate"/>
        </w:r>
        <w:r>
          <w:rPr>
            <w:webHidden/>
          </w:rPr>
          <w:t>17</w:t>
        </w:r>
        <w:r>
          <w:rPr>
            <w:webHidden/>
          </w:rPr>
          <w:fldChar w:fldCharType="end"/>
        </w:r>
      </w:hyperlink>
    </w:p>
    <w:p w:rsidR="00D1278F" w14:paraId="46101963" w14:textId="44D47453">
      <w:pPr>
        <w:pStyle w:val="TOC2"/>
        <w:rPr>
          <w:rFonts w:eastAsiaTheme="minorEastAsia" w:cstheme="minorBidi"/>
          <w:color w:val="auto"/>
          <w:kern w:val="2"/>
          <w14:ligatures w14:val="standardContextual"/>
        </w:rPr>
      </w:pPr>
      <w:hyperlink w:anchor="_Toc217325194" w:history="1">
        <w:r w:rsidRPr="006B700F">
          <w:rPr>
            <w:rStyle w:val="Hyperlink"/>
          </w:rPr>
          <w:t>A.16. Plans for Tabulation and Publication of Results</w:t>
        </w:r>
        <w:r>
          <w:rPr>
            <w:webHidden/>
          </w:rPr>
          <w:tab/>
        </w:r>
        <w:r>
          <w:rPr>
            <w:webHidden/>
          </w:rPr>
          <w:fldChar w:fldCharType="begin"/>
        </w:r>
        <w:r>
          <w:rPr>
            <w:webHidden/>
          </w:rPr>
          <w:instrText xml:space="preserve"> PAGEREF _Toc217325194 \h </w:instrText>
        </w:r>
        <w:r>
          <w:rPr>
            <w:webHidden/>
          </w:rPr>
          <w:fldChar w:fldCharType="separate"/>
        </w:r>
        <w:r>
          <w:rPr>
            <w:webHidden/>
          </w:rPr>
          <w:t>17</w:t>
        </w:r>
        <w:r>
          <w:rPr>
            <w:webHidden/>
          </w:rPr>
          <w:fldChar w:fldCharType="end"/>
        </w:r>
      </w:hyperlink>
    </w:p>
    <w:p w:rsidR="00D1278F" w14:paraId="72AAB73D" w14:textId="26FBA04E">
      <w:pPr>
        <w:pStyle w:val="TOC2"/>
        <w:rPr>
          <w:rFonts w:eastAsiaTheme="minorEastAsia" w:cstheme="minorBidi"/>
          <w:color w:val="auto"/>
          <w:kern w:val="2"/>
          <w14:ligatures w14:val="standardContextual"/>
        </w:rPr>
      </w:pPr>
      <w:hyperlink w:anchor="_Toc217325195" w:history="1">
        <w:r w:rsidRPr="006B700F">
          <w:rPr>
            <w:rStyle w:val="Hyperlink"/>
          </w:rPr>
          <w:t>A.17. Approval to Not Display OMB Expiration Date</w:t>
        </w:r>
        <w:r>
          <w:rPr>
            <w:webHidden/>
          </w:rPr>
          <w:tab/>
        </w:r>
        <w:r>
          <w:rPr>
            <w:webHidden/>
          </w:rPr>
          <w:fldChar w:fldCharType="begin"/>
        </w:r>
        <w:r>
          <w:rPr>
            <w:webHidden/>
          </w:rPr>
          <w:instrText xml:space="preserve"> PAGEREF _Toc217325195 \h </w:instrText>
        </w:r>
        <w:r>
          <w:rPr>
            <w:webHidden/>
          </w:rPr>
          <w:fldChar w:fldCharType="separate"/>
        </w:r>
        <w:r>
          <w:rPr>
            <w:webHidden/>
          </w:rPr>
          <w:t>18</w:t>
        </w:r>
        <w:r>
          <w:rPr>
            <w:webHidden/>
          </w:rPr>
          <w:fldChar w:fldCharType="end"/>
        </w:r>
      </w:hyperlink>
    </w:p>
    <w:p w:rsidR="00D1278F" w14:paraId="1A449BEB" w14:textId="575B5B54">
      <w:pPr>
        <w:pStyle w:val="TOC2"/>
        <w:rPr>
          <w:rFonts w:eastAsiaTheme="minorEastAsia" w:cstheme="minorBidi"/>
          <w:color w:val="auto"/>
          <w:kern w:val="2"/>
          <w14:ligatures w14:val="standardContextual"/>
        </w:rPr>
      </w:pPr>
      <w:hyperlink w:anchor="_Toc217325196" w:history="1">
        <w:r w:rsidRPr="006B700F">
          <w:rPr>
            <w:rStyle w:val="Hyperlink"/>
          </w:rPr>
          <w:t>A.18. Explanation of Exceptions to the Paperwork Reduction Act</w:t>
        </w:r>
        <w:r>
          <w:rPr>
            <w:webHidden/>
          </w:rPr>
          <w:tab/>
        </w:r>
        <w:r>
          <w:rPr>
            <w:webHidden/>
          </w:rPr>
          <w:fldChar w:fldCharType="begin"/>
        </w:r>
        <w:r>
          <w:rPr>
            <w:webHidden/>
          </w:rPr>
          <w:instrText xml:space="preserve"> PAGEREF _Toc217325196 \h </w:instrText>
        </w:r>
        <w:r>
          <w:rPr>
            <w:webHidden/>
          </w:rPr>
          <w:fldChar w:fldCharType="separate"/>
        </w:r>
        <w:r>
          <w:rPr>
            <w:webHidden/>
          </w:rPr>
          <w:t>18</w:t>
        </w:r>
        <w:r>
          <w:rPr>
            <w:webHidden/>
          </w:rPr>
          <w:fldChar w:fldCharType="end"/>
        </w:r>
      </w:hyperlink>
    </w:p>
    <w:p w:rsidR="00D1278F" w14:paraId="551E4A7B" w14:textId="2C0927E2">
      <w:pPr>
        <w:pStyle w:val="TOC1"/>
        <w:rPr>
          <w:rFonts w:eastAsiaTheme="minorEastAsia" w:cstheme="minorBidi"/>
          <w:color w:val="auto"/>
          <w:kern w:val="2"/>
          <w14:ligatures w14:val="standardContextual"/>
        </w:rPr>
      </w:pPr>
      <w:hyperlink w:anchor="_Toc217325197" w:history="1">
        <w:r w:rsidRPr="006B700F">
          <w:rPr>
            <w:rStyle w:val="Hyperlink"/>
          </w:rPr>
          <w:t>References</w:t>
        </w:r>
        <w:r>
          <w:rPr>
            <w:webHidden/>
          </w:rPr>
          <w:tab/>
        </w:r>
        <w:r>
          <w:rPr>
            <w:webHidden/>
          </w:rPr>
          <w:fldChar w:fldCharType="begin"/>
        </w:r>
        <w:r>
          <w:rPr>
            <w:webHidden/>
          </w:rPr>
          <w:instrText xml:space="preserve"> PAGEREF _Toc217325197 \h </w:instrText>
        </w:r>
        <w:r>
          <w:rPr>
            <w:webHidden/>
          </w:rPr>
          <w:fldChar w:fldCharType="separate"/>
        </w:r>
        <w:r>
          <w:rPr>
            <w:webHidden/>
          </w:rPr>
          <w:t>19</w:t>
        </w:r>
        <w:r>
          <w:rPr>
            <w:webHidden/>
          </w:rPr>
          <w:fldChar w:fldCharType="end"/>
        </w:r>
      </w:hyperlink>
    </w:p>
    <w:p w:rsidR="005D4DFA" w:rsidP="00715069" w14:paraId="5A21224B" w14:textId="061C2ECC">
      <w:pPr>
        <w:pStyle w:val="BodyText"/>
      </w:pPr>
      <w:r>
        <w:fldChar w:fldCharType="end"/>
      </w:r>
      <w:r>
        <w:br w:type="page"/>
      </w:r>
    </w:p>
    <w:p w:rsidR="00715069" w:rsidP="00715069" w14:paraId="442D8C82" w14:textId="77777777">
      <w:pPr>
        <w:pStyle w:val="TOCHeading"/>
      </w:pPr>
      <w:r w:rsidRPr="00CC394A">
        <w:t>Exhibits</w:t>
      </w:r>
    </w:p>
    <w:p w:rsidR="00715069" w:rsidRPr="00715069" w:rsidP="00715069" w14:paraId="79B3FF9E" w14:textId="77777777">
      <w:pPr>
        <w:pStyle w:val="H2TOCLine1-12-6"/>
        <w:framePr w:wrap="notBeside"/>
        <w:rPr>
          <w:lang w:eastAsia="en-US"/>
        </w:rPr>
      </w:pPr>
    </w:p>
    <w:p w:rsidR="00D1278F" w14:paraId="71A4D017" w14:textId="678621AB">
      <w:pPr>
        <w:pStyle w:val="TOC1"/>
        <w:rPr>
          <w:rFonts w:eastAsiaTheme="minorEastAsia" w:cstheme="minorBidi"/>
          <w:color w:val="auto"/>
          <w:kern w:val="2"/>
          <w14:ligatures w14:val="standardContextual"/>
        </w:rPr>
      </w:pPr>
      <w:r>
        <w:fldChar w:fldCharType="begin"/>
      </w:r>
      <w:r>
        <w:instrText xml:space="preserve"> TOC \h \z \t "Exhibit Title,1" </w:instrText>
      </w:r>
      <w:r>
        <w:fldChar w:fldCharType="separate"/>
      </w:r>
      <w:hyperlink w:anchor="_Toc217325198" w:history="1">
        <w:r w:rsidRPr="00E213A9">
          <w:rPr>
            <w:rStyle w:val="Hyperlink"/>
          </w:rPr>
          <w:t>Exhibit A-1. Key recruitment elements for SEAs, LEAs, and schools for which clearance is requested</w:t>
        </w:r>
        <w:r>
          <w:rPr>
            <w:webHidden/>
          </w:rPr>
          <w:tab/>
        </w:r>
        <w:r>
          <w:rPr>
            <w:webHidden/>
          </w:rPr>
          <w:fldChar w:fldCharType="begin"/>
        </w:r>
        <w:r>
          <w:rPr>
            <w:webHidden/>
          </w:rPr>
          <w:instrText xml:space="preserve"> PAGEREF _Toc217325198 \h </w:instrText>
        </w:r>
        <w:r>
          <w:rPr>
            <w:webHidden/>
          </w:rPr>
          <w:fldChar w:fldCharType="separate"/>
        </w:r>
        <w:r>
          <w:rPr>
            <w:webHidden/>
          </w:rPr>
          <w:t>5</w:t>
        </w:r>
        <w:r>
          <w:rPr>
            <w:webHidden/>
          </w:rPr>
          <w:fldChar w:fldCharType="end"/>
        </w:r>
      </w:hyperlink>
    </w:p>
    <w:p w:rsidR="00D1278F" w14:paraId="5AD00853" w14:textId="1C7DE527">
      <w:pPr>
        <w:pStyle w:val="TOC1"/>
        <w:rPr>
          <w:rFonts w:eastAsiaTheme="minorEastAsia" w:cstheme="minorBidi"/>
          <w:color w:val="auto"/>
          <w:kern w:val="2"/>
          <w14:ligatures w14:val="standardContextual"/>
        </w:rPr>
      </w:pPr>
      <w:hyperlink w:anchor="_Toc217325199" w:history="1">
        <w:r w:rsidRPr="00E213A9">
          <w:rPr>
            <w:rStyle w:val="Hyperlink"/>
          </w:rPr>
          <w:t>Exhibit A-2. Additional data collection activities to be included in a later OMB clearance package</w:t>
        </w:r>
        <w:r>
          <w:rPr>
            <w:webHidden/>
          </w:rPr>
          <w:tab/>
        </w:r>
        <w:r>
          <w:rPr>
            <w:webHidden/>
          </w:rPr>
          <w:fldChar w:fldCharType="begin"/>
        </w:r>
        <w:r>
          <w:rPr>
            <w:webHidden/>
          </w:rPr>
          <w:instrText xml:space="preserve"> PAGEREF _Toc217325199 \h </w:instrText>
        </w:r>
        <w:r>
          <w:rPr>
            <w:webHidden/>
          </w:rPr>
          <w:fldChar w:fldCharType="separate"/>
        </w:r>
        <w:r>
          <w:rPr>
            <w:webHidden/>
          </w:rPr>
          <w:t>7</w:t>
        </w:r>
        <w:r>
          <w:rPr>
            <w:webHidden/>
          </w:rPr>
          <w:fldChar w:fldCharType="end"/>
        </w:r>
      </w:hyperlink>
    </w:p>
    <w:p w:rsidR="00D1278F" w14:paraId="79DC4FA9" w14:textId="5FEEDAC6">
      <w:pPr>
        <w:pStyle w:val="TOC1"/>
        <w:rPr>
          <w:rFonts w:eastAsiaTheme="minorEastAsia" w:cstheme="minorBidi"/>
          <w:color w:val="auto"/>
          <w:kern w:val="2"/>
          <w14:ligatures w14:val="standardContextual"/>
        </w:rPr>
      </w:pPr>
      <w:hyperlink w:anchor="_Toc217325200" w:history="1">
        <w:r w:rsidRPr="00E213A9">
          <w:rPr>
            <w:rStyle w:val="Hyperlink"/>
          </w:rPr>
          <w:t>Exhibit A-3. NSSES study design consultants and affiliations</w:t>
        </w:r>
        <w:r>
          <w:rPr>
            <w:webHidden/>
          </w:rPr>
          <w:tab/>
        </w:r>
        <w:r>
          <w:rPr>
            <w:webHidden/>
          </w:rPr>
          <w:fldChar w:fldCharType="begin"/>
        </w:r>
        <w:r>
          <w:rPr>
            <w:webHidden/>
          </w:rPr>
          <w:instrText xml:space="preserve"> PAGEREF _Toc217325200 \h </w:instrText>
        </w:r>
        <w:r>
          <w:rPr>
            <w:webHidden/>
          </w:rPr>
          <w:fldChar w:fldCharType="separate"/>
        </w:r>
        <w:r>
          <w:rPr>
            <w:webHidden/>
          </w:rPr>
          <w:t>10</w:t>
        </w:r>
        <w:r>
          <w:rPr>
            <w:webHidden/>
          </w:rPr>
          <w:fldChar w:fldCharType="end"/>
        </w:r>
      </w:hyperlink>
    </w:p>
    <w:p w:rsidR="00D1278F" w14:paraId="13E8FBBC" w14:textId="1906B00B">
      <w:pPr>
        <w:pStyle w:val="TOC1"/>
        <w:rPr>
          <w:rFonts w:eastAsiaTheme="minorEastAsia" w:cstheme="minorBidi"/>
          <w:color w:val="auto"/>
          <w:kern w:val="2"/>
          <w14:ligatures w14:val="standardContextual"/>
        </w:rPr>
      </w:pPr>
      <w:hyperlink w:anchor="_Toc217325201" w:history="1">
        <w:r w:rsidRPr="00E213A9">
          <w:rPr>
            <w:rStyle w:val="Hyperlink"/>
          </w:rPr>
          <w:t>Exhibit A-4. Incentive strategy for NSSES LEAs and schools</w:t>
        </w:r>
        <w:r>
          <w:rPr>
            <w:webHidden/>
          </w:rPr>
          <w:tab/>
        </w:r>
        <w:r>
          <w:rPr>
            <w:webHidden/>
          </w:rPr>
          <w:fldChar w:fldCharType="begin"/>
        </w:r>
        <w:r>
          <w:rPr>
            <w:webHidden/>
          </w:rPr>
          <w:instrText xml:space="preserve"> PAGEREF _Toc217325201 \h </w:instrText>
        </w:r>
        <w:r>
          <w:rPr>
            <w:webHidden/>
          </w:rPr>
          <w:fldChar w:fldCharType="separate"/>
        </w:r>
        <w:r>
          <w:rPr>
            <w:webHidden/>
          </w:rPr>
          <w:t>13</w:t>
        </w:r>
        <w:r>
          <w:rPr>
            <w:webHidden/>
          </w:rPr>
          <w:fldChar w:fldCharType="end"/>
        </w:r>
      </w:hyperlink>
    </w:p>
    <w:p w:rsidR="00D1278F" w14:paraId="6C0E2001" w14:textId="77AA0DE4">
      <w:pPr>
        <w:pStyle w:val="TOC1"/>
        <w:rPr>
          <w:rFonts w:eastAsiaTheme="minorEastAsia" w:cstheme="minorBidi"/>
          <w:color w:val="auto"/>
          <w:kern w:val="2"/>
          <w14:ligatures w14:val="standardContextual"/>
        </w:rPr>
      </w:pPr>
      <w:hyperlink w:anchor="_Toc217325202" w:history="1">
        <w:r w:rsidRPr="00E213A9">
          <w:rPr>
            <w:rStyle w:val="Hyperlink"/>
          </w:rPr>
          <w:t>Exhibit A-5. Estimated respondent burden for recruitment activities</w:t>
        </w:r>
        <w:r>
          <w:rPr>
            <w:webHidden/>
          </w:rPr>
          <w:tab/>
        </w:r>
        <w:r>
          <w:rPr>
            <w:webHidden/>
          </w:rPr>
          <w:fldChar w:fldCharType="begin"/>
        </w:r>
        <w:r>
          <w:rPr>
            <w:webHidden/>
          </w:rPr>
          <w:instrText xml:space="preserve"> PAGEREF _Toc217325202 \h </w:instrText>
        </w:r>
        <w:r>
          <w:rPr>
            <w:webHidden/>
          </w:rPr>
          <w:fldChar w:fldCharType="separate"/>
        </w:r>
        <w:r>
          <w:rPr>
            <w:webHidden/>
          </w:rPr>
          <w:t>17</w:t>
        </w:r>
        <w:r>
          <w:rPr>
            <w:webHidden/>
          </w:rPr>
          <w:fldChar w:fldCharType="end"/>
        </w:r>
      </w:hyperlink>
    </w:p>
    <w:p w:rsidR="00D1278F" w14:paraId="74EEB5DB" w14:textId="2F1A33CB">
      <w:pPr>
        <w:pStyle w:val="TOC1"/>
        <w:rPr>
          <w:rFonts w:eastAsiaTheme="minorEastAsia" w:cstheme="minorBidi"/>
          <w:color w:val="auto"/>
          <w:kern w:val="2"/>
          <w14:ligatures w14:val="standardContextual"/>
        </w:rPr>
      </w:pPr>
      <w:hyperlink w:anchor="_Toc217325203" w:history="1">
        <w:r w:rsidRPr="00E213A9">
          <w:rPr>
            <w:rStyle w:val="Hyperlink"/>
          </w:rPr>
          <w:t>Exhibit A-6. Project schedule</w:t>
        </w:r>
        <w:r>
          <w:rPr>
            <w:webHidden/>
          </w:rPr>
          <w:tab/>
        </w:r>
        <w:r>
          <w:rPr>
            <w:webHidden/>
          </w:rPr>
          <w:fldChar w:fldCharType="begin"/>
        </w:r>
        <w:r>
          <w:rPr>
            <w:webHidden/>
          </w:rPr>
          <w:instrText xml:space="preserve"> PAGEREF _Toc217325203 \h </w:instrText>
        </w:r>
        <w:r>
          <w:rPr>
            <w:webHidden/>
          </w:rPr>
          <w:fldChar w:fldCharType="separate"/>
        </w:r>
        <w:r>
          <w:rPr>
            <w:webHidden/>
          </w:rPr>
          <w:t>18</w:t>
        </w:r>
        <w:r>
          <w:rPr>
            <w:webHidden/>
          </w:rPr>
          <w:fldChar w:fldCharType="end"/>
        </w:r>
      </w:hyperlink>
    </w:p>
    <w:p w:rsidR="004A0566" w:rsidP="00715069" w14:paraId="3CA30116" w14:textId="04C37731">
      <w:pPr>
        <w:pStyle w:val="BodyText"/>
        <w:sectPr w:rsidSect="004A0566">
          <w:headerReference w:type="default" r:id="rId13"/>
          <w:pgSz w:w="12240" w:h="15840" w:code="1"/>
          <w:pgMar w:top="1440" w:right="1440" w:bottom="1440" w:left="1440" w:header="720" w:footer="432" w:gutter="0"/>
          <w:pgNumType w:fmt="lowerRoman" w:start="1"/>
          <w:cols w:space="720"/>
          <w:docGrid w:linePitch="326"/>
        </w:sectPr>
      </w:pPr>
      <w:r>
        <w:fldChar w:fldCharType="end"/>
      </w:r>
    </w:p>
    <w:p w:rsidR="00715069" w:rsidP="00715069" w14:paraId="757FFD44" w14:textId="77777777">
      <w:pPr>
        <w:pStyle w:val="Heading2Report"/>
      </w:pPr>
      <w:bookmarkStart w:id="3" w:name="_Toc215310902"/>
      <w:bookmarkStart w:id="4" w:name="_Toc215312874"/>
      <w:bookmarkStart w:id="5" w:name="_Toc217325178"/>
      <w:bookmarkStart w:id="6" w:name="_Toc67149942"/>
      <w:r>
        <w:t>Introduction</w:t>
      </w:r>
      <w:bookmarkEnd w:id="3"/>
      <w:bookmarkEnd w:id="4"/>
      <w:bookmarkEnd w:id="5"/>
    </w:p>
    <w:p w:rsidR="00715069" w:rsidRPr="00715069" w:rsidP="00715069" w14:paraId="2C6917D7" w14:textId="77777777">
      <w:pPr>
        <w:pStyle w:val="H2Line075-12-6"/>
        <w:framePr w:wrap="notBeside"/>
        <w:rPr>
          <w:lang w:eastAsia="en-US"/>
        </w:rPr>
      </w:pPr>
    </w:p>
    <w:p w:rsidR="00715069" w:rsidP="00715069" w14:paraId="4A2400CE" w14:textId="0DD79103">
      <w:pPr>
        <w:pStyle w:val="BodyTextPostHeading"/>
      </w:pPr>
      <w:r w:rsidRPr="00A43951">
        <w:t>The</w:t>
      </w:r>
      <w:r>
        <w:t xml:space="preserve"> Institute of Education Sciences (IES)</w:t>
      </w:r>
      <w:r w:rsidR="00FC5BBA">
        <w:t>,</w:t>
      </w:r>
      <w:r>
        <w:t xml:space="preserve"> within the U.S. Department of Education (ED)</w:t>
      </w:r>
      <w:r w:rsidR="00FC5BBA">
        <w:t>,</w:t>
      </w:r>
      <w:r w:rsidRPr="00552B0F">
        <w:rPr>
          <w:rFonts w:eastAsia="Times New Roman"/>
        </w:rPr>
        <w:t xml:space="preserve"> request</w:t>
      </w:r>
      <w:r>
        <w:rPr>
          <w:rFonts w:eastAsia="Times New Roman"/>
        </w:rPr>
        <w:t>s</w:t>
      </w:r>
      <w:r w:rsidRPr="00552B0F">
        <w:rPr>
          <w:rFonts w:eastAsia="Times New Roman"/>
        </w:rPr>
        <w:t xml:space="preserve"> </w:t>
      </w:r>
      <w:r>
        <w:rPr>
          <w:rFonts w:eastAsia="Times New Roman"/>
        </w:rPr>
        <w:t>clearance from the Office of Management and Budget (OMB)</w:t>
      </w:r>
      <w:r w:rsidRPr="00552B0F">
        <w:rPr>
          <w:rFonts w:eastAsia="Times New Roman"/>
        </w:rPr>
        <w:t xml:space="preserve"> for</w:t>
      </w:r>
      <w:r>
        <w:rPr>
          <w:rFonts w:eastAsia="Times New Roman"/>
        </w:rPr>
        <w:t xml:space="preserve"> a</w:t>
      </w:r>
      <w:r w:rsidRPr="00552B0F">
        <w:rPr>
          <w:rFonts w:eastAsia="Times New Roman"/>
        </w:rPr>
        <w:t xml:space="preserve"> </w:t>
      </w:r>
      <w:r>
        <w:rPr>
          <w:rFonts w:eastAsia="Times New Roman"/>
        </w:rPr>
        <w:t xml:space="preserve">new data collection, the </w:t>
      </w:r>
      <w:hyperlink r:id="rId14">
        <w:r w:rsidRPr="00552B0F">
          <w:rPr>
            <w:rStyle w:val="Hyperlink"/>
            <w:rFonts w:eastAsia="Times New Roman"/>
          </w:rPr>
          <w:t>National Study of Special Education Spending</w:t>
        </w:r>
      </w:hyperlink>
      <w:r w:rsidRPr="00552B0F">
        <w:rPr>
          <w:rFonts w:eastAsia="Times New Roman"/>
        </w:rPr>
        <w:t xml:space="preserve"> (</w:t>
      </w:r>
      <w:r w:rsidRPr="003D40A5">
        <w:rPr>
          <w:rFonts w:eastAsia="Times New Roman"/>
        </w:rPr>
        <w:t>NSSES</w:t>
      </w:r>
      <w:r w:rsidRPr="00552B0F">
        <w:rPr>
          <w:rFonts w:eastAsia="Times New Roman"/>
        </w:rPr>
        <w:t>)</w:t>
      </w:r>
      <w:r>
        <w:rPr>
          <w:rFonts w:eastAsia="Times New Roman"/>
        </w:rPr>
        <w:t xml:space="preserve">. The study will produce estimates </w:t>
      </w:r>
      <w:r w:rsidR="00D54CB6">
        <w:rPr>
          <w:rFonts w:eastAsia="Times New Roman"/>
        </w:rPr>
        <w:t xml:space="preserve">for what is spent </w:t>
      </w:r>
      <w:r>
        <w:rPr>
          <w:rFonts w:eastAsia="Times New Roman"/>
        </w:rPr>
        <w:t xml:space="preserve">on special education services for students with disabilities (SWDs), both overall and by disability category, including expenditures made by states, districts, and schools. </w:t>
      </w:r>
      <w:r>
        <w:rPr>
          <w:rFonts w:eastAsia="Times New Roman" w:cstheme="minorHAnsi"/>
        </w:rPr>
        <w:t xml:space="preserve">The NSSES also will </w:t>
      </w:r>
      <w:r w:rsidRPr="00FF44BE">
        <w:t xml:space="preserve">provide policymakers and special education administrators </w:t>
      </w:r>
      <w:r w:rsidR="00FC27AC">
        <w:t xml:space="preserve">with </w:t>
      </w:r>
      <w:r>
        <w:t xml:space="preserve">an up-to-date understanding of the key factors that influence special education spending, what this spending pays for, and to what extent federal appropriations from the Individuals with Disabilities Education Act </w:t>
      </w:r>
      <w:r w:rsidRPr="00622F11">
        <w:t>of 2004 (IDEA)</w:t>
      </w:r>
      <w:r>
        <w:t xml:space="preserve"> cover special education spending</w:t>
      </w:r>
      <w:r w:rsidRPr="00622F11">
        <w:t>.</w:t>
      </w:r>
    </w:p>
    <w:p w:rsidR="0006553B" w:rsidP="0006553B" w14:paraId="2DDCAACA" w14:textId="402FDC6C">
      <w:pPr>
        <w:pStyle w:val="BodyText"/>
      </w:pPr>
      <w:r>
        <w:t xml:space="preserve">IES contracted with the American Institutes for Research® (AIR®) and its partner organizations—the National Opinion Research Center at the University of Chicago (NORC) and </w:t>
      </w:r>
      <w:r>
        <w:t>Allovue</w:t>
      </w:r>
      <w:r>
        <w:t>, a PowerSchool company (</w:t>
      </w:r>
      <w:r>
        <w:t>Allovue</w:t>
      </w:r>
      <w:r>
        <w:t>)—to conduct this study (hereafter referred to as the study team). The study team is currently pilot testing the NSSES’s planned recruitment strategy, survey instruments, and other data collection procedures in an OMB-approved pilot study (</w:t>
      </w:r>
      <w:hyperlink r:id="rId15">
        <w:r w:rsidRPr="7E2AFE25">
          <w:rPr>
            <w:rStyle w:val="Hyperlink"/>
            <w:rFonts w:cstheme="minorBidi"/>
          </w:rPr>
          <w:t>OMB# 1850-0952 v.10</w:t>
        </w:r>
      </w:hyperlink>
      <w:r>
        <w:t xml:space="preserve">, </w:t>
      </w:r>
      <w:hyperlink r:id="rId16">
        <w:r w:rsidRPr="7E2AFE25">
          <w:rPr>
            <w:rStyle w:val="Hyperlink"/>
          </w:rPr>
          <w:t>v.12</w:t>
        </w:r>
      </w:hyperlink>
      <w:r>
        <w:t>). Preliminary results from the pilot test’s recruitment phase informed the methods and procedures described in this submission.</w:t>
      </w:r>
    </w:p>
    <w:p w:rsidR="00715069" w:rsidRPr="00552B0F" w:rsidP="00715069" w14:paraId="623FB647" w14:textId="6A9284F4">
      <w:pPr>
        <w:pStyle w:val="BodyText"/>
        <w:rPr>
          <w:rFonts w:cstheme="minorHAnsi"/>
        </w:rPr>
      </w:pPr>
      <w:r>
        <w:rPr>
          <w:rFonts w:cstheme="minorHAnsi"/>
        </w:rPr>
        <w:t xml:space="preserve">This is the first of two OMB clearance packages. This package </w:t>
      </w:r>
      <w:r w:rsidR="00650725">
        <w:rPr>
          <w:rFonts w:cstheme="minorHAnsi"/>
        </w:rPr>
        <w:t>is for</w:t>
      </w:r>
      <w:r>
        <w:rPr>
          <w:rFonts w:cstheme="minorHAnsi"/>
        </w:rPr>
        <w:t xml:space="preserve"> clearance </w:t>
      </w:r>
      <w:r w:rsidRPr="00201AB0">
        <w:t xml:space="preserve">to contact </w:t>
      </w:r>
      <w:r>
        <w:t>state education agencies (</w:t>
      </w:r>
      <w:r w:rsidRPr="00201AB0">
        <w:t>SEAs</w:t>
      </w:r>
      <w:r>
        <w:t>)</w:t>
      </w:r>
      <w:r w:rsidRPr="00201AB0">
        <w:t>,</w:t>
      </w:r>
      <w:r>
        <w:t xml:space="preserve"> local education agencies (</w:t>
      </w:r>
      <w:r w:rsidRPr="00201AB0">
        <w:t>LEAs</w:t>
      </w:r>
      <w:r>
        <w:t>)</w:t>
      </w:r>
      <w:r w:rsidRPr="00201AB0">
        <w:t xml:space="preserve">, and schools </w:t>
      </w:r>
      <w:r>
        <w:t xml:space="preserve">in summer and fall 2026 </w:t>
      </w:r>
      <w:r w:rsidRPr="00201AB0">
        <w:t xml:space="preserve">to request their cooperation </w:t>
      </w:r>
      <w:r>
        <w:t>and participation</w:t>
      </w:r>
      <w:r w:rsidRPr="00201AB0">
        <w:t xml:space="preserve"> in the study and to collect the directory and enrollment data needed to sample students</w:t>
      </w:r>
      <w:r>
        <w:t>. A future package will request clearance to collect data from teachers, service providers, and LEA and SEA staff through survey instruments and administrative data files during the 2026-27 school year.</w:t>
      </w:r>
    </w:p>
    <w:p w:rsidR="00715069" w:rsidP="00715069" w14:paraId="41409AA8" w14:textId="42E36402">
      <w:pPr>
        <w:pStyle w:val="Heading3"/>
      </w:pPr>
      <w:bookmarkStart w:id="7" w:name="_Toc215310903"/>
      <w:bookmarkStart w:id="8" w:name="_Toc215312875"/>
      <w:bookmarkStart w:id="9" w:name="_Toc217325179"/>
      <w:r>
        <w:t xml:space="preserve">A.1. </w:t>
      </w:r>
      <w:bookmarkEnd w:id="6"/>
      <w:r>
        <w:t>Circumstances Making Collection of Information Necessary</w:t>
      </w:r>
      <w:bookmarkEnd w:id="7"/>
      <w:bookmarkEnd w:id="8"/>
      <w:bookmarkEnd w:id="9"/>
    </w:p>
    <w:p w:rsidR="00715069" w:rsidRPr="00BC36E0" w:rsidP="00715069" w14:paraId="667A0934" w14:textId="083A2A52">
      <w:pPr>
        <w:pStyle w:val="BodyTextPostHeading"/>
      </w:pPr>
      <w:r w:rsidRPr="00AE5AA4">
        <w:t xml:space="preserve">Federal, state, and local policymakers and education leaders have a critical need for current information about what is spent to provide special education and related services to SWDs and the sources of funding used </w:t>
      </w:r>
      <w:r w:rsidR="000B23E5">
        <w:t>to pay for</w:t>
      </w:r>
      <w:r w:rsidRPr="00AE5AA4">
        <w:t xml:space="preserve"> this spending. More than 7 million SWDs—about 15 </w:t>
      </w:r>
      <w:r>
        <w:t xml:space="preserve">percent </w:t>
      </w:r>
      <w:r w:rsidRPr="00AE5AA4">
        <w:t>of students enrolled in public K</w:t>
      </w:r>
      <w:r w:rsidR="00E276C9">
        <w:rPr>
          <w:rFonts w:cstheme="minorHAnsi"/>
        </w:rPr>
        <w:t>–</w:t>
      </w:r>
      <w:r w:rsidRPr="00AE5AA4">
        <w:t xml:space="preserve">12 education—receive special education services under IDEA (National Center for Education Statistics [NCES] 2024). IDEA has long committed the federal government to covering a portion of the added costs of these services. However, the best national estimates of what is spent by states, districts, and schools to educate SWDs are </w:t>
      </w:r>
      <w:r w:rsidRPr="00AE5AA4">
        <w:t xml:space="preserve">nearly 25 years </w:t>
      </w:r>
      <w:r w:rsidRPr="00AE5AA4" w:rsidR="00A30AF6">
        <w:t>old,</w:t>
      </w:r>
      <w:r w:rsidRPr="00AE5AA4">
        <w:t xml:space="preserve"> and much has changed since then in the number </w:t>
      </w:r>
      <w:r w:rsidRPr="00BC36E0">
        <w:t>and composition of SWDs and the policies and conditions under which they are served.</w:t>
      </w:r>
      <w:r>
        <w:rPr>
          <w:rStyle w:val="FootnoteReference"/>
          <w:rFonts w:cstheme="minorHAnsi"/>
          <w:color w:val="auto"/>
          <w:sz w:val="22"/>
          <w:szCs w:val="22"/>
        </w:rPr>
        <w:footnoteReference w:id="3"/>
      </w:r>
    </w:p>
    <w:p w:rsidR="00715069" w:rsidP="00715069" w14:paraId="49ACC321" w14:textId="0FB9E972">
      <w:pPr>
        <w:pStyle w:val="BodyText"/>
      </w:pPr>
      <w:r>
        <w:t>Although IDEA has not been reauthorized since 2004, current federal proposals signal the possibility for significant shifts in how special education funding may be structured in the coming years. Proposals under consideration—such as providing states and districts greater flexibility through block-grant-style funding or directing IDEA dollars to families through education savings accounts (ESAs)—would change how funds flow, who makes spending decisions, and how services may be accessed. Evaluating these potential approaches requires detailed, up-to-date information on current spending patterns, the primary cost drivers across disability categories, and the federal, state, and local revenue sources used to support these expenditures. Without a clear national baseline, it is difficult to model the fiscal implications of alternative funding structures or anticipate the ways in which different entities might be affected by new policies. The estimates produced by this study—overall and by disability category—will provide essential grounding for analyzing and planning for potential changes to IDEA funding in the evolving policy environment.</w:t>
      </w:r>
    </w:p>
    <w:p w:rsidR="00F656E7" w:rsidP="00715069" w14:paraId="7D2582D1" w14:textId="516D8D48">
      <w:pPr>
        <w:pStyle w:val="BodyText"/>
      </w:pPr>
      <w:r>
        <w:t xml:space="preserve">In addition to supporting policy analyses for potential federal funding redesigns, the NSSES will directly inform </w:t>
      </w:r>
      <w:r w:rsidR="00C761D2">
        <w:t>policy discussions about the extent to which IDEA appropriations meet the long-standing goal of covering 40</w:t>
      </w:r>
      <w:r w:rsidR="00005A4C">
        <w:t xml:space="preserve"> percent</w:t>
      </w:r>
      <w:r w:rsidR="00C761D2">
        <w:t xml:space="preserve"> of the excess cost of special education. At present, policymakers lack a clear national picture of both the total amount spent to provide special education services and how that spending is apportioned across federal, state, and local funding systems. By producing nationally comparable estimates of spending and the sources used to pay for it, </w:t>
      </w:r>
      <w:r w:rsidR="00005A4C">
        <w:t xml:space="preserve">the NSSES will establish the baseline needed to assess progress toward the 40 percent target and to evaluate what it would take – under current conditions – for federal funding to align with this goal. </w:t>
      </w:r>
    </w:p>
    <w:p w:rsidR="009C3742" w:rsidP="00715069" w14:paraId="423D77E2" w14:textId="77777777">
      <w:pPr>
        <w:pStyle w:val="BodyText"/>
      </w:pPr>
      <w:r>
        <w:t>Specifically, t</w:t>
      </w:r>
      <w:r w:rsidR="00715069">
        <w:t xml:space="preserve">he NSSES will develop national estimates of special education spending with the level of precision needed to inform federal policy. Producing accurate national estimates requires collecting data from a representative national sample of districts, schools, and </w:t>
      </w:r>
      <w:r w:rsidR="00715069">
        <w:t>students so that the study reflects the experiences of SWDs nationwide. A large sample is necessary because special education spending varies across students with different disabilities and levels of need. IDEA recognizes 13 federally defined disability categories, and even within these categories students differ substantially in the</w:t>
      </w:r>
      <w:r>
        <w:t>ir needs and the</w:t>
      </w:r>
      <w:r w:rsidR="00715069">
        <w:t xml:space="preserve"> services they receive </w:t>
      </w:r>
      <w:r w:rsidRPr="00EC1556" w:rsidR="00715069">
        <w:t>(e.g.,</w:t>
      </w:r>
      <w:r w:rsidR="00715069">
        <w:t xml:space="preserve"> Barret et al. 2020;</w:t>
      </w:r>
      <w:r w:rsidRPr="00EC1556" w:rsidR="00715069">
        <w:t xml:space="preserve"> Cleveland </w:t>
      </w:r>
      <w:r w:rsidR="00715069">
        <w:t>and</w:t>
      </w:r>
      <w:r w:rsidRPr="00EC1556" w:rsidR="00715069">
        <w:t xml:space="preserve"> Markham 2024; Jackson et al. 2022; Maurer et al. 2024; McCabe 2024)</w:t>
      </w:r>
      <w:r w:rsidR="00715069">
        <w:t xml:space="preserve">. </w:t>
      </w:r>
    </w:p>
    <w:p w:rsidR="00715069" w:rsidP="00715069" w14:paraId="03C69C3D" w14:textId="578C6EF3">
      <w:pPr>
        <w:pStyle w:val="BodyText"/>
      </w:pPr>
      <w:r>
        <w:t>D</w:t>
      </w:r>
      <w:r>
        <w:t xml:space="preserve">ifferences in need and the types and amounts of services provided translate into substantial variation in what is spent to educate SWDs. </w:t>
      </w:r>
      <w:r w:rsidR="00D87BB3">
        <w:t xml:space="preserve">The U.S. Department of Education’s </w:t>
      </w:r>
      <w:r>
        <w:t>Special Education Expenditure Project (SEEP)</w:t>
      </w:r>
      <w:r w:rsidR="00BC7BC3">
        <w:t>, conducted during the 1999-2000 school year,</w:t>
      </w:r>
      <w:r>
        <w:t xml:space="preserve"> documented significant spending differences across disability categories, underscoring the importance of developing updated, disability category–specific spending estimates. However, financial data currently collected by districts and schools cannot be disaggregated in ways that yield reliable estimates of per student spending by disability category. For this reason, the NSSES </w:t>
      </w:r>
      <w:r w:rsidR="00BC1B6D">
        <w:t>will field surveys that are</w:t>
      </w:r>
      <w:r>
        <w:t xml:space="preserve"> designed to capture the necessary detail to determine whether differences in spending across disability categories, student needs, and geographic contexts are meaningful.</w:t>
      </w:r>
    </w:p>
    <w:p w:rsidR="00715069" w:rsidRPr="003B2DB5" w:rsidP="00EC46B3" w14:paraId="7E3B612C" w14:textId="401895B5">
      <w:pPr>
        <w:pStyle w:val="BodyText"/>
      </w:pPr>
      <w:r>
        <w:rPr>
          <w:rFonts w:eastAsia="Times New Roman"/>
        </w:rPr>
        <w:t xml:space="preserve">This study is being carried out </w:t>
      </w:r>
      <w:r w:rsidRPr="003D40A5">
        <w:t>as part of</w:t>
      </w:r>
      <w:r w:rsidRPr="0056076D">
        <w:t xml:space="preserve"> IES’</w:t>
      </w:r>
      <w:r>
        <w:t>s</w:t>
      </w:r>
      <w:r w:rsidRPr="0056076D">
        <w:t xml:space="preserve"> </w:t>
      </w:r>
      <w:r w:rsidRPr="003D40A5">
        <w:t xml:space="preserve">National Assessment of the Individuals with Disabilities Education </w:t>
      </w:r>
      <w:r w:rsidRPr="003D40A5">
        <w:rPr>
          <w:rFonts w:eastAsia="Times New Roman"/>
        </w:rPr>
        <w:t>Act</w:t>
      </w:r>
      <w:r w:rsidRPr="003D40A5">
        <w:t>, which was mandated by Congress to collect information that can inform future updates to the law (20 U.S.</w:t>
      </w:r>
      <w:r>
        <w:t>C.</w:t>
      </w:r>
      <w:r w:rsidRPr="003D40A5">
        <w:t xml:space="preserve"> </w:t>
      </w:r>
      <w:r>
        <w:rPr>
          <w:rFonts w:ascii="Arial" w:hAnsi="Arial" w:cs="Arial"/>
        </w:rPr>
        <w:t>§</w:t>
      </w:r>
      <w:r>
        <w:t xml:space="preserve"> </w:t>
      </w:r>
      <w:r w:rsidRPr="003D40A5">
        <w:t>664</w:t>
      </w:r>
      <w:r>
        <w:t>(</w:t>
      </w:r>
      <w:r w:rsidRPr="003D40A5">
        <w:t>b</w:t>
      </w:r>
      <w:r>
        <w:t>)(</w:t>
      </w:r>
      <w:r w:rsidRPr="003D40A5">
        <w:t>1</w:t>
      </w:r>
      <w:r>
        <w:t>)</w:t>
      </w:r>
      <w:r w:rsidRPr="006734C2">
        <w:t>).</w:t>
      </w:r>
    </w:p>
    <w:p w:rsidR="00715069" w:rsidRPr="00C07360" w:rsidP="00715069" w14:paraId="470BCD65" w14:textId="0D9957A0">
      <w:pPr>
        <w:pStyle w:val="Heading3"/>
      </w:pPr>
      <w:bookmarkStart w:id="10" w:name="_Toc215310904"/>
      <w:bookmarkStart w:id="11" w:name="_Toc215312876"/>
      <w:bookmarkStart w:id="12" w:name="_Toc217325180"/>
      <w:r w:rsidRPr="00C07360">
        <w:t>A.2</w:t>
      </w:r>
      <w:r>
        <w:t>.</w:t>
      </w:r>
      <w:r w:rsidRPr="00C07360">
        <w:t xml:space="preserve"> Purpose</w:t>
      </w:r>
      <w:r>
        <w:t>s</w:t>
      </w:r>
      <w:r w:rsidRPr="00C07360">
        <w:t xml:space="preserve"> and Uses of the Data</w:t>
      </w:r>
      <w:bookmarkEnd w:id="10"/>
      <w:bookmarkEnd w:id="11"/>
      <w:bookmarkEnd w:id="12"/>
    </w:p>
    <w:p w:rsidR="001B30E2" w:rsidP="001B30E2" w14:paraId="54314ACC" w14:textId="09DF229C">
      <w:pPr>
        <w:pStyle w:val="Heading4NoTOC"/>
      </w:pPr>
      <w:r>
        <w:t>Study Purpose</w:t>
      </w:r>
    </w:p>
    <w:p w:rsidR="00715069" w:rsidRPr="00534709" w:rsidP="00EC46B3" w14:paraId="2AD371A3" w14:textId="0BEF6CE0">
      <w:pPr>
        <w:pStyle w:val="BodyTextPostHeading"/>
        <w:rPr>
          <w:rFonts w:cstheme="minorHAnsi"/>
        </w:rPr>
      </w:pPr>
      <w:r w:rsidRPr="00534709">
        <w:rPr>
          <w:rFonts w:cstheme="minorHAnsi"/>
        </w:rPr>
        <w:t xml:space="preserve">Overall, the NSSES will </w:t>
      </w:r>
      <w:r w:rsidRPr="00534709">
        <w:t xml:space="preserve">provide policymakers and special education </w:t>
      </w:r>
      <w:r w:rsidR="00D85394">
        <w:t>professionals with</w:t>
      </w:r>
      <w:r w:rsidRPr="00534709">
        <w:t xml:space="preserve"> estimates of how much </w:t>
      </w:r>
      <w:r>
        <w:t>is spent</w:t>
      </w:r>
      <w:r w:rsidRPr="00534709">
        <w:t xml:space="preserve"> to educate </w:t>
      </w:r>
      <w:r>
        <w:t>SWDs</w:t>
      </w:r>
      <w:r w:rsidR="00D85394">
        <w:t xml:space="preserve"> and the sources of funding that are used to pay for special education spending.</w:t>
      </w:r>
      <w:r w:rsidRPr="00534709">
        <w:t xml:space="preserve"> </w:t>
      </w:r>
      <w:r w:rsidR="00D85394">
        <w:rPr>
          <w:rFonts w:cstheme="minorHAnsi"/>
        </w:rPr>
        <w:t xml:space="preserve">NCEE identified four broad </w:t>
      </w:r>
      <w:r w:rsidRPr="00534709">
        <w:rPr>
          <w:rFonts w:cstheme="minorHAnsi"/>
        </w:rPr>
        <w:t xml:space="preserve">questions </w:t>
      </w:r>
      <w:r w:rsidR="00D85394">
        <w:rPr>
          <w:rFonts w:cstheme="minorHAnsi"/>
        </w:rPr>
        <w:t xml:space="preserve">that guide the study’s design and </w:t>
      </w:r>
      <w:r w:rsidR="00595742">
        <w:rPr>
          <w:rFonts w:cstheme="minorHAnsi"/>
        </w:rPr>
        <w:t>analysis</w:t>
      </w:r>
      <w:r w:rsidRPr="00534709">
        <w:rPr>
          <w:rFonts w:cstheme="minorHAnsi"/>
        </w:rPr>
        <w:t>:</w:t>
      </w:r>
    </w:p>
    <w:p w:rsidR="00715069" w:rsidRPr="00A5587B" w:rsidP="00EC46B3" w14:paraId="0CBB3ACE" w14:textId="4C30AD60">
      <w:pPr>
        <w:pStyle w:val="NumberedList"/>
      </w:pPr>
      <w:r w:rsidRPr="00A5587B">
        <w:t xml:space="preserve">How much is spent to educate </w:t>
      </w:r>
      <w:r>
        <w:t>SWDs</w:t>
      </w:r>
      <w:r w:rsidRPr="00A5587B">
        <w:t>? How does this compare to spending on their peers</w:t>
      </w:r>
      <w:r>
        <w:t xml:space="preserve"> who do not receive special education</w:t>
      </w:r>
      <w:r w:rsidRPr="00A5587B">
        <w:t>?</w:t>
      </w:r>
    </w:p>
    <w:p w:rsidR="00715069" w:rsidRPr="00A5587B" w:rsidP="00EC46B3" w14:paraId="05CBBA58" w14:textId="02780F93">
      <w:pPr>
        <w:pStyle w:val="NumberedList"/>
        <w:numPr>
          <w:ilvl w:val="0"/>
          <w:numId w:val="0"/>
        </w:numPr>
        <w:ind w:left="360"/>
      </w:pPr>
      <w:r w:rsidRPr="00A5587B">
        <w:t xml:space="preserve">1a. What is spent </w:t>
      </w:r>
      <w:r>
        <w:t xml:space="preserve">overall </w:t>
      </w:r>
      <w:r w:rsidRPr="00A5587B">
        <w:t>to educate</w:t>
      </w:r>
      <w:r>
        <w:t xml:space="preserve"> SWDs</w:t>
      </w:r>
      <w:r w:rsidRPr="00A5587B">
        <w:t>?</w:t>
      </w:r>
    </w:p>
    <w:p w:rsidR="00715069" w:rsidRPr="00A5587B" w:rsidP="00EC46B3" w14:paraId="73B87CB6" w14:textId="77777777">
      <w:pPr>
        <w:pStyle w:val="NumberedList"/>
        <w:numPr>
          <w:ilvl w:val="0"/>
          <w:numId w:val="0"/>
        </w:numPr>
        <w:ind w:left="360"/>
      </w:pPr>
      <w:r w:rsidRPr="00A5587B">
        <w:t xml:space="preserve">1b. </w:t>
      </w:r>
      <w:r>
        <w:t>What portion is for special education and related services</w:t>
      </w:r>
      <w:r w:rsidRPr="00A5587B">
        <w:t>?</w:t>
      </w:r>
    </w:p>
    <w:p w:rsidR="00715069" w:rsidRPr="00A5587B" w:rsidP="00EC46B3" w14:paraId="07953B8C" w14:textId="663C0231">
      <w:pPr>
        <w:pStyle w:val="NumberedList"/>
        <w:numPr>
          <w:ilvl w:val="0"/>
          <w:numId w:val="0"/>
        </w:numPr>
        <w:ind w:left="360"/>
      </w:pPr>
      <w:r w:rsidRPr="00A5587B">
        <w:t xml:space="preserve">1c. How </w:t>
      </w:r>
      <w:r>
        <w:t>does spending</w:t>
      </w:r>
      <w:r w:rsidRPr="00A5587B">
        <w:t xml:space="preserve"> to educate a</w:t>
      </w:r>
      <w:r>
        <w:t>n</w:t>
      </w:r>
      <w:r w:rsidRPr="00A5587B">
        <w:t xml:space="preserve"> </w:t>
      </w:r>
      <w:r>
        <w:t>SWD compare to spending for</w:t>
      </w:r>
      <w:r w:rsidRPr="00A5587B">
        <w:t xml:space="preserve"> a</w:t>
      </w:r>
      <w:r>
        <w:t xml:space="preserve"> typical</w:t>
      </w:r>
      <w:r w:rsidRPr="00A5587B">
        <w:t xml:space="preserve"> general education student</w:t>
      </w:r>
      <w:r w:rsidR="00584C5B">
        <w:t xml:space="preserve"> (GENED)</w:t>
      </w:r>
      <w:r w:rsidRPr="00A5587B">
        <w:t>?</w:t>
      </w:r>
    </w:p>
    <w:p w:rsidR="00715069" w:rsidRPr="00A5587B" w:rsidP="00EC46B3" w14:paraId="031A0CDB" w14:textId="07ACC46D">
      <w:pPr>
        <w:pStyle w:val="NumberedList"/>
      </w:pPr>
      <w:r w:rsidRPr="00A5587B">
        <w:t>To what extent do spending</w:t>
      </w:r>
      <w:r>
        <w:t xml:space="preserve"> amounts reflect</w:t>
      </w:r>
      <w:r w:rsidRPr="00A5587B">
        <w:t xml:space="preserve"> students</w:t>
      </w:r>
      <w:r>
        <w:t xml:space="preserve">’ </w:t>
      </w:r>
      <w:r w:rsidRPr="00A5587B">
        <w:t>needs versus where they live or go to school?</w:t>
      </w:r>
    </w:p>
    <w:p w:rsidR="00715069" w:rsidRPr="00A5587B" w:rsidP="00EC46B3" w14:paraId="196BDA5E" w14:textId="77777777">
      <w:pPr>
        <w:pStyle w:val="NumberedList"/>
        <w:numPr>
          <w:ilvl w:val="0"/>
          <w:numId w:val="0"/>
        </w:numPr>
        <w:ind w:left="360"/>
      </w:pPr>
      <w:r w:rsidRPr="00A5587B">
        <w:t xml:space="preserve">2a. </w:t>
      </w:r>
      <w:r>
        <w:t>How d</w:t>
      </w:r>
      <w:r w:rsidRPr="00A5587B">
        <w:t>oes spending vary according to student</w:t>
      </w:r>
      <w:r>
        <w:t>s’ disability and/or by their functioning and development</w:t>
      </w:r>
      <w:r w:rsidRPr="00A5587B">
        <w:t>?</w:t>
      </w:r>
    </w:p>
    <w:p w:rsidR="00715069" w:rsidRPr="00A5587B" w:rsidP="00EC46B3" w14:paraId="59A51374" w14:textId="63D895BD">
      <w:pPr>
        <w:pStyle w:val="NumberedList"/>
        <w:numPr>
          <w:ilvl w:val="0"/>
          <w:numId w:val="0"/>
        </w:numPr>
        <w:ind w:left="360"/>
      </w:pPr>
      <w:r w:rsidRPr="00A5587B">
        <w:t xml:space="preserve">2b. </w:t>
      </w:r>
      <w:r>
        <w:t xml:space="preserve">Does spending vary by other student </w:t>
      </w:r>
      <w:r w:rsidRPr="00A5587B">
        <w:t>characteristics</w:t>
      </w:r>
      <w:r>
        <w:t>, such as race/ethnicity, grade level, type of school, or extent of time spent in a general education classroom?</w:t>
      </w:r>
    </w:p>
    <w:p w:rsidR="00715069" w:rsidRPr="00A5587B" w:rsidP="00EC46B3" w14:paraId="2CE828AD" w14:textId="13ACB8FD">
      <w:pPr>
        <w:pStyle w:val="NumberedList"/>
        <w:numPr>
          <w:ilvl w:val="0"/>
          <w:numId w:val="0"/>
        </w:numPr>
        <w:ind w:left="360"/>
      </w:pPr>
      <w:r w:rsidRPr="00A5587B">
        <w:t xml:space="preserve">2c. </w:t>
      </w:r>
      <w:r>
        <w:t>Are district</w:t>
      </w:r>
      <w:r w:rsidRPr="00A5587B">
        <w:t xml:space="preserve"> characteristics</w:t>
      </w:r>
      <w:r>
        <w:t>—size, urbanicity, poverty rate, type—a factor in spending?</w:t>
      </w:r>
    </w:p>
    <w:p w:rsidR="00715069" w:rsidRPr="00A5587B" w:rsidP="00EC46B3" w14:paraId="616D3F06" w14:textId="764E278E">
      <w:pPr>
        <w:pStyle w:val="NumberedList"/>
      </w:pPr>
      <w:r>
        <w:t>W</w:t>
      </w:r>
      <w:r w:rsidRPr="00A5587B">
        <w:t xml:space="preserve">hat does special education spending </w:t>
      </w:r>
      <w:r>
        <w:t xml:space="preserve">pay </w:t>
      </w:r>
      <w:r w:rsidRPr="00A5587B">
        <w:t>for, and what role does IDEA play?</w:t>
      </w:r>
    </w:p>
    <w:p w:rsidR="00715069" w:rsidRPr="00A5587B" w14:paraId="3717C2A4" w14:textId="77777777">
      <w:pPr>
        <w:spacing w:after="120"/>
        <w:ind w:left="360"/>
        <w:rPr>
          <w:rFonts w:cstheme="minorHAnsi"/>
        </w:rPr>
      </w:pPr>
      <w:r w:rsidRPr="00A5587B">
        <w:rPr>
          <w:rFonts w:cstheme="minorHAnsi"/>
        </w:rPr>
        <w:t>3a. What is spent on different types of resources</w:t>
      </w:r>
      <w:r>
        <w:rPr>
          <w:rFonts w:cstheme="minorHAnsi"/>
        </w:rPr>
        <w:t xml:space="preserve">, such as </w:t>
      </w:r>
      <w:r w:rsidRPr="00A5587B">
        <w:rPr>
          <w:rFonts w:cstheme="minorHAnsi"/>
        </w:rPr>
        <w:t>personnel, equipment, transportation, and technology?</w:t>
      </w:r>
    </w:p>
    <w:p w:rsidR="00715069" w:rsidRPr="00A5587B" w:rsidP="00EC46B3" w14:paraId="2592D1EA" w14:textId="77777777">
      <w:pPr>
        <w:pStyle w:val="NumberedList"/>
        <w:numPr>
          <w:ilvl w:val="0"/>
          <w:numId w:val="0"/>
        </w:numPr>
        <w:ind w:left="360"/>
      </w:pPr>
      <w:r w:rsidRPr="00A5587B">
        <w:t xml:space="preserve">3b. </w:t>
      </w:r>
      <w:r>
        <w:t xml:space="preserve">What portion goes to </w:t>
      </w:r>
      <w:r w:rsidRPr="00A5587B">
        <w:t>administration and compliance with IDEA's legal and administrative requirements?</w:t>
      </w:r>
    </w:p>
    <w:p w:rsidR="00715069" w:rsidRPr="00A5587B" w:rsidP="00EC46B3" w14:paraId="0C8BCAAA" w14:textId="77777777">
      <w:pPr>
        <w:pStyle w:val="NumberedList"/>
        <w:numPr>
          <w:ilvl w:val="0"/>
          <w:numId w:val="0"/>
        </w:numPr>
        <w:ind w:left="360"/>
      </w:pPr>
      <w:r w:rsidRPr="00A5587B">
        <w:t>3c. Do these types of special education spending differ according to student characteristics or where they go to school?</w:t>
      </w:r>
    </w:p>
    <w:p w:rsidR="00715069" w:rsidRPr="00A5587B" w:rsidP="00EC46B3" w14:paraId="69EA8843" w14:textId="64417562">
      <w:pPr>
        <w:pStyle w:val="NumberedList"/>
        <w:numPr>
          <w:ilvl w:val="0"/>
          <w:numId w:val="0"/>
        </w:numPr>
        <w:ind w:left="360"/>
      </w:pPr>
      <w:r w:rsidRPr="00A5587B">
        <w:t xml:space="preserve">3d. </w:t>
      </w:r>
      <w:r>
        <w:t>W</w:t>
      </w:r>
      <w:r w:rsidRPr="00A5587B">
        <w:t>hat do IDEA fund</w:t>
      </w:r>
      <w:r>
        <w:t>s</w:t>
      </w:r>
      <w:r w:rsidRPr="00A5587B">
        <w:t xml:space="preserve"> pay</w:t>
      </w:r>
      <w:r>
        <w:t xml:space="preserve"> for, compared with other federal and nonfederal sources</w:t>
      </w:r>
      <w:r w:rsidRPr="00A5587B">
        <w:t>?</w:t>
      </w:r>
    </w:p>
    <w:p w:rsidR="00715069" w:rsidRPr="005C4B4A" w:rsidP="00EC46B3" w14:paraId="657A6E7E" w14:textId="485E2603">
      <w:pPr>
        <w:pStyle w:val="NumberedList"/>
      </w:pPr>
      <w:r w:rsidRPr="005C4B4A">
        <w:t>To what extent is the federal contribution to special education funding meeting its target?</w:t>
      </w:r>
    </w:p>
    <w:p w:rsidR="00715069" w:rsidRPr="005C4B4A" w:rsidP="00EC46B3" w14:paraId="24EDD727" w14:textId="77777777">
      <w:pPr>
        <w:pStyle w:val="NumberedList"/>
        <w:numPr>
          <w:ilvl w:val="0"/>
          <w:numId w:val="0"/>
        </w:numPr>
        <w:ind w:left="360"/>
      </w:pPr>
      <w:r w:rsidRPr="005C4B4A">
        <w:t>4a. What share of spending is paid for by IDEA funds?</w:t>
      </w:r>
    </w:p>
    <w:p w:rsidR="00715069" w:rsidRPr="005C4B4A" w:rsidP="00EC46B3" w14:paraId="5363C4EA" w14:textId="77777777">
      <w:pPr>
        <w:pStyle w:val="NumberedList"/>
        <w:numPr>
          <w:ilvl w:val="0"/>
          <w:numId w:val="0"/>
        </w:numPr>
        <w:ind w:left="360"/>
      </w:pPr>
      <w:r w:rsidRPr="005C4B4A">
        <w:t>4b. What other revenue sources are used to pay for special education?</w:t>
      </w:r>
    </w:p>
    <w:p w:rsidR="00715069" w:rsidRPr="005C4B4A" w:rsidP="00EC46B3" w14:paraId="3586255E" w14:textId="77777777">
      <w:pPr>
        <w:pStyle w:val="NumberedList"/>
        <w:numPr>
          <w:ilvl w:val="0"/>
          <w:numId w:val="0"/>
        </w:numPr>
        <w:ind w:left="360"/>
      </w:pPr>
      <w:r w:rsidRPr="005C4B4A">
        <w:t>4c. How does the federal share of special education spending vary among states and LEAs?</w:t>
      </w:r>
    </w:p>
    <w:p w:rsidR="00595742" w:rsidP="00595742" w14:paraId="0E1F84A1" w14:textId="2A82C5B2">
      <w:pPr>
        <w:pStyle w:val="Heading4NoTOC"/>
      </w:pPr>
      <w:r>
        <w:t>Uses of the Data</w:t>
      </w:r>
    </w:p>
    <w:p w:rsidR="001E6A61" w:rsidRPr="001E6A61" w:rsidP="001E6A61" w14:paraId="5E883C87" w14:textId="2290767F">
      <w:r>
        <w:t xml:space="preserve">The NSSES data collection is designed to generate comprehensive, nationally representative evidence on the resources and spending used to provide special education services to students with disabilities—and the federal, state, and local funding sources used to support those expenditures—so that the resulting information can be used both for immediate reporting and for future research. The study will collect data from a large, representative sample of school districts, schools, and school staff nationwide through surveys of district officials and school-based personnel, supplemented by </w:t>
      </w:r>
      <w:r w:rsidR="00617070">
        <w:t>collecting</w:t>
      </w:r>
      <w:r>
        <w:t xml:space="preserve"> detailed </w:t>
      </w:r>
      <w:r w:rsidR="00617070">
        <w:t xml:space="preserve">district-level </w:t>
      </w:r>
      <w:r>
        <w:t xml:space="preserve">financial data. These data will be used to produce national and subgroup </w:t>
      </w:r>
      <w:r w:rsidR="002A3921">
        <w:t xml:space="preserve">spending </w:t>
      </w:r>
      <w:r>
        <w:t xml:space="preserve">estimates, identify key cost drivers, and support </w:t>
      </w:r>
      <w:r w:rsidR="002A3921">
        <w:t xml:space="preserve">other </w:t>
      </w:r>
      <w:r>
        <w:t xml:space="preserve">policy-relevant analyses in a series of summative reports. In addition, the study will prepare a restricted-use dataset to enable qualified researchers to conduct further analyses beyond the initial reports. Because no existing national data source captures special </w:t>
      </w:r>
      <w:r>
        <w:t>education resource use, spending, and funding streams at the level of detail needed for these purposes, the NSSES approach is necessary to fill this critical evidence gap.</w:t>
      </w:r>
    </w:p>
    <w:p w:rsidR="003E4EE5" w:rsidRPr="00A93319" w:rsidP="003E4EE5" w14:paraId="7EDAF7C4" w14:textId="5A0A2302">
      <w:pPr>
        <w:pStyle w:val="BodyText"/>
        <w:rPr>
          <w:rFonts w:cstheme="minorHAnsi"/>
        </w:rPr>
      </w:pPr>
      <w:r w:rsidRPr="00534709">
        <w:t xml:space="preserve">This </w:t>
      </w:r>
      <w:r w:rsidR="00AB66DE">
        <w:t>OMB clearance</w:t>
      </w:r>
      <w:r w:rsidRPr="00534709">
        <w:t xml:space="preserve"> request covers only the recruitment and sampling efforts that lead up to </w:t>
      </w:r>
      <w:r w:rsidRPr="00534709">
        <w:rPr>
          <w:rFonts w:cstheme="minorHAnsi"/>
        </w:rPr>
        <w:t xml:space="preserve">the </w:t>
      </w:r>
      <w:r>
        <w:rPr>
          <w:rFonts w:cstheme="minorHAnsi"/>
        </w:rPr>
        <w:t>study</w:t>
      </w:r>
      <w:r w:rsidR="000A0C3E">
        <w:rPr>
          <w:rFonts w:cstheme="minorHAnsi"/>
        </w:rPr>
        <w:t>’s</w:t>
      </w:r>
      <w:r>
        <w:rPr>
          <w:rFonts w:cstheme="minorHAnsi"/>
        </w:rPr>
        <w:t xml:space="preserve"> </w:t>
      </w:r>
      <w:r w:rsidRPr="00534709">
        <w:rPr>
          <w:rFonts w:cstheme="minorHAnsi"/>
        </w:rPr>
        <w:t>data collection activities</w:t>
      </w:r>
      <w:r w:rsidR="000A0C3E">
        <w:rPr>
          <w:rFonts w:cstheme="minorHAnsi"/>
        </w:rPr>
        <w:t xml:space="preserve">. </w:t>
      </w:r>
      <w:r w:rsidR="00440C8E">
        <w:rPr>
          <w:rFonts w:cstheme="minorHAnsi"/>
        </w:rPr>
        <w:t>A separate OMB clearance package will be submitted for the study’s data collection activities</w:t>
      </w:r>
      <w:r>
        <w:rPr>
          <w:rFonts w:cstheme="minorHAnsi"/>
        </w:rPr>
        <w:t xml:space="preserve">. </w:t>
      </w:r>
    </w:p>
    <w:p w:rsidR="001B30E2" w:rsidRPr="00F3656B" w:rsidP="00F3656B" w14:paraId="702077F2" w14:textId="6A35E23A">
      <w:pPr>
        <w:pStyle w:val="BodyText"/>
        <w:rPr>
          <w:rFonts w:cstheme="minorHAnsi"/>
        </w:rPr>
      </w:pPr>
      <w:r w:rsidRPr="00A93319">
        <w:rPr>
          <w:rFonts w:cstheme="minorHAnsi"/>
        </w:rPr>
        <w:t xml:space="preserve">Exhibit A-1 </w:t>
      </w:r>
      <w:r w:rsidRPr="00A93319">
        <w:t>describes the</w:t>
      </w:r>
      <w:r>
        <w:t xml:space="preserve"> </w:t>
      </w:r>
      <w:r w:rsidRPr="00A93319">
        <w:t xml:space="preserve">activities for which approval is </w:t>
      </w:r>
      <w:r>
        <w:t>requested</w:t>
      </w:r>
      <w:r w:rsidR="00A541F0">
        <w:t xml:space="preserve"> in this OMB clearance package</w:t>
      </w:r>
      <w:r w:rsidRPr="00A93319">
        <w:t xml:space="preserve">, including </w:t>
      </w:r>
      <w:r w:rsidRPr="00A93319">
        <w:rPr>
          <w:rFonts w:cstheme="minorHAnsi"/>
        </w:rPr>
        <w:t xml:space="preserve">key information about the </w:t>
      </w:r>
      <w:r w:rsidR="00A541F0">
        <w:rPr>
          <w:rFonts w:cstheme="minorHAnsi"/>
        </w:rPr>
        <w:t>anticipated recruitment</w:t>
      </w:r>
      <w:r w:rsidRPr="00A93319">
        <w:rPr>
          <w:rFonts w:cstheme="minorHAnsi"/>
        </w:rPr>
        <w:t xml:space="preserve"> period, sample size, primary contacts, mode of data collection, </w:t>
      </w:r>
      <w:r>
        <w:rPr>
          <w:rFonts w:cstheme="minorHAnsi"/>
        </w:rPr>
        <w:t>and purpose for</w:t>
      </w:r>
      <w:r w:rsidRPr="00A93319">
        <w:rPr>
          <w:rFonts w:cstheme="minorHAnsi"/>
        </w:rPr>
        <w:t xml:space="preserve"> </w:t>
      </w:r>
      <w:r>
        <w:rPr>
          <w:rFonts w:cstheme="minorHAnsi"/>
        </w:rPr>
        <w:t xml:space="preserve">engaging </w:t>
      </w:r>
      <w:r w:rsidRPr="00A93319">
        <w:rPr>
          <w:rFonts w:cstheme="minorHAnsi"/>
        </w:rPr>
        <w:t>SEAs, LEAs, and schools</w:t>
      </w:r>
      <w:r>
        <w:rPr>
          <w:rFonts w:cstheme="minorHAnsi"/>
        </w:rPr>
        <w:t xml:space="preserve"> in these efforts.</w:t>
      </w:r>
      <w:r w:rsidR="00F3656B">
        <w:rPr>
          <w:rFonts w:cstheme="minorHAnsi"/>
        </w:rPr>
        <w:t xml:space="preserve"> </w:t>
      </w:r>
      <w:r>
        <w:t xml:space="preserve">IES and the study team will request OMB approval for the NSSES data collection plan and survey instruments in spring 2026, after they complete the OMB-approved pilot that is testing and refining the study’s procedures </w:t>
      </w:r>
      <w:r w:rsidRPr="00167F25">
        <w:rPr>
          <w:rFonts w:eastAsia="Times New Roman"/>
        </w:rPr>
        <w:t>(</w:t>
      </w:r>
      <w:hyperlink r:id="rId15" w:history="1">
        <w:r w:rsidRPr="00EC46B3">
          <w:rPr>
            <w:rStyle w:val="Hyperlink"/>
            <w:rFonts w:cstheme="minorHAnsi"/>
          </w:rPr>
          <w:t>OMB# 1850-0952 v.10</w:t>
        </w:r>
        <w:r w:rsidRPr="00EC46B3">
          <w:rPr>
            <w:rStyle w:val="Hyperlink"/>
          </w:rPr>
          <w:t>, v.11,</w:t>
        </w:r>
      </w:hyperlink>
      <w:r w:rsidRPr="00EC46B3">
        <w:rPr>
          <w:rStyle w:val="Hyperlink"/>
          <w:rFonts w:cstheme="minorHAnsi"/>
          <w:color w:val="auto"/>
          <w:u w:val="none"/>
        </w:rPr>
        <w:t xml:space="preserve"> </w:t>
      </w:r>
      <w:hyperlink r:id="rId16" w:history="1">
        <w:r w:rsidRPr="00072986" w:rsidR="00072986">
          <w:rPr>
            <w:rStyle w:val="Hyperlink"/>
            <w:rFonts w:cstheme="minorHAnsi"/>
          </w:rPr>
          <w:t>v.12</w:t>
        </w:r>
      </w:hyperlink>
      <w:r w:rsidR="00072986">
        <w:rPr>
          <w:rStyle w:val="Hyperlink"/>
          <w:rFonts w:cstheme="minorHAnsi"/>
          <w:color w:val="auto"/>
          <w:u w:val="none"/>
        </w:rPr>
        <w:t xml:space="preserve">). </w:t>
      </w:r>
      <w:r w:rsidRPr="00EC46B3">
        <w:t>Exhibit A-2 lists the additional data collection activities that will be included in this later OMB clearance package.</w:t>
      </w:r>
    </w:p>
    <w:p w:rsidR="00715069" w:rsidRPr="001B2BB3" w:rsidP="00EC46B3" w14:paraId="1BBDF6BE" w14:textId="530E1B44">
      <w:pPr>
        <w:pStyle w:val="ExhibitTitle"/>
      </w:pPr>
      <w:bookmarkStart w:id="13" w:name="_Toc217325198"/>
      <w:r w:rsidRPr="001B2BB3">
        <w:t xml:space="preserve">Exhibit A-1. Key </w:t>
      </w:r>
      <w:r>
        <w:t>r</w:t>
      </w:r>
      <w:r w:rsidRPr="001B2BB3">
        <w:t xml:space="preserve">ecruitment </w:t>
      </w:r>
      <w:r>
        <w:t>e</w:t>
      </w:r>
      <w:r w:rsidRPr="001B2BB3">
        <w:t xml:space="preserve">lements for SEAs, LEAs, and </w:t>
      </w:r>
      <w:r>
        <w:t>s</w:t>
      </w:r>
      <w:r w:rsidRPr="001B2BB3">
        <w:t xml:space="preserve">chools for which </w:t>
      </w:r>
      <w:r>
        <w:t>c</w:t>
      </w:r>
      <w:r w:rsidRPr="001B2BB3">
        <w:t xml:space="preserve">learance is </w:t>
      </w:r>
      <w:r>
        <w:t>r</w:t>
      </w:r>
      <w:r w:rsidRPr="001B2BB3">
        <w:t>equested</w:t>
      </w:r>
      <w:bookmarkEnd w:id="13"/>
    </w:p>
    <w:tbl>
      <w:tblPr>
        <w:tblStyle w:val="TableStyle-AIR2021"/>
        <w:tblW w:w="5063" w:type="pct"/>
        <w:tblLook w:val="04A0"/>
      </w:tblPr>
      <w:tblGrid>
        <w:gridCol w:w="2022"/>
        <w:gridCol w:w="2485"/>
        <w:gridCol w:w="2485"/>
        <w:gridCol w:w="2486"/>
      </w:tblGrid>
      <w:tr w14:paraId="51497084" w14:textId="77777777" w:rsidTr="00A62096">
        <w:tblPrEx>
          <w:tblW w:w="5063" w:type="pct"/>
          <w:tblLook w:val="04A0"/>
        </w:tblPrEx>
        <w:trPr>
          <w:trHeight w:val="653"/>
          <w:tblHeader/>
        </w:trPr>
        <w:tc>
          <w:tcPr>
            <w:tcW w:w="2022" w:type="dxa"/>
          </w:tcPr>
          <w:p w:rsidR="00715069" w:rsidRPr="00EC46B3" w:rsidP="00EC46B3" w14:paraId="61AF9F7A" w14:textId="26E10E6C">
            <w:pPr>
              <w:pStyle w:val="Table11ColumnHeading"/>
              <w:rPr>
                <w:rStyle w:val="Hyperlink"/>
                <w:color w:val="FFFFFF" w:themeColor="background1"/>
                <w:u w:val="none"/>
              </w:rPr>
            </w:pPr>
            <w:r w:rsidRPr="00EC46B3">
              <w:rPr>
                <w:rStyle w:val="Hyperlink"/>
                <w:color w:val="FFFFFF" w:themeColor="background1"/>
                <w:u w:val="none"/>
              </w:rPr>
              <w:t>Key recruitment elements</w:t>
            </w:r>
          </w:p>
        </w:tc>
        <w:tc>
          <w:tcPr>
            <w:tcW w:w="2485" w:type="dxa"/>
          </w:tcPr>
          <w:p w:rsidR="00715069" w:rsidRPr="00EC46B3" w:rsidP="00EC46B3" w14:paraId="2985FDF6" w14:textId="77777777">
            <w:pPr>
              <w:pStyle w:val="Table11ColumnHeading"/>
              <w:rPr>
                <w:rStyle w:val="Hyperlink"/>
                <w:color w:val="FFFFFF" w:themeColor="background1"/>
                <w:u w:val="none"/>
              </w:rPr>
            </w:pPr>
            <w:r w:rsidRPr="00EC46B3">
              <w:rPr>
                <w:rStyle w:val="Hyperlink"/>
                <w:color w:val="FFFFFF" w:themeColor="background1"/>
                <w:u w:val="none"/>
              </w:rPr>
              <w:t>SEA</w:t>
            </w:r>
          </w:p>
        </w:tc>
        <w:tc>
          <w:tcPr>
            <w:tcW w:w="2485" w:type="dxa"/>
          </w:tcPr>
          <w:p w:rsidR="00715069" w:rsidRPr="00EC46B3" w:rsidP="00EC46B3" w14:paraId="146C9CC3" w14:textId="77777777">
            <w:pPr>
              <w:pStyle w:val="Table11ColumnHeading"/>
              <w:rPr>
                <w:rStyle w:val="Hyperlink"/>
                <w:color w:val="FFFFFF" w:themeColor="background1"/>
                <w:u w:val="none"/>
              </w:rPr>
            </w:pPr>
            <w:r w:rsidRPr="00EC46B3">
              <w:rPr>
                <w:rStyle w:val="Hyperlink"/>
                <w:color w:val="FFFFFF" w:themeColor="background1"/>
                <w:u w:val="none"/>
              </w:rPr>
              <w:t>LEA</w:t>
            </w:r>
          </w:p>
        </w:tc>
        <w:tc>
          <w:tcPr>
            <w:tcW w:w="2486" w:type="dxa"/>
          </w:tcPr>
          <w:p w:rsidR="00715069" w:rsidRPr="00EC46B3" w:rsidP="00EC46B3" w14:paraId="25C6A8E0" w14:textId="77777777">
            <w:pPr>
              <w:pStyle w:val="Table11ColumnHeading"/>
              <w:rPr>
                <w:rStyle w:val="Hyperlink"/>
                <w:color w:val="FFFFFF" w:themeColor="background1"/>
                <w:u w:val="none"/>
              </w:rPr>
            </w:pPr>
            <w:r w:rsidRPr="00EC46B3">
              <w:rPr>
                <w:rStyle w:val="Hyperlink"/>
                <w:color w:val="FFFFFF" w:themeColor="background1"/>
                <w:u w:val="none"/>
              </w:rPr>
              <w:t>School</w:t>
            </w:r>
          </w:p>
        </w:tc>
      </w:tr>
      <w:tr w14:paraId="26F89A4B" w14:textId="77777777" w:rsidTr="00A62096">
        <w:tblPrEx>
          <w:tblW w:w="5063" w:type="pct"/>
          <w:tblLook w:val="04A0"/>
        </w:tblPrEx>
        <w:trPr>
          <w:trHeight w:val="633"/>
        </w:trPr>
        <w:tc>
          <w:tcPr>
            <w:tcW w:w="2022" w:type="dxa"/>
          </w:tcPr>
          <w:p w:rsidR="00715069" w:rsidRPr="00EC46B3" w:rsidP="00EC46B3" w14:paraId="096E5B50" w14:textId="77777777">
            <w:pPr>
              <w:pStyle w:val="Table11RowHeading"/>
              <w:rPr>
                <w:rStyle w:val="Hyperlink"/>
                <w:color w:val="1C252D" w:themeColor="text2"/>
                <w:u w:val="none"/>
              </w:rPr>
            </w:pPr>
            <w:r w:rsidRPr="00EC46B3">
              <w:rPr>
                <w:rStyle w:val="Hyperlink"/>
                <w:color w:val="1C252D" w:themeColor="text2"/>
                <w:u w:val="none"/>
              </w:rPr>
              <w:t>Anticipated recruitment period</w:t>
            </w:r>
          </w:p>
        </w:tc>
        <w:tc>
          <w:tcPr>
            <w:tcW w:w="2485" w:type="dxa"/>
          </w:tcPr>
          <w:p w:rsidR="00715069" w:rsidRPr="00EC46B3" w:rsidP="00EC46B3" w14:paraId="69B1B9FE" w14:textId="62F070A1">
            <w:pPr>
              <w:pStyle w:val="Table11Basic"/>
              <w:rPr>
                <w:rStyle w:val="Hyperlink"/>
                <w:color w:val="1C252D" w:themeColor="text2"/>
                <w:u w:val="none"/>
              </w:rPr>
            </w:pPr>
            <w:r w:rsidRPr="00134B08">
              <w:rPr>
                <w:rStyle w:val="Hyperlink"/>
                <w:color w:val="auto"/>
                <w:u w:val="none"/>
              </w:rPr>
              <w:t>July</w:t>
            </w:r>
            <w:r w:rsidRPr="00EC46B3">
              <w:rPr>
                <w:rStyle w:val="Hyperlink"/>
                <w:color w:val="1C252D" w:themeColor="text2"/>
                <w:u w:val="none"/>
              </w:rPr>
              <w:t xml:space="preserve"> </w:t>
            </w:r>
            <w:r w:rsidRPr="00EC46B3">
              <w:rPr>
                <w:rStyle w:val="Hyperlink"/>
                <w:color w:val="1C252D" w:themeColor="text2"/>
                <w:u w:val="none"/>
              </w:rPr>
              <w:t xml:space="preserve">15 to </w:t>
            </w:r>
            <w:r w:rsidR="00A91ACA">
              <w:rPr>
                <w:rStyle w:val="Hyperlink"/>
                <w:color w:val="1C252D" w:themeColor="text2"/>
                <w:u w:val="none"/>
              </w:rPr>
              <w:t>October </w:t>
            </w:r>
            <w:r w:rsidRPr="00EC46B3">
              <w:rPr>
                <w:rStyle w:val="Hyperlink"/>
                <w:color w:val="1C252D" w:themeColor="text2"/>
                <w:u w:val="none"/>
              </w:rPr>
              <w:t>30, 2026</w:t>
            </w:r>
          </w:p>
        </w:tc>
        <w:tc>
          <w:tcPr>
            <w:tcW w:w="2485" w:type="dxa"/>
          </w:tcPr>
          <w:p w:rsidR="00715069" w:rsidRPr="00EC46B3" w:rsidP="00EC46B3" w14:paraId="62392C5F" w14:textId="55948C97">
            <w:pPr>
              <w:pStyle w:val="Table11Basic"/>
              <w:rPr>
                <w:rStyle w:val="Hyperlink"/>
                <w:color w:val="1C252D" w:themeColor="text2"/>
                <w:u w:val="none"/>
              </w:rPr>
            </w:pPr>
            <w:r>
              <w:rPr>
                <w:rStyle w:val="Hyperlink"/>
                <w:color w:val="1C252D" w:themeColor="text2"/>
                <w:u w:val="none"/>
              </w:rPr>
              <w:t>July</w:t>
            </w:r>
            <w:r w:rsidRPr="00EC46B3">
              <w:rPr>
                <w:rStyle w:val="Hyperlink"/>
                <w:color w:val="1C252D" w:themeColor="text2"/>
                <w:u w:val="none"/>
              </w:rPr>
              <w:t xml:space="preserve"> </w:t>
            </w:r>
            <w:r w:rsidRPr="00EC46B3">
              <w:rPr>
                <w:rStyle w:val="Hyperlink"/>
                <w:color w:val="1C252D" w:themeColor="text2"/>
                <w:u w:val="none"/>
              </w:rPr>
              <w:t>31</w:t>
            </w:r>
            <w:r w:rsidRPr="00656F62" w:rsidR="00375C1B">
              <w:rPr>
                <w:rStyle w:val="Hyperlink"/>
                <w:color w:val="auto"/>
                <w:u w:val="none"/>
              </w:rPr>
              <w:t xml:space="preserve">, </w:t>
            </w:r>
            <w:r w:rsidRPr="00656F62" w:rsidR="007F3FEB">
              <w:rPr>
                <w:rStyle w:val="Hyperlink"/>
                <w:color w:val="auto"/>
                <w:u w:val="none"/>
              </w:rPr>
              <w:t>2026,</w:t>
            </w:r>
            <w:r w:rsidRPr="00656F62">
              <w:rPr>
                <w:rStyle w:val="Hyperlink"/>
                <w:color w:val="auto"/>
                <w:u w:val="none"/>
              </w:rPr>
              <w:t xml:space="preserve"> to </w:t>
            </w:r>
            <w:r w:rsidR="00BC7104">
              <w:rPr>
                <w:rStyle w:val="Hyperlink"/>
                <w:color w:val="1C252D" w:themeColor="text2"/>
                <w:u w:val="none"/>
              </w:rPr>
              <w:t>January</w:t>
            </w:r>
            <w:r w:rsidRPr="00EC46B3" w:rsidR="00BC7104">
              <w:rPr>
                <w:rStyle w:val="Hyperlink"/>
                <w:color w:val="1C252D" w:themeColor="text2"/>
                <w:u w:val="none"/>
              </w:rPr>
              <w:t xml:space="preserve"> </w:t>
            </w:r>
            <w:r w:rsidRPr="00EC46B3">
              <w:rPr>
                <w:rStyle w:val="Hyperlink"/>
                <w:color w:val="1C252D" w:themeColor="text2"/>
                <w:u w:val="none"/>
              </w:rPr>
              <w:t>31, 202</w:t>
            </w:r>
            <w:r w:rsidR="00BC7104">
              <w:rPr>
                <w:rStyle w:val="Hyperlink"/>
                <w:color w:val="1C252D" w:themeColor="text2"/>
                <w:u w:val="none"/>
              </w:rPr>
              <w:t>7</w:t>
            </w:r>
          </w:p>
        </w:tc>
        <w:tc>
          <w:tcPr>
            <w:tcW w:w="2486" w:type="dxa"/>
          </w:tcPr>
          <w:p w:rsidR="00715069" w:rsidRPr="00EC46B3" w:rsidP="00EC46B3" w14:paraId="46683651" w14:textId="6FDEC4B9">
            <w:pPr>
              <w:pStyle w:val="Table11Basic"/>
              <w:rPr>
                <w:rStyle w:val="Hyperlink"/>
                <w:color w:val="1C252D" w:themeColor="text2"/>
                <w:u w:val="none"/>
              </w:rPr>
            </w:pPr>
            <w:r>
              <w:rPr>
                <w:rStyle w:val="Hyperlink"/>
                <w:color w:val="1C252D" w:themeColor="text2"/>
                <w:u w:val="none"/>
              </w:rPr>
              <w:t>October</w:t>
            </w:r>
            <w:r w:rsidR="00134B08">
              <w:rPr>
                <w:rStyle w:val="Hyperlink"/>
                <w:color w:val="1C252D" w:themeColor="text2"/>
                <w:u w:val="none"/>
              </w:rPr>
              <w:t xml:space="preserve"> </w:t>
            </w:r>
            <w:r w:rsidRPr="00EC46B3">
              <w:rPr>
                <w:rStyle w:val="Hyperlink"/>
                <w:color w:val="1C252D" w:themeColor="text2"/>
                <w:u w:val="none"/>
              </w:rPr>
              <w:t xml:space="preserve">30, 2026, </w:t>
            </w:r>
            <w:r w:rsidRPr="0013061C">
              <w:rPr>
                <w:rStyle w:val="BodyTextChar"/>
              </w:rPr>
              <w:t xml:space="preserve">to </w:t>
            </w:r>
            <w:r w:rsidRPr="0013061C" w:rsidR="0013061C">
              <w:rPr>
                <w:rStyle w:val="BodyTextChar"/>
              </w:rPr>
              <w:t>June</w:t>
            </w:r>
            <w:r w:rsidRPr="0013061C" w:rsidR="0066021A">
              <w:rPr>
                <w:rStyle w:val="BodyTextChar"/>
              </w:rPr>
              <w:t xml:space="preserve"> </w:t>
            </w:r>
            <w:r w:rsidRPr="0013061C">
              <w:rPr>
                <w:rStyle w:val="BodyTextChar"/>
              </w:rPr>
              <w:t>30, 2027</w:t>
            </w:r>
          </w:p>
        </w:tc>
      </w:tr>
      <w:tr w14:paraId="22903D2D" w14:textId="77777777" w:rsidTr="00A62096">
        <w:tblPrEx>
          <w:tblW w:w="5063" w:type="pct"/>
          <w:tblLook w:val="04A0"/>
        </w:tblPrEx>
        <w:trPr>
          <w:trHeight w:val="395"/>
        </w:trPr>
        <w:tc>
          <w:tcPr>
            <w:tcW w:w="2022" w:type="dxa"/>
          </w:tcPr>
          <w:p w:rsidR="00715069" w:rsidRPr="00EC46B3" w:rsidP="00EC46B3" w14:paraId="2A43F30F" w14:textId="77777777">
            <w:pPr>
              <w:pStyle w:val="Table11RowHeading"/>
              <w:rPr>
                <w:rStyle w:val="Hyperlink"/>
                <w:color w:val="1C252D" w:themeColor="text2"/>
                <w:u w:val="none"/>
              </w:rPr>
            </w:pPr>
            <w:r w:rsidRPr="00EC46B3">
              <w:rPr>
                <w:rStyle w:val="Hyperlink"/>
                <w:color w:val="1C252D" w:themeColor="text2"/>
                <w:u w:val="none"/>
              </w:rPr>
              <w:t>Sample size</w:t>
            </w:r>
          </w:p>
        </w:tc>
        <w:tc>
          <w:tcPr>
            <w:tcW w:w="2485" w:type="dxa"/>
          </w:tcPr>
          <w:p w:rsidR="00715069" w:rsidRPr="00EC46B3" w:rsidP="00EC46B3" w14:paraId="0BD048B0" w14:textId="77777777">
            <w:pPr>
              <w:pStyle w:val="Table11Basic"/>
              <w:jc w:val="center"/>
              <w:rPr>
                <w:rStyle w:val="Hyperlink"/>
                <w:color w:val="1C252D" w:themeColor="text2"/>
                <w:u w:val="none"/>
              </w:rPr>
            </w:pPr>
            <w:r w:rsidRPr="00EC46B3">
              <w:rPr>
                <w:rStyle w:val="Hyperlink"/>
                <w:color w:val="1C252D" w:themeColor="text2"/>
                <w:u w:val="none"/>
              </w:rPr>
              <w:t>51</w:t>
            </w:r>
          </w:p>
        </w:tc>
        <w:tc>
          <w:tcPr>
            <w:tcW w:w="2485" w:type="dxa"/>
          </w:tcPr>
          <w:p w:rsidR="00715069" w:rsidRPr="00EC46B3" w:rsidP="00EC46B3" w14:paraId="5081514B" w14:textId="77777777">
            <w:pPr>
              <w:pStyle w:val="Table11Basic"/>
              <w:jc w:val="center"/>
              <w:rPr>
                <w:rStyle w:val="Hyperlink"/>
                <w:color w:val="1C252D" w:themeColor="text2"/>
                <w:u w:val="none"/>
              </w:rPr>
            </w:pPr>
            <w:r w:rsidRPr="00EC46B3">
              <w:rPr>
                <w:rStyle w:val="Hyperlink"/>
                <w:color w:val="1C252D" w:themeColor="text2"/>
                <w:u w:val="none"/>
              </w:rPr>
              <w:t>1,250</w:t>
            </w:r>
          </w:p>
        </w:tc>
        <w:tc>
          <w:tcPr>
            <w:tcW w:w="2486" w:type="dxa"/>
          </w:tcPr>
          <w:p w:rsidR="00715069" w:rsidRPr="00EC46B3" w:rsidP="00EC46B3" w14:paraId="0C187D6C" w14:textId="30DA2336">
            <w:pPr>
              <w:pStyle w:val="Table11Basic"/>
              <w:jc w:val="center"/>
              <w:rPr>
                <w:rStyle w:val="Hyperlink"/>
                <w:color w:val="1C252D" w:themeColor="text2"/>
                <w:u w:val="none"/>
              </w:rPr>
            </w:pPr>
            <w:r w:rsidRPr="00EC46B3">
              <w:rPr>
                <w:rStyle w:val="Hyperlink"/>
                <w:color w:val="1C252D" w:themeColor="text2"/>
                <w:u w:val="none"/>
              </w:rPr>
              <w:t>3,750</w:t>
            </w:r>
          </w:p>
        </w:tc>
      </w:tr>
      <w:tr w14:paraId="22C6C064" w14:textId="77777777" w:rsidTr="00A62096">
        <w:tblPrEx>
          <w:tblW w:w="5063" w:type="pct"/>
          <w:tblLook w:val="04A0"/>
        </w:tblPrEx>
        <w:trPr>
          <w:trHeight w:val="910"/>
        </w:trPr>
        <w:tc>
          <w:tcPr>
            <w:tcW w:w="2022" w:type="dxa"/>
          </w:tcPr>
          <w:p w:rsidR="00715069" w:rsidRPr="00EC46B3" w:rsidP="00EC46B3" w14:paraId="1287AFE2" w14:textId="77777777">
            <w:pPr>
              <w:pStyle w:val="Table11RowHeading"/>
              <w:rPr>
                <w:rStyle w:val="Hyperlink"/>
                <w:color w:val="1C252D" w:themeColor="text2"/>
                <w:u w:val="none"/>
              </w:rPr>
            </w:pPr>
            <w:r w:rsidRPr="00EC46B3">
              <w:rPr>
                <w:rStyle w:val="Hyperlink"/>
                <w:color w:val="1C252D" w:themeColor="text2"/>
                <w:u w:val="none"/>
              </w:rPr>
              <w:t>Primary respondent contacts</w:t>
            </w:r>
          </w:p>
        </w:tc>
        <w:tc>
          <w:tcPr>
            <w:tcW w:w="2485" w:type="dxa"/>
          </w:tcPr>
          <w:p w:rsidR="00715069" w:rsidRPr="00EC46B3" w:rsidP="00EC46B3" w14:paraId="7A731DFB" w14:textId="77777777">
            <w:pPr>
              <w:pStyle w:val="Table11Basic"/>
              <w:rPr>
                <w:rStyle w:val="Hyperlink"/>
                <w:color w:val="1C252D" w:themeColor="text2"/>
                <w:u w:val="none"/>
              </w:rPr>
            </w:pPr>
            <w:r w:rsidRPr="00EC46B3">
              <w:rPr>
                <w:rStyle w:val="Hyperlink"/>
                <w:color w:val="1C252D" w:themeColor="text2"/>
                <w:u w:val="none"/>
              </w:rPr>
              <w:t>State Education Officer and Special Education Officer</w:t>
            </w:r>
          </w:p>
        </w:tc>
        <w:tc>
          <w:tcPr>
            <w:tcW w:w="2485" w:type="dxa"/>
          </w:tcPr>
          <w:p w:rsidR="00715069" w:rsidRPr="00EC46B3" w:rsidP="00EC46B3" w14:paraId="2D521ED2" w14:textId="77777777">
            <w:pPr>
              <w:pStyle w:val="Table11Basic"/>
              <w:rPr>
                <w:rStyle w:val="Hyperlink"/>
                <w:color w:val="1C252D" w:themeColor="text2"/>
                <w:u w:val="none"/>
              </w:rPr>
            </w:pPr>
            <w:r w:rsidRPr="00EC46B3">
              <w:rPr>
                <w:rStyle w:val="Hyperlink"/>
                <w:color w:val="1C252D" w:themeColor="text2"/>
                <w:u w:val="none"/>
              </w:rPr>
              <w:t>Superintendent and designees</w:t>
            </w:r>
          </w:p>
        </w:tc>
        <w:tc>
          <w:tcPr>
            <w:tcW w:w="2486" w:type="dxa"/>
          </w:tcPr>
          <w:p w:rsidR="00715069" w:rsidRPr="00EC46B3" w:rsidP="00EC46B3" w14:paraId="427522D9" w14:textId="77777777">
            <w:pPr>
              <w:pStyle w:val="Table11Basic"/>
              <w:rPr>
                <w:rStyle w:val="Hyperlink"/>
                <w:color w:val="1C252D" w:themeColor="text2"/>
                <w:u w:val="none"/>
              </w:rPr>
            </w:pPr>
            <w:r w:rsidRPr="00EC46B3">
              <w:rPr>
                <w:rStyle w:val="Hyperlink"/>
                <w:color w:val="1C252D" w:themeColor="text2"/>
                <w:u w:val="none"/>
              </w:rPr>
              <w:t>Principal and designated school coordinator</w:t>
            </w:r>
          </w:p>
        </w:tc>
      </w:tr>
      <w:tr w14:paraId="4E027DC6" w14:textId="77777777" w:rsidTr="00A62096">
        <w:tblPrEx>
          <w:tblW w:w="5063" w:type="pct"/>
          <w:tblLook w:val="04A0"/>
        </w:tblPrEx>
        <w:trPr>
          <w:trHeight w:val="3957"/>
        </w:trPr>
        <w:tc>
          <w:tcPr>
            <w:tcW w:w="2022" w:type="dxa"/>
          </w:tcPr>
          <w:p w:rsidR="00715069" w:rsidRPr="00EC46B3" w:rsidP="00EC46B3" w14:paraId="3DCF82D6" w14:textId="77777777">
            <w:pPr>
              <w:pStyle w:val="Table11RowHeading"/>
              <w:rPr>
                <w:rStyle w:val="Hyperlink"/>
                <w:color w:val="1C252D" w:themeColor="text2"/>
                <w:u w:val="none"/>
              </w:rPr>
            </w:pPr>
            <w:r w:rsidRPr="00EC46B3">
              <w:rPr>
                <w:rStyle w:val="Hyperlink"/>
                <w:color w:val="1C252D" w:themeColor="text2"/>
                <w:u w:val="none"/>
              </w:rPr>
              <w:t>Respondent activities</w:t>
            </w:r>
          </w:p>
        </w:tc>
        <w:tc>
          <w:tcPr>
            <w:tcW w:w="2485" w:type="dxa"/>
          </w:tcPr>
          <w:p w:rsidR="00715069" w:rsidRPr="00EC46B3" w:rsidP="00EC46B3" w14:paraId="5CDB22A8" w14:textId="77777777">
            <w:pPr>
              <w:pStyle w:val="Table11Bullet1"/>
              <w:rPr>
                <w:rStyle w:val="Hyperlink"/>
                <w:color w:val="1C252D" w:themeColor="text2"/>
                <w:u w:val="none"/>
              </w:rPr>
            </w:pPr>
            <w:r w:rsidRPr="00EC46B3">
              <w:rPr>
                <w:rStyle w:val="Hyperlink"/>
                <w:color w:val="1C252D" w:themeColor="text2"/>
                <w:u w:val="none"/>
              </w:rPr>
              <w:t>Receive notification with information about the study</w:t>
            </w:r>
          </w:p>
        </w:tc>
        <w:tc>
          <w:tcPr>
            <w:tcW w:w="2485" w:type="dxa"/>
          </w:tcPr>
          <w:p w:rsidR="00715069" w:rsidRPr="00EC46B3" w:rsidP="00EC46B3" w14:paraId="5DCD7BD8" w14:textId="5AC1E756">
            <w:pPr>
              <w:pStyle w:val="Table11Bullet1"/>
              <w:rPr>
                <w:rStyle w:val="Hyperlink"/>
                <w:color w:val="1C252D" w:themeColor="text2"/>
                <w:u w:val="none"/>
              </w:rPr>
            </w:pPr>
            <w:r w:rsidRPr="00EC46B3">
              <w:rPr>
                <w:rStyle w:val="Hyperlink"/>
                <w:color w:val="1C252D" w:themeColor="text2"/>
                <w:u w:val="none"/>
              </w:rPr>
              <w:t xml:space="preserve">Review and respond to information about the study (methods, burden, incentives), letter requesting cooperation, and </w:t>
            </w:r>
            <w:r w:rsidRPr="00EC46B3">
              <w:rPr>
                <w:rStyle w:val="Hyperlink"/>
                <w:color w:val="1C252D" w:themeColor="text2"/>
                <w:u w:val="none"/>
              </w:rPr>
              <w:t>FERPA</w:t>
            </w:r>
            <w:r w:rsidRPr="00EC46B3">
              <w:rPr>
                <w:rStyle w:val="Hyperlink"/>
                <w:color w:val="1C252D" w:themeColor="text2"/>
                <w:u w:val="none"/>
                <w:vertAlign w:val="superscript"/>
              </w:rPr>
              <w:t>a</w:t>
            </w:r>
            <w:r w:rsidRPr="00EC46B3">
              <w:rPr>
                <w:rStyle w:val="Hyperlink"/>
                <w:color w:val="1C252D" w:themeColor="text2"/>
                <w:u w:val="none"/>
              </w:rPr>
              <w:t xml:space="preserve"> and data-sharing agreement form</w:t>
            </w:r>
          </w:p>
          <w:p w:rsidR="00715069" w:rsidRPr="00EC46B3" w:rsidP="00EC46B3" w14:paraId="2F14EE21" w14:textId="77777777">
            <w:pPr>
              <w:pStyle w:val="Table11Bullet1"/>
            </w:pPr>
            <w:r w:rsidRPr="00EC46B3">
              <w:t>Identify LEA and school contacts who will coordinate study response</w:t>
            </w:r>
          </w:p>
          <w:p w:rsidR="00715069" w:rsidRPr="00EC46B3" w:rsidP="00EC46B3" w14:paraId="5100279A" w14:textId="7EDEDFF2">
            <w:pPr>
              <w:pStyle w:val="Table11Bullet1"/>
              <w:rPr>
                <w:rStyle w:val="Hyperlink"/>
                <w:color w:val="1C252D" w:themeColor="text2"/>
                <w:u w:val="none"/>
              </w:rPr>
            </w:pPr>
            <w:r w:rsidRPr="00EC46B3">
              <w:t xml:space="preserve">Prepare and submit rosters for students who receive special education and those who do not </w:t>
            </w:r>
          </w:p>
        </w:tc>
        <w:tc>
          <w:tcPr>
            <w:tcW w:w="2486" w:type="dxa"/>
          </w:tcPr>
          <w:p w:rsidR="00715069" w:rsidRPr="00EC46B3" w:rsidP="00EC46B3" w14:paraId="0DFC20F4" w14:textId="77777777">
            <w:pPr>
              <w:pStyle w:val="Table11Bullet1"/>
              <w:rPr>
                <w:rStyle w:val="Hyperlink"/>
                <w:color w:val="1C252D" w:themeColor="text2"/>
                <w:u w:val="none"/>
              </w:rPr>
            </w:pPr>
            <w:r w:rsidRPr="00EC46B3">
              <w:rPr>
                <w:rStyle w:val="Hyperlink"/>
                <w:color w:val="1C252D" w:themeColor="text2"/>
                <w:u w:val="none"/>
              </w:rPr>
              <w:t>Receive notification with information about the study</w:t>
            </w:r>
          </w:p>
          <w:p w:rsidR="00715069" w:rsidRPr="00EC46B3" w:rsidP="00EC46B3" w14:paraId="1C88FA99" w14:textId="77777777">
            <w:pPr>
              <w:pStyle w:val="Table11Bullet1"/>
              <w:rPr>
                <w:rStyle w:val="Hyperlink"/>
                <w:color w:val="1C252D" w:themeColor="text2"/>
                <w:u w:val="none"/>
              </w:rPr>
            </w:pPr>
            <w:r w:rsidRPr="00EC46B3">
              <w:rPr>
                <w:rStyle w:val="Hyperlink"/>
                <w:color w:val="1C252D" w:themeColor="text2"/>
                <w:u w:val="none"/>
              </w:rPr>
              <w:t>Discuss study participation with NORC team member and identify a school coordinator</w:t>
            </w:r>
          </w:p>
        </w:tc>
      </w:tr>
      <w:tr w14:paraId="5670DD83" w14:textId="77777777" w:rsidTr="00A62096">
        <w:tblPrEx>
          <w:tblW w:w="5063" w:type="pct"/>
          <w:tblLook w:val="04A0"/>
        </w:tblPrEx>
        <w:trPr>
          <w:trHeight w:val="1444"/>
        </w:trPr>
        <w:tc>
          <w:tcPr>
            <w:tcW w:w="2022" w:type="dxa"/>
          </w:tcPr>
          <w:p w:rsidR="00715069" w:rsidRPr="00EC46B3" w:rsidP="00EC46B3" w14:paraId="509FE5A0" w14:textId="77777777">
            <w:pPr>
              <w:pStyle w:val="Table11RowHeading"/>
              <w:rPr>
                <w:rStyle w:val="Hyperlink"/>
                <w:color w:val="1C252D" w:themeColor="text2"/>
                <w:u w:val="none"/>
              </w:rPr>
            </w:pPr>
            <w:r w:rsidRPr="00EC46B3">
              <w:rPr>
                <w:rStyle w:val="Hyperlink"/>
                <w:color w:val="1C252D" w:themeColor="text2"/>
                <w:u w:val="none"/>
              </w:rPr>
              <w:t>Mode of data collection</w:t>
            </w:r>
          </w:p>
        </w:tc>
        <w:tc>
          <w:tcPr>
            <w:tcW w:w="2485" w:type="dxa"/>
          </w:tcPr>
          <w:p w:rsidR="00715069" w:rsidRPr="00EC46B3" w:rsidP="00275986" w14:paraId="21391D05" w14:textId="7995DF11">
            <w:pPr>
              <w:pStyle w:val="Table11Bullet1"/>
              <w:rPr>
                <w:rStyle w:val="Hyperlink"/>
                <w:color w:val="1C252D" w:themeColor="text2"/>
                <w:u w:val="none"/>
              </w:rPr>
            </w:pPr>
            <w:r w:rsidRPr="00C71C97">
              <w:rPr>
                <w:rStyle w:val="Hyperlink"/>
                <w:color w:val="auto"/>
                <w:u w:val="none"/>
              </w:rPr>
              <w:t>N/A.</w:t>
            </w:r>
            <w:r w:rsidR="00C71C97">
              <w:rPr>
                <w:rStyle w:val="Hyperlink"/>
                <w:color w:val="auto"/>
                <w:u w:val="none"/>
              </w:rPr>
              <w:t xml:space="preserve"> </w:t>
            </w:r>
            <w:r w:rsidRPr="00EC46B3">
              <w:rPr>
                <w:rStyle w:val="Hyperlink"/>
                <w:color w:val="1C252D" w:themeColor="text2"/>
                <w:u w:val="none"/>
              </w:rPr>
              <w:t>No data are requested from SEAs during the recruitment period</w:t>
            </w:r>
          </w:p>
        </w:tc>
        <w:tc>
          <w:tcPr>
            <w:tcW w:w="2485" w:type="dxa"/>
          </w:tcPr>
          <w:p w:rsidR="00715069" w:rsidRPr="00EC46B3" w:rsidP="00C374BD" w14:paraId="271AFFE4" w14:textId="619ABBA2">
            <w:pPr>
              <w:pStyle w:val="Table11Bullet1"/>
              <w:rPr>
                <w:rStyle w:val="Hyperlink"/>
                <w:color w:val="1C252D" w:themeColor="text2"/>
                <w:u w:val="none"/>
              </w:rPr>
            </w:pPr>
            <w:r w:rsidRPr="00EC46B3">
              <w:rPr>
                <w:rStyle w:val="Hyperlink"/>
                <w:color w:val="1C252D" w:themeColor="text2"/>
                <w:u w:val="none"/>
              </w:rPr>
              <w:t>Upload student roster to secure project site on IES’s data center</w:t>
            </w:r>
          </w:p>
        </w:tc>
        <w:tc>
          <w:tcPr>
            <w:tcW w:w="2486" w:type="dxa"/>
          </w:tcPr>
          <w:p w:rsidR="00715069" w:rsidRPr="00EC46B3" w:rsidP="00EE41B9" w14:paraId="51D794B6" w14:textId="3A0D30BC">
            <w:pPr>
              <w:pStyle w:val="Table11Bullet1"/>
              <w:rPr>
                <w:rStyle w:val="Hyperlink"/>
                <w:color w:val="1C252D" w:themeColor="text2"/>
                <w:u w:val="none"/>
              </w:rPr>
            </w:pPr>
            <w:r>
              <w:rPr>
                <w:rStyle w:val="Hyperlink"/>
                <w:color w:val="1C252D" w:themeColor="text2"/>
                <w:u w:val="none"/>
              </w:rPr>
              <w:t xml:space="preserve">N/A. </w:t>
            </w:r>
            <w:r w:rsidRPr="00EC46B3">
              <w:rPr>
                <w:rStyle w:val="Hyperlink"/>
                <w:color w:val="1C252D" w:themeColor="text2"/>
                <w:u w:val="none"/>
              </w:rPr>
              <w:t>No data are requested from schools during the recruitment period</w:t>
            </w:r>
          </w:p>
        </w:tc>
      </w:tr>
      <w:tr w14:paraId="360DCE02" w14:textId="77777777" w:rsidTr="00A62096">
        <w:tblPrEx>
          <w:tblW w:w="5063" w:type="pct"/>
          <w:tblLook w:val="04A0"/>
        </w:tblPrEx>
        <w:trPr>
          <w:trHeight w:val="3106"/>
        </w:trPr>
        <w:tc>
          <w:tcPr>
            <w:tcW w:w="2022" w:type="dxa"/>
          </w:tcPr>
          <w:p w:rsidR="00715069" w:rsidRPr="00EC46B3" w:rsidP="00EC46B3" w14:paraId="42EECACC" w14:textId="77777777">
            <w:pPr>
              <w:pStyle w:val="Table11RowHeading"/>
              <w:rPr>
                <w:rStyle w:val="Hyperlink"/>
                <w:color w:val="1C252D" w:themeColor="text2"/>
                <w:u w:val="none"/>
              </w:rPr>
            </w:pPr>
            <w:r w:rsidRPr="00EC46B3">
              <w:rPr>
                <w:rStyle w:val="Hyperlink"/>
                <w:color w:val="1C252D" w:themeColor="text2"/>
                <w:u w:val="none"/>
              </w:rPr>
              <w:t>Purpose of activity/use of data</w:t>
            </w:r>
          </w:p>
        </w:tc>
        <w:tc>
          <w:tcPr>
            <w:tcW w:w="2485" w:type="dxa"/>
          </w:tcPr>
          <w:p w:rsidR="00715069" w:rsidRPr="00EC46B3" w:rsidP="00275986" w14:paraId="5DE6D6A3" w14:textId="7A3DA5EB">
            <w:pPr>
              <w:pStyle w:val="Table11Bullet1"/>
              <w:rPr>
                <w:rStyle w:val="Hyperlink"/>
                <w:color w:val="1C252D" w:themeColor="text2"/>
                <w:u w:val="none"/>
              </w:rPr>
            </w:pPr>
            <w:r w:rsidRPr="00EC46B3">
              <w:rPr>
                <w:rStyle w:val="Hyperlink"/>
                <w:color w:val="1C252D" w:themeColor="text2"/>
                <w:u w:val="none"/>
              </w:rPr>
              <w:t>Ask SEAs to encourage sampled LEAs in their state to participate in the study</w:t>
            </w:r>
          </w:p>
        </w:tc>
        <w:tc>
          <w:tcPr>
            <w:tcW w:w="2485" w:type="dxa"/>
          </w:tcPr>
          <w:p w:rsidR="00715069" w:rsidRPr="00EC46B3" w:rsidP="00EC46B3" w14:paraId="7BC525F2" w14:textId="3326426C">
            <w:pPr>
              <w:pStyle w:val="Table11Bullet1"/>
            </w:pPr>
            <w:r w:rsidRPr="00EC46B3">
              <w:t>Recruit sampled LEAs to participate in the study</w:t>
            </w:r>
          </w:p>
          <w:p w:rsidR="00715069" w:rsidRPr="00EC46B3" w:rsidP="00F631F8" w14:paraId="554DA2FC" w14:textId="64212035">
            <w:pPr>
              <w:pStyle w:val="Table11Bullet1"/>
              <w:rPr>
                <w:rStyle w:val="Hyperlink"/>
                <w:color w:val="1C252D" w:themeColor="text2"/>
                <w:u w:val="none"/>
              </w:rPr>
            </w:pPr>
            <w:r w:rsidRPr="00EC46B3">
              <w:t>Obtain student rosters for sampling</w:t>
            </w:r>
          </w:p>
        </w:tc>
        <w:tc>
          <w:tcPr>
            <w:tcW w:w="2486" w:type="dxa"/>
          </w:tcPr>
          <w:p w:rsidR="00715069" w:rsidRPr="00EC46B3" w:rsidP="00EC46B3" w14:paraId="1E7270F2" w14:textId="77777777">
            <w:pPr>
              <w:pStyle w:val="Table11Bullet1"/>
              <w:rPr>
                <w:rStyle w:val="Hyperlink"/>
                <w:color w:val="1C252D" w:themeColor="text2"/>
                <w:u w:val="none"/>
              </w:rPr>
            </w:pPr>
            <w:r w:rsidRPr="00EC46B3">
              <w:rPr>
                <w:rStyle w:val="Hyperlink"/>
                <w:color w:val="1C252D" w:themeColor="text2"/>
                <w:u w:val="none"/>
              </w:rPr>
              <w:t>Recruit sampled schools to participate in the study</w:t>
            </w:r>
          </w:p>
          <w:p w:rsidR="00715069" w:rsidRPr="00F3084D" w:rsidP="00F631F8" w14:paraId="2763ADC3" w14:textId="7C50F2FF">
            <w:pPr>
              <w:pStyle w:val="Table11Bullet1"/>
              <w:rPr>
                <w:rStyle w:val="Hyperlink"/>
                <w:rFonts w:eastAsiaTheme="minorEastAsia"/>
                <w:color w:val="auto"/>
                <w:sz w:val="20"/>
                <w:szCs w:val="20"/>
              </w:rPr>
            </w:pPr>
            <w:r w:rsidRPr="00EC46B3">
              <w:rPr>
                <w:rStyle w:val="Hyperlink"/>
                <w:color w:val="1C252D" w:themeColor="text2"/>
                <w:u w:val="none"/>
              </w:rPr>
              <w:t>Identify a school coordinator who will be the point of contact for coordinating student-level data collection</w:t>
            </w:r>
          </w:p>
        </w:tc>
      </w:tr>
    </w:tbl>
    <w:p w:rsidR="00715069" w:rsidP="00EC46B3" w14:paraId="4AA4F718" w14:textId="77777777">
      <w:pPr>
        <w:pStyle w:val="ExhibitNote"/>
      </w:pPr>
      <w:r>
        <w:rPr>
          <w:vertAlign w:val="superscript"/>
        </w:rPr>
        <w:t>a</w:t>
      </w:r>
      <w:r>
        <w:t xml:space="preserve"> Family </w:t>
      </w:r>
      <w:r w:rsidRPr="00EC46B3">
        <w:t>Educational</w:t>
      </w:r>
      <w:r>
        <w:t xml:space="preserve"> Rights and Privacy Act of </w:t>
      </w:r>
      <w:r w:rsidRPr="001734DC">
        <w:rPr>
          <w:color w:val="000000"/>
          <w:sz w:val="22"/>
          <w:szCs w:val="22"/>
        </w:rPr>
        <w:t>1974, 20 U</w:t>
      </w:r>
      <w:r>
        <w:rPr>
          <w:color w:val="000000"/>
          <w:sz w:val="22"/>
          <w:szCs w:val="22"/>
        </w:rPr>
        <w:t>.</w:t>
      </w:r>
      <w:r w:rsidRPr="001734DC">
        <w:rPr>
          <w:color w:val="000000"/>
          <w:sz w:val="22"/>
          <w:szCs w:val="22"/>
        </w:rPr>
        <w:t>S</w:t>
      </w:r>
      <w:r>
        <w:rPr>
          <w:color w:val="000000"/>
          <w:sz w:val="22"/>
          <w:szCs w:val="22"/>
        </w:rPr>
        <w:t>.</w:t>
      </w:r>
      <w:r w:rsidRPr="001734DC">
        <w:rPr>
          <w:color w:val="000000"/>
          <w:sz w:val="22"/>
          <w:szCs w:val="22"/>
        </w:rPr>
        <w:t>C</w:t>
      </w:r>
      <w:r>
        <w:rPr>
          <w:color w:val="000000"/>
          <w:sz w:val="22"/>
          <w:szCs w:val="22"/>
        </w:rPr>
        <w:t>.</w:t>
      </w:r>
      <w:r w:rsidRPr="001734DC">
        <w:rPr>
          <w:color w:val="000000"/>
          <w:sz w:val="22"/>
          <w:szCs w:val="22"/>
        </w:rPr>
        <w:t xml:space="preserve"> </w:t>
      </w:r>
      <w:r w:rsidRPr="00626D8E">
        <w:rPr>
          <w:sz w:val="22"/>
          <w:szCs w:val="22"/>
        </w:rPr>
        <w:t>§</w:t>
      </w:r>
      <w:r>
        <w:rPr>
          <w:sz w:val="22"/>
          <w:szCs w:val="22"/>
        </w:rPr>
        <w:t xml:space="preserve"> </w:t>
      </w:r>
      <w:r w:rsidRPr="001734DC">
        <w:rPr>
          <w:color w:val="000000"/>
          <w:sz w:val="22"/>
          <w:szCs w:val="22"/>
        </w:rPr>
        <w:t>1232g</w:t>
      </w:r>
      <w:r>
        <w:rPr>
          <w:color w:val="000000"/>
        </w:rPr>
        <w:t>.</w:t>
      </w:r>
      <w:r>
        <w:br w:type="page"/>
      </w:r>
    </w:p>
    <w:p w:rsidR="00715069" w:rsidRPr="00057739" w:rsidP="003B5BCE" w14:paraId="12F0B5B5" w14:textId="04EFEC82">
      <w:pPr>
        <w:pStyle w:val="ExhibitTitle"/>
        <w:spacing w:before="120" w:after="0"/>
      </w:pPr>
      <w:bookmarkStart w:id="14" w:name="_Toc217325199"/>
      <w:r w:rsidRPr="00057739">
        <w:t xml:space="preserve">Exhibit </w:t>
      </w:r>
      <w:r>
        <w:t>A-2</w:t>
      </w:r>
      <w:r w:rsidRPr="00057739">
        <w:t xml:space="preserve">. Additional </w:t>
      </w:r>
      <w:r>
        <w:t>d</w:t>
      </w:r>
      <w:r w:rsidRPr="00057739">
        <w:t xml:space="preserve">ata </w:t>
      </w:r>
      <w:r>
        <w:t>c</w:t>
      </w:r>
      <w:r w:rsidRPr="00057739">
        <w:t xml:space="preserve">ollection </w:t>
      </w:r>
      <w:r>
        <w:t>a</w:t>
      </w:r>
      <w:r w:rsidRPr="00057739">
        <w:t xml:space="preserve">ctivities </w:t>
      </w:r>
      <w:r>
        <w:t>t</w:t>
      </w:r>
      <w:r w:rsidRPr="00057739">
        <w:t xml:space="preserve">o </w:t>
      </w:r>
      <w:r>
        <w:t>b</w:t>
      </w:r>
      <w:r w:rsidRPr="00057739">
        <w:t xml:space="preserve">e </w:t>
      </w:r>
      <w:r>
        <w:t>i</w:t>
      </w:r>
      <w:r w:rsidRPr="00057739">
        <w:t xml:space="preserve">ncluded in a </w:t>
      </w:r>
      <w:r>
        <w:t>l</w:t>
      </w:r>
      <w:r w:rsidRPr="00057739">
        <w:t xml:space="preserve">ater OMB </w:t>
      </w:r>
      <w:r>
        <w:t>c</w:t>
      </w:r>
      <w:r w:rsidRPr="00057739">
        <w:t>learance</w:t>
      </w:r>
      <w:r w:rsidR="00EC46B3">
        <w:t> </w:t>
      </w:r>
      <w:r>
        <w:t>p</w:t>
      </w:r>
      <w:r w:rsidRPr="00057739">
        <w:t>ackage</w:t>
      </w:r>
      <w:bookmarkEnd w:id="14"/>
    </w:p>
    <w:tbl>
      <w:tblPr>
        <w:tblStyle w:val="TableStyle-AIR2021"/>
        <w:tblW w:w="5000" w:type="pct"/>
        <w:tblLayout w:type="fixed"/>
        <w:tblLook w:val="04A0"/>
      </w:tblPr>
      <w:tblGrid>
        <w:gridCol w:w="1481"/>
        <w:gridCol w:w="1575"/>
        <w:gridCol w:w="1576"/>
        <w:gridCol w:w="1576"/>
        <w:gridCol w:w="1576"/>
        <w:gridCol w:w="1576"/>
      </w:tblGrid>
      <w:tr w14:paraId="434D23EF" w14:textId="77777777" w:rsidTr="7E2AFE25">
        <w:tblPrEx>
          <w:tblW w:w="5000" w:type="pct"/>
          <w:tblLayout w:type="fixed"/>
          <w:tblLook w:val="04A0"/>
        </w:tblPrEx>
        <w:trPr>
          <w:tblHeader/>
        </w:trPr>
        <w:tc>
          <w:tcPr>
            <w:tcW w:w="1481" w:type="dxa"/>
          </w:tcPr>
          <w:p w:rsidR="00715069" w:rsidRPr="00EC46B3" w:rsidP="003B5BCE" w14:paraId="377793A2" w14:textId="0C999540">
            <w:pPr>
              <w:pStyle w:val="Table11ColumnHeading"/>
              <w:spacing w:before="20" w:after="20"/>
              <w:rPr>
                <w:rStyle w:val="Hyperlink"/>
                <w:color w:val="FFFFFF" w:themeColor="background1"/>
                <w:u w:val="none"/>
              </w:rPr>
            </w:pPr>
            <w:r w:rsidRPr="00EC46B3">
              <w:rPr>
                <w:rStyle w:val="Hyperlink"/>
                <w:color w:val="FFFFFF" w:themeColor="background1"/>
                <w:u w:val="none"/>
              </w:rPr>
              <w:t>Key data collection elements</w:t>
            </w:r>
          </w:p>
        </w:tc>
        <w:tc>
          <w:tcPr>
            <w:tcW w:w="1575" w:type="dxa"/>
          </w:tcPr>
          <w:p w:rsidR="00715069" w:rsidRPr="00EC46B3" w:rsidP="003B5BCE" w14:paraId="01676E25" w14:textId="5D284C02">
            <w:pPr>
              <w:pStyle w:val="Table11ColumnHeading"/>
              <w:spacing w:before="20" w:after="20"/>
              <w:rPr>
                <w:rStyle w:val="Hyperlink"/>
                <w:color w:val="FFFFFF" w:themeColor="background1"/>
                <w:u w:val="none"/>
              </w:rPr>
            </w:pPr>
            <w:r w:rsidRPr="00EC46B3">
              <w:rPr>
                <w:rStyle w:val="Hyperlink"/>
                <w:color w:val="FFFFFF" w:themeColor="background1"/>
                <w:u w:val="none"/>
              </w:rPr>
              <w:t>SEA resources survey</w:t>
            </w:r>
          </w:p>
        </w:tc>
        <w:tc>
          <w:tcPr>
            <w:tcW w:w="1576" w:type="dxa"/>
          </w:tcPr>
          <w:p w:rsidR="00715069" w:rsidRPr="00EC46B3" w:rsidP="003B5BCE" w14:paraId="77F92F12" w14:textId="2D239A10">
            <w:pPr>
              <w:pStyle w:val="Table11ColumnHeading"/>
              <w:spacing w:before="20" w:after="20"/>
              <w:rPr>
                <w:rStyle w:val="Hyperlink"/>
                <w:color w:val="FFFFFF" w:themeColor="background1"/>
                <w:u w:val="none"/>
              </w:rPr>
            </w:pPr>
            <w:r w:rsidRPr="00EC46B3">
              <w:rPr>
                <w:rStyle w:val="Hyperlink"/>
                <w:color w:val="FFFFFF" w:themeColor="background1"/>
                <w:u w:val="none"/>
              </w:rPr>
              <w:t>LEA program survey</w:t>
            </w:r>
          </w:p>
        </w:tc>
        <w:tc>
          <w:tcPr>
            <w:tcW w:w="1576" w:type="dxa"/>
          </w:tcPr>
          <w:p w:rsidR="00715069" w:rsidRPr="00EC46B3" w:rsidP="003B5BCE" w14:paraId="2D8FB722" w14:textId="0A04F544">
            <w:pPr>
              <w:pStyle w:val="Table11ColumnHeading"/>
              <w:spacing w:before="20" w:after="20"/>
              <w:rPr>
                <w:rStyle w:val="Hyperlink"/>
                <w:color w:val="FFFFFF" w:themeColor="background1"/>
                <w:u w:val="none"/>
              </w:rPr>
            </w:pPr>
            <w:r w:rsidRPr="00EC46B3">
              <w:rPr>
                <w:rStyle w:val="Hyperlink"/>
                <w:color w:val="FFFFFF" w:themeColor="background1"/>
                <w:u w:val="none"/>
              </w:rPr>
              <w:t xml:space="preserve">LEA </w:t>
            </w:r>
            <w:r w:rsidR="002432C9">
              <w:rPr>
                <w:rStyle w:val="Hyperlink"/>
                <w:color w:val="FFFFFF" w:themeColor="background1"/>
                <w:u w:val="none"/>
              </w:rPr>
              <w:t>Financial</w:t>
            </w:r>
            <w:r w:rsidRPr="00EC46B3" w:rsidR="002432C9">
              <w:rPr>
                <w:rStyle w:val="Hyperlink"/>
                <w:color w:val="FFFFFF" w:themeColor="background1"/>
                <w:u w:val="none"/>
              </w:rPr>
              <w:t xml:space="preserve"> </w:t>
            </w:r>
            <w:r w:rsidRPr="00EC46B3">
              <w:rPr>
                <w:rStyle w:val="Hyperlink"/>
                <w:color w:val="FFFFFF" w:themeColor="background1"/>
                <w:u w:val="none"/>
              </w:rPr>
              <w:t>Officer survey</w:t>
            </w:r>
          </w:p>
        </w:tc>
        <w:tc>
          <w:tcPr>
            <w:tcW w:w="1576" w:type="dxa"/>
          </w:tcPr>
          <w:p w:rsidR="00715069" w:rsidRPr="00EC46B3" w:rsidP="003B5BCE" w14:paraId="7D716073" w14:textId="22147696">
            <w:pPr>
              <w:pStyle w:val="Table11ColumnHeading"/>
              <w:spacing w:before="20" w:after="20"/>
              <w:rPr>
                <w:rStyle w:val="Hyperlink"/>
                <w:color w:val="FFFFFF" w:themeColor="background1"/>
                <w:u w:val="none"/>
              </w:rPr>
            </w:pPr>
            <w:r w:rsidRPr="00EC46B3">
              <w:rPr>
                <w:rStyle w:val="Hyperlink"/>
                <w:color w:val="FFFFFF" w:themeColor="background1"/>
                <w:u w:val="none"/>
              </w:rPr>
              <w:t>LEA financial data</w:t>
            </w:r>
          </w:p>
        </w:tc>
        <w:tc>
          <w:tcPr>
            <w:tcW w:w="1576" w:type="dxa"/>
          </w:tcPr>
          <w:p w:rsidR="00715069" w:rsidRPr="00EC46B3" w:rsidP="003B5BCE" w14:paraId="018E1876" w14:textId="77777777">
            <w:pPr>
              <w:pStyle w:val="Table11ColumnHeading"/>
              <w:spacing w:before="20" w:after="20"/>
              <w:rPr>
                <w:rStyle w:val="Hyperlink"/>
                <w:color w:val="FFFFFF" w:themeColor="background1"/>
                <w:u w:val="none"/>
              </w:rPr>
            </w:pPr>
            <w:r w:rsidRPr="00EC46B3">
              <w:rPr>
                <w:rStyle w:val="Hyperlink"/>
                <w:color w:val="FFFFFF" w:themeColor="background1"/>
                <w:u w:val="none"/>
              </w:rPr>
              <w:t>Student Resources Survey (SRS)</w:t>
            </w:r>
          </w:p>
        </w:tc>
      </w:tr>
      <w:tr w14:paraId="3E77D3A6" w14:textId="77777777" w:rsidTr="7E2AFE25">
        <w:tblPrEx>
          <w:tblW w:w="5000" w:type="pct"/>
          <w:tblLayout w:type="fixed"/>
          <w:tblLook w:val="04A0"/>
        </w:tblPrEx>
        <w:tc>
          <w:tcPr>
            <w:tcW w:w="1481" w:type="dxa"/>
          </w:tcPr>
          <w:p w:rsidR="00715069" w:rsidRPr="00EC46B3" w:rsidP="003B5BCE" w14:paraId="01686318" w14:textId="77777777">
            <w:pPr>
              <w:pStyle w:val="Table11RowHeading"/>
              <w:spacing w:before="20" w:after="20"/>
              <w:rPr>
                <w:rStyle w:val="Hyperlink"/>
                <w:color w:val="1C252D" w:themeColor="text2"/>
                <w:u w:val="none"/>
              </w:rPr>
            </w:pPr>
            <w:r w:rsidRPr="00EC46B3">
              <w:rPr>
                <w:rStyle w:val="Hyperlink"/>
                <w:color w:val="1C252D" w:themeColor="text2"/>
                <w:u w:val="none"/>
              </w:rPr>
              <w:t>Anticipated reporting period</w:t>
            </w:r>
          </w:p>
        </w:tc>
        <w:tc>
          <w:tcPr>
            <w:tcW w:w="1575" w:type="dxa"/>
          </w:tcPr>
          <w:p w:rsidR="00715069" w:rsidRPr="00EC46B3" w:rsidP="003B5BCE" w14:paraId="1CAE3170" w14:textId="490B2E3D">
            <w:pPr>
              <w:pStyle w:val="Table11Basic"/>
              <w:spacing w:before="20" w:after="20"/>
              <w:rPr>
                <w:rStyle w:val="Hyperlink"/>
                <w:color w:val="1C252D" w:themeColor="text2"/>
                <w:u w:val="none"/>
              </w:rPr>
            </w:pPr>
            <w:r>
              <w:rPr>
                <w:rStyle w:val="Hyperlink"/>
                <w:color w:val="1C252D" w:themeColor="text2"/>
                <w:u w:val="none"/>
              </w:rPr>
              <w:t xml:space="preserve">Winter </w:t>
            </w:r>
            <w:r w:rsidR="006B4404">
              <w:rPr>
                <w:rStyle w:val="Hyperlink"/>
                <w:color w:val="1C252D" w:themeColor="text2"/>
                <w:u w:val="none"/>
              </w:rPr>
              <w:t xml:space="preserve"> 20</w:t>
            </w:r>
            <w:r w:rsidR="001379FA">
              <w:rPr>
                <w:rStyle w:val="Hyperlink"/>
                <w:color w:val="1C252D" w:themeColor="text2"/>
                <w:u w:val="none"/>
              </w:rPr>
              <w:t>26</w:t>
            </w:r>
            <w:r w:rsidR="006B22B9">
              <w:rPr>
                <w:rStyle w:val="Hyperlink"/>
                <w:color w:val="1C252D" w:themeColor="text2"/>
                <w:u w:val="none"/>
              </w:rPr>
              <w:t>/Winter</w:t>
            </w:r>
            <w:r w:rsidR="0090186A">
              <w:rPr>
                <w:rStyle w:val="Hyperlink"/>
                <w:color w:val="1C252D" w:themeColor="text2"/>
                <w:u w:val="none"/>
              </w:rPr>
              <w:t xml:space="preserve"> 202</w:t>
            </w:r>
            <w:r w:rsidR="001379FA">
              <w:rPr>
                <w:rStyle w:val="Hyperlink"/>
                <w:color w:val="1C252D" w:themeColor="text2"/>
                <w:u w:val="none"/>
              </w:rPr>
              <w:t>7</w:t>
            </w:r>
          </w:p>
        </w:tc>
        <w:tc>
          <w:tcPr>
            <w:tcW w:w="1576" w:type="dxa"/>
          </w:tcPr>
          <w:p w:rsidR="00715069" w:rsidRPr="00EC46B3" w:rsidP="003B5BCE" w14:paraId="61AB657C" w14:textId="77777777">
            <w:pPr>
              <w:pStyle w:val="Table11Basic"/>
              <w:spacing w:before="20" w:after="20"/>
              <w:rPr>
                <w:rStyle w:val="Hyperlink"/>
                <w:color w:val="1C252D" w:themeColor="text2"/>
                <w:u w:val="none"/>
              </w:rPr>
            </w:pPr>
            <w:r w:rsidRPr="00EC46B3">
              <w:rPr>
                <w:rStyle w:val="Hyperlink"/>
                <w:color w:val="1C252D" w:themeColor="text2"/>
                <w:u w:val="none"/>
              </w:rPr>
              <w:t>Winter/Spring 2027</w:t>
            </w:r>
          </w:p>
        </w:tc>
        <w:tc>
          <w:tcPr>
            <w:tcW w:w="1576" w:type="dxa"/>
          </w:tcPr>
          <w:p w:rsidR="00715069" w:rsidRPr="00EC46B3" w:rsidP="003B5BCE" w14:paraId="07613C8D" w14:textId="3585B0EF">
            <w:pPr>
              <w:pStyle w:val="Table11Basic"/>
              <w:spacing w:before="20" w:after="20"/>
              <w:rPr>
                <w:rStyle w:val="Hyperlink"/>
                <w:color w:val="1C252D" w:themeColor="text2"/>
                <w:u w:val="none"/>
              </w:rPr>
            </w:pPr>
            <w:r w:rsidRPr="00EC46B3">
              <w:rPr>
                <w:rStyle w:val="Hyperlink"/>
                <w:color w:val="1C252D" w:themeColor="text2"/>
                <w:u w:val="none"/>
              </w:rPr>
              <w:t>Summer</w:t>
            </w:r>
            <w:r w:rsidR="00AE6664">
              <w:rPr>
                <w:rStyle w:val="Hyperlink"/>
                <w:color w:val="1C252D" w:themeColor="text2"/>
                <w:u w:val="none"/>
              </w:rPr>
              <w:t>/Fall</w:t>
            </w:r>
            <w:r w:rsidRPr="00EC46B3">
              <w:rPr>
                <w:rStyle w:val="Hyperlink"/>
                <w:color w:val="1C252D" w:themeColor="text2"/>
                <w:u w:val="none"/>
              </w:rPr>
              <w:t xml:space="preserve"> 2027</w:t>
            </w:r>
          </w:p>
        </w:tc>
        <w:tc>
          <w:tcPr>
            <w:tcW w:w="1576" w:type="dxa"/>
          </w:tcPr>
          <w:p w:rsidR="00715069" w:rsidRPr="00EC46B3" w:rsidP="003B5BCE" w14:paraId="385C97A2" w14:textId="437B1A22">
            <w:pPr>
              <w:pStyle w:val="Table11Basic"/>
              <w:spacing w:before="20" w:after="20"/>
              <w:rPr>
                <w:rStyle w:val="Hyperlink"/>
                <w:color w:val="1C252D" w:themeColor="text2"/>
                <w:u w:val="none"/>
              </w:rPr>
            </w:pPr>
            <w:r w:rsidRPr="00EC46B3">
              <w:rPr>
                <w:rStyle w:val="Hyperlink"/>
                <w:color w:val="1C252D" w:themeColor="text2"/>
                <w:u w:val="none"/>
              </w:rPr>
              <w:t>Summer</w:t>
            </w:r>
            <w:r w:rsidR="00AE6664">
              <w:rPr>
                <w:rStyle w:val="Hyperlink"/>
                <w:color w:val="1C252D" w:themeColor="text2"/>
                <w:u w:val="none"/>
              </w:rPr>
              <w:t>/Fall</w:t>
            </w:r>
            <w:r w:rsidRPr="00EC46B3">
              <w:rPr>
                <w:rStyle w:val="Hyperlink"/>
                <w:color w:val="1C252D" w:themeColor="text2"/>
                <w:u w:val="none"/>
              </w:rPr>
              <w:t xml:space="preserve"> 2027</w:t>
            </w:r>
          </w:p>
        </w:tc>
        <w:tc>
          <w:tcPr>
            <w:tcW w:w="1576" w:type="dxa"/>
          </w:tcPr>
          <w:p w:rsidR="00715069" w:rsidRPr="00EC46B3" w:rsidP="003B5BCE" w14:paraId="5331F459" w14:textId="77777777">
            <w:pPr>
              <w:pStyle w:val="Table11Basic"/>
              <w:spacing w:before="20" w:after="20"/>
              <w:rPr>
                <w:rStyle w:val="Hyperlink"/>
                <w:color w:val="1C252D" w:themeColor="text2"/>
                <w:u w:val="none"/>
              </w:rPr>
            </w:pPr>
            <w:r w:rsidRPr="00EC46B3">
              <w:rPr>
                <w:rStyle w:val="Hyperlink"/>
                <w:color w:val="1C252D" w:themeColor="text2"/>
                <w:u w:val="none"/>
              </w:rPr>
              <w:t>Winter/Spring 2027</w:t>
            </w:r>
          </w:p>
        </w:tc>
      </w:tr>
      <w:tr w14:paraId="0C1CBEC2" w14:textId="77777777" w:rsidTr="7E2AFE25">
        <w:tblPrEx>
          <w:tblW w:w="5000" w:type="pct"/>
          <w:tblLayout w:type="fixed"/>
          <w:tblLook w:val="04A0"/>
        </w:tblPrEx>
        <w:trPr>
          <w:trHeight w:val="458"/>
        </w:trPr>
        <w:tc>
          <w:tcPr>
            <w:tcW w:w="1481" w:type="dxa"/>
          </w:tcPr>
          <w:p w:rsidR="00715069" w:rsidRPr="00EC46B3" w:rsidP="003B5BCE" w14:paraId="15FF4E90" w14:textId="77777777">
            <w:pPr>
              <w:pStyle w:val="Table11RowHeading"/>
              <w:spacing w:before="20" w:after="20"/>
              <w:rPr>
                <w:rStyle w:val="Hyperlink"/>
                <w:color w:val="1C252D" w:themeColor="text2"/>
                <w:u w:val="none"/>
              </w:rPr>
            </w:pPr>
            <w:r w:rsidRPr="7E2AFE25">
              <w:rPr>
                <w:rStyle w:val="Hyperlink"/>
                <w:color w:val="1C252D" w:themeColor="text2"/>
                <w:u w:val="none"/>
              </w:rPr>
              <w:t>Sample size</w:t>
            </w:r>
          </w:p>
        </w:tc>
        <w:tc>
          <w:tcPr>
            <w:tcW w:w="1575" w:type="dxa"/>
          </w:tcPr>
          <w:p w:rsidR="00715069" w:rsidRPr="00EC46B3" w:rsidP="003B5BCE" w14:paraId="7E75BA2F" w14:textId="77777777">
            <w:pPr>
              <w:pStyle w:val="Table11Basic"/>
              <w:spacing w:before="20" w:after="20"/>
              <w:jc w:val="center"/>
              <w:rPr>
                <w:rStyle w:val="Hyperlink"/>
                <w:color w:val="1C252D" w:themeColor="text2"/>
                <w:u w:val="none"/>
              </w:rPr>
            </w:pPr>
            <w:r w:rsidRPr="00EC46B3">
              <w:rPr>
                <w:rStyle w:val="Hyperlink"/>
                <w:color w:val="1C252D" w:themeColor="text2"/>
                <w:u w:val="none"/>
              </w:rPr>
              <w:t>51</w:t>
            </w:r>
          </w:p>
        </w:tc>
        <w:tc>
          <w:tcPr>
            <w:tcW w:w="1576" w:type="dxa"/>
          </w:tcPr>
          <w:p w:rsidR="00715069" w:rsidRPr="00EC46B3" w:rsidP="003B5BCE" w14:paraId="05748F0B" w14:textId="77777777">
            <w:pPr>
              <w:pStyle w:val="Table11Basic"/>
              <w:spacing w:before="20" w:after="20"/>
              <w:jc w:val="center"/>
              <w:rPr>
                <w:rStyle w:val="Hyperlink"/>
                <w:color w:val="1C252D" w:themeColor="text2"/>
                <w:u w:val="none"/>
              </w:rPr>
            </w:pPr>
            <w:r w:rsidRPr="00EC46B3">
              <w:rPr>
                <w:rStyle w:val="Hyperlink"/>
                <w:color w:val="1C252D" w:themeColor="text2"/>
                <w:u w:val="none"/>
              </w:rPr>
              <w:t>1,250</w:t>
            </w:r>
          </w:p>
        </w:tc>
        <w:tc>
          <w:tcPr>
            <w:tcW w:w="1576" w:type="dxa"/>
          </w:tcPr>
          <w:p w:rsidR="00715069" w:rsidRPr="00EC46B3" w:rsidP="003B5BCE" w14:paraId="63A0571C" w14:textId="77777777">
            <w:pPr>
              <w:pStyle w:val="Table11Basic"/>
              <w:spacing w:before="20" w:after="20"/>
              <w:jc w:val="center"/>
              <w:rPr>
                <w:rStyle w:val="Hyperlink"/>
                <w:color w:val="1C252D" w:themeColor="text2"/>
                <w:u w:val="none"/>
              </w:rPr>
            </w:pPr>
            <w:r w:rsidRPr="00EC46B3">
              <w:rPr>
                <w:rStyle w:val="Hyperlink"/>
                <w:color w:val="1C252D" w:themeColor="text2"/>
                <w:u w:val="none"/>
              </w:rPr>
              <w:t>1,250</w:t>
            </w:r>
          </w:p>
        </w:tc>
        <w:tc>
          <w:tcPr>
            <w:tcW w:w="1576" w:type="dxa"/>
          </w:tcPr>
          <w:p w:rsidR="00715069" w:rsidRPr="00EC46B3" w:rsidP="003B5BCE" w14:paraId="193ABD44" w14:textId="77777777">
            <w:pPr>
              <w:pStyle w:val="Table11Basic"/>
              <w:spacing w:before="20" w:after="20"/>
              <w:jc w:val="center"/>
              <w:rPr>
                <w:rStyle w:val="Hyperlink"/>
                <w:color w:val="1C252D" w:themeColor="text2"/>
                <w:u w:val="none"/>
              </w:rPr>
            </w:pPr>
            <w:r w:rsidRPr="00EC46B3">
              <w:rPr>
                <w:rStyle w:val="Hyperlink"/>
                <w:color w:val="1C252D" w:themeColor="text2"/>
                <w:u w:val="none"/>
              </w:rPr>
              <w:t>1,250</w:t>
            </w:r>
          </w:p>
        </w:tc>
        <w:tc>
          <w:tcPr>
            <w:tcW w:w="1576" w:type="dxa"/>
          </w:tcPr>
          <w:p w:rsidR="00715069" w:rsidP="003B5BCE" w14:paraId="36E1C67F" w14:textId="787766C8">
            <w:pPr>
              <w:pStyle w:val="Table11Basic"/>
              <w:spacing w:before="20" w:after="20"/>
              <w:jc w:val="center"/>
              <w:rPr>
                <w:rStyle w:val="Hyperlink"/>
                <w:color w:val="1C252D" w:themeColor="text2"/>
                <w:u w:val="none"/>
              </w:rPr>
            </w:pPr>
            <w:r w:rsidRPr="7E2AFE25">
              <w:rPr>
                <w:rStyle w:val="Hyperlink"/>
                <w:color w:val="1C252D" w:themeColor="text2"/>
                <w:u w:val="none"/>
              </w:rPr>
              <w:t>10,949 SWDs</w:t>
            </w:r>
          </w:p>
          <w:p w:rsidR="00715069" w:rsidRPr="00EC46B3" w:rsidP="003B5BCE" w14:paraId="7D7BA959" w14:textId="7B0BD949">
            <w:pPr>
              <w:pStyle w:val="Table11Basic"/>
              <w:spacing w:before="20" w:after="20"/>
              <w:jc w:val="center"/>
              <w:rPr>
                <w:rStyle w:val="Hyperlink"/>
                <w:color w:val="1C252D" w:themeColor="text2"/>
                <w:u w:val="none"/>
              </w:rPr>
            </w:pPr>
            <w:r>
              <w:rPr>
                <w:rStyle w:val="Hyperlink"/>
                <w:color w:val="1C252D" w:themeColor="text2"/>
                <w:u w:val="none"/>
              </w:rPr>
              <w:t>2,223 GENEDs</w:t>
            </w:r>
          </w:p>
        </w:tc>
      </w:tr>
      <w:tr w14:paraId="7D7662A5" w14:textId="77777777" w:rsidTr="7E2AFE25">
        <w:tblPrEx>
          <w:tblW w:w="5000" w:type="pct"/>
          <w:tblLayout w:type="fixed"/>
          <w:tblLook w:val="04A0"/>
        </w:tblPrEx>
        <w:tc>
          <w:tcPr>
            <w:tcW w:w="1481" w:type="dxa"/>
          </w:tcPr>
          <w:p w:rsidR="00715069" w:rsidRPr="00EC46B3" w:rsidP="003B5BCE" w14:paraId="45CEE308" w14:textId="77777777">
            <w:pPr>
              <w:pStyle w:val="Table11RowHeading"/>
              <w:spacing w:before="20" w:after="20"/>
              <w:rPr>
                <w:rStyle w:val="Hyperlink"/>
                <w:color w:val="1C252D" w:themeColor="text2"/>
                <w:u w:val="none"/>
              </w:rPr>
            </w:pPr>
            <w:r w:rsidRPr="00EC46B3">
              <w:rPr>
                <w:rStyle w:val="Hyperlink"/>
                <w:color w:val="1C252D" w:themeColor="text2"/>
                <w:u w:val="none"/>
              </w:rPr>
              <w:t>Primary contact for data collection</w:t>
            </w:r>
          </w:p>
        </w:tc>
        <w:tc>
          <w:tcPr>
            <w:tcW w:w="1575" w:type="dxa"/>
          </w:tcPr>
          <w:p w:rsidR="00715069" w:rsidRPr="00EC46B3" w:rsidP="003B5BCE" w14:paraId="2CE8797B" w14:textId="77777777">
            <w:pPr>
              <w:pStyle w:val="Table11Basic"/>
              <w:spacing w:before="20" w:after="20"/>
              <w:rPr>
                <w:rStyle w:val="Hyperlink"/>
                <w:color w:val="1C252D" w:themeColor="text2"/>
                <w:u w:val="none"/>
              </w:rPr>
            </w:pPr>
            <w:r w:rsidRPr="00EC46B3">
              <w:rPr>
                <w:rStyle w:val="Hyperlink"/>
                <w:color w:val="1C252D" w:themeColor="text2"/>
                <w:u w:val="none"/>
              </w:rPr>
              <w:t xml:space="preserve">State Special Education Officer </w:t>
            </w:r>
          </w:p>
        </w:tc>
        <w:tc>
          <w:tcPr>
            <w:tcW w:w="1576" w:type="dxa"/>
          </w:tcPr>
          <w:p w:rsidR="00715069" w:rsidRPr="00EC46B3" w:rsidP="003B5BCE" w14:paraId="6D8939C6" w14:textId="4FF1EB74">
            <w:pPr>
              <w:pStyle w:val="Table11Basic"/>
              <w:spacing w:before="20" w:after="20"/>
              <w:rPr>
                <w:rStyle w:val="Hyperlink"/>
                <w:color w:val="1C252D" w:themeColor="text2"/>
                <w:u w:val="none"/>
              </w:rPr>
            </w:pPr>
            <w:r w:rsidRPr="00EC46B3">
              <w:rPr>
                <w:rStyle w:val="Hyperlink"/>
                <w:color w:val="1C252D" w:themeColor="text2"/>
                <w:u w:val="none"/>
              </w:rPr>
              <w:t>LEA Special Education Administrator</w:t>
            </w:r>
          </w:p>
        </w:tc>
        <w:tc>
          <w:tcPr>
            <w:tcW w:w="1576" w:type="dxa"/>
          </w:tcPr>
          <w:p w:rsidR="00715069" w:rsidRPr="00EC46B3" w:rsidP="003B5BCE" w14:paraId="447A55D1" w14:textId="77777777">
            <w:pPr>
              <w:pStyle w:val="Table11Basic"/>
              <w:spacing w:before="20" w:after="20"/>
              <w:rPr>
                <w:rStyle w:val="Hyperlink"/>
                <w:color w:val="1C252D" w:themeColor="text2"/>
                <w:u w:val="none"/>
              </w:rPr>
            </w:pPr>
            <w:r w:rsidRPr="00EC46B3">
              <w:rPr>
                <w:rStyle w:val="Hyperlink"/>
                <w:color w:val="1C252D" w:themeColor="text2"/>
                <w:u w:val="none"/>
              </w:rPr>
              <w:t>LEA Chief Financial Officer</w:t>
            </w:r>
          </w:p>
        </w:tc>
        <w:tc>
          <w:tcPr>
            <w:tcW w:w="1576" w:type="dxa"/>
          </w:tcPr>
          <w:p w:rsidR="00715069" w:rsidRPr="00EC46B3" w:rsidP="003B5BCE" w14:paraId="243B1A8E" w14:textId="77777777">
            <w:pPr>
              <w:pStyle w:val="Table11Basic"/>
              <w:spacing w:before="20" w:after="20"/>
              <w:rPr>
                <w:rStyle w:val="Hyperlink"/>
                <w:color w:val="1C252D" w:themeColor="text2"/>
                <w:u w:val="none"/>
              </w:rPr>
            </w:pPr>
            <w:r w:rsidRPr="00EC46B3">
              <w:rPr>
                <w:rStyle w:val="Hyperlink"/>
                <w:color w:val="1C252D" w:themeColor="text2"/>
                <w:u w:val="none"/>
              </w:rPr>
              <w:t>LEA Chief Financial Officer</w:t>
            </w:r>
          </w:p>
        </w:tc>
        <w:tc>
          <w:tcPr>
            <w:tcW w:w="1576" w:type="dxa"/>
          </w:tcPr>
          <w:p w:rsidR="00715069" w:rsidRPr="00EC46B3" w:rsidP="003B5BCE" w14:paraId="0A767515" w14:textId="70767893">
            <w:pPr>
              <w:pStyle w:val="Table11Basic"/>
              <w:spacing w:before="20" w:after="20"/>
              <w:rPr>
                <w:rStyle w:val="Hyperlink"/>
                <w:color w:val="1C252D" w:themeColor="text2"/>
                <w:u w:val="none"/>
              </w:rPr>
            </w:pPr>
            <w:r w:rsidRPr="00EC46B3">
              <w:rPr>
                <w:rStyle w:val="Hyperlink"/>
                <w:color w:val="1C252D" w:themeColor="text2"/>
                <w:u w:val="none"/>
              </w:rPr>
              <w:t>School coordinator</w:t>
            </w:r>
          </w:p>
        </w:tc>
      </w:tr>
      <w:tr w14:paraId="77EEE7DA" w14:textId="77777777" w:rsidTr="7E2AFE25">
        <w:tblPrEx>
          <w:tblW w:w="5000" w:type="pct"/>
          <w:tblLayout w:type="fixed"/>
          <w:tblLook w:val="04A0"/>
        </w:tblPrEx>
        <w:tc>
          <w:tcPr>
            <w:tcW w:w="1481" w:type="dxa"/>
            <w:tcMar>
              <w:left w:w="115" w:type="dxa"/>
              <w:right w:w="86" w:type="dxa"/>
            </w:tcMar>
          </w:tcPr>
          <w:p w:rsidR="00715069" w:rsidRPr="00EC46B3" w:rsidP="003B5BCE" w14:paraId="41B340BD" w14:textId="77777777">
            <w:pPr>
              <w:pStyle w:val="Table11RowHeading"/>
              <w:spacing w:before="20" w:after="20"/>
              <w:rPr>
                <w:rStyle w:val="Hyperlink"/>
                <w:color w:val="1C252D" w:themeColor="text2"/>
                <w:u w:val="none"/>
              </w:rPr>
            </w:pPr>
            <w:r w:rsidRPr="00EC46B3">
              <w:rPr>
                <w:rStyle w:val="Hyperlink"/>
                <w:color w:val="1C252D" w:themeColor="text2"/>
                <w:u w:val="none"/>
              </w:rPr>
              <w:t>Primary respondent(s)</w:t>
            </w:r>
          </w:p>
        </w:tc>
        <w:tc>
          <w:tcPr>
            <w:tcW w:w="1575" w:type="dxa"/>
          </w:tcPr>
          <w:p w:rsidR="00715069" w:rsidRPr="00EC46B3" w:rsidP="003B5BCE" w14:paraId="14C7629D" w14:textId="7D065DA3">
            <w:pPr>
              <w:pStyle w:val="Table11Basic"/>
              <w:spacing w:before="20" w:after="20"/>
              <w:rPr>
                <w:rStyle w:val="Hyperlink"/>
                <w:color w:val="1C252D" w:themeColor="text2"/>
                <w:u w:val="none"/>
              </w:rPr>
            </w:pPr>
            <w:r w:rsidRPr="00EC46B3">
              <w:rPr>
                <w:rStyle w:val="Hyperlink"/>
                <w:color w:val="1C252D" w:themeColor="text2"/>
                <w:u w:val="none"/>
              </w:rPr>
              <w:t>State Special Education Officer or designee</w:t>
            </w:r>
          </w:p>
        </w:tc>
        <w:tc>
          <w:tcPr>
            <w:tcW w:w="1576" w:type="dxa"/>
          </w:tcPr>
          <w:p w:rsidR="00715069" w:rsidRPr="00EC46B3" w:rsidP="003B5BCE" w14:paraId="401ECD3E" w14:textId="7E478F3D">
            <w:pPr>
              <w:pStyle w:val="Table11Basic"/>
              <w:spacing w:before="20" w:after="20"/>
              <w:rPr>
                <w:rStyle w:val="Hyperlink"/>
                <w:color w:val="1C252D" w:themeColor="text2"/>
                <w:u w:val="none"/>
              </w:rPr>
            </w:pPr>
            <w:r w:rsidRPr="00EC46B3">
              <w:rPr>
                <w:rStyle w:val="Hyperlink"/>
                <w:color w:val="1C252D" w:themeColor="text2"/>
                <w:u w:val="none"/>
              </w:rPr>
              <w:t>LEA Special Education Administrator</w:t>
            </w:r>
          </w:p>
        </w:tc>
        <w:tc>
          <w:tcPr>
            <w:tcW w:w="1576" w:type="dxa"/>
          </w:tcPr>
          <w:p w:rsidR="00715069" w:rsidRPr="00EC46B3" w:rsidP="003B5BCE" w14:paraId="78B4A3CE" w14:textId="77777777">
            <w:pPr>
              <w:pStyle w:val="Table11Basic"/>
              <w:spacing w:before="20" w:after="20"/>
              <w:rPr>
                <w:rStyle w:val="Hyperlink"/>
                <w:color w:val="1C252D" w:themeColor="text2"/>
                <w:u w:val="none"/>
              </w:rPr>
            </w:pPr>
            <w:r w:rsidRPr="00EC46B3">
              <w:rPr>
                <w:rStyle w:val="Hyperlink"/>
                <w:color w:val="1C252D" w:themeColor="text2"/>
                <w:u w:val="none"/>
              </w:rPr>
              <w:t>LEA Chief Financial Officer</w:t>
            </w:r>
          </w:p>
        </w:tc>
        <w:tc>
          <w:tcPr>
            <w:tcW w:w="1576" w:type="dxa"/>
          </w:tcPr>
          <w:p w:rsidR="00715069" w:rsidRPr="00EC46B3" w:rsidP="003B5BCE" w14:paraId="44FCFF56" w14:textId="77777777">
            <w:pPr>
              <w:pStyle w:val="Table11Basic"/>
              <w:spacing w:before="20" w:after="20"/>
              <w:rPr>
                <w:rStyle w:val="Hyperlink"/>
                <w:color w:val="1C252D" w:themeColor="text2"/>
                <w:u w:val="none"/>
              </w:rPr>
            </w:pPr>
            <w:r w:rsidRPr="00EC46B3">
              <w:rPr>
                <w:rStyle w:val="Hyperlink"/>
                <w:color w:val="1C252D" w:themeColor="text2"/>
                <w:u w:val="none"/>
              </w:rPr>
              <w:t>LEA Chief Financial Officer</w:t>
            </w:r>
          </w:p>
        </w:tc>
        <w:tc>
          <w:tcPr>
            <w:tcW w:w="1576" w:type="dxa"/>
          </w:tcPr>
          <w:p w:rsidR="00715069" w:rsidRPr="00EC46B3" w:rsidP="003B5BCE" w14:paraId="38DC567E" w14:textId="77777777">
            <w:pPr>
              <w:pStyle w:val="Table11Basic"/>
              <w:spacing w:before="20" w:after="20"/>
              <w:rPr>
                <w:rStyle w:val="Hyperlink"/>
                <w:color w:val="1C252D" w:themeColor="text2"/>
                <w:u w:val="none"/>
              </w:rPr>
            </w:pPr>
            <w:r w:rsidRPr="00EC46B3">
              <w:rPr>
                <w:rStyle w:val="Hyperlink"/>
                <w:color w:val="1C252D" w:themeColor="text2"/>
                <w:u w:val="none"/>
              </w:rPr>
              <w:t>School staff knowledgeable about sampled student</w:t>
            </w:r>
          </w:p>
        </w:tc>
      </w:tr>
      <w:tr w14:paraId="1C3BB04F" w14:textId="77777777" w:rsidTr="7E2AFE25">
        <w:tblPrEx>
          <w:tblW w:w="5000" w:type="pct"/>
          <w:tblLayout w:type="fixed"/>
          <w:tblLook w:val="04A0"/>
        </w:tblPrEx>
        <w:tc>
          <w:tcPr>
            <w:tcW w:w="1481" w:type="dxa"/>
          </w:tcPr>
          <w:p w:rsidR="00715069" w:rsidRPr="00EC46B3" w:rsidP="003B5BCE" w14:paraId="23418C5C" w14:textId="77777777">
            <w:pPr>
              <w:pStyle w:val="Table11RowHeading"/>
              <w:spacing w:before="20" w:after="20"/>
              <w:rPr>
                <w:rStyle w:val="Hyperlink"/>
                <w:color w:val="1C252D" w:themeColor="text2"/>
                <w:u w:val="none"/>
              </w:rPr>
            </w:pPr>
            <w:r w:rsidRPr="00EC46B3">
              <w:rPr>
                <w:rStyle w:val="Hyperlink"/>
                <w:color w:val="1C252D" w:themeColor="text2"/>
                <w:u w:val="none"/>
              </w:rPr>
              <w:t>Mode of data collection</w:t>
            </w:r>
          </w:p>
        </w:tc>
        <w:tc>
          <w:tcPr>
            <w:tcW w:w="1575" w:type="dxa"/>
          </w:tcPr>
          <w:p w:rsidR="00715069" w:rsidRPr="00EC46B3" w:rsidP="003B5BCE" w14:paraId="24B26A22" w14:textId="2EB27BA7">
            <w:pPr>
              <w:pStyle w:val="Table11Basic"/>
              <w:spacing w:before="20" w:after="20"/>
              <w:rPr>
                <w:rStyle w:val="Hyperlink"/>
                <w:color w:val="1C252D" w:themeColor="text2"/>
                <w:u w:val="none"/>
              </w:rPr>
            </w:pPr>
            <w:r w:rsidRPr="00EC46B3">
              <w:rPr>
                <w:rStyle w:val="Hyperlink"/>
                <w:color w:val="1C252D" w:themeColor="text2"/>
                <w:u w:val="none"/>
              </w:rPr>
              <w:t>Web-based survey</w:t>
            </w:r>
          </w:p>
        </w:tc>
        <w:tc>
          <w:tcPr>
            <w:tcW w:w="1576" w:type="dxa"/>
          </w:tcPr>
          <w:p w:rsidR="00715069" w:rsidRPr="00EC46B3" w:rsidP="003B5BCE" w14:paraId="6B9E637B" w14:textId="6FC03CFB">
            <w:pPr>
              <w:pStyle w:val="Table11Basic"/>
              <w:spacing w:before="20" w:after="20"/>
              <w:rPr>
                <w:rStyle w:val="Hyperlink"/>
                <w:color w:val="1C252D" w:themeColor="text2"/>
                <w:u w:val="none"/>
              </w:rPr>
            </w:pPr>
            <w:r w:rsidRPr="00EC46B3">
              <w:rPr>
                <w:rStyle w:val="Hyperlink"/>
                <w:color w:val="1C252D" w:themeColor="text2"/>
                <w:u w:val="none"/>
              </w:rPr>
              <w:t>Web-based survey</w:t>
            </w:r>
          </w:p>
        </w:tc>
        <w:tc>
          <w:tcPr>
            <w:tcW w:w="1576" w:type="dxa"/>
          </w:tcPr>
          <w:p w:rsidR="00715069" w:rsidRPr="00EC46B3" w:rsidP="003B5BCE" w14:paraId="365B4A50" w14:textId="10659BCB">
            <w:pPr>
              <w:pStyle w:val="Table11Basic"/>
              <w:spacing w:before="20" w:after="20"/>
              <w:rPr>
                <w:rStyle w:val="Hyperlink"/>
                <w:color w:val="1C252D" w:themeColor="text2"/>
                <w:u w:val="none"/>
              </w:rPr>
            </w:pPr>
            <w:r w:rsidRPr="00EC46B3">
              <w:rPr>
                <w:rStyle w:val="Hyperlink"/>
                <w:color w:val="1C252D" w:themeColor="text2"/>
                <w:u w:val="none"/>
              </w:rPr>
              <w:t>Web-based survey</w:t>
            </w:r>
          </w:p>
        </w:tc>
        <w:tc>
          <w:tcPr>
            <w:tcW w:w="1576" w:type="dxa"/>
          </w:tcPr>
          <w:p w:rsidR="00715069" w:rsidRPr="00EC46B3" w:rsidP="003B5BCE" w14:paraId="673EB6CD" w14:textId="3A3EA4AC">
            <w:pPr>
              <w:pStyle w:val="Table11Basic"/>
              <w:spacing w:before="20" w:after="20"/>
              <w:rPr>
                <w:rStyle w:val="Hyperlink"/>
                <w:color w:val="1C252D" w:themeColor="text2"/>
                <w:u w:val="none"/>
              </w:rPr>
            </w:pPr>
            <w:r w:rsidRPr="00EC46B3">
              <w:rPr>
                <w:rStyle w:val="Hyperlink"/>
                <w:color w:val="1C252D" w:themeColor="text2"/>
                <w:u w:val="none"/>
              </w:rPr>
              <w:t>File upload</w:t>
            </w:r>
          </w:p>
        </w:tc>
        <w:tc>
          <w:tcPr>
            <w:tcW w:w="1576" w:type="dxa"/>
          </w:tcPr>
          <w:p w:rsidR="00715069" w:rsidRPr="00EC46B3" w:rsidP="003B5BCE" w14:paraId="6BF7CB35" w14:textId="352AFF89">
            <w:pPr>
              <w:pStyle w:val="Table11Basic"/>
              <w:spacing w:before="20" w:after="20"/>
              <w:rPr>
                <w:rStyle w:val="Hyperlink"/>
                <w:color w:val="1C252D" w:themeColor="text2"/>
                <w:u w:val="none"/>
              </w:rPr>
            </w:pPr>
            <w:r w:rsidRPr="00EC46B3">
              <w:rPr>
                <w:rStyle w:val="Hyperlink"/>
                <w:color w:val="1C252D" w:themeColor="text2"/>
                <w:u w:val="none"/>
              </w:rPr>
              <w:t>Web-based survey</w:t>
            </w:r>
          </w:p>
        </w:tc>
      </w:tr>
      <w:tr w14:paraId="72BF284F" w14:textId="77777777" w:rsidTr="7E2AFE25">
        <w:tblPrEx>
          <w:tblW w:w="5000" w:type="pct"/>
          <w:tblLayout w:type="fixed"/>
          <w:tblLook w:val="04A0"/>
        </w:tblPrEx>
        <w:trPr>
          <w:trHeight w:val="385"/>
        </w:trPr>
        <w:tc>
          <w:tcPr>
            <w:tcW w:w="1481" w:type="dxa"/>
          </w:tcPr>
          <w:p w:rsidR="00715069" w:rsidRPr="00EC46B3" w:rsidP="003B5BCE" w14:paraId="38E78A83" w14:textId="77777777">
            <w:pPr>
              <w:pStyle w:val="Table11RowHeading"/>
              <w:spacing w:before="20" w:after="20"/>
              <w:rPr>
                <w:rStyle w:val="Hyperlink"/>
                <w:color w:val="1C252D" w:themeColor="text2"/>
                <w:u w:val="none"/>
              </w:rPr>
            </w:pPr>
            <w:r w:rsidRPr="00EC46B3">
              <w:rPr>
                <w:rStyle w:val="Hyperlink"/>
                <w:color w:val="1C252D" w:themeColor="text2"/>
                <w:u w:val="none"/>
              </w:rPr>
              <w:t>Purpose/use of data</w:t>
            </w:r>
          </w:p>
        </w:tc>
        <w:tc>
          <w:tcPr>
            <w:tcW w:w="1575" w:type="dxa"/>
          </w:tcPr>
          <w:p w:rsidR="00715069" w:rsidRPr="00EC46B3" w:rsidP="003B5BCE" w14:paraId="25B985D4" w14:textId="0D25E15D">
            <w:pPr>
              <w:pStyle w:val="Table11Basic"/>
              <w:spacing w:before="20" w:after="20"/>
            </w:pPr>
            <w:r w:rsidRPr="00EC46B3">
              <w:t xml:space="preserve">Provides information about </w:t>
            </w:r>
            <w:r w:rsidRPr="00EC46B3" w:rsidR="00A62096">
              <w:t>a</w:t>
            </w:r>
            <w:r w:rsidR="00213925">
              <w:t>n</w:t>
            </w:r>
            <w:r w:rsidRPr="00EC46B3">
              <w:t xml:space="preserve"> SEA's special education spending and state funding for special education</w:t>
            </w:r>
          </w:p>
        </w:tc>
        <w:tc>
          <w:tcPr>
            <w:tcW w:w="1576" w:type="dxa"/>
          </w:tcPr>
          <w:p w:rsidR="00715069" w:rsidRPr="00EC46B3" w:rsidP="003B5BCE" w14:paraId="594FDF5F" w14:textId="77777777">
            <w:pPr>
              <w:pStyle w:val="Table11Basic"/>
              <w:spacing w:before="20" w:after="20"/>
              <w:rPr>
                <w:rStyle w:val="Hyperlink"/>
                <w:color w:val="1C252D" w:themeColor="text2"/>
                <w:u w:val="none"/>
              </w:rPr>
            </w:pPr>
            <w:r w:rsidRPr="00EC46B3">
              <w:t>Provides information about an LEA’s special education programs and collects data required for cost estimation about the number and type of SWDs served in the LEA</w:t>
            </w:r>
          </w:p>
        </w:tc>
        <w:tc>
          <w:tcPr>
            <w:tcW w:w="1576" w:type="dxa"/>
          </w:tcPr>
          <w:p w:rsidR="00715069" w:rsidRPr="00EC46B3" w:rsidP="003B5BCE" w14:paraId="683912AE" w14:textId="2F99140C">
            <w:pPr>
              <w:pStyle w:val="Table11Basic"/>
              <w:spacing w:before="20" w:after="20"/>
              <w:rPr>
                <w:rStyle w:val="Hyperlink"/>
                <w:color w:val="1C252D" w:themeColor="text2"/>
                <w:u w:val="none"/>
              </w:rPr>
            </w:pPr>
            <w:r w:rsidRPr="00EC46B3">
              <w:t>Provides information about what an LEA spent to administer its special and general education programs, the revenues used to pay for this spending, and information about average labor costs that is needed for cost estimation</w:t>
            </w:r>
          </w:p>
        </w:tc>
        <w:tc>
          <w:tcPr>
            <w:tcW w:w="1576" w:type="dxa"/>
          </w:tcPr>
          <w:p w:rsidR="00715069" w:rsidRPr="00EC46B3" w:rsidP="003B5BCE" w14:paraId="708E8EE0" w14:textId="1171374B">
            <w:pPr>
              <w:pStyle w:val="Table11Basic"/>
              <w:spacing w:before="20" w:after="20"/>
              <w:rPr>
                <w:rStyle w:val="Hyperlink"/>
                <w:color w:val="1C252D" w:themeColor="text2"/>
                <w:u w:val="none"/>
              </w:rPr>
            </w:pPr>
            <w:r w:rsidRPr="00EC46B3">
              <w:t>Provides information from a district’s general financial ledger that is needed to estimate LEA- and school-level special education administrative spending</w:t>
            </w:r>
          </w:p>
        </w:tc>
        <w:tc>
          <w:tcPr>
            <w:tcW w:w="1576" w:type="dxa"/>
          </w:tcPr>
          <w:p w:rsidR="00715069" w:rsidRPr="00EC46B3" w:rsidP="003B5BCE" w14:paraId="280C1645" w14:textId="77777777">
            <w:pPr>
              <w:pStyle w:val="Table11Basic"/>
              <w:spacing w:before="20" w:after="20"/>
              <w:rPr>
                <w:rStyle w:val="Hyperlink"/>
                <w:color w:val="1C252D" w:themeColor="text2"/>
                <w:u w:val="none"/>
              </w:rPr>
            </w:pPr>
            <w:r w:rsidRPr="00EC46B3">
              <w:rPr>
                <w:rStyle w:val="Hyperlink"/>
                <w:color w:val="1C252D" w:themeColor="text2"/>
                <w:u w:val="none"/>
              </w:rPr>
              <w:t>Provides information about a sampled student’s educational program, including the setting where the services were provided and the types and amounts of resources that were used to provide special and general education</w:t>
            </w:r>
          </w:p>
        </w:tc>
      </w:tr>
    </w:tbl>
    <w:p w:rsidR="00275986" w:rsidP="00715069" w14:paraId="6653CBCB" w14:textId="77777777">
      <w:pPr>
        <w:pStyle w:val="Heading3"/>
      </w:pPr>
      <w:bookmarkStart w:id="15" w:name="_Toc215310905"/>
      <w:bookmarkStart w:id="16" w:name="_Toc215312877"/>
    </w:p>
    <w:p w:rsidR="00275986" w14:paraId="126641C7" w14:textId="77777777">
      <w:pPr>
        <w:rPr>
          <w:rFonts w:eastAsia="Times New Roman" w:asciiTheme="majorHAnsi" w:hAnsiTheme="majorHAnsi" w:cs="Times New Roman"/>
          <w:b/>
          <w:color w:val="00507F" w:themeColor="accent1"/>
          <w:sz w:val="28"/>
          <w:szCs w:val="26"/>
        </w:rPr>
      </w:pPr>
      <w:r>
        <w:br w:type="page"/>
      </w:r>
    </w:p>
    <w:p w:rsidR="00715069" w:rsidRPr="00C07360" w:rsidP="00715069" w14:paraId="57909407" w14:textId="37BE1632">
      <w:pPr>
        <w:pStyle w:val="Heading3"/>
      </w:pPr>
      <w:bookmarkStart w:id="17" w:name="_Toc217325181"/>
      <w:r w:rsidRPr="00C07360">
        <w:t>A.3</w:t>
      </w:r>
      <w:r>
        <w:t>.</w:t>
      </w:r>
      <w:r w:rsidRPr="00C07360">
        <w:t xml:space="preserve"> Use of Technology </w:t>
      </w:r>
      <w:r>
        <w:t>to Reduce Burden</w:t>
      </w:r>
      <w:bookmarkEnd w:id="15"/>
      <w:bookmarkEnd w:id="16"/>
      <w:bookmarkEnd w:id="17"/>
    </w:p>
    <w:p w:rsidR="006E28B5" w:rsidP="008242CC" w14:paraId="35C0014C" w14:textId="14B727F1">
      <w:bookmarkStart w:id="18" w:name="_Toc6845443"/>
      <w:bookmarkStart w:id="19" w:name="_Toc6845560"/>
      <w:bookmarkStart w:id="20" w:name="_Toc13737854"/>
      <w:bookmarkStart w:id="21" w:name="_Toc13737907"/>
      <w:bookmarkStart w:id="22" w:name="_Toc75171573"/>
      <w:r>
        <w:t>During the study’s initial recruitment phase (covered by this OMB clearance request), the</w:t>
      </w:r>
      <w:r w:rsidR="008242CC">
        <w:t xml:space="preserve"> study team will use technology in two primary ways: (1) to contact and communicate with </w:t>
      </w:r>
      <w:r w:rsidR="002911C0">
        <w:t xml:space="preserve">SEA, </w:t>
      </w:r>
      <w:r w:rsidR="008242CC">
        <w:t>LEA and school staff during study recruitment, and (2) to collect student roster information needed for sampling.</w:t>
      </w:r>
    </w:p>
    <w:p w:rsidR="005D79A4" w:rsidP="000B22EE" w14:paraId="5491F564" w14:textId="69BC386B">
      <w:pPr>
        <w:pStyle w:val="Heading4NoTOC"/>
      </w:pPr>
      <w:r>
        <w:t>Communications with LEAs and School Staff</w:t>
      </w:r>
    </w:p>
    <w:p w:rsidR="00715069" w:rsidP="007D55F3" w14:paraId="608BBD6A" w14:textId="5D342D70">
      <w:pPr>
        <w:pStyle w:val="BodyTextPostHeading"/>
      </w:pPr>
      <w:r>
        <w:t xml:space="preserve">The study team will identify e-mail contact information for all SEA, LEA, and school points of contact and respondents. Initial letters </w:t>
      </w:r>
      <w:r w:rsidRPr="006809C9">
        <w:rPr>
          <w:b/>
          <w:bCs/>
        </w:rPr>
        <w:t>(Attachment A)</w:t>
      </w:r>
      <w:r>
        <w:t xml:space="preserve"> will be printed and mailed; however, all subsequent written communication will be sent via e-mail, and all data will be collected electronically. During the recruitment period, this process includes the following:</w:t>
      </w:r>
    </w:p>
    <w:p w:rsidR="00715069" w:rsidP="007D55F3" w14:paraId="6BEE626C" w14:textId="62C20534">
      <w:pPr>
        <w:pStyle w:val="Bullet1"/>
        <w:rPr>
          <w:rFonts w:cstheme="minorHAnsi"/>
        </w:rPr>
      </w:pPr>
      <w:r>
        <w:rPr>
          <w:rFonts w:cstheme="minorHAnsi"/>
          <w:b/>
          <w:bCs/>
        </w:rPr>
        <w:t xml:space="preserve">E-mail Follow-Up (Attachment B). </w:t>
      </w:r>
      <w:r>
        <w:t xml:space="preserve">The study team </w:t>
      </w:r>
      <w:r w:rsidRPr="008566F1">
        <w:t>will follow</w:t>
      </w:r>
      <w:r w:rsidRPr="006B7007">
        <w:t xml:space="preserve"> </w:t>
      </w:r>
      <w:r>
        <w:t>up</w:t>
      </w:r>
      <w:r w:rsidRPr="008566F1">
        <w:t xml:space="preserve"> </w:t>
      </w:r>
      <w:r>
        <w:t xml:space="preserve">with LEAs and schools </w:t>
      </w:r>
      <w:r w:rsidRPr="008566F1">
        <w:t xml:space="preserve">by </w:t>
      </w:r>
      <w:r>
        <w:t>batch</w:t>
      </w:r>
      <w:r w:rsidRPr="006B7007">
        <w:t xml:space="preserve"> </w:t>
      </w:r>
      <w:r w:rsidRPr="008566F1">
        <w:t>e</w:t>
      </w:r>
      <w:r>
        <w:t>-</w:t>
      </w:r>
      <w:r w:rsidRPr="008566F1">
        <w:t>mail to confirm receipt</w:t>
      </w:r>
      <w:r>
        <w:t xml:space="preserve"> of initial materials, restate the request for participation, and request contact information for the Special Education Director, Chief Financial Officer, and school coordinator.</w:t>
      </w:r>
    </w:p>
    <w:p w:rsidR="00715069" w:rsidRPr="003B083B" w:rsidP="007D55F3" w14:paraId="3342BE0C" w14:textId="77777777">
      <w:pPr>
        <w:pStyle w:val="Bullet1"/>
        <w:rPr>
          <w:rFonts w:cstheme="minorHAnsi"/>
        </w:rPr>
      </w:pPr>
      <w:r w:rsidRPr="00034DA6">
        <w:rPr>
          <w:rFonts w:cstheme="minorHAnsi"/>
          <w:b/>
          <w:bCs/>
        </w:rPr>
        <w:t>Study Information and FAQ</w:t>
      </w:r>
      <w:r>
        <w:rPr>
          <w:rFonts w:cstheme="minorHAnsi"/>
          <w:b/>
          <w:bCs/>
        </w:rPr>
        <w:t xml:space="preserve"> (Attachment C). </w:t>
      </w:r>
      <w:r w:rsidRPr="003B083B">
        <w:rPr>
          <w:rFonts w:cstheme="minorHAnsi"/>
        </w:rPr>
        <w:t>This document includes information about the study</w:t>
      </w:r>
      <w:r>
        <w:rPr>
          <w:rFonts w:cstheme="minorHAnsi"/>
        </w:rPr>
        <w:t>’s</w:t>
      </w:r>
      <w:r w:rsidRPr="003B083B">
        <w:rPr>
          <w:rFonts w:cstheme="minorHAnsi"/>
        </w:rPr>
        <w:t xml:space="preserve"> purpose, who is conducting the study, data security, </w:t>
      </w:r>
      <w:r w:rsidRPr="006B7007">
        <w:rPr>
          <w:rFonts w:cstheme="minorHAnsi"/>
        </w:rPr>
        <w:t xml:space="preserve">the </w:t>
      </w:r>
      <w:r w:rsidRPr="003B083B">
        <w:rPr>
          <w:rFonts w:cstheme="minorHAnsi"/>
        </w:rPr>
        <w:t xml:space="preserve">data requested, the study schedule, roles and responsibilities, payments for participation, OMB information, and who </w:t>
      </w:r>
      <w:r>
        <w:rPr>
          <w:rFonts w:cstheme="minorHAnsi"/>
        </w:rPr>
        <w:t xml:space="preserve">to </w:t>
      </w:r>
      <w:r w:rsidRPr="003B083B">
        <w:rPr>
          <w:rFonts w:cstheme="minorHAnsi"/>
        </w:rPr>
        <w:t>contact with questions.</w:t>
      </w:r>
    </w:p>
    <w:p w:rsidR="00715069" w:rsidP="007D55F3" w14:paraId="442175DC" w14:textId="77777777">
      <w:pPr>
        <w:pStyle w:val="BodyText"/>
      </w:pPr>
      <w:r w:rsidRPr="003A04BF">
        <w:t xml:space="preserve">A study information website will </w:t>
      </w:r>
      <w:r>
        <w:t xml:space="preserve">also </w:t>
      </w:r>
      <w:r w:rsidRPr="003A04BF">
        <w:t xml:space="preserve">be available at </w:t>
      </w:r>
      <w:hyperlink r:id="rId17" w:history="1">
        <w:r w:rsidRPr="0089363C">
          <w:rPr>
            <w:rStyle w:val="Hyperlink"/>
            <w:rFonts w:eastAsia="Times New Roman" w:cstheme="minorHAnsi"/>
          </w:rPr>
          <w:t>https://air.org/project/nsses</w:t>
        </w:r>
      </w:hyperlink>
      <w:r w:rsidRPr="003A04BF">
        <w:t>.</w:t>
      </w:r>
    </w:p>
    <w:p w:rsidR="005B10B5" w:rsidP="005B10B5" w14:paraId="11E202FD" w14:textId="4642B8FA">
      <w:pPr>
        <w:pStyle w:val="Heading4NoTOC"/>
      </w:pPr>
      <w:r>
        <w:t xml:space="preserve">Collecting Student Roster Information </w:t>
      </w:r>
    </w:p>
    <w:p w:rsidR="000352DF" w:rsidP="000352DF" w14:paraId="1800E169" w14:textId="0512C1B8">
      <w:pPr>
        <w:pStyle w:val="BodyTextPostHeading"/>
      </w:pPr>
      <w:r>
        <w:t>The study team will collect student roster information from LEAs to sample students with and without disabilities for the SRS survey data collection.</w:t>
      </w:r>
      <w:r w:rsidR="00683978">
        <w:t xml:space="preserve"> During the recruitment period, this process includes the following:  </w:t>
      </w:r>
    </w:p>
    <w:p w:rsidR="00E935E7" w:rsidP="00E935E7" w14:paraId="0DB434B8" w14:textId="77777777">
      <w:pPr>
        <w:pStyle w:val="Bullet1"/>
      </w:pPr>
      <w:r w:rsidRPr="00A7774D">
        <w:rPr>
          <w:b/>
          <w:bCs/>
        </w:rPr>
        <w:t>Directory</w:t>
      </w:r>
      <w:r>
        <w:rPr>
          <w:b/>
          <w:bCs/>
        </w:rPr>
        <w:t xml:space="preserve"> Data Request (Attachment D).</w:t>
      </w:r>
      <w:r w:rsidRPr="00034DA6">
        <w:rPr>
          <w:b/>
          <w:bCs/>
        </w:rPr>
        <w:t xml:space="preserve"> </w:t>
      </w:r>
      <w:r w:rsidRPr="003A04BF">
        <w:t>LEA</w:t>
      </w:r>
      <w:r>
        <w:t>s will be asked to provide</w:t>
      </w:r>
      <w:r w:rsidRPr="003A04BF">
        <w:t xml:space="preserve"> student directory and enrollment data</w:t>
      </w:r>
      <w:r>
        <w:t>, which the study team</w:t>
      </w:r>
      <w:r w:rsidRPr="003A04BF">
        <w:t xml:space="preserve"> will use to sample schools and students</w:t>
      </w:r>
      <w:r>
        <w:t>. LEAs</w:t>
      </w:r>
      <w:r w:rsidRPr="003A04BF">
        <w:t xml:space="preserve"> will </w:t>
      </w:r>
      <w:r>
        <w:t xml:space="preserve">be provided a list of specific information to include and will </w:t>
      </w:r>
      <w:r w:rsidRPr="003A04BF">
        <w:t>upload</w:t>
      </w:r>
      <w:r>
        <w:t xml:space="preserve"> data files </w:t>
      </w:r>
      <w:r w:rsidRPr="003A04BF">
        <w:t>directly to an ED-authorized system</w:t>
      </w:r>
      <w:r>
        <w:t>,</w:t>
      </w:r>
      <w:r w:rsidRPr="003A04BF">
        <w:t xml:space="preserve"> the IES Data Center (IESDC)</w:t>
      </w:r>
      <w:r>
        <w:t>,</w:t>
      </w:r>
      <w:r w:rsidRPr="003A04BF">
        <w:t xml:space="preserve"> for processing by the study team. </w:t>
      </w:r>
      <w:r>
        <w:t>Additional information on the confidentiality and security of the IESDC appears in section A.10</w:t>
      </w:r>
      <w:r w:rsidRPr="003A04BF">
        <w:t>.</w:t>
      </w:r>
    </w:p>
    <w:p w:rsidR="00E935E7" w:rsidRPr="00FE7414" w:rsidP="00E935E7" w14:paraId="555724EC" w14:textId="77777777">
      <w:pPr>
        <w:pStyle w:val="Bullet1"/>
      </w:pPr>
      <w:r>
        <w:rPr>
          <w:b/>
          <w:bCs/>
        </w:rPr>
        <w:t xml:space="preserve">Family Educational Rights and Privacy Act (FERPA) Agreement (Attachment E). </w:t>
      </w:r>
      <w:r w:rsidRPr="00FE7414">
        <w:t>T</w:t>
      </w:r>
      <w:r>
        <w:t>he study team will send this</w:t>
      </w:r>
      <w:r w:rsidRPr="00FE7414">
        <w:t xml:space="preserve"> agreement to LEAs to set the terms and conditions that allow for </w:t>
      </w:r>
      <w:r>
        <w:t xml:space="preserve">the </w:t>
      </w:r>
      <w:r w:rsidRPr="00FE7414">
        <w:t xml:space="preserve">transfer of information that is subject to state and federal confidentiality laws and to ensure </w:t>
      </w:r>
      <w:r>
        <w:t xml:space="preserve">that </w:t>
      </w:r>
      <w:r w:rsidRPr="00FE7414">
        <w:t>the required confidentiality is always maintained.</w:t>
      </w:r>
    </w:p>
    <w:p w:rsidR="00715069" w:rsidRPr="00C07360" w:rsidP="00715069" w14:paraId="52B34340" w14:textId="4A4FCD42">
      <w:pPr>
        <w:pStyle w:val="Heading3"/>
      </w:pPr>
      <w:bookmarkStart w:id="23" w:name="_Toc6845445"/>
      <w:bookmarkStart w:id="24" w:name="_Toc6845562"/>
      <w:bookmarkStart w:id="25" w:name="_Toc13737856"/>
      <w:bookmarkStart w:id="26" w:name="_Toc13737909"/>
      <w:bookmarkStart w:id="27" w:name="_Toc75171575"/>
      <w:bookmarkStart w:id="28" w:name="_Toc215310906"/>
      <w:bookmarkStart w:id="29" w:name="_Toc215312878"/>
      <w:bookmarkStart w:id="30" w:name="_Toc217325182"/>
      <w:bookmarkEnd w:id="18"/>
      <w:bookmarkEnd w:id="19"/>
      <w:bookmarkEnd w:id="20"/>
      <w:bookmarkEnd w:id="21"/>
      <w:bookmarkEnd w:id="22"/>
      <w:r w:rsidRPr="00C07360">
        <w:t>A.4</w:t>
      </w:r>
      <w:r>
        <w:t xml:space="preserve">. </w:t>
      </w:r>
      <w:r w:rsidRPr="00C07360">
        <w:t xml:space="preserve">Efforts to </w:t>
      </w:r>
      <w:r>
        <w:t>Avoid</w:t>
      </w:r>
      <w:r w:rsidRPr="00C07360">
        <w:t xml:space="preserve"> Duplication</w:t>
      </w:r>
      <w:bookmarkEnd w:id="23"/>
      <w:bookmarkEnd w:id="24"/>
      <w:bookmarkEnd w:id="25"/>
      <w:bookmarkEnd w:id="26"/>
      <w:bookmarkEnd w:id="27"/>
      <w:bookmarkEnd w:id="28"/>
      <w:bookmarkEnd w:id="29"/>
      <w:bookmarkEnd w:id="30"/>
    </w:p>
    <w:p w:rsidR="005E4728" w:rsidP="007D55F3" w14:paraId="4E69065F" w14:textId="77777777">
      <w:pPr>
        <w:pStyle w:val="BodyTextPostHeading"/>
      </w:pPr>
      <w:bookmarkStart w:id="31" w:name="_Toc75171576"/>
      <w:bookmarkStart w:id="32" w:name="_Toc13737910"/>
      <w:r>
        <w:t>The last nationally representative data on special education spending were collected more than 25 years ago through the SEEP study (1999</w:t>
      </w:r>
      <w:r w:rsidR="007D55F3">
        <w:rPr>
          <w:rFonts w:cstheme="minorHAnsi"/>
        </w:rPr>
        <w:t>–</w:t>
      </w:r>
      <w:r>
        <w:t>2000)</w:t>
      </w:r>
      <w:r>
        <w:t>; n</w:t>
      </w:r>
      <w:r>
        <w:t>o other current source provides comparable information</w:t>
      </w:r>
      <w:r>
        <w:t xml:space="preserve">. </w:t>
      </w:r>
    </w:p>
    <w:p w:rsidR="00891F2A" w:rsidP="00891F2A" w14:paraId="32D509EE" w14:textId="6EE11D6C">
      <w:r>
        <w:t>The NSSES will not duplicate existing federal collections; instead, it will provide the only current national estimates of special education spending at the level of detail needed for policy</w:t>
      </w:r>
      <w:r w:rsidR="00976EEE">
        <w:t>makers</w:t>
      </w:r>
      <w:r>
        <w:t xml:space="preserve">. ED’s recurring school finance collections—most notably NCES’s CCD School District Finance Survey (F-33), which gathers annual finance data from virtually all LEAs—do not support reliable, disaggregated estimates of special education spending by student disability classification (Griffith 2016; Kolbe 2019). Historically, F-33 expenditure categories were too broad to clearly separate general and special education spending. Although experimental special education items were added beginning in 2020–21, early results showed substantial missingness and data quality concerns, limiting their usefulness for accurate estimation (Kolbe and </w:t>
      </w:r>
      <w:r>
        <w:t>Dhuey</w:t>
      </w:r>
      <w:r>
        <w:t xml:space="preserve"> 2024). In addition, because these items collect only aggregated totals, they cannot be used to produce the per-student spending estimates—overall and by disability category—required to inform federal and state policy.</w:t>
      </w:r>
    </w:p>
    <w:p w:rsidR="00715069" w:rsidP="007D55F3" w14:paraId="70D92F83" w14:textId="27298DF9">
      <w:pPr>
        <w:pStyle w:val="BodyText"/>
      </w:pPr>
      <w:r>
        <w:t>The study also will use existing administrative data to obtain district, school, and student context and demographic information rather than collecting these details through additional survey items. Districts and schools will provide student-level and enrollment data (e.g., race/ethnicity, sex, age) by uploading the information in the format in which it already exists in their records, without creating new variables or manipulating files. The study also will draw on data that states already report to the federal government to minimize burden and enhance the analyses</w:t>
      </w:r>
      <w:r w:rsidR="00281F5F">
        <w:t xml:space="preserve">. For instance, </w:t>
      </w:r>
      <w:r>
        <w:t xml:space="preserve">data submitted to </w:t>
      </w:r>
      <w:r w:rsidR="00281F5F">
        <w:t>ED’s</w:t>
      </w:r>
      <w:r>
        <w:t xml:space="preserve"> Office of Special Education Programs (OSEP)—including states’ Annual State Application Under Part B of IDEA—will supply information on how states use federal funds to support special education and related services.</w:t>
      </w:r>
    </w:p>
    <w:p w:rsidR="00715069" w:rsidRPr="00301E5C" w:rsidP="0011595B" w14:paraId="5700ADE6" w14:textId="0548A159">
      <w:pPr>
        <w:pStyle w:val="Heading3"/>
        <w:rPr>
          <w:rFonts w:cstheme="minorHAnsi"/>
        </w:rPr>
      </w:pPr>
      <w:bookmarkStart w:id="33" w:name="_Toc215310907"/>
      <w:bookmarkStart w:id="34" w:name="_Toc215312879"/>
      <w:bookmarkStart w:id="35" w:name="_Toc217325183"/>
      <w:r w:rsidRPr="00CB6180">
        <w:t>A</w:t>
      </w:r>
      <w:r w:rsidRPr="00C07360">
        <w:t>.5</w:t>
      </w:r>
      <w:r>
        <w:t>. Methods to Minimize Burden on</w:t>
      </w:r>
      <w:r w:rsidRPr="00C07360">
        <w:t xml:space="preserve"> Small Businesses </w:t>
      </w:r>
      <w:r>
        <w:t>and</w:t>
      </w:r>
      <w:r w:rsidRPr="00C07360">
        <w:t xml:space="preserve"> Other Small Entities</w:t>
      </w:r>
      <w:bookmarkEnd w:id="31"/>
      <w:bookmarkEnd w:id="33"/>
      <w:bookmarkEnd w:id="34"/>
      <w:bookmarkEnd w:id="35"/>
    </w:p>
    <w:p w:rsidR="00715069" w:rsidRPr="00301E5C" w:rsidP="007D55F3" w14:paraId="501C2D64" w14:textId="77777777">
      <w:pPr>
        <w:pStyle w:val="BodyTextPostHeading"/>
      </w:pPr>
      <w:r w:rsidRPr="00301E5C">
        <w:t xml:space="preserve">The </w:t>
      </w:r>
      <w:r>
        <w:t>NSSES</w:t>
      </w:r>
      <w:r w:rsidRPr="00301E5C">
        <w:t xml:space="preserve"> does not involve data collection from small businesses or </w:t>
      </w:r>
      <w:r w:rsidRPr="006845F2">
        <w:t>entities.</w:t>
      </w:r>
      <w:r>
        <w:rPr>
          <w:vertAlign w:val="superscript"/>
        </w:rPr>
        <w:footnoteReference w:id="4"/>
      </w:r>
      <w:r w:rsidRPr="006845F2">
        <w:t xml:space="preserve"> Burden</w:t>
      </w:r>
      <w:r w:rsidRPr="00301E5C">
        <w:t xml:space="preserve"> </w:t>
      </w:r>
      <w:r>
        <w:t>on</w:t>
      </w:r>
      <w:r w:rsidRPr="00301E5C">
        <w:t xml:space="preserve"> all respondents (i.e., </w:t>
      </w:r>
      <w:r>
        <w:t xml:space="preserve">LEA and </w:t>
      </w:r>
      <w:r w:rsidRPr="00301E5C">
        <w:t>school administrators) will be minimized wherever possible</w:t>
      </w:r>
      <w:r>
        <w:t>.</w:t>
      </w:r>
      <w:r w:rsidRPr="00301E5C">
        <w:t xml:space="preserve"> </w:t>
      </w:r>
      <w:r>
        <w:t>T</w:t>
      </w:r>
      <w:r w:rsidRPr="00301E5C">
        <w:t xml:space="preserve">he </w:t>
      </w:r>
      <w:r w:rsidRPr="00301E5C">
        <w:t>recruitment letters and study materials are designed to be clear</w:t>
      </w:r>
      <w:r>
        <w:t xml:space="preserve"> </w:t>
      </w:r>
      <w:r w:rsidRPr="00301E5C">
        <w:t>and informative</w:t>
      </w:r>
      <w:r>
        <w:t>, and they have been tested and refined during the current pilot test of the study design</w:t>
      </w:r>
      <w:r w:rsidRPr="00301E5C">
        <w:t>.</w:t>
      </w:r>
    </w:p>
    <w:p w:rsidR="00715069" w:rsidRPr="00C07360" w:rsidP="00715069" w14:paraId="64063130" w14:textId="57ADAA69">
      <w:pPr>
        <w:pStyle w:val="Heading3"/>
      </w:pPr>
      <w:bookmarkStart w:id="36" w:name="_Toc6845446"/>
      <w:bookmarkStart w:id="37" w:name="_Toc6845563"/>
      <w:bookmarkStart w:id="38" w:name="_Toc13737857"/>
      <w:bookmarkStart w:id="39" w:name="_Toc75171577"/>
      <w:bookmarkStart w:id="40" w:name="_Toc215310908"/>
      <w:bookmarkStart w:id="41" w:name="_Toc215312880"/>
      <w:bookmarkStart w:id="42" w:name="_Toc217325184"/>
      <w:r w:rsidRPr="00C07360">
        <w:t>A.6</w:t>
      </w:r>
      <w:r>
        <w:t xml:space="preserve">. </w:t>
      </w:r>
      <w:bookmarkEnd w:id="32"/>
      <w:bookmarkEnd w:id="36"/>
      <w:bookmarkEnd w:id="37"/>
      <w:bookmarkEnd w:id="38"/>
      <w:bookmarkEnd w:id="39"/>
      <w:r>
        <w:t>Consequences of Not Collecting Data</w:t>
      </w:r>
      <w:bookmarkEnd w:id="40"/>
      <w:bookmarkEnd w:id="41"/>
      <w:bookmarkEnd w:id="42"/>
    </w:p>
    <w:p w:rsidR="00715069" w:rsidRPr="00C30DE0" w:rsidP="007D55F3" w14:paraId="5C99F2CD" w14:textId="6709D087">
      <w:pPr>
        <w:pStyle w:val="BodyTextPostHeading"/>
      </w:pPr>
      <w:r w:rsidRPr="003D1634">
        <w:t xml:space="preserve">Federal, state, and local policymakers and education </w:t>
      </w:r>
      <w:r w:rsidRPr="00543E35">
        <w:t>leaders urgently need up-to-date national estimates of special education spending to inform their funding policies and budgets. At all levels, special education represents a considerable investment, with the federal contribution</w:t>
      </w:r>
      <w:r>
        <w:t xml:space="preserve"> </w:t>
      </w:r>
      <w:r w:rsidRPr="00543E35">
        <w:t>directing billions of dollars to states and local communities. Without this information, ED and Congress will not have accurate and timely spending data to determine how IDEA funds are being spent, what the funds pay for, or the extent to which resource allocation decisions by states and localities align with best practices and IDEA’s policy goals.</w:t>
      </w:r>
    </w:p>
    <w:p w:rsidR="00715069" w:rsidRPr="00C07360" w:rsidP="00715069" w14:paraId="19047FB0" w14:textId="40C9C764">
      <w:pPr>
        <w:pStyle w:val="Heading3"/>
      </w:pPr>
      <w:bookmarkStart w:id="43" w:name="_Toc6845447"/>
      <w:bookmarkStart w:id="44" w:name="_Toc6845564"/>
      <w:bookmarkStart w:id="45" w:name="_Toc13737858"/>
      <w:bookmarkStart w:id="46" w:name="_Toc13737911"/>
      <w:bookmarkStart w:id="47" w:name="_Toc75171578"/>
      <w:bookmarkStart w:id="48" w:name="_Toc215310909"/>
      <w:bookmarkStart w:id="49" w:name="_Toc215312881"/>
      <w:bookmarkStart w:id="50" w:name="_Toc217325185"/>
      <w:r w:rsidRPr="00C07360">
        <w:t>A.7</w:t>
      </w:r>
      <w:r>
        <w:t xml:space="preserve">. </w:t>
      </w:r>
      <w:r w:rsidRPr="00C07360">
        <w:t>Special Circumstances</w:t>
      </w:r>
      <w:bookmarkEnd w:id="43"/>
      <w:bookmarkEnd w:id="44"/>
      <w:bookmarkEnd w:id="45"/>
      <w:bookmarkEnd w:id="46"/>
      <w:bookmarkEnd w:id="47"/>
      <w:bookmarkEnd w:id="48"/>
      <w:bookmarkEnd w:id="49"/>
      <w:bookmarkEnd w:id="50"/>
    </w:p>
    <w:p w:rsidR="00715069" w:rsidRPr="00513033" w:rsidP="007D55F3" w14:paraId="5CA334EA" w14:textId="77777777">
      <w:pPr>
        <w:pStyle w:val="BodyTextPostHeading"/>
      </w:pPr>
      <w:r w:rsidRPr="00513033">
        <w:t>No special circumstances for this information collection are anticipated.</w:t>
      </w:r>
    </w:p>
    <w:p w:rsidR="00715069" w:rsidRPr="00C07360" w:rsidP="00715069" w14:paraId="7C31D4C3" w14:textId="49325E6A">
      <w:pPr>
        <w:pStyle w:val="Heading3"/>
      </w:pPr>
      <w:bookmarkStart w:id="51" w:name="_Toc6845448"/>
      <w:bookmarkStart w:id="52" w:name="_Toc6845565"/>
      <w:bookmarkStart w:id="53" w:name="_Toc13737859"/>
      <w:bookmarkStart w:id="54" w:name="_Toc13737912"/>
      <w:bookmarkStart w:id="55" w:name="_Toc75171579"/>
      <w:bookmarkStart w:id="56" w:name="_Toc215310910"/>
      <w:bookmarkStart w:id="57" w:name="_Toc215312882"/>
      <w:bookmarkStart w:id="58" w:name="_Toc217325186"/>
      <w:r w:rsidRPr="00C07360">
        <w:t>A.8</w:t>
      </w:r>
      <w:r>
        <w:t xml:space="preserve">. </w:t>
      </w:r>
      <w:r w:rsidRPr="00C07360">
        <w:t>Cons</w:t>
      </w:r>
      <w:r>
        <w:t>ultations</w:t>
      </w:r>
      <w:r w:rsidRPr="00C07360">
        <w:t xml:space="preserve"> </w:t>
      </w:r>
      <w:r>
        <w:t>Beyond</w:t>
      </w:r>
      <w:r w:rsidRPr="00C07360">
        <w:t xml:space="preserve"> the Agency</w:t>
      </w:r>
      <w:bookmarkEnd w:id="51"/>
      <w:bookmarkEnd w:id="52"/>
      <w:bookmarkEnd w:id="53"/>
      <w:bookmarkEnd w:id="54"/>
      <w:bookmarkEnd w:id="55"/>
      <w:bookmarkEnd w:id="56"/>
      <w:bookmarkEnd w:id="57"/>
      <w:bookmarkEnd w:id="58"/>
    </w:p>
    <w:p w:rsidR="00715069" w:rsidRPr="007D55F3" w:rsidP="007D55F3" w14:paraId="1EBC424A" w14:textId="77777777">
      <w:pPr>
        <w:pStyle w:val="BodyTextPostHeading"/>
        <w:rPr>
          <w:b/>
          <w:bCs/>
        </w:rPr>
      </w:pPr>
      <w:r w:rsidRPr="007D55F3">
        <w:rPr>
          <w:b/>
          <w:bCs/>
        </w:rPr>
        <w:t>Federal Registry Requests</w:t>
      </w:r>
    </w:p>
    <w:p w:rsidR="00715069" w:rsidP="007D55F3" w14:paraId="3747D7B1" w14:textId="144F6F9E">
      <w:pPr>
        <w:pStyle w:val="BodyText"/>
      </w:pPr>
      <w:r w:rsidRPr="00F65603">
        <w:t xml:space="preserve">On </w:t>
      </w:r>
      <w:r w:rsidRPr="00F65603" w:rsidR="00F65603">
        <w:t>January 28,</w:t>
      </w:r>
      <w:r w:rsidRPr="00F65603">
        <w:t xml:space="preserve"> 2026, a 60-day notice was published in the </w:t>
      </w:r>
      <w:r w:rsidRPr="00F65603">
        <w:rPr>
          <w:i/>
          <w:iCs/>
        </w:rPr>
        <w:t>Federal Register</w:t>
      </w:r>
      <w:r w:rsidRPr="00F65603">
        <w:t xml:space="preserve"> (Vol. </w:t>
      </w:r>
      <w:r w:rsidRPr="00F65603" w:rsidR="009D7AC6">
        <w:t>91</w:t>
      </w:r>
      <w:r w:rsidRPr="00F65603">
        <w:t xml:space="preserve">, No. </w:t>
      </w:r>
      <w:r w:rsidRPr="00F65603" w:rsidR="00F65603">
        <w:t>18</w:t>
      </w:r>
      <w:r w:rsidRPr="00F65603">
        <w:t xml:space="preserve">, p. </w:t>
      </w:r>
      <w:r w:rsidRPr="00F65603" w:rsidR="00F65603">
        <w:t>3714</w:t>
      </w:r>
      <w:r w:rsidRPr="00F65603">
        <w:t>) to solicit public comments on this proposed information collection.</w:t>
      </w:r>
      <w:r w:rsidRPr="00F65603" w:rsidR="003F5ECD">
        <w:t xml:space="preserve"> Comments and the agency’s responses to those comments can be found in A</w:t>
      </w:r>
      <w:r w:rsidRPr="00F65603" w:rsidR="00E64CAE">
        <w:t>ttachment F of this submission.</w:t>
      </w:r>
      <w:r w:rsidR="00F65603">
        <w:t xml:space="preserve"> No public comment resulted in a change to the agency’s proposed plans for collection.</w:t>
      </w:r>
    </w:p>
    <w:p w:rsidR="00E550D6" w:rsidP="007D55F3" w14:paraId="21367F0E" w14:textId="68E0C1F7">
      <w:pPr>
        <w:pStyle w:val="BodyText"/>
      </w:pPr>
      <w:r>
        <w:t>Contemporaneously with the submission of</w:t>
      </w:r>
      <w:r w:rsidR="00084E78">
        <w:t xml:space="preserve"> this package to OMB, a 30-day notice was published in the </w:t>
      </w:r>
      <w:r>
        <w:t xml:space="preserve"> </w:t>
      </w:r>
      <w:r w:rsidRPr="00084E78" w:rsidR="00084E78">
        <w:t xml:space="preserve">in the Federal Register (Vol. </w:t>
      </w:r>
      <w:r w:rsidRPr="00084E78" w:rsidR="00084E78">
        <w:rPr>
          <w:highlight w:val="yellow"/>
        </w:rPr>
        <w:t>XX</w:t>
      </w:r>
      <w:r w:rsidRPr="00084E78" w:rsidR="00084E78">
        <w:t xml:space="preserve">, No. </w:t>
      </w:r>
      <w:r w:rsidRPr="00084E78" w:rsidR="00084E78">
        <w:rPr>
          <w:highlight w:val="yellow"/>
        </w:rPr>
        <w:t>XX</w:t>
      </w:r>
      <w:r w:rsidRPr="00084E78" w:rsidR="00084E78">
        <w:t xml:space="preserve">, p. </w:t>
      </w:r>
      <w:r w:rsidRPr="00084E78" w:rsidR="00084E78">
        <w:rPr>
          <w:highlight w:val="yellow"/>
        </w:rPr>
        <w:t>XXXX</w:t>
      </w:r>
      <w:r w:rsidRPr="00084E78" w:rsidR="00084E78">
        <w:t>)</w:t>
      </w:r>
      <w:r w:rsidR="00084E78">
        <w:t xml:space="preserve"> on </w:t>
      </w:r>
      <w:r w:rsidR="00084E78">
        <w:t xml:space="preserve">April </w:t>
      </w:r>
      <w:r w:rsidRPr="00084E78" w:rsidR="00084E78">
        <w:rPr>
          <w:highlight w:val="yellow"/>
        </w:rPr>
        <w:t>XX</w:t>
      </w:r>
      <w:r w:rsidR="00084E78">
        <w:t>,</w:t>
      </w:r>
      <w:r w:rsidR="00084E78">
        <w:t xml:space="preserve"> 2026.</w:t>
      </w:r>
    </w:p>
    <w:p w:rsidR="00715069" w:rsidRPr="007D55F3" w:rsidP="007D55F3" w14:paraId="5A2A6DBA" w14:textId="77777777">
      <w:pPr>
        <w:pStyle w:val="BodyText"/>
        <w:rPr>
          <w:b/>
          <w:bCs/>
        </w:rPr>
      </w:pPr>
      <w:r w:rsidRPr="007D55F3">
        <w:rPr>
          <w:b/>
          <w:bCs/>
        </w:rPr>
        <w:t>Consultations Outside the Agency</w:t>
      </w:r>
    </w:p>
    <w:p w:rsidR="00715069" w:rsidP="007D55F3" w14:paraId="28C05CE7" w14:textId="27E720F6">
      <w:pPr>
        <w:pStyle w:val="BodyText"/>
      </w:pPr>
      <w:r>
        <w:t xml:space="preserve">The National Center for Education </w:t>
      </w:r>
      <w:r w:rsidR="00841838">
        <w:t>Evaluation and Regional Assistance (</w:t>
      </w:r>
      <w:r w:rsidRPr="006F236F">
        <w:t>NCEE</w:t>
      </w:r>
      <w:r w:rsidR="00841838">
        <w:t>)</w:t>
      </w:r>
      <w:r w:rsidRPr="00AF5F95">
        <w:t xml:space="preserve"> sought input from 12 external consultants for the study. These consultants participated in a </w:t>
      </w:r>
      <w:r>
        <w:t>1</w:t>
      </w:r>
      <w:r w:rsidRPr="00AF5F95">
        <w:t xml:space="preserve">-day meeting held in June 2024 </w:t>
      </w:r>
      <w:r>
        <w:t xml:space="preserve">that </w:t>
      </w:r>
      <w:r w:rsidRPr="00AF5F95">
        <w:t xml:space="preserve">focused on the study design, including sampling, recruitment, incentives, content, measurement, and data collection. A </w:t>
      </w:r>
      <w:r>
        <w:t>sub</w:t>
      </w:r>
      <w:r w:rsidRPr="00AF5F95">
        <w:t xml:space="preserve">group of </w:t>
      </w:r>
      <w:r>
        <w:t xml:space="preserve">these </w:t>
      </w:r>
      <w:r w:rsidRPr="00AF5F95">
        <w:t xml:space="preserve">consultants also provided expert review of the study instruments. </w:t>
      </w:r>
      <w:r w:rsidRPr="000F19ED">
        <w:t xml:space="preserve">The </w:t>
      </w:r>
      <w:r>
        <w:t xml:space="preserve">consultants included practitioners and researchers in the fields of special education and school finance; their names and affiliations are shown </w:t>
      </w:r>
      <w:r w:rsidRPr="00682056">
        <w:t xml:space="preserve">in </w:t>
      </w:r>
      <w:r>
        <w:t>e</w:t>
      </w:r>
      <w:r w:rsidRPr="006F236F">
        <w:t>xhibit A-</w:t>
      </w:r>
      <w:r>
        <w:t>3</w:t>
      </w:r>
      <w:r w:rsidRPr="00682056">
        <w:t>.</w:t>
      </w:r>
    </w:p>
    <w:p w:rsidR="00715069" w:rsidRPr="001A2B34" w:rsidP="007D55F3" w14:paraId="76B8C5B5" w14:textId="44291E31">
      <w:pPr>
        <w:pStyle w:val="ExhibitTitle"/>
      </w:pPr>
      <w:bookmarkStart w:id="59" w:name="_Toc217325200"/>
      <w:r w:rsidRPr="001A2B34">
        <w:t>Exhibit A-</w:t>
      </w:r>
      <w:r>
        <w:t>3</w:t>
      </w:r>
      <w:r w:rsidRPr="001A2B34">
        <w:t xml:space="preserve">. NSSES </w:t>
      </w:r>
      <w:r>
        <w:t>s</w:t>
      </w:r>
      <w:r w:rsidRPr="001A2B34">
        <w:t xml:space="preserve">tudy </w:t>
      </w:r>
      <w:r>
        <w:t>d</w:t>
      </w:r>
      <w:r w:rsidRPr="001A2B34">
        <w:t xml:space="preserve">esign </w:t>
      </w:r>
      <w:r>
        <w:t>c</w:t>
      </w:r>
      <w:r w:rsidRPr="001A2B34">
        <w:t xml:space="preserve">onsultants and </w:t>
      </w:r>
      <w:r>
        <w:t>a</w:t>
      </w:r>
      <w:r w:rsidRPr="001A2B34">
        <w:t>ffiliations</w:t>
      </w:r>
      <w:bookmarkEnd w:id="59"/>
    </w:p>
    <w:tbl>
      <w:tblPr>
        <w:tblStyle w:val="TableStyle-AIR2021"/>
        <w:tblW w:w="5000" w:type="pct"/>
        <w:tblLook w:val="0420"/>
      </w:tblPr>
      <w:tblGrid>
        <w:gridCol w:w="2505"/>
        <w:gridCol w:w="6855"/>
      </w:tblGrid>
      <w:tr w14:paraId="40187CF3" w14:textId="77777777" w:rsidTr="007D55F3">
        <w:tblPrEx>
          <w:tblW w:w="5000" w:type="pct"/>
          <w:tblLook w:val="0420"/>
        </w:tblPrEx>
        <w:trPr>
          <w:trHeight w:val="323"/>
          <w:tblHeader/>
        </w:trPr>
        <w:tc>
          <w:tcPr>
            <w:tcW w:w="2335" w:type="dxa"/>
          </w:tcPr>
          <w:p w:rsidR="00715069" w:rsidRPr="007D55F3" w:rsidP="007D55F3" w14:paraId="2985AF03" w14:textId="77777777">
            <w:pPr>
              <w:pStyle w:val="Table11ColumnHeading"/>
            </w:pPr>
            <w:r w:rsidRPr="007D55F3">
              <w:t>Consultant</w:t>
            </w:r>
          </w:p>
        </w:tc>
        <w:tc>
          <w:tcPr>
            <w:tcW w:w="6390" w:type="dxa"/>
          </w:tcPr>
          <w:p w:rsidR="00715069" w:rsidRPr="007D55F3" w:rsidP="007D55F3" w14:paraId="0897BC1E" w14:textId="77777777">
            <w:pPr>
              <w:pStyle w:val="Table11ColumnHeading"/>
            </w:pPr>
            <w:r w:rsidRPr="007D55F3">
              <w:t>Affiliation</w:t>
            </w:r>
          </w:p>
        </w:tc>
      </w:tr>
      <w:tr w14:paraId="23D8BFA0" w14:textId="77777777" w:rsidTr="007D55F3">
        <w:tblPrEx>
          <w:tblW w:w="5000" w:type="pct"/>
          <w:tblLook w:val="0420"/>
        </w:tblPrEx>
        <w:trPr>
          <w:trHeight w:val="342"/>
        </w:trPr>
        <w:tc>
          <w:tcPr>
            <w:tcW w:w="2335" w:type="dxa"/>
          </w:tcPr>
          <w:p w:rsidR="00715069" w:rsidRPr="00CD1804" w:rsidP="007D55F3" w14:paraId="067E5D02" w14:textId="77777777">
            <w:pPr>
              <w:pStyle w:val="Table11RowHeading"/>
            </w:pPr>
            <w:r w:rsidRPr="00CD1804">
              <w:t>Elizabeth Dhuey</w:t>
            </w:r>
          </w:p>
        </w:tc>
        <w:tc>
          <w:tcPr>
            <w:tcW w:w="6390" w:type="dxa"/>
          </w:tcPr>
          <w:p w:rsidR="00715069" w:rsidRPr="007D55F3" w:rsidP="007D55F3" w14:paraId="38C2CA54" w14:textId="77777777">
            <w:pPr>
              <w:pStyle w:val="Table11Basic"/>
            </w:pPr>
            <w:r w:rsidRPr="007D55F3">
              <w:t>University of Toronto</w:t>
            </w:r>
          </w:p>
        </w:tc>
      </w:tr>
      <w:tr w14:paraId="5A3B1CAF" w14:textId="77777777" w:rsidTr="007D55F3">
        <w:tblPrEx>
          <w:tblW w:w="5000" w:type="pct"/>
          <w:tblLook w:val="0420"/>
        </w:tblPrEx>
        <w:trPr>
          <w:trHeight w:val="342"/>
        </w:trPr>
        <w:tc>
          <w:tcPr>
            <w:tcW w:w="2335" w:type="dxa"/>
          </w:tcPr>
          <w:p w:rsidR="00715069" w:rsidRPr="00CD1804" w:rsidP="007D55F3" w14:paraId="4D3C1F10" w14:textId="77777777">
            <w:pPr>
              <w:pStyle w:val="Table11RowHeading"/>
            </w:pPr>
            <w:r w:rsidRPr="00CD1804">
              <w:t>Aisha Humphries</w:t>
            </w:r>
          </w:p>
        </w:tc>
        <w:tc>
          <w:tcPr>
            <w:tcW w:w="6390" w:type="dxa"/>
          </w:tcPr>
          <w:p w:rsidR="00715069" w:rsidRPr="007D55F3" w:rsidP="007D55F3" w14:paraId="16807CA9" w14:textId="77777777">
            <w:pPr>
              <w:pStyle w:val="Table11Basic"/>
            </w:pPr>
            <w:r w:rsidRPr="007D55F3">
              <w:t>formerly Chicago Public Schools</w:t>
            </w:r>
          </w:p>
        </w:tc>
      </w:tr>
      <w:tr w14:paraId="71ECDC84" w14:textId="77777777" w:rsidTr="007D55F3">
        <w:tblPrEx>
          <w:tblW w:w="5000" w:type="pct"/>
          <w:tblLook w:val="0420"/>
        </w:tblPrEx>
        <w:trPr>
          <w:trHeight w:val="342"/>
        </w:trPr>
        <w:tc>
          <w:tcPr>
            <w:tcW w:w="2335" w:type="dxa"/>
          </w:tcPr>
          <w:p w:rsidR="00715069" w:rsidRPr="00CD1804" w:rsidP="007D55F3" w14:paraId="28C855BE" w14:textId="77777777">
            <w:pPr>
              <w:pStyle w:val="Table11RowHeading"/>
            </w:pPr>
            <w:r w:rsidRPr="00CD1804">
              <w:t>Jennifer King Rice</w:t>
            </w:r>
          </w:p>
        </w:tc>
        <w:tc>
          <w:tcPr>
            <w:tcW w:w="6390" w:type="dxa"/>
          </w:tcPr>
          <w:p w:rsidR="00715069" w:rsidRPr="007D55F3" w:rsidP="007D55F3" w14:paraId="288E30A4" w14:textId="77777777">
            <w:pPr>
              <w:pStyle w:val="Table11Basic"/>
            </w:pPr>
            <w:r w:rsidRPr="007D55F3">
              <w:t>University of Maryland</w:t>
            </w:r>
          </w:p>
        </w:tc>
      </w:tr>
      <w:tr w14:paraId="786C23FF" w14:textId="77777777" w:rsidTr="007D55F3">
        <w:tblPrEx>
          <w:tblW w:w="5000" w:type="pct"/>
          <w:tblLook w:val="0420"/>
        </w:tblPrEx>
        <w:trPr>
          <w:trHeight w:val="342"/>
        </w:trPr>
        <w:tc>
          <w:tcPr>
            <w:tcW w:w="2335" w:type="dxa"/>
          </w:tcPr>
          <w:p w:rsidR="00715069" w:rsidRPr="00CD1804" w:rsidP="007D55F3" w14:paraId="26D4A519" w14:textId="77777777">
            <w:pPr>
              <w:pStyle w:val="Table11RowHeading"/>
            </w:pPr>
            <w:r w:rsidRPr="00CD1804">
              <w:t>David Knight</w:t>
            </w:r>
          </w:p>
        </w:tc>
        <w:tc>
          <w:tcPr>
            <w:tcW w:w="6390" w:type="dxa"/>
          </w:tcPr>
          <w:p w:rsidR="00715069" w:rsidRPr="007D55F3" w:rsidP="007D55F3" w14:paraId="46CE6E59" w14:textId="77777777">
            <w:pPr>
              <w:pStyle w:val="Table11Basic"/>
            </w:pPr>
            <w:r w:rsidRPr="007D55F3">
              <w:t>University of Washington</w:t>
            </w:r>
          </w:p>
        </w:tc>
      </w:tr>
      <w:tr w14:paraId="54BE2473" w14:textId="77777777" w:rsidTr="007D55F3">
        <w:tblPrEx>
          <w:tblW w:w="5000" w:type="pct"/>
          <w:tblLook w:val="0420"/>
        </w:tblPrEx>
        <w:trPr>
          <w:trHeight w:val="342"/>
        </w:trPr>
        <w:tc>
          <w:tcPr>
            <w:tcW w:w="2335" w:type="dxa"/>
          </w:tcPr>
          <w:p w:rsidR="00715069" w:rsidRPr="00CD1804" w:rsidP="007D55F3" w14:paraId="67ADDB68" w14:textId="77777777">
            <w:pPr>
              <w:pStyle w:val="Table11RowHeading"/>
            </w:pPr>
            <w:r w:rsidRPr="00CD1804">
              <w:t>Lucky Mason-Williams</w:t>
            </w:r>
          </w:p>
        </w:tc>
        <w:tc>
          <w:tcPr>
            <w:tcW w:w="6390" w:type="dxa"/>
          </w:tcPr>
          <w:p w:rsidR="00715069" w:rsidRPr="007D55F3" w:rsidP="007D55F3" w14:paraId="13C702AB" w14:textId="77777777">
            <w:pPr>
              <w:pStyle w:val="Table11Basic"/>
            </w:pPr>
            <w:r w:rsidRPr="007D55F3">
              <w:t>SUNY Binghamton</w:t>
            </w:r>
          </w:p>
        </w:tc>
      </w:tr>
      <w:tr w14:paraId="4789956F" w14:textId="77777777" w:rsidTr="007D55F3">
        <w:tblPrEx>
          <w:tblW w:w="5000" w:type="pct"/>
          <w:tblLook w:val="0420"/>
        </w:tblPrEx>
        <w:trPr>
          <w:trHeight w:val="342"/>
        </w:trPr>
        <w:tc>
          <w:tcPr>
            <w:tcW w:w="2335" w:type="dxa"/>
          </w:tcPr>
          <w:p w:rsidR="00715069" w:rsidRPr="00CD1804" w:rsidP="007D55F3" w14:paraId="1D8930D0" w14:textId="77777777">
            <w:pPr>
              <w:pStyle w:val="Table11RowHeading"/>
            </w:pPr>
            <w:r w:rsidRPr="00CD1804">
              <w:t>Margaret McLaughlin</w:t>
            </w:r>
          </w:p>
        </w:tc>
        <w:tc>
          <w:tcPr>
            <w:tcW w:w="6390" w:type="dxa"/>
          </w:tcPr>
          <w:p w:rsidR="00715069" w:rsidRPr="007D55F3" w:rsidP="007D55F3" w14:paraId="332257A8" w14:textId="77777777">
            <w:pPr>
              <w:pStyle w:val="Table11Basic"/>
            </w:pPr>
            <w:r w:rsidRPr="007D55F3">
              <w:t>University of Maryland Professor Emerita</w:t>
            </w:r>
          </w:p>
        </w:tc>
      </w:tr>
      <w:tr w14:paraId="7DA49B4B" w14:textId="77777777" w:rsidTr="007D55F3">
        <w:tblPrEx>
          <w:tblW w:w="5000" w:type="pct"/>
          <w:tblLook w:val="0420"/>
        </w:tblPrEx>
        <w:trPr>
          <w:trHeight w:val="342"/>
        </w:trPr>
        <w:tc>
          <w:tcPr>
            <w:tcW w:w="2335" w:type="dxa"/>
          </w:tcPr>
          <w:p w:rsidR="00715069" w:rsidRPr="00CD1804" w:rsidP="007D55F3" w14:paraId="04368F28" w14:textId="77777777">
            <w:pPr>
              <w:pStyle w:val="Table11RowHeading"/>
            </w:pPr>
            <w:r w:rsidRPr="00CD1804">
              <w:t>Sara Menlove Doutre</w:t>
            </w:r>
          </w:p>
        </w:tc>
        <w:tc>
          <w:tcPr>
            <w:tcW w:w="6390" w:type="dxa"/>
          </w:tcPr>
          <w:p w:rsidR="00715069" w:rsidRPr="007D55F3" w:rsidP="007D55F3" w14:paraId="3C1E9E1D" w14:textId="77777777">
            <w:pPr>
              <w:pStyle w:val="Table11Basic"/>
            </w:pPr>
            <w:r w:rsidRPr="007D55F3">
              <w:t>WestEd</w:t>
            </w:r>
          </w:p>
        </w:tc>
      </w:tr>
      <w:tr w14:paraId="79324D40" w14:textId="77777777" w:rsidTr="007D55F3">
        <w:tblPrEx>
          <w:tblW w:w="5000" w:type="pct"/>
          <w:tblLook w:val="0420"/>
        </w:tblPrEx>
        <w:trPr>
          <w:trHeight w:val="342"/>
        </w:trPr>
        <w:tc>
          <w:tcPr>
            <w:tcW w:w="2335" w:type="dxa"/>
          </w:tcPr>
          <w:p w:rsidR="00715069" w:rsidRPr="00CD1804" w:rsidP="007D55F3" w14:paraId="2EE68781" w14:textId="77777777">
            <w:pPr>
              <w:pStyle w:val="Table11RowHeading"/>
            </w:pPr>
            <w:r w:rsidRPr="00CD1804">
              <w:t>Chris Needham</w:t>
            </w:r>
          </w:p>
        </w:tc>
        <w:tc>
          <w:tcPr>
            <w:tcW w:w="6390" w:type="dxa"/>
          </w:tcPr>
          <w:p w:rsidR="00715069" w:rsidRPr="007D55F3" w:rsidP="007D55F3" w14:paraId="5CE9320F" w14:textId="77777777">
            <w:pPr>
              <w:pStyle w:val="Table11Basic"/>
            </w:pPr>
            <w:r w:rsidRPr="007D55F3">
              <w:t>SUNY Plattsburgh</w:t>
            </w:r>
          </w:p>
        </w:tc>
      </w:tr>
      <w:tr w14:paraId="1D60E6E3" w14:textId="77777777" w:rsidTr="007D55F3">
        <w:tblPrEx>
          <w:tblW w:w="5000" w:type="pct"/>
          <w:tblLook w:val="0420"/>
        </w:tblPrEx>
        <w:trPr>
          <w:trHeight w:val="342"/>
        </w:trPr>
        <w:tc>
          <w:tcPr>
            <w:tcW w:w="2335" w:type="dxa"/>
          </w:tcPr>
          <w:p w:rsidR="00715069" w:rsidRPr="00CD1804" w:rsidP="007D55F3" w14:paraId="19CA8E5B" w14:textId="77777777">
            <w:pPr>
              <w:pStyle w:val="Table11RowHeading"/>
            </w:pPr>
            <w:r w:rsidRPr="00CD1804">
              <w:t>Bobby Richardson</w:t>
            </w:r>
          </w:p>
        </w:tc>
        <w:tc>
          <w:tcPr>
            <w:tcW w:w="6390" w:type="dxa"/>
          </w:tcPr>
          <w:p w:rsidR="00715069" w:rsidRPr="007D55F3" w:rsidP="007D55F3" w14:paraId="0AC40783" w14:textId="77777777">
            <w:pPr>
              <w:pStyle w:val="Table11Basic"/>
            </w:pPr>
            <w:r w:rsidRPr="007D55F3">
              <w:t>Pearl Public School District, formerly Mississippi Department of Education</w:t>
            </w:r>
          </w:p>
        </w:tc>
      </w:tr>
      <w:tr w14:paraId="3E426662" w14:textId="77777777" w:rsidTr="007D55F3">
        <w:tblPrEx>
          <w:tblW w:w="5000" w:type="pct"/>
          <w:tblLook w:val="0420"/>
        </w:tblPrEx>
        <w:trPr>
          <w:trHeight w:val="342"/>
        </w:trPr>
        <w:tc>
          <w:tcPr>
            <w:tcW w:w="2335" w:type="dxa"/>
          </w:tcPr>
          <w:p w:rsidR="00715069" w:rsidRPr="00CD1804" w:rsidP="007D55F3" w14:paraId="29865215" w14:textId="77777777">
            <w:pPr>
              <w:pStyle w:val="Table11RowHeading"/>
            </w:pPr>
            <w:r w:rsidRPr="00CD1804">
              <w:t>Kenneth Shores</w:t>
            </w:r>
          </w:p>
        </w:tc>
        <w:tc>
          <w:tcPr>
            <w:tcW w:w="6390" w:type="dxa"/>
          </w:tcPr>
          <w:p w:rsidR="00715069" w:rsidRPr="007D55F3" w:rsidP="007D55F3" w14:paraId="2107AB46" w14:textId="77777777">
            <w:pPr>
              <w:pStyle w:val="Table11Basic"/>
            </w:pPr>
            <w:r w:rsidRPr="007D55F3">
              <w:t>University of Delaware</w:t>
            </w:r>
          </w:p>
        </w:tc>
      </w:tr>
      <w:tr w14:paraId="758C07F5" w14:textId="77777777" w:rsidTr="007D55F3">
        <w:tblPrEx>
          <w:tblW w:w="5000" w:type="pct"/>
          <w:tblLook w:val="0420"/>
        </w:tblPrEx>
        <w:trPr>
          <w:trHeight w:val="342"/>
        </w:trPr>
        <w:tc>
          <w:tcPr>
            <w:tcW w:w="2335" w:type="dxa"/>
          </w:tcPr>
          <w:p w:rsidR="00715069" w:rsidRPr="00CD1804" w:rsidP="007D55F3" w14:paraId="145EA229" w14:textId="77777777">
            <w:pPr>
              <w:pStyle w:val="Table11RowHeading"/>
            </w:pPr>
            <w:r w:rsidRPr="00CD1804">
              <w:t>Rebecca Sibilia</w:t>
            </w:r>
          </w:p>
        </w:tc>
        <w:tc>
          <w:tcPr>
            <w:tcW w:w="6390" w:type="dxa"/>
          </w:tcPr>
          <w:p w:rsidR="00715069" w:rsidRPr="007D55F3" w:rsidP="007D55F3" w14:paraId="0D7FA93C" w14:textId="77777777">
            <w:pPr>
              <w:pStyle w:val="Table11Basic"/>
            </w:pPr>
            <w:r w:rsidRPr="007D55F3">
              <w:t>EdFund</w:t>
            </w:r>
          </w:p>
        </w:tc>
      </w:tr>
      <w:tr w14:paraId="4115641C" w14:textId="77777777" w:rsidTr="007D55F3">
        <w:tblPrEx>
          <w:tblW w:w="5000" w:type="pct"/>
          <w:tblLook w:val="0420"/>
        </w:tblPrEx>
        <w:trPr>
          <w:trHeight w:val="342"/>
        </w:trPr>
        <w:tc>
          <w:tcPr>
            <w:tcW w:w="2335" w:type="dxa"/>
          </w:tcPr>
          <w:p w:rsidR="00715069" w:rsidRPr="00CD1804" w:rsidP="007D55F3" w14:paraId="181A45CE" w14:textId="77777777">
            <w:pPr>
              <w:pStyle w:val="Table11RowHeading"/>
            </w:pPr>
            <w:r w:rsidRPr="00CD1804">
              <w:t>Zelphine</w:t>
            </w:r>
            <w:r w:rsidRPr="00CD1804">
              <w:t xml:space="preserve"> Smith-Dixon</w:t>
            </w:r>
          </w:p>
        </w:tc>
        <w:tc>
          <w:tcPr>
            <w:tcW w:w="6390" w:type="dxa"/>
          </w:tcPr>
          <w:p w:rsidR="00715069" w:rsidRPr="007D55F3" w:rsidP="007D55F3" w14:paraId="42F4B6CB" w14:textId="77777777">
            <w:pPr>
              <w:pStyle w:val="Table11Basic"/>
            </w:pPr>
            <w:r w:rsidRPr="007D55F3">
              <w:t>Rockdale County Public Schools</w:t>
            </w:r>
          </w:p>
        </w:tc>
      </w:tr>
    </w:tbl>
    <w:p w:rsidR="00715069" w:rsidP="007D55F3" w14:paraId="6CAE6242" w14:textId="2CE5D87F">
      <w:pPr>
        <w:pStyle w:val="BodyText"/>
      </w:pPr>
      <w:r>
        <w:t xml:space="preserve">NCEE also briefed </w:t>
      </w:r>
      <w:r>
        <w:t>professional</w:t>
      </w:r>
      <w:r w:rsidRPr="00401036">
        <w:t xml:space="preserve"> organizations</w:t>
      </w:r>
      <w:r>
        <w:t xml:space="preserve"> and disability policy organizations with</w:t>
      </w:r>
      <w:r w:rsidRPr="00401036">
        <w:t xml:space="preserve"> an interest in </w:t>
      </w:r>
      <w:r>
        <w:t>special education spending</w:t>
      </w:r>
      <w:r w:rsidR="00CF232B">
        <w:t>, including the National Association of State Directors of Special Education (NASDE), the Consortium for Constituents with Disabilities, the Council for Exceptional Children</w:t>
      </w:r>
      <w:r w:rsidR="004E4E46">
        <w:t xml:space="preserve"> (CEC)</w:t>
      </w:r>
      <w:r w:rsidR="00CF232B">
        <w:t xml:space="preserve">, and the Council of </w:t>
      </w:r>
      <w:r w:rsidR="004E4E46">
        <w:t>Administrators for Special Education (CASE)</w:t>
      </w:r>
      <w:r w:rsidR="00CF232B">
        <w:t>.</w:t>
      </w:r>
      <w:r w:rsidR="004E4E46">
        <w:t xml:space="preserve"> </w:t>
      </w:r>
      <w:r w:rsidRPr="00401036">
        <w:t xml:space="preserve">The goal </w:t>
      </w:r>
      <w:r w:rsidR="00CF232B">
        <w:t>was</w:t>
      </w:r>
      <w:r w:rsidRPr="00401036">
        <w:t xml:space="preserve"> to obtain additional perspectives on </w:t>
      </w:r>
      <w:r>
        <w:t>the information</w:t>
      </w:r>
      <w:r w:rsidRPr="00401036">
        <w:t xml:space="preserve"> needs</w:t>
      </w:r>
      <w:r>
        <w:t xml:space="preserve"> in the field, particularly with respect to costs</w:t>
      </w:r>
      <w:r w:rsidRPr="00401036">
        <w:t>.</w:t>
      </w:r>
      <w:r>
        <w:t xml:space="preserve"> </w:t>
      </w:r>
    </w:p>
    <w:p w:rsidR="00715069" w:rsidRPr="006056E8" w:rsidP="00715069" w14:paraId="78FC60E1" w14:textId="1CB93E61">
      <w:pPr>
        <w:pStyle w:val="Heading3"/>
      </w:pPr>
      <w:bookmarkStart w:id="60" w:name="_Toc215310911"/>
      <w:bookmarkStart w:id="61" w:name="_Toc215312883"/>
      <w:bookmarkStart w:id="62" w:name="_Toc217325187"/>
      <w:r w:rsidRPr="006056E8">
        <w:t>A.9</w:t>
      </w:r>
      <w:r>
        <w:t>. Payment or Gifts to Respondents</w:t>
      </w:r>
      <w:bookmarkEnd w:id="60"/>
      <w:bookmarkEnd w:id="61"/>
      <w:bookmarkEnd w:id="62"/>
    </w:p>
    <w:p w:rsidR="00715069" w:rsidP="007D55F3" w14:paraId="051D8EF4" w14:textId="6D8D9675">
      <w:pPr>
        <w:pStyle w:val="BodyTextPostHeading"/>
      </w:pPr>
      <w:r w:rsidRPr="008D34F0">
        <w:t xml:space="preserve">The recruitment activities for which this clearance is requested </w:t>
      </w:r>
      <w:r>
        <w:t xml:space="preserve">include sending materials to SEAs, LEAs, and schools that reference participation incentives (see Attachments A and C). </w:t>
      </w:r>
      <w:r w:rsidRPr="00543E35">
        <w:rPr>
          <w:i/>
          <w:iCs/>
        </w:rPr>
        <w:t xml:space="preserve">However, no payments will be made </w:t>
      </w:r>
      <w:r w:rsidR="002B1F6D">
        <w:rPr>
          <w:i/>
          <w:iCs/>
        </w:rPr>
        <w:t>for</w:t>
      </w:r>
      <w:r w:rsidRPr="00543E35">
        <w:rPr>
          <w:i/>
          <w:iCs/>
        </w:rPr>
        <w:t xml:space="preserve"> the recruitment activities covered by this clearance</w:t>
      </w:r>
      <w:r>
        <w:t>,</w:t>
      </w:r>
      <w:r w:rsidRPr="767DFFF4">
        <w:t xml:space="preserve"> </w:t>
      </w:r>
      <w:r>
        <w:t>nor will there be any</w:t>
      </w:r>
      <w:r w:rsidRPr="767DFFF4">
        <w:t xml:space="preserve"> prepaid incentives. LEAs</w:t>
      </w:r>
      <w:r>
        <w:t xml:space="preserve"> </w:t>
      </w:r>
      <w:r w:rsidRPr="767DFFF4">
        <w:t xml:space="preserve">and survey respondents will be offered postpaid incentives for </w:t>
      </w:r>
      <w:r w:rsidR="002B1F6D">
        <w:t>study participation – including completing the study’s surveys and providing financial data files</w:t>
      </w:r>
      <w:r w:rsidR="00C24C21">
        <w:t xml:space="preserve"> - </w:t>
      </w:r>
      <w:r>
        <w:t>which will be described in a future information clearance request</w:t>
      </w:r>
      <w:r w:rsidRPr="767DFFF4">
        <w:t xml:space="preserve">. </w:t>
      </w:r>
      <w:r w:rsidR="003F60E4">
        <w:t>P</w:t>
      </w:r>
      <w:r w:rsidRPr="767DFFF4">
        <w:t>ayments will be in the form of electronic gift cards</w:t>
      </w:r>
      <w:r w:rsidR="00C24C21">
        <w:t xml:space="preserve"> for individual </w:t>
      </w:r>
      <w:r w:rsidR="00C62562">
        <w:t xml:space="preserve">survey </w:t>
      </w:r>
      <w:r w:rsidR="00C24C21">
        <w:t xml:space="preserve">respondents and </w:t>
      </w:r>
      <w:r w:rsidR="0068126B">
        <w:t>respo</w:t>
      </w:r>
      <w:r w:rsidR="00CC6BD7">
        <w:t xml:space="preserve">ndents providing </w:t>
      </w:r>
      <w:r w:rsidR="00BD0417">
        <w:t xml:space="preserve">the LEA financial data files; </w:t>
      </w:r>
      <w:r w:rsidR="00FC5C2D">
        <w:t xml:space="preserve">LEAs will receive </w:t>
      </w:r>
      <w:r w:rsidR="006038FE">
        <w:t xml:space="preserve">either </w:t>
      </w:r>
      <w:r w:rsidR="00C17434">
        <w:t xml:space="preserve">electronic gift cards or </w:t>
      </w:r>
      <w:r w:rsidR="00C24C21">
        <w:t xml:space="preserve">checks </w:t>
      </w:r>
      <w:r w:rsidR="00C62562">
        <w:t>payable to</w:t>
      </w:r>
      <w:r w:rsidR="00C24C21">
        <w:t xml:space="preserve"> LEAs</w:t>
      </w:r>
      <w:r w:rsidR="00C62562">
        <w:t xml:space="preserve"> to offset the overall cost of </w:t>
      </w:r>
      <w:r w:rsidRPr="00AD6C1C" w:rsidR="00AD6C1C">
        <w:t>produc</w:t>
      </w:r>
      <w:r w:rsidR="00AD6C1C">
        <w:t>ing</w:t>
      </w:r>
      <w:r w:rsidRPr="00AD6C1C" w:rsidR="00AD6C1C">
        <w:t xml:space="preserve"> the roster information needed for sampling and coordinat</w:t>
      </w:r>
      <w:r w:rsidR="00AD6C1C">
        <w:t>ing</w:t>
      </w:r>
      <w:r w:rsidRPr="00AD6C1C" w:rsidR="00AD6C1C">
        <w:t xml:space="preserve"> data collection activities</w:t>
      </w:r>
      <w:r w:rsidRPr="767DFFF4">
        <w:t>.</w:t>
      </w:r>
    </w:p>
    <w:p w:rsidR="00715069" w:rsidP="000828DB" w14:paraId="5A01D9D1" w14:textId="172BA14C">
      <w:pPr>
        <w:pStyle w:val="BodyText"/>
        <w:keepNext/>
        <w:keepLines/>
      </w:pPr>
      <w:r>
        <w:t xml:space="preserve">Although participation incentives will be paid </w:t>
      </w:r>
      <w:r w:rsidRPr="00455251">
        <w:t xml:space="preserve">after </w:t>
      </w:r>
      <w:r>
        <w:t>the</w:t>
      </w:r>
      <w:r w:rsidRPr="00455251">
        <w:t xml:space="preserve"> study</w:t>
      </w:r>
      <w:r>
        <w:t xml:space="preserve"> is completed, the amounts are referenced in the materials that will be used during the </w:t>
      </w:r>
      <w:r w:rsidRPr="767DFFF4">
        <w:t xml:space="preserve">recruitment </w:t>
      </w:r>
      <w:r>
        <w:t xml:space="preserve">activities covered by this clearance request. </w:t>
      </w:r>
      <w:r w:rsidRPr="390C6E49">
        <w:t xml:space="preserve">Exhibit </w:t>
      </w:r>
      <w:r>
        <w:t>A-4</w:t>
      </w:r>
      <w:r w:rsidRPr="390C6E49">
        <w:t xml:space="preserve"> </w:t>
      </w:r>
      <w:r>
        <w:t>presents</w:t>
      </w:r>
      <w:r w:rsidRPr="390C6E49">
        <w:t xml:space="preserve"> the proposed incentive amounts and conditions</w:t>
      </w:r>
      <w:r>
        <w:t xml:space="preserve"> for the future study</w:t>
      </w:r>
      <w:r w:rsidRPr="390C6E49">
        <w:t>.</w:t>
      </w:r>
      <w:r>
        <w:rPr>
          <w:rStyle w:val="FootnoteReference"/>
        </w:rPr>
        <w:footnoteReference w:id="5"/>
      </w:r>
      <w:r w:rsidR="00607541">
        <w:t xml:space="preserve"> The</w:t>
      </w:r>
      <w:r w:rsidR="00C61174">
        <w:t xml:space="preserve"> recommended</w:t>
      </w:r>
      <w:r w:rsidR="00607541">
        <w:t xml:space="preserve"> incentive amounts are the same as were used in the </w:t>
      </w:r>
      <w:r w:rsidR="004F226B">
        <w:t>re</w:t>
      </w:r>
      <w:r w:rsidR="008830F9">
        <w:t xml:space="preserve">cent pilot study. </w:t>
      </w:r>
    </w:p>
    <w:p w:rsidR="00AD5625" w:rsidP="00AD5625" w14:paraId="584DC775" w14:textId="40ADBCFD">
      <w:pPr>
        <w:pStyle w:val="BodyText"/>
      </w:pPr>
      <w:r>
        <w:t xml:space="preserve">Participation incentives are necessary and warranted for the NSSES’ future data collection activities and will be evaluated by LEAs and staff during the study’s recruitment phase as part of their decision to participate in the study. </w:t>
      </w:r>
      <w:r w:rsidRPr="00173A24" w:rsidR="00715069">
        <w:t>The NSSES</w:t>
      </w:r>
      <w:r w:rsidRPr="00173A24" w:rsidR="00715069">
        <w:t xml:space="preserve"> </w:t>
      </w:r>
      <w:r w:rsidRPr="00173A24" w:rsidR="00715069">
        <w:t>requires detailed</w:t>
      </w:r>
      <w:r w:rsidR="00715069">
        <w:t>,</w:t>
      </w:r>
      <w:r w:rsidRPr="00173A24" w:rsidR="00715069">
        <w:t xml:space="preserve"> and therefore burdensome</w:t>
      </w:r>
      <w:r w:rsidR="00715069">
        <w:t>,</w:t>
      </w:r>
      <w:r w:rsidRPr="00173A24" w:rsidR="00715069">
        <w:t xml:space="preserve"> data </w:t>
      </w:r>
      <w:r w:rsidRPr="00517729" w:rsidR="00715069">
        <w:t xml:space="preserve">requests </w:t>
      </w:r>
      <w:r w:rsidRPr="006F236F" w:rsidR="00715069">
        <w:t>from</w:t>
      </w:r>
      <w:r w:rsidR="00715069">
        <w:t xml:space="preserve"> LEAs, schools, and staff to obtain accurate spending estimates. </w:t>
      </w:r>
      <w:r w:rsidRPr="00007E7B" w:rsidR="00E0326B">
        <w:t xml:space="preserve">NCEE </w:t>
      </w:r>
      <w:r w:rsidR="00E0326B">
        <w:t>undertook</w:t>
      </w:r>
      <w:r w:rsidRPr="00007E7B" w:rsidR="00E0326B">
        <w:t xml:space="preserve"> several research activities to ensure</w:t>
      </w:r>
      <w:r w:rsidR="00E0326B">
        <w:t xml:space="preserve"> that</w:t>
      </w:r>
      <w:r w:rsidRPr="00007E7B" w:rsidR="00E0326B">
        <w:t xml:space="preserve"> the NSSES data collection maximizes accuracy while minimizing </w:t>
      </w:r>
      <w:r w:rsidR="00E0326B">
        <w:t xml:space="preserve">respondent </w:t>
      </w:r>
      <w:r w:rsidRPr="00007E7B" w:rsidR="00E0326B">
        <w:t>burden</w:t>
      </w:r>
      <w:r w:rsidR="00E0326B">
        <w:t xml:space="preserve">, including </w:t>
      </w:r>
      <w:r w:rsidRPr="00007E7B" w:rsidR="00E0326B">
        <w:t>cognitive interviews</w:t>
      </w:r>
      <w:r w:rsidR="00E0326B">
        <w:t xml:space="preserve"> to streamline survey design</w:t>
      </w:r>
      <w:r w:rsidRPr="00007E7B" w:rsidR="00E0326B">
        <w:t>, a technical advisory group, innovative financial transactions analys</w:t>
      </w:r>
      <w:r w:rsidR="00E0326B">
        <w:t>e</w:t>
      </w:r>
      <w:r w:rsidRPr="00007E7B" w:rsidR="00E0326B">
        <w:t xml:space="preserve">s, and </w:t>
      </w:r>
      <w:r w:rsidR="00E0326B">
        <w:t xml:space="preserve">a </w:t>
      </w:r>
      <w:r w:rsidRPr="00007E7B" w:rsidR="00E0326B">
        <w:t>pilot study</w:t>
      </w:r>
      <w:r w:rsidR="00E0326B">
        <w:t xml:space="preserve"> (currently in the field)</w:t>
      </w:r>
      <w:r w:rsidRPr="00007E7B" w:rsidR="00E0326B">
        <w:t xml:space="preserve">. Nonetheless, </w:t>
      </w:r>
      <w:r w:rsidR="00E0326B">
        <w:t xml:space="preserve">the </w:t>
      </w:r>
      <w:r w:rsidRPr="00007E7B" w:rsidR="00E0326B">
        <w:t xml:space="preserve">perceived burden on LEA and school staff will be </w:t>
      </w:r>
      <w:r w:rsidR="00E0326B">
        <w:t xml:space="preserve">a </w:t>
      </w:r>
      <w:r w:rsidRPr="00007E7B" w:rsidR="00E0326B">
        <w:t xml:space="preserve">critical factor </w:t>
      </w:r>
      <w:r w:rsidR="00E0326B">
        <w:t xml:space="preserve">for </w:t>
      </w:r>
      <w:r w:rsidRPr="00007E7B" w:rsidR="00E0326B">
        <w:t xml:space="preserve">administrators when deciding </w:t>
      </w:r>
      <w:r w:rsidR="00E0326B">
        <w:t>whether to</w:t>
      </w:r>
      <w:r w:rsidRPr="00007E7B" w:rsidR="00E0326B">
        <w:t xml:space="preserve"> participate in the study.</w:t>
      </w:r>
      <w:r w:rsidRPr="00AD5625">
        <w:t xml:space="preserve"> </w:t>
      </w:r>
      <w:r w:rsidRPr="390C6E49">
        <w:t>The incentive</w:t>
      </w:r>
      <w:r>
        <w:t xml:space="preserve"> amount</w:t>
      </w:r>
      <w:r w:rsidRPr="390C6E49">
        <w:t>s</w:t>
      </w:r>
      <w:r>
        <w:t xml:space="preserve"> proposed</w:t>
      </w:r>
      <w:r w:rsidRPr="390C6E49">
        <w:t xml:space="preserve"> provide </w:t>
      </w:r>
      <w:r>
        <w:t xml:space="preserve">this </w:t>
      </w:r>
      <w:r w:rsidRPr="390C6E49">
        <w:t>recognition and value.</w:t>
      </w:r>
      <w:r>
        <w:t xml:space="preserve"> </w:t>
      </w:r>
    </w:p>
    <w:p w:rsidR="00715069" w:rsidP="007D55F3" w14:paraId="62D615B6" w14:textId="0067804D">
      <w:pPr>
        <w:pStyle w:val="BodyText"/>
      </w:pPr>
      <w:r>
        <w:t>Specifically, t</w:t>
      </w:r>
      <w:r w:rsidRPr="390C6E49">
        <w:t>he LEA institutional data request</w:t>
      </w:r>
      <w:r>
        <w:t xml:space="preserve"> gathers</w:t>
      </w:r>
      <w:r w:rsidRPr="390C6E49">
        <w:t xml:space="preserve"> critical data needed for sampling and spending estimation</w:t>
      </w:r>
      <w:r>
        <w:t xml:space="preserve">, whereas the school-level </w:t>
      </w:r>
      <w:r w:rsidR="00F53284">
        <w:t>SRS</w:t>
      </w:r>
      <w:r>
        <w:t xml:space="preserve"> requires not only detailed responses but also coordination among multiple school staff respondents.</w:t>
      </w:r>
      <w:r w:rsidR="005E0C60">
        <w:t xml:space="preserve"> </w:t>
      </w:r>
      <w:r w:rsidRPr="390C6E49">
        <w:t xml:space="preserve">Given the many demands and outside pressures </w:t>
      </w:r>
      <w:r>
        <w:t>faced by</w:t>
      </w:r>
      <w:r w:rsidRPr="390C6E49">
        <w:t xml:space="preserve"> LEAs</w:t>
      </w:r>
      <w:r>
        <w:t>,</w:t>
      </w:r>
      <w:r w:rsidRPr="390C6E49">
        <w:t xml:space="preserve"> schools</w:t>
      </w:r>
      <w:r>
        <w:t>,</w:t>
      </w:r>
      <w:r w:rsidRPr="390C6E49">
        <w:t xml:space="preserve"> and their staff, it is essential that they </w:t>
      </w:r>
      <w:r>
        <w:t>feel</w:t>
      </w:r>
      <w:r w:rsidRPr="390C6E49">
        <w:t xml:space="preserve"> </w:t>
      </w:r>
      <w:r>
        <w:t>their</w:t>
      </w:r>
      <w:r w:rsidRPr="390C6E49">
        <w:t xml:space="preserve"> burden is recognized and the</w:t>
      </w:r>
      <w:r w:rsidR="008045D8">
        <w:t xml:space="preserve"> time spent engaging in study activities</w:t>
      </w:r>
      <w:r w:rsidRPr="390C6E49" w:rsidR="008045D8">
        <w:t xml:space="preserve"> </w:t>
      </w:r>
      <w:r w:rsidRPr="390C6E49">
        <w:t>is valued</w:t>
      </w:r>
      <w:r>
        <w:t xml:space="preserve">. </w:t>
      </w:r>
      <w:r w:rsidRPr="390C6E49">
        <w:t xml:space="preserve">The </w:t>
      </w:r>
      <w:r w:rsidR="00637188">
        <w:t xml:space="preserve">study design </w:t>
      </w:r>
      <w:r w:rsidR="001173A7">
        <w:t>varies</w:t>
      </w:r>
      <w:r w:rsidR="00637188">
        <w:t xml:space="preserve"> the incentive amounts </w:t>
      </w:r>
      <w:r w:rsidR="001173A7">
        <w:t xml:space="preserve">paid to study participants </w:t>
      </w:r>
      <w:r w:rsidR="00637188">
        <w:t>to account for differences in burden.</w:t>
      </w:r>
      <w:r w:rsidR="001173A7">
        <w:t xml:space="preserve"> </w:t>
      </w:r>
      <w:r w:rsidR="00637188">
        <w:t>P</w:t>
      </w:r>
      <w:r>
        <w:t>articipating staff include the LEA financial teams, which need to provide detailed financial data; the school coordinator, who will act as a survey reporter, study liaison, and study motivator/champion; and the teachers and service providers, who will need to report student-level data</w:t>
      </w:r>
      <w:r w:rsidRPr="390C6E49">
        <w:t xml:space="preserve">. </w:t>
      </w:r>
      <w:r>
        <w:t xml:space="preserve">School teachers and service providers will spend more time completing surveys for students with high service needs than for those with low service needs. </w:t>
      </w:r>
    </w:p>
    <w:p w:rsidR="00715069" w:rsidP="007D55F3" w14:paraId="4A0BDF27" w14:textId="1DB1B103">
      <w:pPr>
        <w:pStyle w:val="BodyText"/>
      </w:pPr>
      <w:r w:rsidRPr="00801285">
        <w:t xml:space="preserve">A review of the literature supports the need </w:t>
      </w:r>
      <w:r>
        <w:t>to offset the cost of the time spent by study participants</w:t>
      </w:r>
      <w:r w:rsidRPr="00801285">
        <w:t xml:space="preserve">, especially </w:t>
      </w:r>
      <w:r>
        <w:t>financial compensation</w:t>
      </w:r>
      <w:r w:rsidRPr="00801285">
        <w:t xml:space="preserve">. Singer and Ye (2013) concluded that “incentives increase response rates to surveys in all modes, including the web, and in cross-sectional and </w:t>
      </w:r>
      <w:r w:rsidRPr="00801285">
        <w:t xml:space="preserve">panel studies” </w:t>
      </w:r>
      <w:r w:rsidRPr="00B51D2B">
        <w:t>and that “monetary incentives increase response rates more than gifts</w:t>
      </w:r>
      <w:r>
        <w:t xml:space="preserve">.” Singer and Ye also noted that prepaid incentives are most effective but can be difficult to provide for web surveys. Because the NSSES is web based and uses nested recruitment (LEA, school, teachers/providers) and multiple possible respondents, we </w:t>
      </w:r>
      <w:r w:rsidR="004F3CD0">
        <w:t>propose</w:t>
      </w:r>
      <w:r>
        <w:t xml:space="preserve"> promised incentives that respondents will select in real time via a question at the end of the online survey. This approach is used for other IES studies with nested designs, including NCES’s ECLS-K:2024.</w:t>
      </w:r>
    </w:p>
    <w:p w:rsidR="00715069" w:rsidRPr="0097049D" w:rsidP="0097049D" w14:paraId="2E38AA1A" w14:textId="39369696">
      <w:pPr>
        <w:pStyle w:val="ExhibitTitle"/>
      </w:pPr>
      <w:bookmarkStart w:id="63" w:name="_Toc217325201"/>
      <w:r w:rsidRPr="001A2B34">
        <w:t>Exhibit A-</w:t>
      </w:r>
      <w:r>
        <w:t>4</w:t>
      </w:r>
      <w:r w:rsidRPr="001A2B34">
        <w:t xml:space="preserve">. Incentive </w:t>
      </w:r>
      <w:r>
        <w:t>s</w:t>
      </w:r>
      <w:r w:rsidRPr="001A2B34">
        <w:t xml:space="preserve">trategy </w:t>
      </w:r>
      <w:r>
        <w:t>f</w:t>
      </w:r>
      <w:r w:rsidRPr="001A2B34">
        <w:t xml:space="preserve">or NSSES </w:t>
      </w:r>
      <w:r>
        <w:t>LEAs a</w:t>
      </w:r>
      <w:r w:rsidRPr="001A2B34">
        <w:t xml:space="preserve">nd </w:t>
      </w:r>
      <w:r>
        <w:t>s</w:t>
      </w:r>
      <w:r w:rsidRPr="001A2B34">
        <w:t>chools</w:t>
      </w:r>
      <w:bookmarkEnd w:id="63"/>
    </w:p>
    <w:p w:rsidR="00715069" w:rsidRPr="007D55F3" w:rsidP="007D55F3" w14:paraId="4EE2737F" w14:textId="67067376">
      <w:pPr>
        <w:pStyle w:val="BodyText"/>
        <w:rPr>
          <w:rFonts w:eastAsiaTheme="minorHAnsi" w:cstheme="minorHAnsi"/>
          <w:b/>
          <w:color w:val="FFFFFF" w:themeColor="background1"/>
        </w:rPr>
      </w:pPr>
      <w:r w:rsidRPr="007D55F3">
        <w:rPr>
          <w:b/>
          <w:bCs/>
        </w:rPr>
        <w:t>LEA incentive strategy</w:t>
      </w:r>
    </w:p>
    <w:tbl>
      <w:tblPr>
        <w:tblStyle w:val="TableStyle-AIR2021"/>
        <w:tblW w:w="5000" w:type="pct"/>
        <w:tblLook w:val="04A0"/>
      </w:tblPr>
      <w:tblGrid>
        <w:gridCol w:w="3163"/>
        <w:gridCol w:w="1247"/>
        <w:gridCol w:w="4950"/>
      </w:tblGrid>
      <w:tr w14:paraId="0B496E67" w14:textId="77777777" w:rsidTr="007D55F3">
        <w:tblPrEx>
          <w:tblW w:w="5000" w:type="pct"/>
          <w:tblLook w:val="04A0"/>
        </w:tblPrEx>
        <w:trPr>
          <w:trHeight w:val="269"/>
          <w:tblHeader/>
        </w:trPr>
        <w:tc>
          <w:tcPr>
            <w:tcW w:w="0" w:type="auto"/>
          </w:tcPr>
          <w:p w:rsidR="00715069" w:rsidRPr="007D55F3" w:rsidP="007D55F3" w14:paraId="6075B6FC" w14:textId="77777777">
            <w:pPr>
              <w:pStyle w:val="Table11ColumnHeading"/>
            </w:pPr>
            <w:r w:rsidRPr="007D55F3">
              <w:t>Recipient</w:t>
            </w:r>
          </w:p>
        </w:tc>
        <w:tc>
          <w:tcPr>
            <w:tcW w:w="666" w:type="pct"/>
          </w:tcPr>
          <w:p w:rsidR="00715069" w:rsidRPr="007D55F3" w:rsidP="007D55F3" w14:paraId="1EF9D850" w14:textId="77777777">
            <w:pPr>
              <w:pStyle w:val="Table11ColumnHeading"/>
            </w:pPr>
            <w:r w:rsidRPr="007D55F3">
              <w:t>Amount</w:t>
            </w:r>
          </w:p>
        </w:tc>
        <w:tc>
          <w:tcPr>
            <w:tcW w:w="2644" w:type="pct"/>
          </w:tcPr>
          <w:p w:rsidR="00715069" w:rsidRPr="007D55F3" w:rsidP="007D55F3" w14:paraId="71EC24B7" w14:textId="77777777">
            <w:pPr>
              <w:pStyle w:val="Table11ColumnHeading"/>
            </w:pPr>
            <w:r w:rsidRPr="007D55F3">
              <w:t>Condition</w:t>
            </w:r>
          </w:p>
        </w:tc>
      </w:tr>
      <w:tr w14:paraId="717BD0BC" w14:textId="77777777" w:rsidTr="007D55F3">
        <w:tblPrEx>
          <w:tblW w:w="5000" w:type="pct"/>
          <w:tblLook w:val="04A0"/>
        </w:tblPrEx>
        <w:tc>
          <w:tcPr>
            <w:tcW w:w="0" w:type="auto"/>
          </w:tcPr>
          <w:p w:rsidR="00715069" w:rsidRPr="007D55F3" w:rsidP="007D55F3" w14:paraId="1B1D2AE1" w14:textId="4FDBD0B4">
            <w:pPr>
              <w:pStyle w:val="Table11RowHeading"/>
            </w:pPr>
            <w:r w:rsidRPr="007D55F3">
              <w:t>LEA (institutional)</w:t>
            </w:r>
          </w:p>
        </w:tc>
        <w:tc>
          <w:tcPr>
            <w:tcW w:w="666" w:type="pct"/>
          </w:tcPr>
          <w:p w:rsidR="00715069" w:rsidRPr="007D55F3" w:rsidP="007D55F3" w14:paraId="4902BBD3" w14:textId="77777777">
            <w:pPr>
              <w:pStyle w:val="Table11Centered"/>
            </w:pPr>
            <w:r w:rsidRPr="007D55F3">
              <w:t>$500</w:t>
            </w:r>
          </w:p>
        </w:tc>
        <w:tc>
          <w:tcPr>
            <w:tcW w:w="2644" w:type="pct"/>
          </w:tcPr>
          <w:p w:rsidR="00715069" w:rsidRPr="007D55F3" w:rsidP="007D55F3" w14:paraId="08EC6F70" w14:textId="198B4903">
            <w:pPr>
              <w:pStyle w:val="Table11Basic"/>
            </w:pPr>
            <w:r w:rsidRPr="007D55F3">
              <w:t>LEA staff produce the roster information needed for sampling and coordinate data collection activities. The full amount will be paid when LEA-level data requests are completed.</w:t>
            </w:r>
          </w:p>
        </w:tc>
      </w:tr>
      <w:tr w14:paraId="0FDBF604" w14:textId="77777777" w:rsidTr="007D55F3">
        <w:tblPrEx>
          <w:tblW w:w="5000" w:type="pct"/>
          <w:tblLook w:val="04A0"/>
        </w:tblPrEx>
        <w:tc>
          <w:tcPr>
            <w:tcW w:w="0" w:type="auto"/>
          </w:tcPr>
          <w:p w:rsidR="00715069" w:rsidRPr="007D55F3" w:rsidP="007D55F3" w14:paraId="3603AD37" w14:textId="2AA70A3B">
            <w:pPr>
              <w:pStyle w:val="Table11RowHeading"/>
            </w:pPr>
            <w:r w:rsidRPr="007D55F3">
              <w:t>LEA Financ</w:t>
            </w:r>
            <w:r w:rsidR="008D62AE">
              <w:t>ial</w:t>
            </w:r>
            <w:r w:rsidRPr="007D55F3">
              <w:t xml:space="preserve"> Officer</w:t>
            </w:r>
          </w:p>
        </w:tc>
        <w:tc>
          <w:tcPr>
            <w:tcW w:w="666" w:type="pct"/>
          </w:tcPr>
          <w:p w:rsidR="00715069" w:rsidRPr="007D55F3" w:rsidP="007D55F3" w14:paraId="4618E6A1" w14:textId="63039DA5">
            <w:pPr>
              <w:pStyle w:val="Table11Centered"/>
            </w:pPr>
            <w:r>
              <w:t xml:space="preserve">Up to </w:t>
            </w:r>
            <w:r w:rsidRPr="007D55F3">
              <w:t>$</w:t>
            </w:r>
            <w:r>
              <w:t>120</w:t>
            </w:r>
          </w:p>
        </w:tc>
        <w:tc>
          <w:tcPr>
            <w:tcW w:w="2644" w:type="pct"/>
          </w:tcPr>
          <w:p w:rsidR="0030315F" w:rsidP="007D55F3" w14:paraId="3E1BF420" w14:textId="29D0DC5D">
            <w:pPr>
              <w:pStyle w:val="Table11Basic"/>
            </w:pPr>
            <w:r>
              <w:t xml:space="preserve">LEA Financial </w:t>
            </w:r>
            <w:r w:rsidR="00B740B0">
              <w:t xml:space="preserve">Officers will receive $120 for </w:t>
            </w:r>
            <w:r w:rsidR="00B605A8">
              <w:t xml:space="preserve">providing financial data files and completing the LEA </w:t>
            </w:r>
            <w:r w:rsidR="0083609A">
              <w:t>Financial Officer survey.</w:t>
            </w:r>
          </w:p>
          <w:p w:rsidR="00715069" w:rsidP="007D55F3" w14:paraId="116814F2" w14:textId="05A520F9">
            <w:pPr>
              <w:pStyle w:val="Table11Basic"/>
            </w:pPr>
            <w:r w:rsidRPr="007D55F3">
              <w:t>The LEA Financ</w:t>
            </w:r>
            <w:r w:rsidR="008D62AE">
              <w:t>ial</w:t>
            </w:r>
            <w:r w:rsidRPr="007D55F3">
              <w:t xml:space="preserve"> Officer generates the financial data files needed for estimation, including information from the LEA’s general ledger and transaction journal accounting databases. The incentive amount assumes that the task of pulling together these files will take</w:t>
            </w:r>
            <w:r w:rsidR="00EB1C32">
              <w:t xml:space="preserve"> up to</w:t>
            </w:r>
            <w:r w:rsidRPr="007D55F3">
              <w:t xml:space="preserve"> </w:t>
            </w:r>
            <w:r w:rsidRPr="00B1682F">
              <w:t>90 minutes of time</w:t>
            </w:r>
            <w:r w:rsidRPr="007D55F3">
              <w:t xml:space="preserve">. The full amount </w:t>
            </w:r>
            <w:r w:rsidR="00A56256">
              <w:t>($60)</w:t>
            </w:r>
            <w:r w:rsidRPr="007D55F3">
              <w:t xml:space="preserve"> will be paid when the LEA fiscal data files are received.</w:t>
            </w:r>
          </w:p>
          <w:p w:rsidR="00715069" w:rsidRPr="007D55F3" w:rsidP="007D55F3" w14:paraId="44548B8D" w14:textId="75109F6B">
            <w:pPr>
              <w:pStyle w:val="Table11Basic"/>
            </w:pPr>
            <w:r w:rsidRPr="007D55F3">
              <w:t xml:space="preserve">LEA Chief Financial Officers will </w:t>
            </w:r>
            <w:r w:rsidR="00EF0710">
              <w:t xml:space="preserve">also </w:t>
            </w:r>
            <w:r w:rsidRPr="007D55F3">
              <w:t>be asked to complete a survey that collects additional information on LEA finances and personnel costs</w:t>
            </w:r>
            <w:r w:rsidR="00EF0710">
              <w:t>.</w:t>
            </w:r>
            <w:r w:rsidR="000F0748">
              <w:t xml:space="preserve"> The survey will take about 90 minutes to complete.</w:t>
            </w:r>
            <w:r>
              <w:t xml:space="preserve"> </w:t>
            </w:r>
            <w:r w:rsidRPr="007D55F3">
              <w:t xml:space="preserve">The full amount </w:t>
            </w:r>
            <w:r w:rsidR="00A56256">
              <w:t xml:space="preserve">($60) </w:t>
            </w:r>
            <w:r w:rsidRPr="007D55F3">
              <w:t xml:space="preserve">will be paid </w:t>
            </w:r>
            <w:r w:rsidRPr="007D55F3" w:rsidR="00356A2E">
              <w:t>within 2 weeks of completion of the survey</w:t>
            </w:r>
            <w:r>
              <w:t>.</w:t>
            </w:r>
          </w:p>
        </w:tc>
      </w:tr>
      <w:tr w14:paraId="5A0117BF" w14:textId="77777777" w:rsidTr="007D55F3">
        <w:tblPrEx>
          <w:tblW w:w="5000" w:type="pct"/>
          <w:tblLook w:val="04A0"/>
        </w:tblPrEx>
        <w:tc>
          <w:tcPr>
            <w:tcW w:w="0" w:type="auto"/>
          </w:tcPr>
          <w:p w:rsidR="00715069" w:rsidRPr="007D55F3" w:rsidP="007D55F3" w14:paraId="45596420" w14:textId="5339292D">
            <w:pPr>
              <w:pStyle w:val="Table11RowHeading"/>
            </w:pPr>
            <w:r w:rsidRPr="007D55F3">
              <w:t xml:space="preserve">LEA </w:t>
            </w:r>
            <w:r w:rsidR="001029B5">
              <w:t>Special Education Director</w:t>
            </w:r>
          </w:p>
        </w:tc>
        <w:tc>
          <w:tcPr>
            <w:tcW w:w="666" w:type="pct"/>
          </w:tcPr>
          <w:p w:rsidR="00715069" w:rsidRPr="007D55F3" w:rsidP="007D55F3" w14:paraId="1162FDF6" w14:textId="7F539A71">
            <w:pPr>
              <w:pStyle w:val="Table11Centered"/>
            </w:pPr>
            <w:r w:rsidRPr="007D55F3">
              <w:t>$60</w:t>
            </w:r>
          </w:p>
        </w:tc>
        <w:tc>
          <w:tcPr>
            <w:tcW w:w="2644" w:type="pct"/>
          </w:tcPr>
          <w:p w:rsidR="00715069" w:rsidRPr="007D55F3" w:rsidP="007D55F3" w14:paraId="1DB59425" w14:textId="586B5EE9">
            <w:pPr>
              <w:pStyle w:val="Table11Basic"/>
            </w:pPr>
            <w:r w:rsidRPr="007D55F3">
              <w:t xml:space="preserve">LEA Special Education Directors will be asked to complete a survey about their district’s special education programs. </w:t>
            </w:r>
            <w:r w:rsidR="00560641">
              <w:t>The</w:t>
            </w:r>
            <w:r w:rsidRPr="007D55F3">
              <w:t xml:space="preserve"> survey will take </w:t>
            </w:r>
            <w:r w:rsidR="00EB1C32">
              <w:t>up to</w:t>
            </w:r>
            <w:r w:rsidR="005A7CC3">
              <w:t xml:space="preserve"> </w:t>
            </w:r>
            <w:r w:rsidRPr="007D55F3">
              <w:t>90 minutes to complete.</w:t>
            </w:r>
            <w:r w:rsidR="00B54568">
              <w:t xml:space="preserve"> </w:t>
            </w:r>
            <w:r w:rsidRPr="007D55F3">
              <w:t>The full amount will be paid within 2 weeks of a respondent’s completion of the survey.</w:t>
            </w:r>
          </w:p>
        </w:tc>
      </w:tr>
    </w:tbl>
    <w:p w:rsidR="003B5BCE" w:rsidP="007D55F3" w14:paraId="0B8C8050" w14:textId="77777777">
      <w:pPr>
        <w:pStyle w:val="BodyText"/>
        <w:keepNext/>
        <w:keepLines/>
        <w:rPr>
          <w:b/>
          <w:bCs/>
        </w:rPr>
      </w:pPr>
    </w:p>
    <w:p w:rsidR="00715069" w:rsidRPr="0097049D" w:rsidP="0097049D" w14:paraId="76F8DF16" w14:textId="41A907C5">
      <w:pPr>
        <w:rPr>
          <w:rFonts w:eastAsia="Calibri" w:cs="Times New Roman"/>
          <w:b/>
          <w:bCs/>
        </w:rPr>
      </w:pPr>
      <w:r>
        <w:rPr>
          <w:b/>
          <w:bCs/>
        </w:rPr>
        <w:br w:type="page"/>
      </w:r>
      <w:r w:rsidRPr="007D55F3">
        <w:rPr>
          <w:b/>
          <w:bCs/>
        </w:rPr>
        <w:t>School incentive strategy</w:t>
      </w:r>
    </w:p>
    <w:tbl>
      <w:tblPr>
        <w:tblStyle w:val="TableStyle-AIR2021"/>
        <w:tblW w:w="4952" w:type="pct"/>
        <w:tblLook w:val="04A0"/>
      </w:tblPr>
      <w:tblGrid>
        <w:gridCol w:w="2286"/>
        <w:gridCol w:w="1675"/>
        <w:gridCol w:w="5309"/>
      </w:tblGrid>
      <w:tr w14:paraId="3C373C56" w14:textId="77777777" w:rsidTr="00AC6115">
        <w:tblPrEx>
          <w:tblW w:w="4952" w:type="pct"/>
          <w:tblLook w:val="04A0"/>
        </w:tblPrEx>
        <w:trPr>
          <w:trHeight w:val="296"/>
          <w:tblHeader/>
        </w:trPr>
        <w:tc>
          <w:tcPr>
            <w:tcW w:w="2286" w:type="dxa"/>
          </w:tcPr>
          <w:p w:rsidR="00715069" w:rsidRPr="007D55F3" w:rsidP="007D55F3" w14:paraId="449353FD" w14:textId="77777777">
            <w:pPr>
              <w:pStyle w:val="Table11ColumnHeading"/>
            </w:pPr>
            <w:r w:rsidRPr="007D55F3">
              <w:t>Recipient</w:t>
            </w:r>
          </w:p>
        </w:tc>
        <w:tc>
          <w:tcPr>
            <w:tcW w:w="1675" w:type="dxa"/>
          </w:tcPr>
          <w:p w:rsidR="00715069" w:rsidRPr="007D55F3" w:rsidP="007D55F3" w14:paraId="6309FAA2" w14:textId="77777777">
            <w:pPr>
              <w:pStyle w:val="Table11ColumnHeading"/>
            </w:pPr>
            <w:r w:rsidRPr="007D55F3">
              <w:t>Amount</w:t>
            </w:r>
          </w:p>
        </w:tc>
        <w:tc>
          <w:tcPr>
            <w:tcW w:w="5309" w:type="dxa"/>
          </w:tcPr>
          <w:p w:rsidR="00715069" w:rsidRPr="007D55F3" w:rsidP="007D55F3" w14:paraId="10E0FE02" w14:textId="77777777">
            <w:pPr>
              <w:pStyle w:val="Table11ColumnHeading"/>
            </w:pPr>
            <w:r w:rsidRPr="007D55F3">
              <w:t>Conditions</w:t>
            </w:r>
          </w:p>
        </w:tc>
      </w:tr>
      <w:tr w14:paraId="48354FAB" w14:textId="77777777" w:rsidTr="00AC6115">
        <w:tblPrEx>
          <w:tblW w:w="4952" w:type="pct"/>
          <w:tblLook w:val="04A0"/>
        </w:tblPrEx>
        <w:tc>
          <w:tcPr>
            <w:tcW w:w="2286" w:type="dxa"/>
          </w:tcPr>
          <w:p w:rsidR="00715069" w:rsidRPr="007D55F3" w:rsidP="007D55F3" w14:paraId="0EA6585D" w14:textId="743C6EB6">
            <w:pPr>
              <w:pStyle w:val="Table11RowHeading"/>
            </w:pPr>
            <w:r w:rsidRPr="007D55F3">
              <w:t>School coordinator</w:t>
            </w:r>
          </w:p>
        </w:tc>
        <w:tc>
          <w:tcPr>
            <w:tcW w:w="1675" w:type="dxa"/>
          </w:tcPr>
          <w:p w:rsidR="00715069" w:rsidRPr="007D55F3" w:rsidP="007D55F3" w14:paraId="1E98B0D8" w14:textId="38B9A1E7">
            <w:pPr>
              <w:pStyle w:val="Table11Basic"/>
            </w:pPr>
            <w:r w:rsidRPr="007D55F3">
              <w:t>$150-$200, depending on level of survey response at school</w:t>
            </w:r>
          </w:p>
        </w:tc>
        <w:tc>
          <w:tcPr>
            <w:tcW w:w="5309" w:type="dxa"/>
          </w:tcPr>
          <w:p w:rsidR="00EF5657" w:rsidRPr="007D55F3" w:rsidP="00EF5657" w14:paraId="77B31334" w14:textId="55C86D0F">
            <w:pPr>
              <w:pStyle w:val="Table11Basic"/>
            </w:pPr>
            <w:r w:rsidRPr="007D55F3">
              <w:t xml:space="preserve">The school coordinator will serve as the primary point of contact at sampled schools for coordinating the Student Resources Survey (SRS) with school staff. On average, there will be </w:t>
            </w:r>
            <w:r w:rsidR="00086432">
              <w:t>5</w:t>
            </w:r>
            <w:r w:rsidRPr="00B4478C">
              <w:t xml:space="preserve"> sampled students per school</w:t>
            </w:r>
            <w:r w:rsidR="00216BF3">
              <w:t xml:space="preserve"> with a </w:t>
            </w:r>
            <w:r w:rsidR="008566CF">
              <w:t>cap of 20</w:t>
            </w:r>
            <w:r w:rsidR="00B8525C">
              <w:t xml:space="preserve"> students</w:t>
            </w:r>
            <w:r w:rsidRPr="007D55F3">
              <w:t>, and each student’s SRS will require one or more school staff to complete. The school coordinator will identify which staff need to complete the surveys and follow up with them to ensure high response rates.</w:t>
            </w:r>
          </w:p>
          <w:p w:rsidR="00715069" w:rsidRPr="007D55F3" w:rsidP="00EF5657" w14:paraId="3B7B0BFE" w14:textId="53FAE247">
            <w:pPr>
              <w:pStyle w:val="Table11Basic"/>
            </w:pPr>
            <w:r w:rsidRPr="007D55F3">
              <w:t xml:space="preserve">When data collection concludes at the school, the school coordinator will be paid $150 if 70 percent </w:t>
            </w:r>
            <w:r w:rsidRPr="007D55F3" w:rsidR="00781641">
              <w:t xml:space="preserve">of </w:t>
            </w:r>
            <w:r w:rsidR="00781641">
              <w:t xml:space="preserve">the </w:t>
            </w:r>
            <w:r w:rsidRPr="003172C9" w:rsidR="00781641">
              <w:t>Student Resources Survey</w:t>
            </w:r>
            <w:r w:rsidR="00781641">
              <w:t>s</w:t>
            </w:r>
            <w:r w:rsidRPr="007D55F3" w:rsidR="00781641">
              <w:t xml:space="preserve"> are completed</w:t>
            </w:r>
            <w:r w:rsidR="00781641">
              <w:t xml:space="preserve"> for the school, </w:t>
            </w:r>
            <w:r w:rsidRPr="00C761DD" w:rsidR="00781641">
              <w:t>plus a bonus of $50 if all</w:t>
            </w:r>
            <w:r w:rsidRPr="003172C9" w:rsidR="00781641">
              <w:t xml:space="preserve"> surveys are completed</w:t>
            </w:r>
            <w:r w:rsidRPr="007D55F3">
              <w:t>.</w:t>
            </w:r>
          </w:p>
        </w:tc>
      </w:tr>
      <w:tr w14:paraId="21D9CCAE" w14:textId="77777777" w:rsidTr="00AC6115">
        <w:tblPrEx>
          <w:tblW w:w="4952" w:type="pct"/>
          <w:tblLook w:val="04A0"/>
        </w:tblPrEx>
        <w:trPr>
          <w:trHeight w:val="611"/>
        </w:trPr>
        <w:tc>
          <w:tcPr>
            <w:tcW w:w="2286" w:type="dxa"/>
          </w:tcPr>
          <w:p w:rsidR="00715069" w:rsidRPr="007D55F3" w:rsidP="007D55F3" w14:paraId="403E2B2A" w14:textId="7474813F">
            <w:pPr>
              <w:pStyle w:val="Table11RowHeading"/>
            </w:pPr>
            <w:r>
              <w:t>School staff responding to SRS</w:t>
            </w:r>
          </w:p>
        </w:tc>
        <w:tc>
          <w:tcPr>
            <w:tcW w:w="1675" w:type="dxa"/>
          </w:tcPr>
          <w:p w:rsidR="00715069" w:rsidRPr="007D55F3" w:rsidP="007D55F3" w14:paraId="2C0AAE25" w14:textId="74B73277">
            <w:pPr>
              <w:pStyle w:val="Table11Basic"/>
            </w:pPr>
            <w:r w:rsidRPr="007D55F3">
              <w:t>$60</w:t>
            </w:r>
          </w:p>
        </w:tc>
        <w:tc>
          <w:tcPr>
            <w:tcW w:w="5309" w:type="dxa"/>
          </w:tcPr>
          <w:p w:rsidR="00715069" w:rsidRPr="007D55F3" w:rsidP="007D55F3" w14:paraId="30C78AA6" w14:textId="4F90F7DB">
            <w:pPr>
              <w:pStyle w:val="Table11Basic"/>
            </w:pPr>
            <w:r w:rsidRPr="007D55F3">
              <w:t xml:space="preserve">School staff will complete the SRS for </w:t>
            </w:r>
            <w:r w:rsidR="00593AB2">
              <w:t xml:space="preserve">one or more </w:t>
            </w:r>
            <w:r w:rsidRPr="007D55F3">
              <w:t xml:space="preserve">sampled students. Each survey </w:t>
            </w:r>
            <w:r w:rsidR="00FA619D">
              <w:t xml:space="preserve">can take </w:t>
            </w:r>
            <w:r w:rsidR="00F50A78">
              <w:t>45-</w:t>
            </w:r>
            <w:r w:rsidRPr="007D55F3">
              <w:t>90</w:t>
            </w:r>
            <w:r w:rsidR="005D4DFA">
              <w:t> </w:t>
            </w:r>
            <w:r w:rsidRPr="007D55F3">
              <w:t xml:space="preserve">minutes </w:t>
            </w:r>
            <w:r w:rsidR="00FA619D">
              <w:t xml:space="preserve">to complete depending on the services a student </w:t>
            </w:r>
            <w:r w:rsidR="009D5FDD">
              <w:t>receives</w:t>
            </w:r>
            <w:r w:rsidRPr="007D55F3">
              <w:t>.</w:t>
            </w:r>
            <w:r w:rsidR="001579B5">
              <w:t xml:space="preserve"> </w:t>
            </w:r>
            <w:r w:rsidRPr="007D55F3">
              <w:t>The full amount will be paid within 2 weeks of a respondent’s completion of the survey.</w:t>
            </w:r>
          </w:p>
        </w:tc>
      </w:tr>
    </w:tbl>
    <w:p w:rsidR="00715069" w:rsidRPr="006056E8" w:rsidP="005D4DFA" w14:paraId="504C286F" w14:textId="2C2BBFA0">
      <w:pPr>
        <w:pStyle w:val="Heading3"/>
        <w:keepLines/>
      </w:pPr>
      <w:bookmarkStart w:id="64" w:name="_Toc152778757"/>
      <w:bookmarkStart w:id="65" w:name="_Toc215310912"/>
      <w:bookmarkStart w:id="66" w:name="_Toc215312884"/>
      <w:bookmarkStart w:id="67" w:name="_Toc217325188"/>
      <w:bookmarkStart w:id="68" w:name="_Toc6845453"/>
      <w:bookmarkStart w:id="69" w:name="_Toc6845576"/>
      <w:bookmarkStart w:id="70" w:name="_Toc13737864"/>
      <w:bookmarkStart w:id="71" w:name="_Toc13737917"/>
      <w:bookmarkStart w:id="72" w:name="_Toc75171590"/>
      <w:bookmarkStart w:id="73" w:name="OLE_LINK12"/>
      <w:bookmarkStart w:id="74" w:name="OLE_LINK13"/>
      <w:bookmarkStart w:id="75" w:name="OLE_LINK14"/>
      <w:bookmarkStart w:id="76" w:name="OLE_LINK15"/>
      <w:bookmarkEnd w:id="64"/>
      <w:r w:rsidRPr="006056E8">
        <w:t>A.10</w:t>
      </w:r>
      <w:r>
        <w:t>.</w:t>
      </w:r>
      <w:r w:rsidRPr="006056E8">
        <w:t xml:space="preserve"> Assurance</w:t>
      </w:r>
      <w:r>
        <w:t>s</w:t>
      </w:r>
      <w:r w:rsidRPr="006056E8">
        <w:t xml:space="preserve"> of Confidentiality</w:t>
      </w:r>
      <w:r>
        <w:t xml:space="preserve"> Provided to Respondents</w:t>
      </w:r>
      <w:bookmarkEnd w:id="65"/>
      <w:bookmarkEnd w:id="66"/>
      <w:bookmarkEnd w:id="67"/>
    </w:p>
    <w:p w:rsidR="00715069" w:rsidRPr="00626D8E" w:rsidP="005D4DFA" w14:paraId="14B7FB53" w14:textId="33D2095F">
      <w:pPr>
        <w:pStyle w:val="BodyTextPostHeading"/>
        <w:keepNext/>
        <w:keepLines/>
      </w:pPr>
      <w:r w:rsidRPr="00626D8E">
        <w:t>The study team will assure institutions and individuals participating in the study that all data provided may only be used for statistical purposes and may not be disclosed or used in identifiable form for any other purpose</w:t>
      </w:r>
      <w:r>
        <w:t>,</w:t>
      </w:r>
      <w:r w:rsidRPr="00626D8E">
        <w:t xml:space="preserve"> except as required by law (20 U.S.C. §</w:t>
      </w:r>
      <w:r>
        <w:t xml:space="preserve"> </w:t>
      </w:r>
      <w:r w:rsidRPr="00626D8E">
        <w:t>9573 and 6</w:t>
      </w:r>
      <w:r w:rsidR="007D55F3">
        <w:t> </w:t>
      </w:r>
      <w:r w:rsidRPr="00626D8E">
        <w:t>U.S.C. §</w:t>
      </w:r>
      <w:r>
        <w:t xml:space="preserve"> </w:t>
      </w:r>
      <w:r w:rsidRPr="00626D8E">
        <w:t xml:space="preserve">151). </w:t>
      </w:r>
      <w:r w:rsidRPr="001734DC">
        <w:rPr>
          <w:color w:val="1C252D"/>
        </w:rPr>
        <w:t xml:space="preserve">The study team will conduct all data collection activities in full compliance with ED regulations and requirements to maintain the confidentiality of data obtained on private persons and to protect the rights and </w:t>
      </w:r>
      <w:r w:rsidRPr="001734DC">
        <w:rPr>
          <w:color w:val="000000"/>
        </w:rPr>
        <w:t xml:space="preserve">welfare of human research subjects, per </w:t>
      </w:r>
      <w:r w:rsidRPr="001734DC">
        <w:rPr>
          <w:color w:val="1C252D"/>
        </w:rPr>
        <w:t>the Education Science</w:t>
      </w:r>
      <w:r>
        <w:rPr>
          <w:color w:val="1C252D"/>
        </w:rPr>
        <w:t>s</w:t>
      </w:r>
      <w:r w:rsidRPr="001734DC">
        <w:rPr>
          <w:color w:val="1C252D"/>
        </w:rPr>
        <w:t xml:space="preserve"> Reform Act of 2002 (Title 1, Part E, Section 183). </w:t>
      </w:r>
      <w:r w:rsidRPr="001734DC">
        <w:rPr>
          <w:color w:val="000000"/>
        </w:rPr>
        <w:t xml:space="preserve">Data collection activities also will be conducted in compliance with other </w:t>
      </w:r>
      <w:r>
        <w:rPr>
          <w:color w:val="000000"/>
        </w:rPr>
        <w:t>f</w:t>
      </w:r>
      <w:r w:rsidRPr="001734DC">
        <w:rPr>
          <w:color w:val="000000"/>
        </w:rPr>
        <w:t>ederal regulations, including the Privacy Act of 1974, P.L.</w:t>
      </w:r>
      <w:r w:rsidR="007D55F3">
        <w:rPr>
          <w:color w:val="000000"/>
        </w:rPr>
        <w:t> </w:t>
      </w:r>
      <w:r w:rsidRPr="001734DC">
        <w:rPr>
          <w:color w:val="000000"/>
        </w:rPr>
        <w:t>93-579, 5 U</w:t>
      </w:r>
      <w:r>
        <w:rPr>
          <w:color w:val="000000"/>
        </w:rPr>
        <w:t>.</w:t>
      </w:r>
      <w:r w:rsidRPr="001734DC">
        <w:rPr>
          <w:color w:val="000000"/>
        </w:rPr>
        <w:t>S</w:t>
      </w:r>
      <w:r>
        <w:rPr>
          <w:color w:val="000000"/>
        </w:rPr>
        <w:t>.</w:t>
      </w:r>
      <w:r w:rsidRPr="001734DC">
        <w:rPr>
          <w:color w:val="000000"/>
        </w:rPr>
        <w:t>C</w:t>
      </w:r>
      <w:r>
        <w:rPr>
          <w:color w:val="000000"/>
        </w:rPr>
        <w:t>.</w:t>
      </w:r>
      <w:r w:rsidRPr="001734DC">
        <w:rPr>
          <w:color w:val="000000"/>
        </w:rPr>
        <w:t xml:space="preserve"> </w:t>
      </w:r>
      <w:r w:rsidRPr="00626D8E">
        <w:t>§</w:t>
      </w:r>
      <w:r>
        <w:t xml:space="preserve"> </w:t>
      </w:r>
      <w:r w:rsidRPr="001734DC">
        <w:rPr>
          <w:color w:val="000000"/>
        </w:rPr>
        <w:t>552a; the Family Educational Rights and Privacy Act of 1974, 20 U</w:t>
      </w:r>
      <w:r>
        <w:rPr>
          <w:color w:val="000000"/>
        </w:rPr>
        <w:t>.</w:t>
      </w:r>
      <w:r w:rsidRPr="001734DC">
        <w:rPr>
          <w:color w:val="000000"/>
        </w:rPr>
        <w:t>S</w:t>
      </w:r>
      <w:r>
        <w:rPr>
          <w:color w:val="000000"/>
        </w:rPr>
        <w:t>.</w:t>
      </w:r>
      <w:r w:rsidRPr="001734DC">
        <w:rPr>
          <w:color w:val="000000"/>
        </w:rPr>
        <w:t>C</w:t>
      </w:r>
      <w:r>
        <w:rPr>
          <w:color w:val="000000"/>
        </w:rPr>
        <w:t>.</w:t>
      </w:r>
      <w:r w:rsidRPr="001734DC">
        <w:rPr>
          <w:color w:val="000000"/>
        </w:rPr>
        <w:t xml:space="preserve"> </w:t>
      </w:r>
      <w:r w:rsidRPr="00626D8E">
        <w:t>§</w:t>
      </w:r>
      <w:r w:rsidR="007D55F3">
        <w:t> </w:t>
      </w:r>
      <w:r w:rsidRPr="001734DC">
        <w:rPr>
          <w:color w:val="000000"/>
        </w:rPr>
        <w:t>1232g, 34 C</w:t>
      </w:r>
      <w:r>
        <w:rPr>
          <w:color w:val="000000"/>
        </w:rPr>
        <w:t>.</w:t>
      </w:r>
      <w:r w:rsidRPr="001734DC">
        <w:rPr>
          <w:color w:val="000000"/>
        </w:rPr>
        <w:t>F</w:t>
      </w:r>
      <w:r>
        <w:rPr>
          <w:color w:val="000000"/>
        </w:rPr>
        <w:t>.</w:t>
      </w:r>
      <w:r w:rsidRPr="001734DC">
        <w:rPr>
          <w:color w:val="000000"/>
        </w:rPr>
        <w:t>R</w:t>
      </w:r>
      <w:r>
        <w:rPr>
          <w:color w:val="000000"/>
        </w:rPr>
        <w:t>.</w:t>
      </w:r>
      <w:r w:rsidRPr="001734DC">
        <w:rPr>
          <w:color w:val="000000"/>
        </w:rPr>
        <w:t xml:space="preserve"> Part 99; and related regulations, including but not limited to 41 C</w:t>
      </w:r>
      <w:r>
        <w:rPr>
          <w:color w:val="000000"/>
        </w:rPr>
        <w:t>.</w:t>
      </w:r>
      <w:r w:rsidRPr="001734DC">
        <w:rPr>
          <w:color w:val="000000"/>
        </w:rPr>
        <w:t>F</w:t>
      </w:r>
      <w:r>
        <w:rPr>
          <w:color w:val="000000"/>
        </w:rPr>
        <w:t>.</w:t>
      </w:r>
      <w:r w:rsidRPr="001734DC">
        <w:rPr>
          <w:color w:val="000000"/>
        </w:rPr>
        <w:t>R</w:t>
      </w:r>
      <w:r>
        <w:rPr>
          <w:color w:val="000000"/>
        </w:rPr>
        <w:t>.</w:t>
      </w:r>
      <w:r w:rsidRPr="001734DC">
        <w:rPr>
          <w:color w:val="000000"/>
        </w:rPr>
        <w:t xml:space="preserve"> Part</w:t>
      </w:r>
      <w:r w:rsidR="007D55F3">
        <w:rPr>
          <w:color w:val="000000"/>
        </w:rPr>
        <w:t> </w:t>
      </w:r>
      <w:r w:rsidRPr="001734DC">
        <w:rPr>
          <w:color w:val="000000"/>
        </w:rPr>
        <w:t>1</w:t>
      </w:r>
      <w:r w:rsidR="007D55F3">
        <w:rPr>
          <w:color w:val="000000"/>
        </w:rPr>
        <w:noBreakHyphen/>
      </w:r>
      <w:r w:rsidRPr="001734DC">
        <w:rPr>
          <w:color w:val="000000"/>
        </w:rPr>
        <w:t>1 and 45 C</w:t>
      </w:r>
      <w:r>
        <w:rPr>
          <w:color w:val="000000"/>
        </w:rPr>
        <w:t>.</w:t>
      </w:r>
      <w:r w:rsidRPr="001734DC">
        <w:rPr>
          <w:color w:val="000000"/>
        </w:rPr>
        <w:t>F</w:t>
      </w:r>
      <w:r>
        <w:rPr>
          <w:color w:val="000000"/>
        </w:rPr>
        <w:t>.</w:t>
      </w:r>
      <w:r w:rsidRPr="001734DC">
        <w:rPr>
          <w:color w:val="000000"/>
        </w:rPr>
        <w:t>R</w:t>
      </w:r>
      <w:r>
        <w:rPr>
          <w:color w:val="000000"/>
        </w:rPr>
        <w:t>.</w:t>
      </w:r>
      <w:r w:rsidRPr="001734DC">
        <w:rPr>
          <w:color w:val="000000"/>
        </w:rPr>
        <w:t xml:space="preserve"> Part 5b.</w:t>
      </w:r>
    </w:p>
    <w:p w:rsidR="00715069" w:rsidP="007D55F3" w14:paraId="71316030" w14:textId="55BD9DE1">
      <w:pPr>
        <w:pStyle w:val="BodyText"/>
      </w:pPr>
      <w:r w:rsidRPr="00F420B5">
        <w:t xml:space="preserve">The laws pertaining to the collection and use of </w:t>
      </w:r>
      <w:r>
        <w:t xml:space="preserve">personally identifiable </w:t>
      </w:r>
      <w:r w:rsidRPr="00517729">
        <w:t>information (</w:t>
      </w:r>
      <w:r w:rsidRPr="006F236F">
        <w:t>PII</w:t>
      </w:r>
      <w:r w:rsidRPr="00517729">
        <w:t>)</w:t>
      </w:r>
      <w:r w:rsidRPr="00F420B5">
        <w:t xml:space="preserve"> will be clearly communicated in correspondence with states, </w:t>
      </w:r>
      <w:r>
        <w:t>LEAs</w:t>
      </w:r>
      <w:r w:rsidRPr="00F420B5">
        <w:t xml:space="preserve">, schools, and staff. Letters and informational materials will be sent to district and school staff describing the study and the extent to which respondents and their responses will be kept confidential. This information also will be included in </w:t>
      </w:r>
      <w:r>
        <w:t xml:space="preserve">any </w:t>
      </w:r>
      <w:r w:rsidRPr="00F420B5">
        <w:t xml:space="preserve">research applications required by </w:t>
      </w:r>
      <w:r>
        <w:t>participating LEAs</w:t>
      </w:r>
      <w:r w:rsidRPr="00F420B5">
        <w:t>.</w:t>
      </w:r>
    </w:p>
    <w:p w:rsidR="00715069" w:rsidRPr="00F420B5" w:rsidP="007D55F3" w14:paraId="0E4404C1" w14:textId="7B4D5852">
      <w:pPr>
        <w:pStyle w:val="BodyText"/>
      </w:pPr>
      <w:bookmarkStart w:id="77" w:name="_Hlk55223615"/>
      <w:bookmarkEnd w:id="77"/>
      <w:r w:rsidRPr="00F420B5">
        <w:t xml:space="preserve">AIR and its research partners will protect the full privacy and confidentiality of all data collected for recruitment activities and will use </w:t>
      </w:r>
      <w:r>
        <w:t xml:space="preserve">the data </w:t>
      </w:r>
      <w:r w:rsidRPr="00F420B5">
        <w:t xml:space="preserve">for research purposes only. When reporting the results, the study team will present data only in aggregate form, so that individuals and provider sites are not identified. The study team also will take the following steps to protect confidentiality in the </w:t>
      </w:r>
      <w:r>
        <w:t>NSSES</w:t>
      </w:r>
      <w:r w:rsidRPr="00F420B5">
        <w:t>:</w:t>
      </w:r>
    </w:p>
    <w:p w:rsidR="00715069" w:rsidRPr="00F420B5" w:rsidP="007D55F3" w14:paraId="62772891" w14:textId="77777777">
      <w:pPr>
        <w:pStyle w:val="Bullet1"/>
      </w:pPr>
      <w:r w:rsidRPr="00F420B5">
        <w:t xml:space="preserve">All data collection staff at AIR and any data collection subcontractors will complete required background clearances (i.e., e-QIP) and will sign agreements that emphasize the importance of confidentiality and </w:t>
      </w:r>
      <w:r>
        <w:t xml:space="preserve">that </w:t>
      </w:r>
      <w:r w:rsidRPr="00F420B5">
        <w:t>specify employees’ obligations to maintain it. This security clearance requires completing personnel security forms, providing fingerprints, and undergoing a background check.</w:t>
      </w:r>
    </w:p>
    <w:p w:rsidR="00715069" w:rsidRPr="00F420B5" w:rsidP="007D55F3" w14:paraId="105C3552" w14:textId="77777777">
      <w:pPr>
        <w:pStyle w:val="Bullet1"/>
      </w:pPr>
      <w:r w:rsidRPr="00F420B5">
        <w:t>All members of the study team with access to the data will be trained and certified on the importance of confidentiality and data security. Staff will receive training regarding the meaning of confidentiality, particularly as it relates to handling requests for information and providing assurance to respondents about the protection of their responses.</w:t>
      </w:r>
    </w:p>
    <w:p w:rsidR="00715069" w:rsidRPr="00517729" w:rsidP="005D4DFA" w14:paraId="3C763AD2" w14:textId="587D7391">
      <w:pPr>
        <w:pStyle w:val="Bullet1"/>
        <w:keepNext/>
        <w:keepLines/>
      </w:pPr>
      <w:r w:rsidRPr="00682C66">
        <w:t xml:space="preserve">All data containing PII will be stored </w:t>
      </w:r>
      <w:r>
        <w:t xml:space="preserve">in </w:t>
      </w:r>
      <w:r w:rsidRPr="00517729">
        <w:t xml:space="preserve">ED’s </w:t>
      </w:r>
      <w:r w:rsidRPr="006F236F">
        <w:t>IESDC</w:t>
      </w:r>
      <w:r w:rsidRPr="00517729">
        <w:t>. The IESDC environment is an ED</w:t>
      </w:r>
      <w:r w:rsidR="005D4DFA">
        <w:noBreakHyphen/>
      </w:r>
      <w:r w:rsidRPr="00517729">
        <w:t xml:space="preserve">authorized system at the </w:t>
      </w:r>
      <w:r>
        <w:t>Federal Information Security Management Act (</w:t>
      </w:r>
      <w:r w:rsidRPr="00517729">
        <w:t>FISMA</w:t>
      </w:r>
      <w:r>
        <w:t>)</w:t>
      </w:r>
      <w:r w:rsidRPr="00517729">
        <w:t xml:space="preserve"> Moderate level and is housed in </w:t>
      </w:r>
      <w:r w:rsidRPr="006F236F">
        <w:t xml:space="preserve">Amazon Web Services’ </w:t>
      </w:r>
      <w:r>
        <w:t>g</w:t>
      </w:r>
      <w:r w:rsidRPr="006F236F">
        <w:t>overnment-only environment</w:t>
      </w:r>
      <w:r w:rsidRPr="00517729">
        <w:t xml:space="preserve"> GovCloud</w:t>
      </w:r>
      <w:r w:rsidRPr="00203096">
        <w:t xml:space="preserve">. </w:t>
      </w:r>
      <w:r w:rsidRPr="008166D6">
        <w:t>The data</w:t>
      </w:r>
      <w:r w:rsidRPr="00517729">
        <w:t xml:space="preserve"> will be stored on drive volumes that are fully encrypted with AES-256, including drive backups.</w:t>
      </w:r>
      <w:r w:rsidRPr="00496C77">
        <w:t xml:space="preserve"> </w:t>
      </w:r>
      <w:r w:rsidRPr="00C331E2">
        <w:t>Access to the IESDC is limited to IES staff and contractors with a 5C clearance or higher</w:t>
      </w:r>
      <w:r>
        <w:t>,</w:t>
      </w:r>
      <w:r w:rsidRPr="00C331E2">
        <w:t xml:space="preserve"> and accounts have complex password requirements and mandatory multifactor authentication</w:t>
      </w:r>
      <w:r>
        <w:t>. A</w:t>
      </w:r>
      <w:r w:rsidRPr="00517729">
        <w:t>ccess to PII will be limited to a small number of individuals who have a need to know this information</w:t>
      </w:r>
      <w:r w:rsidRPr="00C331E2">
        <w:t>.</w:t>
      </w:r>
    </w:p>
    <w:p w:rsidR="00715069" w:rsidRPr="00F420B5" w:rsidP="007D55F3" w14:paraId="1EBB4E54" w14:textId="77777777">
      <w:pPr>
        <w:pStyle w:val="Bullet1"/>
      </w:pPr>
      <w:r w:rsidRPr="00F420B5">
        <w:t xml:space="preserve">AIR </w:t>
      </w:r>
      <w:r>
        <w:t>has</w:t>
      </w:r>
      <w:r w:rsidRPr="00F420B5">
        <w:t xml:space="preserve"> established a data governance and security plan for all information collected as part of the </w:t>
      </w:r>
      <w:r>
        <w:t>NSSES</w:t>
      </w:r>
      <w:r w:rsidRPr="00F420B5">
        <w:t>. The data governance/security plan specifies procedures for managing these data, including external requirements related to security (e.g., applicable regulations); roles and responsibilities of study team members, including processes for onboarding new staff, monitoring and granting access to data, and managing subcontractor compliance; processes for information security, including accessing, storing, and transferring data; and processes for data quality control and data disposition. AIR’s Information Security Office has approved the appropriateness of all elements of the data governance/security plan.</w:t>
      </w:r>
    </w:p>
    <w:p w:rsidR="00715069" w:rsidRPr="00292075" w:rsidP="007D55F3" w14:paraId="12B89D4C" w14:textId="66E3D804">
      <w:pPr>
        <w:pStyle w:val="Bullet1"/>
      </w:pPr>
      <w:r w:rsidRPr="00613DD9">
        <w:t>To ensure that study participants are properly protected, AIR’s Institutional Review Board will review the study’s design protocols, data governance/security plan, and all data collection instruments and procedures.</w:t>
      </w:r>
      <w:r>
        <w:t xml:space="preserve"> </w:t>
      </w:r>
      <w:r w:rsidRPr="00613DD9">
        <w:t>In addition</w:t>
      </w:r>
      <w:r>
        <w:t xml:space="preserve">, the AIR study team requested a Certificate of Confidentiality (CoC) from the National Institutes of Health (NIH), which was </w:t>
      </w:r>
      <w:r>
        <w:t>issued to the study in January 2025.</w:t>
      </w:r>
      <w:r>
        <w:rPr>
          <w:rStyle w:val="FootnoteReference"/>
          <w:sz w:val="22"/>
          <w:szCs w:val="22"/>
        </w:rPr>
        <w:footnoteReference w:id="6"/>
      </w:r>
      <w:r>
        <w:t xml:space="preserve"> A CoC protects the privacy of participants in research </w:t>
      </w:r>
      <w:r w:rsidRPr="00FC5755">
        <w:t xml:space="preserve">studies collecting information that, if disclosed, could have adverse consequences, such as damage to </w:t>
      </w:r>
      <w:r>
        <w:t>participants’</w:t>
      </w:r>
      <w:r w:rsidRPr="00FC5755">
        <w:t xml:space="preserve"> financial standing, employability, or reputation</w:t>
      </w:r>
      <w:r>
        <w:t xml:space="preserve">. The CoC prohibits the </w:t>
      </w:r>
      <w:r w:rsidRPr="00FC5755">
        <w:t xml:space="preserve">disclosure of </w:t>
      </w:r>
      <w:r>
        <w:t xml:space="preserve">identifiable </w:t>
      </w:r>
      <w:r w:rsidRPr="00FC5755">
        <w:t>information gathered or used during the study in response to legal demands, such as a subpoena.</w:t>
      </w:r>
    </w:p>
    <w:p w:rsidR="00715069" w:rsidRPr="00FC5755" w:rsidP="007D55F3" w14:paraId="4F77299A" w14:textId="09CA0049">
      <w:pPr>
        <w:pStyle w:val="Bullet1"/>
      </w:pPr>
      <w:r>
        <w:t>A system of records notice is currently being prepared for this study. ED expects to publish the notice by spring 2026.</w:t>
      </w:r>
    </w:p>
    <w:p w:rsidR="00715069" w:rsidRPr="00FC5755" w:rsidP="00793CB0" w14:paraId="2983CD3E" w14:textId="77777777">
      <w:pPr>
        <w:pStyle w:val="BodyText"/>
      </w:pPr>
      <w:r w:rsidRPr="00FC5755">
        <w:t xml:space="preserve">Materials sent to SEAs, LEAs, and schools will </w:t>
      </w:r>
      <w:r w:rsidRPr="00FC5755">
        <w:rPr>
          <w:rFonts w:cstheme="minorHAnsi"/>
        </w:rPr>
        <w:t>describe the ways in which respondents and their responses will be kept confidential, including</w:t>
      </w:r>
      <w:r w:rsidRPr="00FC5755">
        <w:t xml:space="preserve"> the following assurance of confidentiality</w:t>
      </w:r>
      <w:r w:rsidRPr="00FC5755">
        <w:rPr>
          <w:rFonts w:cstheme="minorHAnsi"/>
        </w:rPr>
        <w:t xml:space="preserve"> statement</w:t>
      </w:r>
      <w:r w:rsidRPr="00FC5755">
        <w:t>: “Information collected for this study comes under the confidentiality and data protection requirements of the Institute of Education Sciences (</w:t>
      </w:r>
      <w:r>
        <w:t>the</w:t>
      </w:r>
      <w:r w:rsidRPr="00FC5755">
        <w:t xml:space="preserve"> Education Sciences Reform Act of 2002, Title I, Part E, Section 183). Responses to this data collection will be used by the U.S. Department of Education, its contractors, and collaborating researchers only for statistical purposes. Individual respondents will never be identified, and responses to survey questions may not be disclosed or used in identifiable form for any other purpose</w:t>
      </w:r>
      <w:r>
        <w:t>,</w:t>
      </w:r>
      <w:r w:rsidRPr="00FC5755">
        <w:t xml:space="preserve"> except as required by law (20</w:t>
      </w:r>
      <w:r>
        <w:t xml:space="preserve"> </w:t>
      </w:r>
      <w:r w:rsidRPr="00FC5755">
        <w:t>U.S.C. §</w:t>
      </w:r>
      <w:r>
        <w:t xml:space="preserve"> </w:t>
      </w:r>
      <w:r w:rsidRPr="00FC5755">
        <w:t>9573 and 6 U.S.C. §</w:t>
      </w:r>
      <w:r>
        <w:t xml:space="preserve"> </w:t>
      </w:r>
      <w:r w:rsidRPr="00FC5755">
        <w:t>151).”</w:t>
      </w:r>
    </w:p>
    <w:p w:rsidR="00715069" w:rsidRPr="00792A54" w:rsidP="007D55F3" w14:paraId="40658443" w14:textId="77777777">
      <w:pPr>
        <w:pStyle w:val="BodyText"/>
      </w:pPr>
      <w:r w:rsidRPr="00792A54">
        <w:t xml:space="preserve">Student directory and enrollment information will only be used to sample schools and students for the study and will be stored on ED’s </w:t>
      </w:r>
      <w:r w:rsidRPr="001646FE">
        <w:t xml:space="preserve">secure </w:t>
      </w:r>
      <w:r w:rsidRPr="006F236F">
        <w:t>IESDC</w:t>
      </w:r>
      <w:r w:rsidRPr="001646FE">
        <w:t>. These</w:t>
      </w:r>
      <w:r w:rsidRPr="00F35E67">
        <w:t xml:space="preserve"> data will be securely destroyed when no longer needed for the purposes specified in 34 C</w:t>
      </w:r>
      <w:r>
        <w:t>.</w:t>
      </w:r>
      <w:r w:rsidRPr="00F35E67">
        <w:t>F</w:t>
      </w:r>
      <w:r>
        <w:t>.</w:t>
      </w:r>
      <w:r w:rsidRPr="00F35E67">
        <w:t>R</w:t>
      </w:r>
      <w:r>
        <w:t>.</w:t>
      </w:r>
      <w:r w:rsidRPr="00F35E67">
        <w:t xml:space="preserve"> §</w:t>
      </w:r>
      <w:r>
        <w:t xml:space="preserve"> </w:t>
      </w:r>
      <w:r w:rsidRPr="00F35E67">
        <w:t>99.35.</w:t>
      </w:r>
    </w:p>
    <w:p w:rsidR="00715069" w:rsidP="00715069" w14:paraId="118FD5C9" w14:textId="61541899">
      <w:pPr>
        <w:pStyle w:val="Heading3"/>
      </w:pPr>
      <w:bookmarkStart w:id="78" w:name="_Toc215310913"/>
      <w:bookmarkStart w:id="79" w:name="_Toc215312885"/>
      <w:bookmarkStart w:id="80" w:name="_Toc217325189"/>
      <w:r w:rsidRPr="00D06A32">
        <w:t>A.1</w:t>
      </w:r>
      <w:r>
        <w:t>1. Justification of Sensitive Questions</w:t>
      </w:r>
      <w:bookmarkEnd w:id="78"/>
      <w:bookmarkEnd w:id="79"/>
      <w:bookmarkEnd w:id="80"/>
    </w:p>
    <w:p w:rsidR="00715069" w:rsidRPr="00A507AF" w:rsidP="007D55F3" w14:paraId="56093285" w14:textId="3D37278A">
      <w:pPr>
        <w:pStyle w:val="BodyTextPostHeading"/>
        <w:rPr>
          <w:rStyle w:val="BodyTextChar"/>
          <w:rFonts w:eastAsiaTheme="minorHAnsi"/>
        </w:rPr>
      </w:pPr>
      <w:r w:rsidRPr="00C35E80">
        <w:t xml:space="preserve">To fulfill the purpose of the future NSSES, it is necessary to identify </w:t>
      </w:r>
      <w:r w:rsidRPr="006B2FEE">
        <w:t>all resources used to provide special education, general education, and related services to a nationally representative sample of students with disabilities in grades K</w:t>
      </w:r>
      <w:r w:rsidR="00E276C9">
        <w:rPr>
          <w:rFonts w:cstheme="minorHAnsi"/>
        </w:rPr>
        <w:t>–</w:t>
      </w:r>
      <w:r w:rsidRPr="006B2FEE">
        <w:t>12 who have an Individualized Education Program (IEP), as well as all resources used to provide general education to a comparison sample of students without disabilities</w:t>
      </w:r>
      <w:r w:rsidRPr="00C35E80">
        <w:t xml:space="preserve">. </w:t>
      </w:r>
      <w:r>
        <w:t xml:space="preserve">Therefore, </w:t>
      </w:r>
      <w:r w:rsidRPr="006B2FEE">
        <w:t xml:space="preserve">obtaining information about potentially sensitive topics, such </w:t>
      </w:r>
      <w:r>
        <w:t>as whether a student receives special education and their disability type</w:t>
      </w:r>
      <w:r w:rsidRPr="006B2FEE">
        <w:t>, is central to the stud</w:t>
      </w:r>
      <w:r>
        <w:t>y.</w:t>
      </w:r>
    </w:p>
    <w:p w:rsidR="00715069" w:rsidRPr="00D06A32" w:rsidP="00715069" w14:paraId="39E4027E" w14:textId="13E31678">
      <w:pPr>
        <w:pStyle w:val="Heading3"/>
      </w:pPr>
      <w:bookmarkStart w:id="81" w:name="_Toc215310914"/>
      <w:bookmarkStart w:id="82" w:name="_Toc215312886"/>
      <w:bookmarkStart w:id="83" w:name="_Toc217325190"/>
      <w:r w:rsidRPr="00D06A32">
        <w:t>A.1</w:t>
      </w:r>
      <w:r>
        <w:t xml:space="preserve">2. </w:t>
      </w:r>
      <w:r w:rsidRPr="00D06A32">
        <w:t>Estimate</w:t>
      </w:r>
      <w:r>
        <w:t>s of Respondent Burden</w:t>
      </w:r>
      <w:bookmarkEnd w:id="81"/>
      <w:bookmarkEnd w:id="82"/>
      <w:bookmarkEnd w:id="83"/>
    </w:p>
    <w:p w:rsidR="00715069" w:rsidP="007D55F3" w14:paraId="7B405E02" w14:textId="10269A8A">
      <w:pPr>
        <w:pStyle w:val="BodyTextPostHeading"/>
      </w:pPr>
      <w:r w:rsidRPr="000D3029">
        <w:t>Exhibit A-</w:t>
      </w:r>
      <w:r>
        <w:t>5</w:t>
      </w:r>
      <w:r w:rsidRPr="0002166E">
        <w:t xml:space="preserve"> details</w:t>
      </w:r>
      <w:r w:rsidRPr="00900273">
        <w:t xml:space="preserve"> the respondent burden for </w:t>
      </w:r>
      <w:r>
        <w:t xml:space="preserve">the </w:t>
      </w:r>
      <w:r w:rsidRPr="00AC6115">
        <w:rPr>
          <w:i/>
        </w:rPr>
        <w:t>recruitment activities included in the current request.</w:t>
      </w:r>
      <w:r w:rsidRPr="00900273">
        <w:t xml:space="preserve"> </w:t>
      </w:r>
      <w:r>
        <w:t xml:space="preserve">The recruitment activities include reviewing and updating contact information, identifying appropriate respondents, communicating about the study, and preparing and </w:t>
      </w:r>
      <w:r>
        <w:t xml:space="preserve">submitting materials needed for student sampling. The estimated hour burden is </w:t>
      </w:r>
      <w:r w:rsidR="00445B67">
        <w:t>11,051</w:t>
      </w:r>
      <w:r>
        <w:t>, and the total cost burden is $</w:t>
      </w:r>
      <w:r w:rsidR="00445B67">
        <w:t>522,703</w:t>
      </w:r>
      <w:r>
        <w:t>.</w:t>
      </w:r>
    </w:p>
    <w:p w:rsidR="00715069" w:rsidRPr="00900273" w:rsidP="007D55F3" w14:paraId="6F636271" w14:textId="0119A35E">
      <w:pPr>
        <w:pStyle w:val="BodyText"/>
      </w:pPr>
      <w:r>
        <w:t xml:space="preserve">The estimated burden in </w:t>
      </w:r>
      <w:r w:rsidR="00B225D3">
        <w:t>E</w:t>
      </w:r>
      <w:r>
        <w:t xml:space="preserve">xhibit A-5 is only for the recruitment activities for which clearance </w:t>
      </w:r>
      <w:r w:rsidR="006124B0">
        <w:t xml:space="preserve">is sought </w:t>
      </w:r>
      <w:r>
        <w:t xml:space="preserve">in this submission. Note that the FAQ document in </w:t>
      </w:r>
      <w:r w:rsidRPr="00A503C9">
        <w:t>Attachment</w:t>
      </w:r>
      <w:r>
        <w:t xml:space="preserve"> C</w:t>
      </w:r>
      <w:r w:rsidRPr="00A503C9">
        <w:t>, which</w:t>
      </w:r>
      <w:r>
        <w:t xml:space="preserve"> will be shared with study respondents during recruitment activities, previews for respondents the total estimated burden for </w:t>
      </w:r>
      <w:r w:rsidRPr="00F82BDB">
        <w:rPr>
          <w:i/>
          <w:iCs/>
        </w:rPr>
        <w:t>all</w:t>
      </w:r>
      <w:r>
        <w:t xml:space="preserve"> study activities and therefore reports greater total burden hours than appear in </w:t>
      </w:r>
      <w:r w:rsidR="003535D1">
        <w:t>E</w:t>
      </w:r>
      <w:r>
        <w:t>xhibit A-5.</w:t>
      </w:r>
    </w:p>
    <w:p w:rsidR="00715069" w:rsidRPr="001A2B34" w:rsidP="00793CB0" w14:paraId="62A3CB7E" w14:textId="1CEF3F07">
      <w:pPr>
        <w:pStyle w:val="ExhibitTitle"/>
      </w:pPr>
      <w:bookmarkStart w:id="84" w:name="_Toc217325202"/>
      <w:r w:rsidRPr="001A2B34">
        <w:t>Exhibit A-</w:t>
      </w:r>
      <w:r>
        <w:t>5</w:t>
      </w:r>
      <w:r w:rsidRPr="001A2B34">
        <w:t xml:space="preserve">. Estimated </w:t>
      </w:r>
      <w:r>
        <w:t>r</w:t>
      </w:r>
      <w:r w:rsidRPr="001A2B34">
        <w:t xml:space="preserve">espondent </w:t>
      </w:r>
      <w:r>
        <w:t>b</w:t>
      </w:r>
      <w:r w:rsidRPr="001A2B34">
        <w:t xml:space="preserve">urden for </w:t>
      </w:r>
      <w:r>
        <w:t>r</w:t>
      </w:r>
      <w:r w:rsidRPr="001A2B34">
        <w:t xml:space="preserve">ecruitment </w:t>
      </w:r>
      <w:r>
        <w:t>a</w:t>
      </w:r>
      <w:r w:rsidRPr="001A2B34">
        <w:t>ctivities</w:t>
      </w:r>
      <w:bookmarkEnd w:id="84"/>
    </w:p>
    <w:tbl>
      <w:tblPr>
        <w:tblStyle w:val="TableStyle-AIR2021"/>
        <w:tblW w:w="4999" w:type="pct"/>
        <w:tblLayout w:type="fixed"/>
        <w:tblLook w:val="04A0"/>
      </w:tblPr>
      <w:tblGrid>
        <w:gridCol w:w="1375"/>
        <w:gridCol w:w="1385"/>
        <w:gridCol w:w="1342"/>
        <w:gridCol w:w="1314"/>
        <w:gridCol w:w="1314"/>
        <w:gridCol w:w="1314"/>
        <w:gridCol w:w="1314"/>
      </w:tblGrid>
      <w:tr w14:paraId="02C8F8B9" w14:textId="77777777" w:rsidTr="007D55F3">
        <w:tblPrEx>
          <w:tblW w:w="4999" w:type="pct"/>
          <w:tblLayout w:type="fixed"/>
          <w:tblLook w:val="04A0"/>
        </w:tblPrEx>
        <w:trPr>
          <w:trHeight w:val="548"/>
          <w:tblHeader/>
        </w:trPr>
        <w:tc>
          <w:tcPr>
            <w:tcW w:w="735" w:type="pct"/>
          </w:tcPr>
          <w:p w:rsidR="00715069" w:rsidRPr="007D55F3" w:rsidP="007D55F3" w14:paraId="40C299C8" w14:textId="3CF0DD9B">
            <w:pPr>
              <w:pStyle w:val="Table11ColumnHeading"/>
              <w:keepNext/>
              <w:keepLines/>
            </w:pPr>
            <w:r w:rsidRPr="007D55F3">
              <w:t>Recruitment unit</w:t>
            </w:r>
          </w:p>
        </w:tc>
        <w:tc>
          <w:tcPr>
            <w:tcW w:w="740" w:type="pct"/>
          </w:tcPr>
          <w:p w:rsidR="00715069" w:rsidRPr="007D55F3" w:rsidP="007D55F3" w14:paraId="049274E9" w14:textId="6093785E">
            <w:pPr>
              <w:pStyle w:val="Table11ColumnHeading"/>
              <w:keepNext/>
              <w:keepLines/>
            </w:pPr>
            <w:r w:rsidRPr="007D55F3">
              <w:t>Number of recruitment units</w:t>
            </w:r>
          </w:p>
        </w:tc>
        <w:tc>
          <w:tcPr>
            <w:tcW w:w="717" w:type="pct"/>
          </w:tcPr>
          <w:p w:rsidR="00715069" w:rsidRPr="007D55F3" w:rsidP="007D55F3" w14:paraId="019BCDAA" w14:textId="3420A9AC">
            <w:pPr>
              <w:pStyle w:val="Table11ColumnHeading"/>
              <w:keepNext/>
              <w:keepLines/>
            </w:pPr>
            <w:r w:rsidRPr="007D55F3">
              <w:t>Number of responding units</w:t>
            </w:r>
          </w:p>
        </w:tc>
        <w:tc>
          <w:tcPr>
            <w:tcW w:w="702" w:type="pct"/>
          </w:tcPr>
          <w:p w:rsidR="00715069" w:rsidRPr="007D55F3" w:rsidP="007D55F3" w14:paraId="512D9D04" w14:textId="51CD1B0B">
            <w:pPr>
              <w:pStyle w:val="Table11ColumnHeading"/>
              <w:keepNext/>
              <w:keepLines/>
            </w:pPr>
            <w:r w:rsidRPr="007D55F3">
              <w:t>Hours per responding unit</w:t>
            </w:r>
          </w:p>
        </w:tc>
        <w:tc>
          <w:tcPr>
            <w:tcW w:w="702" w:type="pct"/>
          </w:tcPr>
          <w:p w:rsidR="00715069" w:rsidRPr="007D55F3" w:rsidP="007D55F3" w14:paraId="5DED8D60" w14:textId="648BBF29">
            <w:pPr>
              <w:pStyle w:val="Table11ColumnHeading"/>
              <w:keepNext/>
              <w:keepLines/>
            </w:pPr>
            <w:r w:rsidRPr="007D55F3">
              <w:t>Total burden in hours</w:t>
            </w:r>
          </w:p>
        </w:tc>
        <w:tc>
          <w:tcPr>
            <w:tcW w:w="702" w:type="pct"/>
          </w:tcPr>
          <w:p w:rsidR="00715069" w:rsidRPr="007D55F3" w:rsidP="007D55F3" w14:paraId="7D5588E4" w14:textId="628A8EF1">
            <w:pPr>
              <w:pStyle w:val="Table11ColumnHeading"/>
              <w:keepNext/>
              <w:keepLines/>
            </w:pPr>
            <w:r w:rsidRPr="007D55F3">
              <w:t>Estimated hourly wage</w:t>
            </w:r>
          </w:p>
        </w:tc>
        <w:tc>
          <w:tcPr>
            <w:tcW w:w="702" w:type="pct"/>
          </w:tcPr>
          <w:p w:rsidR="00715069" w:rsidRPr="007D55F3" w:rsidP="007D55F3" w14:paraId="55719E0B" w14:textId="3DB91C4B">
            <w:pPr>
              <w:pStyle w:val="Table11ColumnHeading"/>
              <w:keepNext/>
              <w:keepLines/>
            </w:pPr>
            <w:r w:rsidRPr="007D55F3">
              <w:t>Total cost burden</w:t>
            </w:r>
          </w:p>
        </w:tc>
      </w:tr>
      <w:tr w14:paraId="3E10BB3B" w14:textId="77777777" w:rsidTr="007D55F3">
        <w:tblPrEx>
          <w:tblW w:w="4999" w:type="pct"/>
          <w:tblLayout w:type="fixed"/>
          <w:tblLook w:val="04A0"/>
        </w:tblPrEx>
        <w:trPr>
          <w:trHeight w:val="288"/>
        </w:trPr>
        <w:tc>
          <w:tcPr>
            <w:tcW w:w="735" w:type="pct"/>
          </w:tcPr>
          <w:p w:rsidR="00715069" w:rsidRPr="007D55F3" w:rsidP="007D55F3" w14:paraId="72FA73D2" w14:textId="77777777">
            <w:pPr>
              <w:pStyle w:val="Table11RowHeading"/>
              <w:keepNext/>
              <w:keepLines/>
            </w:pPr>
            <w:r w:rsidRPr="007D55F3">
              <w:t>SEA</w:t>
            </w:r>
          </w:p>
        </w:tc>
        <w:tc>
          <w:tcPr>
            <w:tcW w:w="740" w:type="pct"/>
          </w:tcPr>
          <w:p w:rsidR="00715069" w:rsidRPr="007D55F3" w:rsidP="007D55F3" w14:paraId="0D3A3C5A" w14:textId="77777777">
            <w:pPr>
              <w:pStyle w:val="Table10Centered"/>
              <w:keepNext/>
              <w:keepLines/>
            </w:pPr>
            <w:r w:rsidRPr="007D55F3">
              <w:t>51</w:t>
            </w:r>
          </w:p>
        </w:tc>
        <w:tc>
          <w:tcPr>
            <w:tcW w:w="717" w:type="pct"/>
          </w:tcPr>
          <w:p w:rsidR="00715069" w:rsidRPr="007D55F3" w:rsidP="007D55F3" w14:paraId="0E29F2E2" w14:textId="77777777">
            <w:pPr>
              <w:pStyle w:val="Table10Centered"/>
              <w:keepNext/>
              <w:keepLines/>
            </w:pPr>
            <w:r w:rsidRPr="007D55F3">
              <w:t>51</w:t>
            </w:r>
          </w:p>
        </w:tc>
        <w:tc>
          <w:tcPr>
            <w:tcW w:w="702" w:type="pct"/>
          </w:tcPr>
          <w:p w:rsidR="00715069" w:rsidRPr="007D55F3" w:rsidP="007D55F3" w14:paraId="7A5785B0" w14:textId="77777777">
            <w:pPr>
              <w:pStyle w:val="Table10Centered"/>
              <w:keepNext/>
              <w:keepLines/>
            </w:pPr>
            <w:r w:rsidRPr="007D55F3">
              <w:t>1</w:t>
            </w:r>
          </w:p>
        </w:tc>
        <w:tc>
          <w:tcPr>
            <w:tcW w:w="702" w:type="pct"/>
          </w:tcPr>
          <w:p w:rsidR="00715069" w:rsidRPr="007D55F3" w:rsidP="007D55F3" w14:paraId="0AB0BCFB" w14:textId="77777777">
            <w:pPr>
              <w:pStyle w:val="Table10Centered"/>
              <w:keepNext/>
              <w:keepLines/>
            </w:pPr>
            <w:r w:rsidRPr="007D55F3">
              <w:t>51</w:t>
            </w:r>
          </w:p>
        </w:tc>
        <w:tc>
          <w:tcPr>
            <w:tcW w:w="702" w:type="pct"/>
          </w:tcPr>
          <w:p w:rsidR="00715069" w:rsidRPr="007D55F3" w:rsidP="007D55F3" w14:paraId="394EAF64" w14:textId="3D1CB685">
            <w:pPr>
              <w:pStyle w:val="Table10Centered"/>
              <w:keepNext/>
              <w:keepLines/>
            </w:pPr>
            <w:r w:rsidRPr="007D55F3">
              <w:t>$53</w:t>
            </w:r>
          </w:p>
        </w:tc>
        <w:tc>
          <w:tcPr>
            <w:tcW w:w="702" w:type="pct"/>
          </w:tcPr>
          <w:p w:rsidR="00715069" w:rsidRPr="007D55F3" w:rsidP="007D55F3" w14:paraId="1AAB70BD" w14:textId="15BFEAFC">
            <w:pPr>
              <w:pStyle w:val="Table10Centered"/>
              <w:keepNext/>
              <w:keepLines/>
            </w:pPr>
            <w:r w:rsidRPr="007D55F3">
              <w:t>$2,703</w:t>
            </w:r>
          </w:p>
        </w:tc>
      </w:tr>
      <w:tr w14:paraId="1812F9AF" w14:textId="77777777" w:rsidTr="00720325">
        <w:tblPrEx>
          <w:tblW w:w="4999" w:type="pct"/>
          <w:tblLayout w:type="fixed"/>
          <w:tblLook w:val="04A0"/>
        </w:tblPrEx>
        <w:trPr>
          <w:trHeight w:val="288"/>
        </w:trPr>
        <w:tc>
          <w:tcPr>
            <w:tcW w:w="0" w:type="pct"/>
          </w:tcPr>
          <w:p w:rsidR="00715069" w:rsidRPr="007D55F3" w:rsidP="007D55F3" w14:paraId="22EBA598" w14:textId="77777777">
            <w:pPr>
              <w:pStyle w:val="Table11RowHeading"/>
              <w:keepNext/>
              <w:keepLines/>
            </w:pPr>
            <w:r w:rsidRPr="007D55F3">
              <w:t>LEA</w:t>
            </w:r>
          </w:p>
        </w:tc>
        <w:tc>
          <w:tcPr>
            <w:tcW w:w="0" w:type="pct"/>
          </w:tcPr>
          <w:p w:rsidR="00715069" w:rsidRPr="007D55F3" w:rsidP="007D55F3" w14:paraId="453C85EB" w14:textId="77777777">
            <w:pPr>
              <w:pStyle w:val="Table10Centered"/>
              <w:keepNext/>
              <w:keepLines/>
            </w:pPr>
            <w:r w:rsidRPr="007D55F3">
              <w:t>1,250</w:t>
            </w:r>
          </w:p>
        </w:tc>
        <w:tc>
          <w:tcPr>
            <w:tcW w:w="0" w:type="pct"/>
          </w:tcPr>
          <w:p w:rsidR="00715069" w:rsidRPr="007D55F3" w:rsidP="007D55F3" w14:paraId="3DEA7013" w14:textId="77777777">
            <w:pPr>
              <w:pStyle w:val="Table10Centered"/>
              <w:keepNext/>
              <w:keepLines/>
            </w:pPr>
            <w:r w:rsidRPr="007D55F3">
              <w:t>1,000</w:t>
            </w:r>
          </w:p>
        </w:tc>
        <w:tc>
          <w:tcPr>
            <w:tcW w:w="0" w:type="pct"/>
          </w:tcPr>
          <w:p w:rsidR="00715069" w:rsidRPr="007D55F3" w:rsidP="007D55F3" w14:paraId="65DA4B5D" w14:textId="1919A58C">
            <w:pPr>
              <w:pStyle w:val="Table10Centered"/>
              <w:keepNext/>
              <w:keepLines/>
            </w:pPr>
            <w:r>
              <w:t>8</w:t>
            </w:r>
          </w:p>
        </w:tc>
        <w:tc>
          <w:tcPr>
            <w:tcW w:w="0" w:type="pct"/>
          </w:tcPr>
          <w:p w:rsidR="00715069" w:rsidRPr="007D55F3" w:rsidP="007D55F3" w14:paraId="028A0D0D" w14:textId="41D25C86">
            <w:pPr>
              <w:pStyle w:val="Table10Centered"/>
              <w:keepNext/>
              <w:keepLines/>
            </w:pPr>
            <w:r>
              <w:t>8</w:t>
            </w:r>
            <w:r w:rsidRPr="007D55F3">
              <w:t>,000</w:t>
            </w:r>
          </w:p>
        </w:tc>
        <w:tc>
          <w:tcPr>
            <w:tcW w:w="0" w:type="pct"/>
          </w:tcPr>
          <w:p w:rsidR="00715069" w:rsidRPr="007D55F3" w:rsidP="007D55F3" w14:paraId="05234C2C" w14:textId="3C495D79">
            <w:pPr>
              <w:pStyle w:val="Table10Centered"/>
              <w:keepNext/>
              <w:keepLines/>
            </w:pPr>
            <w:r w:rsidRPr="007D55F3">
              <w:t>$53</w:t>
            </w:r>
          </w:p>
        </w:tc>
        <w:tc>
          <w:tcPr>
            <w:tcW w:w="0" w:type="pct"/>
          </w:tcPr>
          <w:p w:rsidR="00715069" w:rsidRPr="007D55F3" w:rsidP="007D55F3" w14:paraId="362DDA0D" w14:textId="690AFB2F">
            <w:pPr>
              <w:pStyle w:val="Table10Centered"/>
              <w:keepNext/>
              <w:keepLines/>
            </w:pPr>
            <w:r w:rsidRPr="007D55F3">
              <w:t>$</w:t>
            </w:r>
            <w:r w:rsidR="00765FA8">
              <w:t>424</w:t>
            </w:r>
            <w:r w:rsidRPr="007D55F3">
              <w:t>,000</w:t>
            </w:r>
          </w:p>
        </w:tc>
      </w:tr>
      <w:tr w14:paraId="50AF74EE" w14:textId="77777777" w:rsidTr="007D55F3">
        <w:tblPrEx>
          <w:tblW w:w="4999" w:type="pct"/>
          <w:tblLayout w:type="fixed"/>
          <w:tblLook w:val="04A0"/>
        </w:tblPrEx>
        <w:trPr>
          <w:trHeight w:val="288"/>
        </w:trPr>
        <w:tc>
          <w:tcPr>
            <w:tcW w:w="735" w:type="pct"/>
          </w:tcPr>
          <w:p w:rsidR="00715069" w:rsidRPr="007D55F3" w:rsidP="007D55F3" w14:paraId="2B017861" w14:textId="77777777">
            <w:pPr>
              <w:pStyle w:val="Table11RowHeading"/>
              <w:keepNext/>
              <w:keepLines/>
            </w:pPr>
            <w:r w:rsidRPr="007D55F3">
              <w:t>School</w:t>
            </w:r>
          </w:p>
        </w:tc>
        <w:tc>
          <w:tcPr>
            <w:tcW w:w="740" w:type="pct"/>
          </w:tcPr>
          <w:p w:rsidR="00715069" w:rsidRPr="007D55F3" w:rsidP="007D55F3" w14:paraId="7273F7DA" w14:textId="77777777">
            <w:pPr>
              <w:pStyle w:val="Table10Centered"/>
              <w:keepNext/>
              <w:keepLines/>
            </w:pPr>
            <w:r w:rsidRPr="007D55F3">
              <w:t>3,750</w:t>
            </w:r>
          </w:p>
        </w:tc>
        <w:tc>
          <w:tcPr>
            <w:tcW w:w="717" w:type="pct"/>
          </w:tcPr>
          <w:p w:rsidR="00715069" w:rsidRPr="007D55F3" w:rsidP="007D55F3" w14:paraId="65F8657F" w14:textId="35E12D3A">
            <w:pPr>
              <w:pStyle w:val="Table10Centered"/>
              <w:keepNext/>
              <w:keepLines/>
            </w:pPr>
            <w:r>
              <w:t>3,000</w:t>
            </w:r>
          </w:p>
        </w:tc>
        <w:tc>
          <w:tcPr>
            <w:tcW w:w="702" w:type="pct"/>
          </w:tcPr>
          <w:p w:rsidR="00715069" w:rsidRPr="007D55F3" w:rsidP="007D55F3" w14:paraId="055AAA5B" w14:textId="77777777">
            <w:pPr>
              <w:pStyle w:val="Table10Centered"/>
              <w:keepNext/>
              <w:keepLines/>
            </w:pPr>
            <w:r w:rsidRPr="007D55F3">
              <w:t>1</w:t>
            </w:r>
          </w:p>
        </w:tc>
        <w:tc>
          <w:tcPr>
            <w:tcW w:w="702" w:type="pct"/>
          </w:tcPr>
          <w:p w:rsidR="00715069" w:rsidRPr="007D55F3" w:rsidP="007D55F3" w14:paraId="02462A26" w14:textId="088B9C99">
            <w:pPr>
              <w:pStyle w:val="Table10Centered"/>
              <w:keepNext/>
              <w:keepLines/>
            </w:pPr>
            <w:r>
              <w:t>3,000</w:t>
            </w:r>
          </w:p>
        </w:tc>
        <w:tc>
          <w:tcPr>
            <w:tcW w:w="702" w:type="pct"/>
          </w:tcPr>
          <w:p w:rsidR="00715069" w:rsidRPr="007D55F3" w:rsidP="007D55F3" w14:paraId="58CB930C" w14:textId="77777777">
            <w:pPr>
              <w:pStyle w:val="Table10Centered"/>
              <w:keepNext/>
              <w:keepLines/>
            </w:pPr>
            <w:r w:rsidRPr="007D55F3">
              <w:t>$32</w:t>
            </w:r>
          </w:p>
        </w:tc>
        <w:tc>
          <w:tcPr>
            <w:tcW w:w="702" w:type="pct"/>
          </w:tcPr>
          <w:p w:rsidR="00715069" w:rsidRPr="007D55F3" w:rsidP="007D55F3" w14:paraId="14D529C0" w14:textId="1AE31EA8">
            <w:pPr>
              <w:pStyle w:val="Table10Centered"/>
              <w:keepNext/>
              <w:keepLines/>
            </w:pPr>
            <w:r w:rsidRPr="007D55F3">
              <w:t>$</w:t>
            </w:r>
            <w:r w:rsidR="00DE562D">
              <w:t>96,000</w:t>
            </w:r>
          </w:p>
        </w:tc>
      </w:tr>
      <w:tr w14:paraId="41F3F3A5" w14:textId="77777777" w:rsidTr="007D55F3">
        <w:tblPrEx>
          <w:tblW w:w="4999" w:type="pct"/>
          <w:tblLayout w:type="fixed"/>
          <w:tblLook w:val="04A0"/>
        </w:tblPrEx>
        <w:trPr>
          <w:trHeight w:val="288"/>
        </w:trPr>
        <w:tc>
          <w:tcPr>
            <w:tcW w:w="735" w:type="pct"/>
            <w:shd w:val="clear" w:color="auto" w:fill="E2E6E8" w:themeFill="accent6"/>
          </w:tcPr>
          <w:p w:rsidR="00715069" w:rsidRPr="007D55F3" w:rsidP="007D55F3" w14:paraId="7625A18E" w14:textId="77777777">
            <w:pPr>
              <w:pStyle w:val="Table11RowHeading"/>
              <w:keepNext/>
              <w:keepLines/>
            </w:pPr>
            <w:r w:rsidRPr="007D55F3">
              <w:t>Total</w:t>
            </w:r>
          </w:p>
        </w:tc>
        <w:tc>
          <w:tcPr>
            <w:tcW w:w="740" w:type="pct"/>
            <w:shd w:val="clear" w:color="auto" w:fill="E2E6E8" w:themeFill="accent6"/>
          </w:tcPr>
          <w:p w:rsidR="00715069" w:rsidRPr="007D55F3" w:rsidP="007D55F3" w14:paraId="1CB3AF49" w14:textId="77777777">
            <w:pPr>
              <w:pStyle w:val="Table10Centered"/>
              <w:keepNext/>
              <w:keepLines/>
              <w:rPr>
                <w:b/>
                <w:bCs/>
              </w:rPr>
            </w:pPr>
            <w:r w:rsidRPr="007D55F3">
              <w:rPr>
                <w:b/>
                <w:bCs/>
              </w:rPr>
              <w:t>5,051</w:t>
            </w:r>
          </w:p>
        </w:tc>
        <w:tc>
          <w:tcPr>
            <w:tcW w:w="717" w:type="pct"/>
            <w:shd w:val="clear" w:color="auto" w:fill="E2E6E8" w:themeFill="accent6"/>
          </w:tcPr>
          <w:p w:rsidR="00715069" w:rsidRPr="007D55F3" w:rsidP="007D55F3" w14:paraId="3458502C" w14:textId="79B4A17F">
            <w:pPr>
              <w:pStyle w:val="Table10Centered"/>
              <w:keepNext/>
              <w:keepLines/>
              <w:rPr>
                <w:b/>
                <w:bCs/>
              </w:rPr>
            </w:pPr>
            <w:r>
              <w:rPr>
                <w:b/>
                <w:bCs/>
              </w:rPr>
              <w:t>4,051</w:t>
            </w:r>
          </w:p>
        </w:tc>
        <w:tc>
          <w:tcPr>
            <w:tcW w:w="702" w:type="pct"/>
            <w:shd w:val="clear" w:color="auto" w:fill="E2E6E8" w:themeFill="accent6"/>
          </w:tcPr>
          <w:p w:rsidR="00715069" w:rsidRPr="007D55F3" w:rsidP="007D55F3" w14:paraId="3B087ADB" w14:textId="77777777">
            <w:pPr>
              <w:pStyle w:val="Table10Centered"/>
              <w:keepNext/>
              <w:keepLines/>
              <w:rPr>
                <w:b/>
                <w:bCs/>
              </w:rPr>
            </w:pPr>
            <w:r w:rsidRPr="007D55F3">
              <w:rPr>
                <w:b/>
                <w:bCs/>
              </w:rPr>
              <w:t>NA</w:t>
            </w:r>
          </w:p>
        </w:tc>
        <w:tc>
          <w:tcPr>
            <w:tcW w:w="702" w:type="pct"/>
            <w:shd w:val="clear" w:color="auto" w:fill="E2E6E8" w:themeFill="accent6"/>
          </w:tcPr>
          <w:p w:rsidR="00715069" w:rsidRPr="007D55F3" w:rsidP="007D55F3" w14:paraId="4F5DF95A" w14:textId="567BDB0E">
            <w:pPr>
              <w:pStyle w:val="Table10Centered"/>
              <w:keepNext/>
              <w:keepLines/>
              <w:rPr>
                <w:b/>
                <w:bCs/>
              </w:rPr>
            </w:pPr>
            <w:r>
              <w:rPr>
                <w:b/>
                <w:bCs/>
              </w:rPr>
              <w:t>1</w:t>
            </w:r>
            <w:r w:rsidR="00C82F7E">
              <w:rPr>
                <w:b/>
                <w:bCs/>
              </w:rPr>
              <w:t>1</w:t>
            </w:r>
            <w:r>
              <w:rPr>
                <w:b/>
                <w:bCs/>
              </w:rPr>
              <w:t>,</w:t>
            </w:r>
            <w:r w:rsidR="00C82F7E">
              <w:rPr>
                <w:b/>
                <w:bCs/>
              </w:rPr>
              <w:t>051</w:t>
            </w:r>
          </w:p>
        </w:tc>
        <w:tc>
          <w:tcPr>
            <w:tcW w:w="702" w:type="pct"/>
            <w:shd w:val="clear" w:color="auto" w:fill="E2E6E8" w:themeFill="accent6"/>
          </w:tcPr>
          <w:p w:rsidR="00715069" w:rsidRPr="007D55F3" w:rsidP="007D55F3" w14:paraId="6333CAB5" w14:textId="77777777">
            <w:pPr>
              <w:pStyle w:val="Table10Centered"/>
              <w:keepNext/>
              <w:keepLines/>
              <w:rPr>
                <w:b/>
                <w:bCs/>
              </w:rPr>
            </w:pPr>
            <w:r w:rsidRPr="007D55F3">
              <w:rPr>
                <w:b/>
                <w:bCs/>
              </w:rPr>
              <w:t>NA</w:t>
            </w:r>
          </w:p>
        </w:tc>
        <w:tc>
          <w:tcPr>
            <w:tcW w:w="702" w:type="pct"/>
            <w:shd w:val="clear" w:color="auto" w:fill="E2E6E8" w:themeFill="accent6"/>
          </w:tcPr>
          <w:p w:rsidR="00715069" w:rsidRPr="007D55F3" w:rsidP="007D55F3" w14:paraId="54F479DD" w14:textId="68316BD7">
            <w:pPr>
              <w:pStyle w:val="Table10Centered"/>
              <w:keepNext/>
              <w:keepLines/>
              <w:rPr>
                <w:b/>
                <w:bCs/>
              </w:rPr>
            </w:pPr>
            <w:r w:rsidRPr="007D55F3">
              <w:rPr>
                <w:b/>
                <w:bCs/>
              </w:rPr>
              <w:t>$</w:t>
            </w:r>
            <w:r w:rsidR="0041441A">
              <w:rPr>
                <w:b/>
                <w:bCs/>
              </w:rPr>
              <w:t>522,703</w:t>
            </w:r>
          </w:p>
        </w:tc>
      </w:tr>
    </w:tbl>
    <w:p w:rsidR="00715069" w:rsidRPr="00D54382" w:rsidP="007D55F3" w14:paraId="46D6CB0C" w14:textId="452319FC">
      <w:pPr>
        <w:pStyle w:val="ExhibitNote"/>
        <w:keepNext/>
        <w:keepLines/>
      </w:pPr>
      <w:r w:rsidRPr="00720325">
        <w:rPr>
          <w:szCs w:val="20"/>
        </w:rPr>
        <w:t>NOTE:</w:t>
      </w:r>
      <w:r>
        <w:rPr>
          <w:szCs w:val="20"/>
        </w:rPr>
        <w:t xml:space="preserve"> </w:t>
      </w:r>
      <w:r w:rsidRPr="00D54382">
        <w:rPr>
          <w:szCs w:val="20"/>
        </w:rPr>
        <w:t xml:space="preserve">NA = Not applicable. </w:t>
      </w:r>
      <w:r w:rsidRPr="00D54382">
        <w:t>Wage estimates are based on the May 202</w:t>
      </w:r>
      <w:r>
        <w:t>4</w:t>
      </w:r>
      <w:r w:rsidRPr="00D54382">
        <w:t xml:space="preserve"> National Occupational Employment and Wage </w:t>
      </w:r>
      <w:r w:rsidR="007F642A">
        <w:t>Statistics</w:t>
      </w:r>
      <w:r w:rsidRPr="00D54382">
        <w:t xml:space="preserve"> data for </w:t>
      </w:r>
      <w:r>
        <w:t>o</w:t>
      </w:r>
      <w:r w:rsidRPr="00D54382">
        <w:t xml:space="preserve">ccupation code 11-9030 </w:t>
      </w:r>
      <w:r>
        <w:t>(</w:t>
      </w:r>
      <w:r w:rsidRPr="00D54382">
        <w:t>Education and Childcare Administrators</w:t>
      </w:r>
      <w:r>
        <w:t>,</w:t>
      </w:r>
      <w:r w:rsidRPr="00D54382">
        <w:t xml:space="preserve"> for SEA and LEA reporting) and 25-0000 </w:t>
      </w:r>
      <w:r>
        <w:t>(</w:t>
      </w:r>
      <w:r w:rsidRPr="00D54382">
        <w:t>Educational Instruction and Library Occupations</w:t>
      </w:r>
      <w:r>
        <w:t>,</w:t>
      </w:r>
      <w:r w:rsidRPr="00D54382">
        <w:t xml:space="preserve"> for school reporting)</w:t>
      </w:r>
      <w:r>
        <w:t>,</w:t>
      </w:r>
      <w:r w:rsidRPr="00D54382">
        <w:t xml:space="preserve"> maintained by the Bureau of Labor Statistics</w:t>
      </w:r>
      <w:r>
        <w:t xml:space="preserve"> (</w:t>
      </w:r>
      <w:hyperlink r:id="rId18" w:anchor="/industry/000000" w:history="1">
        <w:r>
          <w:rPr>
            <w:rStyle w:val="Hyperlink"/>
            <w:rFonts w:eastAsia="Calibri" w:asciiTheme="minorHAnsi" w:hAnsiTheme="minorHAnsi" w:cstheme="minorHAnsi"/>
          </w:rPr>
          <w:t>https://data.bls.gov/oes/#/industry/000000</w:t>
        </w:r>
      </w:hyperlink>
      <w:r>
        <w:t>)</w:t>
      </w:r>
      <w:r w:rsidRPr="00D54382">
        <w:t>.</w:t>
      </w:r>
    </w:p>
    <w:p w:rsidR="00715069" w:rsidRPr="00D06A32" w:rsidP="00715069" w14:paraId="3938577D" w14:textId="4F45563C">
      <w:pPr>
        <w:pStyle w:val="Heading3"/>
      </w:pPr>
      <w:bookmarkStart w:id="85" w:name="_Toc215310915"/>
      <w:bookmarkStart w:id="86" w:name="_Toc215312887"/>
      <w:bookmarkStart w:id="87" w:name="_Toc217325191"/>
      <w:r w:rsidRPr="00D06A32">
        <w:t>A.1</w:t>
      </w:r>
      <w:r>
        <w:t xml:space="preserve">3. </w:t>
      </w:r>
      <w:r w:rsidRPr="00D06A32">
        <w:t xml:space="preserve">Estimates of </w:t>
      </w:r>
      <w:r>
        <w:t xml:space="preserve">Other </w:t>
      </w:r>
      <w:r w:rsidRPr="00D06A32">
        <w:t>Cost</w:t>
      </w:r>
      <w:r>
        <w:t>s</w:t>
      </w:r>
      <w:r w:rsidRPr="00D06A32">
        <w:t xml:space="preserve"> to Respondents</w:t>
      </w:r>
      <w:bookmarkEnd w:id="68"/>
      <w:bookmarkEnd w:id="69"/>
      <w:bookmarkEnd w:id="70"/>
      <w:bookmarkEnd w:id="71"/>
      <w:bookmarkEnd w:id="72"/>
      <w:bookmarkEnd w:id="85"/>
      <w:bookmarkEnd w:id="86"/>
      <w:bookmarkEnd w:id="87"/>
    </w:p>
    <w:p w:rsidR="00715069" w:rsidRPr="00870F4A" w:rsidP="007D55F3" w14:paraId="41811EDE" w14:textId="77777777">
      <w:pPr>
        <w:pStyle w:val="BodyTextPostHeading"/>
      </w:pPr>
      <w:r w:rsidRPr="00870F4A">
        <w:t xml:space="preserve">There are no costs to respondents </w:t>
      </w:r>
      <w:r>
        <w:t>for participating</w:t>
      </w:r>
      <w:r w:rsidRPr="00870F4A">
        <w:t xml:space="preserve"> in the NSSES recruitment, </w:t>
      </w:r>
      <w:r>
        <w:t>other than</w:t>
      </w:r>
      <w:r w:rsidRPr="00870F4A">
        <w:t xml:space="preserve"> the time needed to complete recruitment-related activities. No equipment, printing, or postage charges will be incurred by the participants.</w:t>
      </w:r>
    </w:p>
    <w:p w:rsidR="00715069" w:rsidRPr="006056E8" w:rsidP="00715069" w14:paraId="1189F6EE" w14:textId="2E4008E3">
      <w:pPr>
        <w:pStyle w:val="Heading3"/>
      </w:pPr>
      <w:bookmarkStart w:id="88" w:name="_Toc215310916"/>
      <w:bookmarkStart w:id="89" w:name="_Toc215312888"/>
      <w:bookmarkStart w:id="90" w:name="_Toc217325192"/>
      <w:r w:rsidRPr="006056E8">
        <w:t>A.14</w:t>
      </w:r>
      <w:r>
        <w:t xml:space="preserve">. Estimates of Annualized </w:t>
      </w:r>
      <w:r w:rsidRPr="006056E8">
        <w:t>Cost</w:t>
      </w:r>
      <w:r>
        <w:t>s</w:t>
      </w:r>
      <w:r w:rsidRPr="006056E8">
        <w:t xml:space="preserve"> to the Federal Government</w:t>
      </w:r>
      <w:bookmarkEnd w:id="88"/>
      <w:bookmarkEnd w:id="89"/>
      <w:bookmarkEnd w:id="90"/>
    </w:p>
    <w:p w:rsidR="00715069" w:rsidRPr="00A7774D" w:rsidP="007D55F3" w14:paraId="74D2B87D" w14:textId="2DAB00C1">
      <w:pPr>
        <w:pStyle w:val="BodyTextPostHeading"/>
      </w:pPr>
      <w:r>
        <w:t xml:space="preserve">The total cost for the study recruitment is </w:t>
      </w:r>
      <w:r w:rsidR="00831745">
        <w:t xml:space="preserve">approximately </w:t>
      </w:r>
      <w:r w:rsidRPr="00831745" w:rsidR="00831745">
        <w:t>$</w:t>
      </w:r>
      <w:r w:rsidR="00462E23">
        <w:t>3,000,000</w:t>
      </w:r>
      <w:r w:rsidRPr="00831745" w:rsidR="00831745">
        <w:t xml:space="preserve"> </w:t>
      </w:r>
      <w:r w:rsidRPr="00693880">
        <w:t xml:space="preserve">across </w:t>
      </w:r>
      <w:r w:rsidRPr="00693880" w:rsidR="00693880">
        <w:t>12</w:t>
      </w:r>
      <w:r w:rsidRPr="00693880">
        <w:t xml:space="preserve"> months.</w:t>
      </w:r>
    </w:p>
    <w:p w:rsidR="00715069" w:rsidRPr="006056E8" w:rsidP="00715069" w14:paraId="52FC7DCF" w14:textId="61FDBD0D">
      <w:pPr>
        <w:pStyle w:val="Heading3"/>
      </w:pPr>
      <w:bookmarkStart w:id="91" w:name="_Toc215310917"/>
      <w:bookmarkStart w:id="92" w:name="_Toc215312889"/>
      <w:bookmarkStart w:id="93" w:name="_Toc217325193"/>
      <w:bookmarkEnd w:id="73"/>
      <w:bookmarkEnd w:id="74"/>
      <w:bookmarkEnd w:id="75"/>
      <w:bookmarkEnd w:id="76"/>
      <w:r w:rsidRPr="006056E8">
        <w:t>A.15</w:t>
      </w:r>
      <w:r>
        <w:t>. Explanation for Program Changes or Adjustments to Burden</w:t>
      </w:r>
      <w:bookmarkEnd w:id="91"/>
      <w:bookmarkEnd w:id="92"/>
      <w:bookmarkEnd w:id="93"/>
    </w:p>
    <w:p w:rsidR="00715069" w:rsidRPr="00CD5EFC" w:rsidP="007D55F3" w14:paraId="3B734557" w14:textId="77777777">
      <w:pPr>
        <w:pStyle w:val="BodyTextPostHeading"/>
      </w:pPr>
      <w:r w:rsidRPr="00CD5EFC">
        <w:t>This clearance request covers a new information collection only.</w:t>
      </w:r>
    </w:p>
    <w:p w:rsidR="00715069" w:rsidRPr="006056E8" w:rsidP="00715069" w14:paraId="5037FDF6" w14:textId="13EB8051">
      <w:pPr>
        <w:pStyle w:val="Heading3"/>
      </w:pPr>
      <w:bookmarkStart w:id="94" w:name="_Toc215310918"/>
      <w:bookmarkStart w:id="95" w:name="_Toc215312890"/>
      <w:bookmarkStart w:id="96" w:name="_Toc217325194"/>
      <w:r w:rsidRPr="006056E8">
        <w:t>A.16</w:t>
      </w:r>
      <w:r>
        <w:t>.</w:t>
      </w:r>
      <w:r w:rsidRPr="006056E8">
        <w:t xml:space="preserve"> </w:t>
      </w:r>
      <w:r>
        <w:t>Plans for Tabulation and Publication of Results</w:t>
      </w:r>
      <w:bookmarkEnd w:id="94"/>
      <w:bookmarkEnd w:id="95"/>
      <w:bookmarkEnd w:id="96"/>
    </w:p>
    <w:p w:rsidR="00715069" w:rsidRPr="00F82FCC" w:rsidP="007D55F3" w14:paraId="0F169AAA" w14:textId="539545D9">
      <w:pPr>
        <w:pStyle w:val="BodyTextPostHeading"/>
      </w:pPr>
      <w:r>
        <w:t xml:space="preserve">The study will culminate in a published restricted-use data file available to researchers and one or more reports that provide a comprehensive overview of the study’s findings in relation to </w:t>
      </w:r>
      <w:r>
        <w:t xml:space="preserve">the four RQs. In an appendix or supplement to the report(s), NCEE will publish data documentation that describes the recruitment activities, the sample design, and the achieved sample. </w:t>
      </w:r>
      <w:r w:rsidRPr="00F82FCC">
        <w:t xml:space="preserve">The project schedule </w:t>
      </w:r>
      <w:r>
        <w:t>(e</w:t>
      </w:r>
      <w:r w:rsidRPr="00AD10C3">
        <w:t>xhibit A-</w:t>
      </w:r>
      <w:r>
        <w:t>6</w:t>
      </w:r>
      <w:r w:rsidRPr="009F328A">
        <w:t>) calls</w:t>
      </w:r>
      <w:r w:rsidRPr="00F82FCC">
        <w:t xml:space="preserve"> for recruitment to begin </w:t>
      </w:r>
      <w:r w:rsidR="00E007EA">
        <w:t xml:space="preserve">July </w:t>
      </w:r>
      <w:r>
        <w:t>15, 202</w:t>
      </w:r>
      <w:r w:rsidR="00D5722E">
        <w:t>6</w:t>
      </w:r>
      <w:r w:rsidRPr="00F82FCC">
        <w:t xml:space="preserve">. </w:t>
      </w:r>
      <w:r>
        <w:t xml:space="preserve">Recruitment </w:t>
      </w:r>
      <w:r w:rsidRPr="00F82FCC">
        <w:t xml:space="preserve">is expected to be completed within </w:t>
      </w:r>
      <w:r w:rsidR="004F5144">
        <w:t>12</w:t>
      </w:r>
      <w:r w:rsidRPr="00F82FCC" w:rsidR="004F5144">
        <w:t xml:space="preserve"> </w:t>
      </w:r>
      <w:r w:rsidRPr="00F82FCC">
        <w:t>months of OMB approval</w:t>
      </w:r>
      <w:r>
        <w:t xml:space="preserve">. Data collection is scheduled for completion in </w:t>
      </w:r>
      <w:r w:rsidR="00E007EA">
        <w:t xml:space="preserve">Fall </w:t>
      </w:r>
      <w:r>
        <w:t>202</w:t>
      </w:r>
      <w:r w:rsidR="001A20B7">
        <w:t>7</w:t>
      </w:r>
      <w:r>
        <w:t>, and the first study findings report is anticipated in 2028.</w:t>
      </w:r>
    </w:p>
    <w:p w:rsidR="00715069" w:rsidRPr="005D4DFA" w:rsidP="005D4DFA" w14:paraId="71382C7E" w14:textId="29D2206B">
      <w:pPr>
        <w:pStyle w:val="ExhibitTitle"/>
      </w:pPr>
      <w:bookmarkStart w:id="97" w:name="_Toc217325203"/>
      <w:r w:rsidRPr="005D4DFA">
        <w:t>Exhibit A-6. Project schedule</w:t>
      </w:r>
      <w:bookmarkEnd w:id="97"/>
    </w:p>
    <w:tbl>
      <w:tblPr>
        <w:tblStyle w:val="TableStyle-AIR2021"/>
        <w:tblW w:w="5000" w:type="pct"/>
        <w:tblLook w:val="04A0"/>
      </w:tblPr>
      <w:tblGrid>
        <w:gridCol w:w="5756"/>
        <w:gridCol w:w="1831"/>
        <w:gridCol w:w="1773"/>
      </w:tblGrid>
      <w:tr w14:paraId="4CB244E2" w14:textId="77777777" w:rsidTr="005D4DFA">
        <w:tblPrEx>
          <w:tblW w:w="5000" w:type="pct"/>
          <w:tblLook w:val="04A0"/>
        </w:tblPrEx>
        <w:trPr>
          <w:trHeight w:val="332"/>
          <w:tblHeader/>
        </w:trPr>
        <w:tc>
          <w:tcPr>
            <w:tcW w:w="3075" w:type="pct"/>
          </w:tcPr>
          <w:p w:rsidR="00715069" w:rsidRPr="005D4DFA" w:rsidP="005D4DFA" w14:paraId="130FDB95" w14:textId="77777777">
            <w:pPr>
              <w:pStyle w:val="Table11ColumnHeading"/>
            </w:pPr>
            <w:r w:rsidRPr="005D4DFA">
              <w:t>Activity</w:t>
            </w:r>
          </w:p>
        </w:tc>
        <w:tc>
          <w:tcPr>
            <w:tcW w:w="978" w:type="pct"/>
          </w:tcPr>
          <w:p w:rsidR="00715069" w:rsidRPr="005D4DFA" w:rsidP="005D4DFA" w14:paraId="626795B4" w14:textId="513A9876">
            <w:pPr>
              <w:pStyle w:val="Table11ColumnHeading"/>
            </w:pPr>
            <w:r w:rsidRPr="005D4DFA">
              <w:t>Anticipated start date</w:t>
            </w:r>
          </w:p>
        </w:tc>
        <w:tc>
          <w:tcPr>
            <w:tcW w:w="947" w:type="pct"/>
          </w:tcPr>
          <w:p w:rsidR="00715069" w:rsidRPr="005D4DFA" w:rsidP="005D4DFA" w14:paraId="3AE70B88" w14:textId="7845DBF4">
            <w:pPr>
              <w:pStyle w:val="Table11ColumnHeading"/>
            </w:pPr>
            <w:r w:rsidRPr="005D4DFA">
              <w:t>Anticipated end date</w:t>
            </w:r>
          </w:p>
        </w:tc>
      </w:tr>
      <w:tr w14:paraId="6FDF8B79" w14:textId="77777777" w:rsidTr="005D4DFA">
        <w:tblPrEx>
          <w:tblW w:w="5000" w:type="pct"/>
          <w:tblLook w:val="04A0"/>
        </w:tblPrEx>
        <w:trPr>
          <w:trHeight w:val="288"/>
        </w:trPr>
        <w:tc>
          <w:tcPr>
            <w:tcW w:w="3075" w:type="pct"/>
          </w:tcPr>
          <w:p w:rsidR="00715069" w:rsidRPr="005D4DFA" w:rsidP="005D4DFA" w14:paraId="6E098231" w14:textId="77777777">
            <w:pPr>
              <w:pStyle w:val="Table11RowHeading"/>
            </w:pPr>
            <w:r w:rsidRPr="005D4DFA">
              <w:t>SEA notification and recruitment</w:t>
            </w:r>
          </w:p>
        </w:tc>
        <w:tc>
          <w:tcPr>
            <w:tcW w:w="978" w:type="pct"/>
          </w:tcPr>
          <w:p w:rsidR="00715069" w:rsidRPr="005D4DFA" w:rsidP="005D4DFA" w14:paraId="7DD487CF" w14:textId="7A012651">
            <w:pPr>
              <w:pStyle w:val="Table11Centered"/>
            </w:pPr>
            <w:r>
              <w:t>7</w:t>
            </w:r>
            <w:r w:rsidRPr="005D4DFA">
              <w:t>/15/2026</w:t>
            </w:r>
          </w:p>
        </w:tc>
        <w:tc>
          <w:tcPr>
            <w:tcW w:w="947" w:type="pct"/>
          </w:tcPr>
          <w:p w:rsidR="00715069" w:rsidRPr="005D4DFA" w:rsidP="005D4DFA" w14:paraId="5D6B13B2" w14:textId="7E0766D6">
            <w:pPr>
              <w:pStyle w:val="Table11Centered"/>
            </w:pPr>
            <w:r>
              <w:t>10</w:t>
            </w:r>
            <w:r w:rsidRPr="005D4DFA">
              <w:t>/30/2026</w:t>
            </w:r>
          </w:p>
        </w:tc>
      </w:tr>
      <w:tr w14:paraId="1B4BD344" w14:textId="77777777" w:rsidTr="005D4DFA">
        <w:tblPrEx>
          <w:tblW w:w="5000" w:type="pct"/>
          <w:tblLook w:val="04A0"/>
        </w:tblPrEx>
        <w:trPr>
          <w:trHeight w:val="288"/>
        </w:trPr>
        <w:tc>
          <w:tcPr>
            <w:tcW w:w="3075" w:type="pct"/>
          </w:tcPr>
          <w:p w:rsidR="00715069" w:rsidRPr="005D4DFA" w:rsidP="005D4DFA" w14:paraId="6DF68BCD" w14:textId="77777777">
            <w:pPr>
              <w:pStyle w:val="Table11RowHeading"/>
            </w:pPr>
            <w:r w:rsidRPr="005D4DFA">
              <w:t>LEA recruitment</w:t>
            </w:r>
          </w:p>
        </w:tc>
        <w:tc>
          <w:tcPr>
            <w:tcW w:w="978" w:type="pct"/>
          </w:tcPr>
          <w:p w:rsidR="00715069" w:rsidRPr="005D4DFA" w:rsidP="005D4DFA" w14:paraId="265E3893" w14:textId="1921A151">
            <w:pPr>
              <w:pStyle w:val="Table11Centered"/>
            </w:pPr>
            <w:r>
              <w:t>7</w:t>
            </w:r>
            <w:r w:rsidRPr="005D4DFA">
              <w:t>/31/2026</w:t>
            </w:r>
          </w:p>
        </w:tc>
        <w:tc>
          <w:tcPr>
            <w:tcW w:w="947" w:type="pct"/>
          </w:tcPr>
          <w:p w:rsidR="00715069" w:rsidRPr="005D4DFA" w:rsidP="005D4DFA" w14:paraId="07AD380C" w14:textId="3180964B">
            <w:pPr>
              <w:pStyle w:val="Table11Centered"/>
            </w:pPr>
            <w:r w:rsidRPr="005D4DFA">
              <w:t>1/31/202</w:t>
            </w:r>
            <w:r w:rsidR="00E40A4C">
              <w:t>7</w:t>
            </w:r>
          </w:p>
        </w:tc>
      </w:tr>
      <w:tr w14:paraId="4E834CE6" w14:textId="77777777" w:rsidTr="005D4DFA">
        <w:tblPrEx>
          <w:tblW w:w="5000" w:type="pct"/>
          <w:tblLook w:val="04A0"/>
        </w:tblPrEx>
        <w:trPr>
          <w:trHeight w:val="288"/>
        </w:trPr>
        <w:tc>
          <w:tcPr>
            <w:tcW w:w="3075" w:type="pct"/>
          </w:tcPr>
          <w:p w:rsidR="00715069" w:rsidRPr="005D4DFA" w:rsidP="005D4DFA" w14:paraId="46F4A64E" w14:textId="77777777">
            <w:pPr>
              <w:pStyle w:val="Table11RowHeading"/>
            </w:pPr>
            <w:r w:rsidRPr="005D4DFA">
              <w:t>School recruitment</w:t>
            </w:r>
          </w:p>
        </w:tc>
        <w:tc>
          <w:tcPr>
            <w:tcW w:w="978" w:type="pct"/>
          </w:tcPr>
          <w:p w:rsidR="00715069" w:rsidRPr="005D4DFA" w:rsidP="005D4DFA" w14:paraId="329CC691" w14:textId="00EDEEF9">
            <w:pPr>
              <w:pStyle w:val="Table11Centered"/>
            </w:pPr>
            <w:r>
              <w:t>10</w:t>
            </w:r>
            <w:r w:rsidRPr="005D4DFA">
              <w:t>/30/2026</w:t>
            </w:r>
          </w:p>
        </w:tc>
        <w:tc>
          <w:tcPr>
            <w:tcW w:w="947" w:type="pct"/>
          </w:tcPr>
          <w:p w:rsidR="00715069" w:rsidRPr="005D4DFA" w:rsidP="005D4DFA" w14:paraId="437A8669" w14:textId="42943156">
            <w:pPr>
              <w:pStyle w:val="Table11Centered"/>
            </w:pPr>
            <w:r w:rsidRPr="005D4DFA">
              <w:t>6/30/2027</w:t>
            </w:r>
          </w:p>
        </w:tc>
      </w:tr>
      <w:tr w14:paraId="3C1D5058" w14:textId="77777777" w:rsidTr="005D4DFA">
        <w:tblPrEx>
          <w:tblW w:w="5000" w:type="pct"/>
          <w:tblLook w:val="04A0"/>
        </w:tblPrEx>
        <w:trPr>
          <w:trHeight w:val="288"/>
        </w:trPr>
        <w:tc>
          <w:tcPr>
            <w:tcW w:w="3075" w:type="pct"/>
          </w:tcPr>
          <w:p w:rsidR="00715069" w:rsidRPr="005D4DFA" w:rsidP="005D4DFA" w14:paraId="1E29FCD5" w14:textId="77777777">
            <w:pPr>
              <w:pStyle w:val="Table11RowHeading"/>
            </w:pPr>
            <w:r w:rsidRPr="005D4DFA">
              <w:t>Publication of data documentation</w:t>
            </w:r>
          </w:p>
        </w:tc>
        <w:tc>
          <w:tcPr>
            <w:tcW w:w="978" w:type="pct"/>
          </w:tcPr>
          <w:p w:rsidR="00715069" w:rsidRPr="005D4DFA" w:rsidP="005D4DFA" w14:paraId="4BD532B9" w14:textId="77777777">
            <w:pPr>
              <w:pStyle w:val="Table11Centered"/>
            </w:pPr>
            <w:r w:rsidRPr="005D4DFA">
              <w:t>TBD</w:t>
            </w:r>
          </w:p>
        </w:tc>
        <w:tc>
          <w:tcPr>
            <w:tcW w:w="947" w:type="pct"/>
          </w:tcPr>
          <w:p w:rsidR="00715069" w:rsidRPr="005D4DFA" w:rsidP="005D4DFA" w14:paraId="4D07B7A7" w14:textId="77777777">
            <w:pPr>
              <w:pStyle w:val="Table11Centered"/>
            </w:pPr>
            <w:r w:rsidRPr="005D4DFA">
              <w:t>12/31/2028</w:t>
            </w:r>
          </w:p>
        </w:tc>
      </w:tr>
    </w:tbl>
    <w:p w:rsidR="00715069" w:rsidRPr="006056E8" w:rsidP="00715069" w14:paraId="4BA00F2B" w14:textId="4FA6A162">
      <w:pPr>
        <w:pStyle w:val="Heading3"/>
      </w:pPr>
      <w:bookmarkStart w:id="98" w:name="_Toc215310919"/>
      <w:bookmarkStart w:id="99" w:name="_Toc215312891"/>
      <w:bookmarkStart w:id="100" w:name="_Toc217325195"/>
      <w:r w:rsidRPr="006056E8">
        <w:t>A.17</w:t>
      </w:r>
      <w:r>
        <w:t>.</w:t>
      </w:r>
      <w:r w:rsidRPr="006056E8">
        <w:t xml:space="preserve"> Approval </w:t>
      </w:r>
      <w:r>
        <w:t>to Not Display</w:t>
      </w:r>
      <w:r w:rsidRPr="006056E8">
        <w:t xml:space="preserve"> OMB </w:t>
      </w:r>
      <w:r>
        <w:t>Expiration Date</w:t>
      </w:r>
      <w:bookmarkEnd w:id="98"/>
      <w:bookmarkEnd w:id="99"/>
      <w:bookmarkEnd w:id="100"/>
    </w:p>
    <w:p w:rsidR="00715069" w:rsidRPr="005C1689" w:rsidP="007D55F3" w14:paraId="5672BE3C" w14:textId="77777777">
      <w:pPr>
        <w:pStyle w:val="BodyTextPostHeading"/>
      </w:pPr>
      <w:r w:rsidRPr="005C1689">
        <w:t xml:space="preserve">No exemption from the requirement to display the expiration date for OMB approval of the information collection is being requested for the </w:t>
      </w:r>
      <w:r>
        <w:t>NSSES recruitment</w:t>
      </w:r>
      <w:r w:rsidRPr="005C1689">
        <w:t>.</w:t>
      </w:r>
    </w:p>
    <w:p w:rsidR="00715069" w:rsidRPr="006056E8" w:rsidP="00715069" w14:paraId="0AF8E6EE" w14:textId="0F3893D3">
      <w:pPr>
        <w:pStyle w:val="Heading3"/>
      </w:pPr>
      <w:bookmarkStart w:id="101" w:name="_Toc215310920"/>
      <w:bookmarkStart w:id="102" w:name="_Toc215312892"/>
      <w:bookmarkStart w:id="103" w:name="_Toc217325196"/>
      <w:r w:rsidRPr="006056E8">
        <w:t>A.18</w:t>
      </w:r>
      <w:r>
        <w:t>.</w:t>
      </w:r>
      <w:r w:rsidRPr="006056E8">
        <w:t xml:space="preserve"> </w:t>
      </w:r>
      <w:r>
        <w:t>Explanation of Exceptions to the Paperwork Reduction Act</w:t>
      </w:r>
      <w:bookmarkEnd w:id="101"/>
      <w:bookmarkEnd w:id="102"/>
      <w:bookmarkEnd w:id="103"/>
    </w:p>
    <w:p w:rsidR="00715069" w:rsidRPr="00A507AF" w:rsidP="007D55F3" w14:paraId="09BFF7DB" w14:textId="77777777">
      <w:pPr>
        <w:pStyle w:val="BodyTextPostHeading"/>
        <w:rPr>
          <w:rStyle w:val="BodyTextChar"/>
        </w:rPr>
      </w:pPr>
      <w:r w:rsidRPr="005C1689">
        <w:t xml:space="preserve">No exceptions to the certification statement apply to the </w:t>
      </w:r>
      <w:r>
        <w:t>NSSES recruitment</w:t>
      </w:r>
      <w:r w:rsidRPr="005C1689">
        <w:t>.</w:t>
      </w:r>
      <w:r w:rsidRPr="00A507AF">
        <w:rPr>
          <w:rStyle w:val="BodyTextChar"/>
        </w:rPr>
        <w:br w:type="page"/>
      </w:r>
    </w:p>
    <w:p w:rsidR="00715069" w:rsidP="00715069" w14:paraId="2494334C" w14:textId="77777777">
      <w:pPr>
        <w:pStyle w:val="Heading2Report"/>
      </w:pPr>
      <w:bookmarkStart w:id="104" w:name="_Toc215310921"/>
      <w:bookmarkStart w:id="105" w:name="_Toc215312893"/>
      <w:bookmarkStart w:id="106" w:name="_Toc217325197"/>
      <w:r w:rsidRPr="00C53494">
        <w:t>References</w:t>
      </w:r>
      <w:bookmarkEnd w:id="104"/>
      <w:bookmarkEnd w:id="105"/>
      <w:bookmarkEnd w:id="106"/>
    </w:p>
    <w:p w:rsidR="00715069" w:rsidRPr="00715069" w:rsidP="00715069" w14:paraId="2847B2CE" w14:textId="77777777">
      <w:pPr>
        <w:pStyle w:val="H2Line075-12-6"/>
        <w:framePr w:wrap="notBeside"/>
        <w:rPr>
          <w:lang w:eastAsia="en-US"/>
        </w:rPr>
      </w:pPr>
    </w:p>
    <w:p w:rsidR="00715069" w:rsidRPr="00850453" w:rsidP="00715069" w14:paraId="6480C0ED" w14:textId="2F5EA6E5">
      <w:pPr>
        <w:pStyle w:val="Reference"/>
      </w:pPr>
      <w:r w:rsidRPr="00850453">
        <w:t xml:space="preserve">Bailey, T.R. (2019, September 20). </w:t>
      </w:r>
      <w:r w:rsidRPr="00850453">
        <w:rPr>
          <w:i/>
          <w:iCs/>
        </w:rPr>
        <w:t xml:space="preserve">Is MTSS the </w:t>
      </w:r>
      <w:r>
        <w:rPr>
          <w:i/>
          <w:iCs/>
        </w:rPr>
        <w:t>N</w:t>
      </w:r>
      <w:r w:rsidRPr="00850453">
        <w:rPr>
          <w:i/>
          <w:iCs/>
        </w:rPr>
        <w:t xml:space="preserve">ew RTI? Depends on </w:t>
      </w:r>
      <w:r>
        <w:rPr>
          <w:i/>
          <w:iCs/>
        </w:rPr>
        <w:t>W</w:t>
      </w:r>
      <w:r w:rsidRPr="00850453">
        <w:rPr>
          <w:i/>
          <w:iCs/>
        </w:rPr>
        <w:t xml:space="preserve">here </w:t>
      </w:r>
      <w:r>
        <w:rPr>
          <w:i/>
          <w:iCs/>
        </w:rPr>
        <w:t>Y</w:t>
      </w:r>
      <w:r w:rsidRPr="00850453">
        <w:rPr>
          <w:i/>
          <w:iCs/>
        </w:rPr>
        <w:t xml:space="preserve">ou </w:t>
      </w:r>
      <w:r>
        <w:rPr>
          <w:i/>
          <w:iCs/>
        </w:rPr>
        <w:t>L</w:t>
      </w:r>
      <w:r w:rsidRPr="00850453">
        <w:rPr>
          <w:i/>
          <w:iCs/>
        </w:rPr>
        <w:t>ive</w:t>
      </w:r>
      <w:r w:rsidRPr="00850453">
        <w:t xml:space="preserve">. American Institutes for Research. </w:t>
      </w:r>
      <w:hyperlink r:id="rId19" w:history="1">
        <w:r w:rsidRPr="00850453">
          <w:rPr>
            <w:rStyle w:val="Hyperlink"/>
            <w:rFonts w:cstheme="minorHAnsi"/>
          </w:rPr>
          <w:t>https://mtss4success.o</w:t>
        </w:r>
        <w:r w:rsidRPr="00850453">
          <w:rPr>
            <w:rStyle w:val="Hyperlink"/>
            <w:rFonts w:cstheme="minorHAnsi"/>
            <w:color w:val="0563C1"/>
          </w:rPr>
          <w:t>rg/blo</w:t>
        </w:r>
        <w:r w:rsidRPr="00850453">
          <w:rPr>
            <w:rStyle w:val="Hyperlink"/>
            <w:rFonts w:cstheme="minorHAnsi"/>
          </w:rPr>
          <w:t>g/mtss-new-rti-depends-where-you-live</w:t>
        </w:r>
      </w:hyperlink>
      <w:r>
        <w:t>.</w:t>
      </w:r>
    </w:p>
    <w:p w:rsidR="00715069" w:rsidRPr="00850453" w:rsidP="00715069" w14:paraId="3A762787" w14:textId="381E7263">
      <w:pPr>
        <w:pStyle w:val="Reference"/>
      </w:pPr>
      <w:r w:rsidRPr="00850453">
        <w:t xml:space="preserve">Bailey, T.R. (2021, August 26). </w:t>
      </w:r>
      <w:r w:rsidRPr="00850453">
        <w:rPr>
          <w:i/>
          <w:iCs/>
        </w:rPr>
        <w:t xml:space="preserve">We’ve </w:t>
      </w:r>
      <w:r>
        <w:rPr>
          <w:i/>
          <w:iCs/>
        </w:rPr>
        <w:t>G</w:t>
      </w:r>
      <w:r w:rsidRPr="00850453">
        <w:rPr>
          <w:i/>
          <w:iCs/>
        </w:rPr>
        <w:t xml:space="preserve">ot </w:t>
      </w:r>
      <w:r>
        <w:rPr>
          <w:i/>
          <w:iCs/>
        </w:rPr>
        <w:t>T</w:t>
      </w:r>
      <w:r w:rsidRPr="00850453">
        <w:rPr>
          <w:i/>
          <w:iCs/>
        </w:rPr>
        <w:t xml:space="preserve">his! Lessons </w:t>
      </w:r>
      <w:r>
        <w:rPr>
          <w:i/>
          <w:iCs/>
        </w:rPr>
        <w:t>L</w:t>
      </w:r>
      <w:r w:rsidRPr="00850453">
        <w:rPr>
          <w:i/>
          <w:iCs/>
        </w:rPr>
        <w:t xml:space="preserve">earned </w:t>
      </w:r>
      <w:r>
        <w:rPr>
          <w:i/>
          <w:iCs/>
        </w:rPr>
        <w:t>A</w:t>
      </w:r>
      <w:r w:rsidRPr="00850453">
        <w:rPr>
          <w:i/>
          <w:iCs/>
        </w:rPr>
        <w:t xml:space="preserve">fter 20 </w:t>
      </w:r>
      <w:r>
        <w:rPr>
          <w:i/>
          <w:iCs/>
        </w:rPr>
        <w:t>Y</w:t>
      </w:r>
      <w:r w:rsidRPr="00850453">
        <w:rPr>
          <w:i/>
          <w:iCs/>
        </w:rPr>
        <w:t xml:space="preserve">ears of MTSS </w:t>
      </w:r>
      <w:r>
        <w:rPr>
          <w:i/>
          <w:iCs/>
        </w:rPr>
        <w:t>I</w:t>
      </w:r>
      <w:r w:rsidRPr="00850453">
        <w:rPr>
          <w:i/>
          <w:iCs/>
        </w:rPr>
        <w:t>mplementation</w:t>
      </w:r>
      <w:r w:rsidRPr="00850453">
        <w:t>. Presented at the MTSS and PBIS First Virtual Conference, Atlanta, GA.</w:t>
      </w:r>
    </w:p>
    <w:p w:rsidR="00715069" w:rsidRPr="00E066AA" w:rsidP="00715069" w14:paraId="61D7414E" w14:textId="1618050B">
      <w:pPr>
        <w:pStyle w:val="Reference"/>
      </w:pPr>
      <w:r>
        <w:t xml:space="preserve">Barret, C.A., Stevenson, N.A., and Burns, M.K. (2020). Relationship Between Disability, Time Spent in General Education and Academic Achievement. </w:t>
      </w:r>
      <w:r>
        <w:rPr>
          <w:i/>
          <w:iCs/>
        </w:rPr>
        <w:t>Educational Studies, 46</w:t>
      </w:r>
      <w:r>
        <w:t>(4)</w:t>
      </w:r>
      <w:r w:rsidR="004A0566">
        <w:t>:</w:t>
      </w:r>
      <w:r>
        <w:t xml:space="preserve"> 497–512.</w:t>
      </w:r>
    </w:p>
    <w:p w:rsidR="00715069" w:rsidP="00715069" w14:paraId="19F13052" w14:textId="3D6CE0A7">
      <w:pPr>
        <w:pStyle w:val="Reference"/>
      </w:pPr>
      <w:r>
        <w:t xml:space="preserve">Cleveland, C., and Markham, J. (2024). </w:t>
      </w:r>
      <w:r w:rsidRPr="0019208C">
        <w:rPr>
          <w:i/>
          <w:iCs/>
        </w:rPr>
        <w:t xml:space="preserve">Understanding Individualized Education Program (IEP) </w:t>
      </w:r>
      <w:r>
        <w:rPr>
          <w:i/>
          <w:iCs/>
        </w:rPr>
        <w:t>G</w:t>
      </w:r>
      <w:r w:rsidRPr="0019208C">
        <w:rPr>
          <w:i/>
          <w:iCs/>
        </w:rPr>
        <w:t xml:space="preserve">oal at </w:t>
      </w:r>
      <w:r>
        <w:rPr>
          <w:i/>
          <w:iCs/>
        </w:rPr>
        <w:t>S</w:t>
      </w:r>
      <w:r w:rsidRPr="0019208C">
        <w:rPr>
          <w:i/>
          <w:iCs/>
        </w:rPr>
        <w:t>cale</w:t>
      </w:r>
      <w:r>
        <w:t xml:space="preserve">. Wheelock Educational Policy Center, Working Paper 2024-1. </w:t>
      </w:r>
      <w:hyperlink r:id="rId20" w:history="1">
        <w:r w:rsidRPr="00E11863">
          <w:rPr>
            <w:rStyle w:val="Hyperlink"/>
            <w:rFonts w:cstheme="minorHAnsi"/>
          </w:rPr>
          <w:t>https://wheelockpolicycenter.org/wp-content/uploads/2024/07/IEP-Goals-Working-Paper-2024-07-11.pdf</w:t>
        </w:r>
      </w:hyperlink>
      <w:r>
        <w:t>.</w:t>
      </w:r>
    </w:p>
    <w:p w:rsidR="00715069" w:rsidRPr="00850453" w:rsidP="00715069" w14:paraId="54D76B3E" w14:textId="6E6CC6D4">
      <w:pPr>
        <w:pStyle w:val="Reference"/>
      </w:pPr>
      <w:r w:rsidRPr="00850453">
        <w:t xml:space="preserve">Griffith, M. (2016, July 27). </w:t>
      </w:r>
      <w:r w:rsidRPr="00850453">
        <w:rPr>
          <w:i/>
          <w:iCs/>
        </w:rPr>
        <w:t xml:space="preserve">Do </w:t>
      </w:r>
      <w:r>
        <w:rPr>
          <w:i/>
          <w:iCs/>
        </w:rPr>
        <w:t>W</w:t>
      </w:r>
      <w:r w:rsidRPr="00850453">
        <w:rPr>
          <w:i/>
          <w:iCs/>
        </w:rPr>
        <w:t xml:space="preserve">e </w:t>
      </w:r>
      <w:r>
        <w:rPr>
          <w:i/>
          <w:iCs/>
        </w:rPr>
        <w:t>S</w:t>
      </w:r>
      <w:r w:rsidRPr="00850453">
        <w:rPr>
          <w:i/>
          <w:iCs/>
        </w:rPr>
        <w:t xml:space="preserve">pend </w:t>
      </w:r>
      <w:r>
        <w:rPr>
          <w:i/>
          <w:iCs/>
        </w:rPr>
        <w:t>T</w:t>
      </w:r>
      <w:r w:rsidRPr="00850453">
        <w:rPr>
          <w:i/>
          <w:iCs/>
        </w:rPr>
        <w:t xml:space="preserve">oo </w:t>
      </w:r>
      <w:r>
        <w:rPr>
          <w:i/>
          <w:iCs/>
        </w:rPr>
        <w:t>M</w:t>
      </w:r>
      <w:r w:rsidRPr="00850453">
        <w:rPr>
          <w:i/>
          <w:iCs/>
        </w:rPr>
        <w:t xml:space="preserve">uch on </w:t>
      </w:r>
      <w:r>
        <w:rPr>
          <w:i/>
          <w:iCs/>
        </w:rPr>
        <w:t>S</w:t>
      </w:r>
      <w:r w:rsidRPr="00850453">
        <w:rPr>
          <w:i/>
          <w:iCs/>
        </w:rPr>
        <w:t xml:space="preserve">pecial </w:t>
      </w:r>
      <w:r>
        <w:rPr>
          <w:i/>
          <w:iCs/>
        </w:rPr>
        <w:t>E</w:t>
      </w:r>
      <w:r w:rsidRPr="00850453">
        <w:rPr>
          <w:i/>
          <w:iCs/>
        </w:rPr>
        <w:t xml:space="preserve">ducation? </w:t>
      </w:r>
      <w:r w:rsidRPr="00850453">
        <w:t>EdNote</w:t>
      </w:r>
      <w:r w:rsidRPr="00850453">
        <w:t xml:space="preserve">. </w:t>
      </w:r>
      <w:hyperlink r:id="rId21" w:history="1">
        <w:r w:rsidRPr="00850453">
          <w:rPr>
            <w:rStyle w:val="Hyperlink"/>
            <w:rFonts w:cstheme="minorHAnsi"/>
          </w:rPr>
          <w:t>https://ednote.ecs.org/do-we-spend-too-much-on-special-education-in-this-country/</w:t>
        </w:r>
      </w:hyperlink>
      <w:r>
        <w:t>.</w:t>
      </w:r>
    </w:p>
    <w:p w:rsidR="00715069" w:rsidRPr="00850453" w:rsidP="00715069" w14:paraId="6739FEDD" w14:textId="12FACC24">
      <w:pPr>
        <w:pStyle w:val="Reference"/>
      </w:pPr>
      <w:r w:rsidRPr="00850453">
        <w:t xml:space="preserve">Harr-Robins, J., Song, M., Hurlburt, S., Pruce, C., Danielson, L., </w:t>
      </w:r>
      <w:r>
        <w:t>and</w:t>
      </w:r>
      <w:r w:rsidRPr="00850453">
        <w:t xml:space="preserve"> Garet, M. (2013). </w:t>
      </w:r>
      <w:r w:rsidRPr="00850453">
        <w:rPr>
          <w:i/>
          <w:iCs/>
        </w:rPr>
        <w:t xml:space="preserve">The </w:t>
      </w:r>
      <w:r>
        <w:rPr>
          <w:i/>
          <w:iCs/>
        </w:rPr>
        <w:t>I</w:t>
      </w:r>
      <w:r w:rsidRPr="00850453">
        <w:rPr>
          <w:i/>
          <w:iCs/>
        </w:rPr>
        <w:t xml:space="preserve">nclusion of </w:t>
      </w:r>
      <w:r>
        <w:rPr>
          <w:i/>
          <w:iCs/>
        </w:rPr>
        <w:t>S</w:t>
      </w:r>
      <w:r w:rsidRPr="00850453">
        <w:rPr>
          <w:i/>
          <w:iCs/>
        </w:rPr>
        <w:t xml:space="preserve">tudents </w:t>
      </w:r>
      <w:r>
        <w:rPr>
          <w:i/>
          <w:iCs/>
        </w:rPr>
        <w:t>W</w:t>
      </w:r>
      <w:r w:rsidRPr="00850453">
        <w:rPr>
          <w:i/>
          <w:iCs/>
        </w:rPr>
        <w:t>ith</w:t>
      </w:r>
      <w:r w:rsidRPr="00850453">
        <w:rPr>
          <w:i/>
          <w:iCs/>
        </w:rPr>
        <w:t xml:space="preserve"> </w:t>
      </w:r>
      <w:r>
        <w:rPr>
          <w:i/>
          <w:iCs/>
        </w:rPr>
        <w:t>D</w:t>
      </w:r>
      <w:r w:rsidRPr="00850453">
        <w:rPr>
          <w:i/>
          <w:iCs/>
        </w:rPr>
        <w:t xml:space="preserve">isabilities in </w:t>
      </w:r>
      <w:r>
        <w:rPr>
          <w:i/>
          <w:iCs/>
        </w:rPr>
        <w:t>S</w:t>
      </w:r>
      <w:r w:rsidRPr="00850453">
        <w:rPr>
          <w:i/>
          <w:iCs/>
        </w:rPr>
        <w:t xml:space="preserve">chool </w:t>
      </w:r>
      <w:r>
        <w:rPr>
          <w:i/>
          <w:iCs/>
        </w:rPr>
        <w:t>A</w:t>
      </w:r>
      <w:r w:rsidRPr="00850453">
        <w:rPr>
          <w:i/>
          <w:iCs/>
        </w:rPr>
        <w:t xml:space="preserve">ccountability </w:t>
      </w:r>
      <w:r>
        <w:rPr>
          <w:i/>
          <w:iCs/>
        </w:rPr>
        <w:t>S</w:t>
      </w:r>
      <w:r w:rsidRPr="00850453">
        <w:rPr>
          <w:i/>
          <w:iCs/>
        </w:rPr>
        <w:t xml:space="preserve">ystems: An </w:t>
      </w:r>
      <w:r>
        <w:rPr>
          <w:i/>
          <w:iCs/>
        </w:rPr>
        <w:t>U</w:t>
      </w:r>
      <w:r w:rsidRPr="00850453">
        <w:rPr>
          <w:i/>
          <w:iCs/>
        </w:rPr>
        <w:t>pdate</w:t>
      </w:r>
      <w:r w:rsidRPr="00850453">
        <w:t xml:space="preserve"> (NCEE 2013-4017). U.S. Department of Education, Institute of Education Sciences, National Center for Education Evaluation and Regional Assistance. </w:t>
      </w:r>
      <w:hyperlink r:id="rId22" w:history="1">
        <w:r w:rsidRPr="00850453">
          <w:rPr>
            <w:rStyle w:val="Hyperlink"/>
            <w:rFonts w:cstheme="minorHAnsi"/>
          </w:rPr>
          <w:t>https://ies.ed.gov/ncee/pubs/20134017/pdf/20134017.pdf</w:t>
        </w:r>
      </w:hyperlink>
      <w:r>
        <w:t>.</w:t>
      </w:r>
    </w:p>
    <w:p w:rsidR="00715069" w:rsidRPr="002E1BBD" w:rsidP="00715069" w14:paraId="36F36038" w14:textId="73C15084">
      <w:pPr>
        <w:pStyle w:val="Reference"/>
        <w:rPr>
          <w:i/>
          <w:iCs/>
        </w:rPr>
      </w:pPr>
      <w:r>
        <w:t xml:space="preserve">Jackson, L., Agran, M., Lansey, K.R., Baker, D., Matthews, S., Fitzpatrick, H., Jameson, M., Ryndak, D., Burnette, K., and Taub, D. (2022). Examination of Contextual Variables Across and Within Different Types of </w:t>
      </w:r>
      <w:r>
        <w:t>Placement</w:t>
      </w:r>
      <w:r>
        <w:t xml:space="preserve"> for Elementary Students </w:t>
      </w:r>
      <w:r>
        <w:t>With</w:t>
      </w:r>
      <w:r>
        <w:t xml:space="preserve"> Complex Support Needs. </w:t>
      </w:r>
      <w:r w:rsidRPr="004C5648">
        <w:rPr>
          <w:i/>
          <w:iCs/>
        </w:rPr>
        <w:t xml:space="preserve">Research </w:t>
      </w:r>
      <w:r>
        <w:rPr>
          <w:i/>
          <w:iCs/>
        </w:rPr>
        <w:t>and</w:t>
      </w:r>
      <w:r w:rsidRPr="004C5648">
        <w:rPr>
          <w:i/>
          <w:iCs/>
        </w:rPr>
        <w:t xml:space="preserve"> Practice for Persons with Severe Disabilities, 47</w:t>
      </w:r>
      <w:r>
        <w:t xml:space="preserve">(4): </w:t>
      </w:r>
      <w:r w:rsidR="005D4DFA">
        <w:br/>
      </w:r>
      <w:r>
        <w:t>191–208.</w:t>
      </w:r>
    </w:p>
    <w:p w:rsidR="00715069" w:rsidP="00715069" w14:paraId="31BF0874" w14:textId="37632773">
      <w:pPr>
        <w:pStyle w:val="Reference"/>
        <w:rPr>
          <w:rStyle w:val="Hyperlink"/>
          <w:rFonts w:cstheme="minorHAnsi"/>
        </w:rPr>
      </w:pPr>
      <w:r w:rsidRPr="00850453">
        <w:t xml:space="preserve">Kolbe, T. (2019). </w:t>
      </w:r>
      <w:r w:rsidRPr="00850453">
        <w:rPr>
          <w:i/>
          <w:iCs/>
        </w:rPr>
        <w:t xml:space="preserve">Funding </w:t>
      </w:r>
      <w:r>
        <w:rPr>
          <w:i/>
          <w:iCs/>
        </w:rPr>
        <w:t>S</w:t>
      </w:r>
      <w:r w:rsidRPr="00850453">
        <w:rPr>
          <w:i/>
          <w:iCs/>
        </w:rPr>
        <w:t xml:space="preserve">pecial </w:t>
      </w:r>
      <w:r>
        <w:rPr>
          <w:i/>
          <w:iCs/>
        </w:rPr>
        <w:t>E</w:t>
      </w:r>
      <w:r w:rsidRPr="00850453">
        <w:rPr>
          <w:i/>
          <w:iCs/>
        </w:rPr>
        <w:t xml:space="preserve">ducation: Charting a </w:t>
      </w:r>
      <w:r>
        <w:rPr>
          <w:i/>
          <w:iCs/>
        </w:rPr>
        <w:t>P</w:t>
      </w:r>
      <w:r w:rsidRPr="00850453">
        <w:rPr>
          <w:i/>
          <w:iCs/>
        </w:rPr>
        <w:t xml:space="preserve">ath </w:t>
      </w:r>
      <w:r>
        <w:rPr>
          <w:i/>
          <w:iCs/>
        </w:rPr>
        <w:t>T</w:t>
      </w:r>
      <w:r w:rsidRPr="00850453">
        <w:rPr>
          <w:i/>
          <w:iCs/>
        </w:rPr>
        <w:t xml:space="preserve">hat </w:t>
      </w:r>
      <w:r>
        <w:rPr>
          <w:i/>
          <w:iCs/>
        </w:rPr>
        <w:t>C</w:t>
      </w:r>
      <w:r w:rsidRPr="00850453">
        <w:rPr>
          <w:i/>
          <w:iCs/>
        </w:rPr>
        <w:t xml:space="preserve">onfronts </w:t>
      </w:r>
      <w:r>
        <w:rPr>
          <w:i/>
          <w:iCs/>
        </w:rPr>
        <w:t>C</w:t>
      </w:r>
      <w:r w:rsidRPr="00850453">
        <w:rPr>
          <w:i/>
          <w:iCs/>
        </w:rPr>
        <w:t xml:space="preserve">omplexity and </w:t>
      </w:r>
      <w:r>
        <w:rPr>
          <w:i/>
          <w:iCs/>
        </w:rPr>
        <w:t>C</w:t>
      </w:r>
      <w:r w:rsidRPr="00850453">
        <w:rPr>
          <w:i/>
          <w:iCs/>
        </w:rPr>
        <w:t xml:space="preserve">rafts </w:t>
      </w:r>
      <w:r>
        <w:rPr>
          <w:i/>
          <w:iCs/>
        </w:rPr>
        <w:t>C</w:t>
      </w:r>
      <w:r w:rsidRPr="00850453">
        <w:rPr>
          <w:i/>
          <w:iCs/>
        </w:rPr>
        <w:t>oherence.</w:t>
      </w:r>
      <w:r w:rsidRPr="00850453">
        <w:t xml:space="preserve"> National Education</w:t>
      </w:r>
      <w:r w:rsidRPr="007E5A0E">
        <w:t xml:space="preserve"> Policy Center. </w:t>
      </w:r>
      <w:hyperlink r:id="rId23" w:history="1">
        <w:r w:rsidRPr="007E5A0E">
          <w:rPr>
            <w:rStyle w:val="Hyperlink"/>
            <w:rFonts w:cstheme="minorHAnsi"/>
          </w:rPr>
          <w:t>http://nepc.colorado.edu/publication/special-ed</w:t>
        </w:r>
      </w:hyperlink>
      <w:r>
        <w:t>.</w:t>
      </w:r>
    </w:p>
    <w:p w:rsidR="00715069" w:rsidRPr="001835B9" w:rsidP="00715069" w14:paraId="08B42841" w14:textId="79290316">
      <w:pPr>
        <w:pStyle w:val="Reference"/>
      </w:pPr>
      <w:r w:rsidRPr="001835B9">
        <w:t>Kolbe, T.</w:t>
      </w:r>
      <w:r>
        <w:t>,</w:t>
      </w:r>
      <w:r w:rsidRPr="001835B9">
        <w:t xml:space="preserve"> </w:t>
      </w:r>
      <w:r>
        <w:t>and</w:t>
      </w:r>
      <w:r w:rsidRPr="001835B9">
        <w:t xml:space="preserve"> </w:t>
      </w:r>
      <w:r w:rsidRPr="001835B9">
        <w:t>Dhuey</w:t>
      </w:r>
      <w:r w:rsidRPr="001835B9">
        <w:t xml:space="preserve">, E. (2024). </w:t>
      </w:r>
      <w:r w:rsidRPr="001835B9">
        <w:rPr>
          <w:i/>
          <w:iCs/>
        </w:rPr>
        <w:t xml:space="preserve">The </w:t>
      </w:r>
      <w:r>
        <w:rPr>
          <w:i/>
          <w:iCs/>
        </w:rPr>
        <w:t>F</w:t>
      </w:r>
      <w:r w:rsidRPr="001835B9">
        <w:rPr>
          <w:i/>
          <w:iCs/>
        </w:rPr>
        <w:t xml:space="preserve">inancial </w:t>
      </w:r>
      <w:r>
        <w:rPr>
          <w:i/>
          <w:iCs/>
        </w:rPr>
        <w:t>F</w:t>
      </w:r>
      <w:r w:rsidRPr="001835B9">
        <w:rPr>
          <w:i/>
          <w:iCs/>
        </w:rPr>
        <w:t xml:space="preserve">abric of </w:t>
      </w:r>
      <w:r>
        <w:rPr>
          <w:i/>
          <w:iCs/>
        </w:rPr>
        <w:t>S</w:t>
      </w:r>
      <w:r w:rsidRPr="001835B9">
        <w:rPr>
          <w:i/>
          <w:iCs/>
        </w:rPr>
        <w:t xml:space="preserve">pecial </w:t>
      </w:r>
      <w:r>
        <w:rPr>
          <w:i/>
          <w:iCs/>
        </w:rPr>
        <w:t>E</w:t>
      </w:r>
      <w:r w:rsidRPr="001835B9">
        <w:rPr>
          <w:i/>
          <w:iCs/>
        </w:rPr>
        <w:t xml:space="preserve">ducation: Unraveling </w:t>
      </w:r>
      <w:r>
        <w:rPr>
          <w:i/>
          <w:iCs/>
        </w:rPr>
        <w:t>C</w:t>
      </w:r>
      <w:r w:rsidRPr="001835B9">
        <w:rPr>
          <w:i/>
          <w:iCs/>
        </w:rPr>
        <w:t xml:space="preserve">osts and </w:t>
      </w:r>
      <w:r>
        <w:rPr>
          <w:i/>
          <w:iCs/>
        </w:rPr>
        <w:t>C</w:t>
      </w:r>
      <w:r w:rsidRPr="001835B9">
        <w:rPr>
          <w:i/>
          <w:iCs/>
        </w:rPr>
        <w:t>ontributions</w:t>
      </w:r>
      <w:r w:rsidRPr="001835B9">
        <w:t>. Paper presented at the annual meeting of the Association of Education Finance and Policy, Baltimore, MD.</w:t>
      </w:r>
    </w:p>
    <w:p w:rsidR="00715069" w:rsidRPr="004A0566" w:rsidP="00715069" w14:paraId="0278FE7D" w14:textId="4ABF6725">
      <w:pPr>
        <w:pStyle w:val="Reference"/>
        <w:rPr>
          <w:rStyle w:val="Hyperlink"/>
          <w:rFonts w:cstheme="minorHAnsi"/>
        </w:rPr>
      </w:pPr>
      <w:r w:rsidRPr="00EC5717">
        <w:t xml:space="preserve">Library of Congress. (n.d.). </w:t>
      </w:r>
      <w:r w:rsidRPr="00EC5717">
        <w:rPr>
          <w:i/>
          <w:iCs/>
        </w:rPr>
        <w:t>National Center for Learning Disabilities (NCLD)</w:t>
      </w:r>
      <w:r w:rsidRPr="00EC5717">
        <w:t xml:space="preserve"> [Web Archive]. </w:t>
      </w:r>
      <w:hyperlink r:id="rId24" w:history="1">
        <w:r w:rsidRPr="00EC5717">
          <w:rPr>
            <w:rStyle w:val="Hyperlink"/>
            <w:rFonts w:cstheme="minorHAnsi"/>
          </w:rPr>
          <w:t>https://www.loc.gov/item/lcwaN0018878/</w:t>
        </w:r>
      </w:hyperlink>
      <w:r w:rsidRPr="004A0566">
        <w:t>.</w:t>
      </w:r>
    </w:p>
    <w:p w:rsidR="00715069" w:rsidRPr="00610366" w:rsidP="00715069" w14:paraId="76C7AFB6" w14:textId="5CD09B23">
      <w:pPr>
        <w:pStyle w:val="Reference"/>
        <w:rPr>
          <w:color w:val="333333"/>
          <w:shd w:val="clear" w:color="auto" w:fill="FFFFFF"/>
        </w:rPr>
      </w:pPr>
      <w:r w:rsidRPr="00F77FBB">
        <w:rPr>
          <w:shd w:val="clear" w:color="auto" w:fill="FFFFFF"/>
        </w:rPr>
        <w:t xml:space="preserve">Maurer, K.J., Sturm, A., </w:t>
      </w:r>
      <w:r>
        <w:rPr>
          <w:shd w:val="clear" w:color="auto" w:fill="FFFFFF"/>
        </w:rPr>
        <w:t>and</w:t>
      </w:r>
      <w:r w:rsidRPr="00F77FBB">
        <w:rPr>
          <w:shd w:val="clear" w:color="auto" w:fill="FFFFFF"/>
        </w:rPr>
        <w:t xml:space="preserve"> </w:t>
      </w:r>
      <w:r w:rsidRPr="00F77FBB">
        <w:rPr>
          <w:shd w:val="clear" w:color="auto" w:fill="FFFFFF"/>
        </w:rPr>
        <w:t>Kasari</w:t>
      </w:r>
      <w:r w:rsidRPr="00F77FBB">
        <w:rPr>
          <w:shd w:val="clear" w:color="auto" w:fill="FFFFFF"/>
        </w:rPr>
        <w:t xml:space="preserve">, C. (2024). Classroom </w:t>
      </w:r>
      <w:r>
        <w:rPr>
          <w:shd w:val="clear" w:color="auto" w:fill="FFFFFF"/>
        </w:rPr>
        <w:t>P</w:t>
      </w:r>
      <w:r w:rsidRPr="00F77FBB">
        <w:rPr>
          <w:shd w:val="clear" w:color="auto" w:fill="FFFFFF"/>
        </w:rPr>
        <w:t xml:space="preserve">lacements of </w:t>
      </w:r>
      <w:r>
        <w:rPr>
          <w:shd w:val="clear" w:color="auto" w:fill="FFFFFF"/>
        </w:rPr>
        <w:t>S</w:t>
      </w:r>
      <w:r w:rsidRPr="00F77FBB">
        <w:rPr>
          <w:shd w:val="clear" w:color="auto" w:fill="FFFFFF"/>
        </w:rPr>
        <w:t xml:space="preserve">tudents </w:t>
      </w:r>
      <w:r>
        <w:rPr>
          <w:shd w:val="clear" w:color="auto" w:fill="FFFFFF"/>
        </w:rPr>
        <w:t>W</w:t>
      </w:r>
      <w:r w:rsidRPr="00F77FBB">
        <w:rPr>
          <w:shd w:val="clear" w:color="auto" w:fill="FFFFFF"/>
        </w:rPr>
        <w:t>ith</w:t>
      </w:r>
      <w:r>
        <w:rPr>
          <w:shd w:val="clear" w:color="auto" w:fill="FFFFFF"/>
        </w:rPr>
        <w:t xml:space="preserve"> D</w:t>
      </w:r>
      <w:r w:rsidRPr="00F77FBB">
        <w:rPr>
          <w:shd w:val="clear" w:color="auto" w:fill="FFFFFF"/>
        </w:rPr>
        <w:t xml:space="preserve">isabilities in </w:t>
      </w:r>
      <w:r>
        <w:rPr>
          <w:shd w:val="clear" w:color="auto" w:fill="FFFFFF"/>
        </w:rPr>
        <w:t>P</w:t>
      </w:r>
      <w:r w:rsidRPr="00F77FBB">
        <w:rPr>
          <w:shd w:val="clear" w:color="auto" w:fill="FFFFFF"/>
        </w:rPr>
        <w:t xml:space="preserve">ublic </w:t>
      </w:r>
      <w:r>
        <w:rPr>
          <w:shd w:val="clear" w:color="auto" w:fill="FFFFFF"/>
        </w:rPr>
        <w:t>D</w:t>
      </w:r>
      <w:r w:rsidRPr="00F77FBB">
        <w:rPr>
          <w:shd w:val="clear" w:color="auto" w:fill="FFFFFF"/>
        </w:rPr>
        <w:t xml:space="preserve">ay </w:t>
      </w:r>
      <w:r>
        <w:rPr>
          <w:shd w:val="clear" w:color="auto" w:fill="FFFFFF"/>
        </w:rPr>
        <w:t>S</w:t>
      </w:r>
      <w:r w:rsidRPr="00F77FBB">
        <w:rPr>
          <w:shd w:val="clear" w:color="auto" w:fill="FFFFFF"/>
        </w:rPr>
        <w:t xml:space="preserve">chools in a </w:t>
      </w:r>
      <w:r>
        <w:rPr>
          <w:shd w:val="clear" w:color="auto" w:fill="FFFFFF"/>
        </w:rPr>
        <w:t>L</w:t>
      </w:r>
      <w:r w:rsidRPr="00F77FBB">
        <w:rPr>
          <w:shd w:val="clear" w:color="auto" w:fill="FFFFFF"/>
        </w:rPr>
        <w:t xml:space="preserve">arge </w:t>
      </w:r>
      <w:r>
        <w:rPr>
          <w:shd w:val="clear" w:color="auto" w:fill="FFFFFF"/>
        </w:rPr>
        <w:t>S</w:t>
      </w:r>
      <w:r w:rsidRPr="00F77FBB">
        <w:rPr>
          <w:shd w:val="clear" w:color="auto" w:fill="FFFFFF"/>
        </w:rPr>
        <w:t xml:space="preserve">chool </w:t>
      </w:r>
      <w:r>
        <w:rPr>
          <w:shd w:val="clear" w:color="auto" w:fill="FFFFFF"/>
        </w:rPr>
        <w:t>D</w:t>
      </w:r>
      <w:r w:rsidRPr="00F77FBB">
        <w:rPr>
          <w:shd w:val="clear" w:color="auto" w:fill="FFFFFF"/>
        </w:rPr>
        <w:t>istrict.</w:t>
      </w:r>
      <w:r>
        <w:rPr>
          <w:shd w:val="clear" w:color="auto" w:fill="FFFFFF"/>
        </w:rPr>
        <w:t xml:space="preserve"> </w:t>
      </w:r>
      <w:r w:rsidRPr="00F77FBB">
        <w:rPr>
          <w:i/>
          <w:iCs/>
          <w:shd w:val="clear" w:color="auto" w:fill="FFFFFF"/>
        </w:rPr>
        <w:t>Remedial and Special</w:t>
      </w:r>
      <w:r>
        <w:rPr>
          <w:i/>
          <w:iCs/>
          <w:shd w:val="clear" w:color="auto" w:fill="FFFFFF"/>
        </w:rPr>
        <w:t xml:space="preserve"> E</w:t>
      </w:r>
      <w:r w:rsidRPr="00F77FBB">
        <w:rPr>
          <w:i/>
          <w:iCs/>
          <w:shd w:val="clear" w:color="auto" w:fill="FFFFFF"/>
        </w:rPr>
        <w:t>ducation</w:t>
      </w:r>
      <w:r w:rsidRPr="00F77FBB">
        <w:rPr>
          <w:shd w:val="clear" w:color="auto" w:fill="FFFFFF"/>
        </w:rPr>
        <w:t>.</w:t>
      </w:r>
      <w:r>
        <w:rPr>
          <w:shd w:val="clear" w:color="auto" w:fill="FFFFFF"/>
        </w:rPr>
        <w:t xml:space="preserve"> </w:t>
      </w:r>
      <w:hyperlink r:id="rId25" w:history="1">
        <w:r w:rsidRPr="00E11863">
          <w:rPr>
            <w:rStyle w:val="Hyperlink"/>
            <w:rFonts w:cstheme="minorHAnsi"/>
            <w:shd w:val="clear" w:color="auto" w:fill="FFFFFF"/>
          </w:rPr>
          <w:t>https://doi.org/10.1177/07419325241226727</w:t>
        </w:r>
      </w:hyperlink>
      <w:r>
        <w:t>.</w:t>
      </w:r>
    </w:p>
    <w:p w:rsidR="00715069" w:rsidRPr="0084144C" w:rsidP="00715069" w14:paraId="65ACE30F" w14:textId="694C7B5F">
      <w:pPr>
        <w:pStyle w:val="Reference"/>
      </w:pPr>
      <w:r w:rsidRPr="00F77FBB">
        <w:rPr>
          <w:shd w:val="clear" w:color="auto" w:fill="FFFFFF"/>
        </w:rPr>
        <w:t>McCabe, K.M. (2024). An Evaluation of Annual Goals for Rural Students Who Are Receiving Special Education Services: A Comparison of Disability Categories.</w:t>
      </w:r>
      <w:r>
        <w:rPr>
          <w:shd w:val="clear" w:color="auto" w:fill="FFFFFF"/>
        </w:rPr>
        <w:t xml:space="preserve"> </w:t>
      </w:r>
      <w:r w:rsidRPr="00F77FBB">
        <w:rPr>
          <w:i/>
          <w:iCs/>
          <w:shd w:val="clear" w:color="auto" w:fill="FFFFFF"/>
        </w:rPr>
        <w:t>Rural Special Education Quarterly</w:t>
      </w:r>
      <w:r w:rsidRPr="00F77FBB">
        <w:rPr>
          <w:shd w:val="clear" w:color="auto" w:fill="FFFFFF"/>
        </w:rPr>
        <w:t>,</w:t>
      </w:r>
      <w:r>
        <w:rPr>
          <w:shd w:val="clear" w:color="auto" w:fill="FFFFFF"/>
        </w:rPr>
        <w:t xml:space="preserve"> </w:t>
      </w:r>
      <w:r w:rsidRPr="00F77FBB">
        <w:rPr>
          <w:i/>
          <w:iCs/>
          <w:shd w:val="clear" w:color="auto" w:fill="FFFFFF"/>
        </w:rPr>
        <w:t>43</w:t>
      </w:r>
      <w:r w:rsidRPr="00F77FBB">
        <w:rPr>
          <w:shd w:val="clear" w:color="auto" w:fill="FFFFFF"/>
        </w:rPr>
        <w:t>(2)</w:t>
      </w:r>
      <w:r>
        <w:rPr>
          <w:shd w:val="clear" w:color="auto" w:fill="FFFFFF"/>
        </w:rPr>
        <w:t>:</w:t>
      </w:r>
      <w:r w:rsidRPr="00F77FBB">
        <w:rPr>
          <w:shd w:val="clear" w:color="auto" w:fill="FFFFFF"/>
        </w:rPr>
        <w:t xml:space="preserve"> 65-77.</w:t>
      </w:r>
      <w:r>
        <w:rPr>
          <w:shd w:val="clear" w:color="auto" w:fill="FFFFFF"/>
        </w:rPr>
        <w:t xml:space="preserve"> </w:t>
      </w:r>
      <w:hyperlink r:id="rId26" w:history="1">
        <w:r w:rsidRPr="00DD4C73">
          <w:rPr>
            <w:rStyle w:val="Hyperlink"/>
            <w:rFonts w:cstheme="minorHAnsi"/>
            <w:shd w:val="clear" w:color="auto" w:fill="FFFFFF"/>
          </w:rPr>
          <w:t>https://doi.org/10.1177/87568705241255086</w:t>
        </w:r>
      </w:hyperlink>
      <w:r>
        <w:t>.</w:t>
      </w:r>
    </w:p>
    <w:p w:rsidR="00715069" w:rsidRPr="00850453" w:rsidP="00715069" w14:paraId="348FB6A7" w14:textId="3F710E15">
      <w:pPr>
        <w:pStyle w:val="Reference"/>
      </w:pPr>
      <w:r w:rsidRPr="00850453">
        <w:t xml:space="preserve">McFarland, J., Hussar, B., Zhang, J., Wang, X., Wang, K., Hein, S., </w:t>
      </w:r>
      <w:r>
        <w:t xml:space="preserve">Diliberti, M., Forrest Cataldi, E., Bullock Mann, F., and </w:t>
      </w:r>
      <w:r w:rsidRPr="00850453">
        <w:t xml:space="preserve">Barmer, A. (2019). </w:t>
      </w:r>
      <w:r w:rsidRPr="00850453">
        <w:rPr>
          <w:i/>
          <w:iCs/>
        </w:rPr>
        <w:t xml:space="preserve">The </w:t>
      </w:r>
      <w:r>
        <w:rPr>
          <w:i/>
          <w:iCs/>
        </w:rPr>
        <w:t>C</w:t>
      </w:r>
      <w:r w:rsidRPr="00850453">
        <w:rPr>
          <w:i/>
          <w:iCs/>
        </w:rPr>
        <w:t xml:space="preserve">ondition of </w:t>
      </w:r>
      <w:r>
        <w:rPr>
          <w:i/>
          <w:iCs/>
        </w:rPr>
        <w:t>E</w:t>
      </w:r>
      <w:r w:rsidRPr="00850453">
        <w:rPr>
          <w:i/>
          <w:iCs/>
        </w:rPr>
        <w:t>ducation 2019</w:t>
      </w:r>
      <w:r w:rsidRPr="00850453">
        <w:t xml:space="preserve"> (NCES 2019-144). U.S. Department of Education, Institute of Education Sciences, National Center for Education Statistics. </w:t>
      </w:r>
      <w:hyperlink r:id="rId27" w:history="1">
        <w:r w:rsidRPr="00850453">
          <w:rPr>
            <w:rStyle w:val="Hyperlink"/>
            <w:rFonts w:cstheme="minorHAnsi"/>
          </w:rPr>
          <w:t>https://nces.ed.gov/pubsearch/pubsinfo.asp?pubid=2019144</w:t>
        </w:r>
      </w:hyperlink>
      <w:r>
        <w:t>.</w:t>
      </w:r>
    </w:p>
    <w:p w:rsidR="00715069" w:rsidRPr="00850453" w:rsidP="00715069" w14:paraId="085EF658" w14:textId="789072D2">
      <w:pPr>
        <w:pStyle w:val="Reference"/>
      </w:pPr>
      <w:r w:rsidRPr="00850453">
        <w:t xml:space="preserve">National Center for Education Statistics (NCES). (2023). </w:t>
      </w:r>
      <w:r w:rsidRPr="00850453">
        <w:rPr>
          <w:i/>
          <w:iCs/>
        </w:rPr>
        <w:t xml:space="preserve">Students </w:t>
      </w:r>
      <w:r>
        <w:rPr>
          <w:i/>
          <w:iCs/>
        </w:rPr>
        <w:t>W</w:t>
      </w:r>
      <w:r w:rsidRPr="00850453">
        <w:rPr>
          <w:i/>
          <w:iCs/>
        </w:rPr>
        <w:t xml:space="preserve">ith </w:t>
      </w:r>
      <w:r>
        <w:rPr>
          <w:i/>
          <w:iCs/>
        </w:rPr>
        <w:t>D</w:t>
      </w:r>
      <w:r w:rsidRPr="00850453">
        <w:rPr>
          <w:i/>
          <w:iCs/>
        </w:rPr>
        <w:t>isabilities</w:t>
      </w:r>
      <w:r w:rsidRPr="00850453">
        <w:t xml:space="preserve">. U.S. Department of Education, Institute of Education Sciences. </w:t>
      </w:r>
      <w:hyperlink r:id="rId28" w:history="1">
        <w:r w:rsidRPr="00850453">
          <w:rPr>
            <w:rStyle w:val="Hyperlink"/>
            <w:rFonts w:cstheme="minorHAnsi"/>
          </w:rPr>
          <w:t>https://nces.ed.gov/programs/coe/indicator/cgg</w:t>
        </w:r>
      </w:hyperlink>
      <w:r>
        <w:t>.</w:t>
      </w:r>
    </w:p>
    <w:p w:rsidR="00715069" w:rsidRPr="00850453" w:rsidP="00715069" w14:paraId="3E1D40FF" w14:textId="1E8A74C5">
      <w:pPr>
        <w:pStyle w:val="Reference"/>
        <w:rPr>
          <w:rStyle w:val="Hyperlink"/>
          <w:rFonts w:cstheme="minorHAnsi"/>
        </w:rPr>
      </w:pPr>
      <w:r w:rsidRPr="00850453">
        <w:t>National Center for Education Statistics (NCES). (</w:t>
      </w:r>
      <w:r>
        <w:t>2024</w:t>
      </w:r>
      <w:r w:rsidRPr="00850453">
        <w:t xml:space="preserve">). </w:t>
      </w:r>
      <w:r w:rsidRPr="00850453">
        <w:rPr>
          <w:i/>
          <w:iCs/>
        </w:rPr>
        <w:t xml:space="preserve">Fast </w:t>
      </w:r>
      <w:r>
        <w:rPr>
          <w:i/>
          <w:iCs/>
        </w:rPr>
        <w:t>F</w:t>
      </w:r>
      <w:r w:rsidRPr="00850453">
        <w:rPr>
          <w:i/>
          <w:iCs/>
        </w:rPr>
        <w:t>acts:</w:t>
      </w:r>
      <w:r w:rsidRPr="00850453">
        <w:t xml:space="preserve"> </w:t>
      </w:r>
      <w:r w:rsidRPr="00850453">
        <w:rPr>
          <w:i/>
        </w:rPr>
        <w:t xml:space="preserve">Students </w:t>
      </w:r>
      <w:r>
        <w:rPr>
          <w:i/>
        </w:rPr>
        <w:t>W</w:t>
      </w:r>
      <w:r w:rsidRPr="00850453">
        <w:rPr>
          <w:i/>
        </w:rPr>
        <w:t xml:space="preserve">ith </w:t>
      </w:r>
      <w:r>
        <w:rPr>
          <w:i/>
        </w:rPr>
        <w:t>D</w:t>
      </w:r>
      <w:r w:rsidRPr="00850453">
        <w:rPr>
          <w:i/>
        </w:rPr>
        <w:t>isabilities.</w:t>
      </w:r>
      <w:r w:rsidRPr="00850453">
        <w:t xml:space="preserve"> U.S. Department of Education, Institute of Education Sciences. </w:t>
      </w:r>
      <w:hyperlink r:id="rId29" w:history="1">
        <w:r w:rsidRPr="00850453">
          <w:rPr>
            <w:rStyle w:val="Hyperlink"/>
            <w:rFonts w:cstheme="minorHAnsi"/>
          </w:rPr>
          <w:t>https://nces.ed.gov/fastfacts/display.asp?id=64</w:t>
        </w:r>
      </w:hyperlink>
      <w:r>
        <w:t>.</w:t>
      </w:r>
    </w:p>
    <w:p w:rsidR="00715069" w:rsidRPr="007E5A0E" w:rsidP="00715069" w14:paraId="2C859E0A" w14:textId="5EE8D3C5">
      <w:pPr>
        <w:pStyle w:val="Reference"/>
      </w:pPr>
      <w:r w:rsidRPr="00850453">
        <w:t xml:space="preserve">Rhim, L.M., Kothari, S., </w:t>
      </w:r>
      <w:r>
        <w:t>and</w:t>
      </w:r>
      <w:r w:rsidRPr="00850453">
        <w:t xml:space="preserve"> Lancet, S. (2019). </w:t>
      </w:r>
      <w:r w:rsidRPr="00850453">
        <w:rPr>
          <w:i/>
          <w:iCs/>
        </w:rPr>
        <w:t xml:space="preserve">Key </w:t>
      </w:r>
      <w:r>
        <w:rPr>
          <w:i/>
          <w:iCs/>
        </w:rPr>
        <w:t>T</w:t>
      </w:r>
      <w:r w:rsidRPr="00850453">
        <w:rPr>
          <w:i/>
          <w:iCs/>
        </w:rPr>
        <w:t xml:space="preserve">rends in </w:t>
      </w:r>
      <w:r>
        <w:rPr>
          <w:i/>
          <w:iCs/>
        </w:rPr>
        <w:t>S</w:t>
      </w:r>
      <w:r w:rsidRPr="00850453">
        <w:rPr>
          <w:i/>
          <w:iCs/>
        </w:rPr>
        <w:t xml:space="preserve">pecial </w:t>
      </w:r>
      <w:r>
        <w:rPr>
          <w:i/>
          <w:iCs/>
        </w:rPr>
        <w:t>E</w:t>
      </w:r>
      <w:r w:rsidRPr="00850453">
        <w:rPr>
          <w:i/>
          <w:iCs/>
        </w:rPr>
        <w:t xml:space="preserve">ducation in </w:t>
      </w:r>
      <w:r>
        <w:rPr>
          <w:i/>
          <w:iCs/>
        </w:rPr>
        <w:t>C</w:t>
      </w:r>
      <w:r w:rsidRPr="00850453">
        <w:rPr>
          <w:i/>
          <w:iCs/>
        </w:rPr>
        <w:t xml:space="preserve">harter </w:t>
      </w:r>
      <w:r>
        <w:rPr>
          <w:i/>
          <w:iCs/>
        </w:rPr>
        <w:t>S</w:t>
      </w:r>
      <w:r w:rsidRPr="00850453">
        <w:rPr>
          <w:i/>
          <w:iCs/>
        </w:rPr>
        <w:t xml:space="preserve">chools in 2015–2016: Secondary </w:t>
      </w:r>
      <w:r>
        <w:rPr>
          <w:i/>
          <w:iCs/>
        </w:rPr>
        <w:t>A</w:t>
      </w:r>
      <w:r w:rsidRPr="00850453">
        <w:rPr>
          <w:i/>
          <w:iCs/>
        </w:rPr>
        <w:t>nalysis of the Civil Rights Data Collection</w:t>
      </w:r>
      <w:r w:rsidRPr="00850453">
        <w:t>. National Center for Special Education</w:t>
      </w:r>
      <w:r w:rsidRPr="007E5A0E">
        <w:t xml:space="preserve"> in Charter Schools. </w:t>
      </w:r>
      <w:hyperlink r:id="rId30" w:history="1">
        <w:r w:rsidRPr="007E5A0E">
          <w:rPr>
            <w:rStyle w:val="Hyperlink"/>
            <w:rFonts w:cstheme="minorHAnsi"/>
          </w:rPr>
          <w:t>https://eric.ed.gov/?id=ED604728</w:t>
        </w:r>
      </w:hyperlink>
      <w:r>
        <w:t>.</w:t>
      </w:r>
    </w:p>
    <w:p w:rsidR="00715069" w:rsidRPr="00715069" w:rsidP="00715069" w14:paraId="1D0CB19D" w14:textId="6D11C1AA">
      <w:pPr>
        <w:pStyle w:val="Reference"/>
      </w:pPr>
      <w:r w:rsidRPr="00850453">
        <w:rPr>
          <w:color w:val="000000" w:themeColor="text1"/>
          <w:shd w:val="clear" w:color="auto" w:fill="FFFFFF"/>
        </w:rPr>
        <w:t xml:space="preserve">Singer, E., </w:t>
      </w:r>
      <w:r>
        <w:rPr>
          <w:color w:val="000000" w:themeColor="text1"/>
          <w:shd w:val="clear" w:color="auto" w:fill="FFFFFF"/>
        </w:rPr>
        <w:t>and</w:t>
      </w:r>
      <w:r w:rsidRPr="00850453">
        <w:rPr>
          <w:color w:val="000000" w:themeColor="text1"/>
          <w:shd w:val="clear" w:color="auto" w:fill="FFFFFF"/>
        </w:rPr>
        <w:t xml:space="preserve"> Ye, C. (2013</w:t>
      </w:r>
      <w:r w:rsidRPr="00353F55">
        <w:rPr>
          <w:color w:val="000000" w:themeColor="text1"/>
          <w:shd w:val="clear" w:color="auto" w:fill="FFFFFF"/>
        </w:rPr>
        <w:t>). The Use and Effects of Incentives in Surveys.</w:t>
      </w:r>
      <w:r>
        <w:rPr>
          <w:color w:val="000000" w:themeColor="text1"/>
          <w:shd w:val="clear" w:color="auto" w:fill="FFFFFF"/>
        </w:rPr>
        <w:t xml:space="preserve"> </w:t>
      </w:r>
      <w:r w:rsidRPr="00353F55">
        <w:rPr>
          <w:i/>
          <w:iCs/>
          <w:color w:val="000000" w:themeColor="text1"/>
          <w:shd w:val="clear" w:color="auto" w:fill="FFFFFF"/>
        </w:rPr>
        <w:t>The ANNALS of the American Academy of Political and Social Science</w:t>
      </w:r>
      <w:r w:rsidRPr="00353F55">
        <w:rPr>
          <w:color w:val="000000" w:themeColor="text1"/>
          <w:shd w:val="clear" w:color="auto" w:fill="FFFFFF"/>
        </w:rPr>
        <w:t>,</w:t>
      </w:r>
      <w:r>
        <w:rPr>
          <w:color w:val="000000" w:themeColor="text1"/>
          <w:shd w:val="clear" w:color="auto" w:fill="FFFFFF"/>
        </w:rPr>
        <w:t xml:space="preserve"> </w:t>
      </w:r>
      <w:r w:rsidRPr="00353F55">
        <w:rPr>
          <w:i/>
          <w:iCs/>
          <w:color w:val="000000" w:themeColor="text1"/>
          <w:shd w:val="clear" w:color="auto" w:fill="FFFFFF"/>
        </w:rPr>
        <w:t>645</w:t>
      </w:r>
      <w:r w:rsidRPr="00353F55">
        <w:rPr>
          <w:color w:val="000000" w:themeColor="text1"/>
          <w:shd w:val="clear" w:color="auto" w:fill="FFFFFF"/>
        </w:rPr>
        <w:t>(1)</w:t>
      </w:r>
      <w:r>
        <w:rPr>
          <w:color w:val="000000" w:themeColor="text1"/>
          <w:shd w:val="clear" w:color="auto" w:fill="FFFFFF"/>
        </w:rPr>
        <w:t>:</w:t>
      </w:r>
      <w:r w:rsidRPr="00353F55">
        <w:rPr>
          <w:color w:val="000000" w:themeColor="text1"/>
          <w:shd w:val="clear" w:color="auto" w:fill="FFFFFF"/>
        </w:rPr>
        <w:t xml:space="preserve"> 112</w:t>
      </w:r>
      <w:r>
        <w:rPr>
          <w:color w:val="000000" w:themeColor="text1"/>
          <w:shd w:val="clear" w:color="auto" w:fill="FFFFFF"/>
        </w:rPr>
        <w:t>–</w:t>
      </w:r>
      <w:r w:rsidRPr="00353F55">
        <w:rPr>
          <w:color w:val="000000" w:themeColor="text1"/>
          <w:shd w:val="clear" w:color="auto" w:fill="FFFFFF"/>
        </w:rPr>
        <w:t>141.</w:t>
      </w:r>
      <w:r>
        <w:rPr>
          <w:color w:val="000000" w:themeColor="text1"/>
          <w:shd w:val="clear" w:color="auto" w:fill="FFFFFF"/>
        </w:rPr>
        <w:t xml:space="preserve"> </w:t>
      </w:r>
      <w:hyperlink r:id="rId31" w:history="1">
        <w:r w:rsidRPr="00DD4C73">
          <w:rPr>
            <w:rStyle w:val="Hyperlink"/>
            <w:rFonts w:cstheme="minorHAnsi"/>
            <w:shd w:val="clear" w:color="auto" w:fill="FFFFFF"/>
          </w:rPr>
          <w:t>https://doi.org/10.1177/0002716212458082</w:t>
        </w:r>
      </w:hyperlink>
      <w:r>
        <w:t>.</w:t>
      </w:r>
    </w:p>
    <w:p w:rsidR="00715069" w:rsidRPr="004D3034" w:rsidP="00715069" w14:paraId="0B06A590" w14:textId="52604DBA">
      <w:pPr>
        <w:pStyle w:val="Reference"/>
      </w:pPr>
    </w:p>
    <w:sectPr w:rsidSect="000F39E2">
      <w:headerReference w:type="default" r:id="rId32"/>
      <w:pgSz w:w="12240" w:h="15840" w:code="1"/>
      <w:pgMar w:top="1440" w:right="1440" w:bottom="1440" w:left="1440" w:header="72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F40C3" w:rsidP="00005082" w14:paraId="71F4884B" w14:textId="77777777">
      <w:pPr>
        <w:spacing w:line="240" w:lineRule="auto"/>
      </w:pPr>
      <w:r>
        <w:separator/>
      </w:r>
    </w:p>
    <w:p w:rsidR="005F40C3" w14:paraId="4D1D92B7" w14:textId="77777777"/>
    <w:p w:rsidR="005F40C3" w14:paraId="02925EDC" w14:textId="77777777"/>
    <w:p w:rsidR="005F40C3" w14:paraId="444DD25F" w14:textId="77777777"/>
  </w:endnote>
  <w:endnote w:type="continuationSeparator" w:id="1">
    <w:p w:rsidR="005F40C3" w:rsidP="00005082" w14:paraId="3D33BB8B" w14:textId="77777777">
      <w:pPr>
        <w:spacing w:line="240" w:lineRule="auto"/>
      </w:pPr>
      <w:r>
        <w:continuationSeparator/>
      </w:r>
    </w:p>
    <w:p w:rsidR="005F40C3" w14:paraId="04AE8D9B" w14:textId="77777777"/>
    <w:p w:rsidR="005F40C3" w14:paraId="377B1913" w14:textId="77777777"/>
    <w:p w:rsidR="005F40C3" w14:paraId="087DB65D" w14:textId="77777777"/>
  </w:endnote>
  <w:endnote w:type="continuationNotice" w:id="2">
    <w:p w:rsidR="005F40C3" w14:paraId="29FFB06C" w14:textId="77777777">
      <w:pPr>
        <w:spacing w:line="240" w:lineRule="auto"/>
      </w:pPr>
    </w:p>
    <w:p w:rsidR="005F40C3" w:rsidP="00001D2C" w14:paraId="511FE345" w14:textId="77777777"/>
    <w:p w:rsidR="005F40C3" w14:paraId="4F5EA53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ublico Text">
    <w:altName w:val="Cambria"/>
    <w:panose1 w:val="00000000000000000000"/>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91B" w:rsidP="000F39E2" w14:paraId="2DAF9FEC" w14:textId="7586BB53">
    <w:pPr>
      <w:pStyle w:val="FooterDocTitle"/>
    </w:pPr>
    <w:r>
      <w:fldChar w:fldCharType="begin"/>
    </w:r>
    <w:r>
      <w:instrText xml:space="preserve"> PAGE   \* MERGEFORMAT </w:instrText>
    </w:r>
    <w:r>
      <w:fldChar w:fldCharType="separate"/>
    </w:r>
    <w:r>
      <w:t>3</w:t>
    </w:r>
    <w:r>
      <w:fldChar w:fldCharType="end"/>
    </w:r>
    <w:r>
      <w:t> | AIR.ORG</w:t>
    </w:r>
    <w:r>
      <w:ptab w:relativeTo="margin" w:alignment="right" w:leader="none"/>
    </w:r>
    <w:r w:rsidRPr="00715069" w:rsidR="00715069">
      <w:t>National Study of Special Education Spending</w:t>
    </w:r>
    <w:r w:rsidR="00715069">
      <w:br/>
    </w:r>
    <w:r>
      <w:ptab w:relativeTo="margin" w:alignment="right" w:leader="none"/>
    </w:r>
    <w:r w:rsidRPr="00715069" w:rsidR="00715069">
      <w:t>Supporting Statement for OMB Clearance Request</w:t>
    </w:r>
    <w:r w:rsidR="00715069">
      <w:br/>
    </w:r>
    <w:r>
      <w:ptab w:relativeTo="margin" w:alignment="right" w:leader="none"/>
    </w:r>
    <w:r w:rsidRPr="00715069" w:rsidR="00715069">
      <w:t>Part A: Justification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40C3" w:rsidP="003B5BCE" w14:paraId="4B0123EC" w14:textId="77777777">
      <w:pPr>
        <w:pStyle w:val="NoSpacing"/>
      </w:pPr>
      <w:r>
        <w:separator/>
      </w:r>
    </w:p>
  </w:footnote>
  <w:footnote w:type="continuationSeparator" w:id="1">
    <w:p w:rsidR="005F40C3" w:rsidP="003B5BCE" w14:paraId="7B6410E2" w14:textId="77777777">
      <w:pPr>
        <w:pStyle w:val="NoSpacing"/>
      </w:pPr>
      <w:r>
        <w:continuationSeparator/>
      </w:r>
    </w:p>
  </w:footnote>
  <w:footnote w:type="continuationNotice" w:id="2">
    <w:p w:rsidR="005F40C3" w14:paraId="1E8859B6" w14:textId="77777777"/>
  </w:footnote>
  <w:footnote w:id="3">
    <w:p w:rsidR="00715069" w:rsidRPr="000A6DF7" w:rsidP="00EC46B3" w14:paraId="29C2104C" w14:textId="51E69175">
      <w:pPr>
        <w:pStyle w:val="FootnoteText"/>
      </w:pPr>
      <w:r w:rsidRPr="004549AB">
        <w:rPr>
          <w:rStyle w:val="FootnoteReference"/>
        </w:rPr>
        <w:footnoteRef/>
      </w:r>
      <w:r w:rsidRPr="004549AB">
        <w:t xml:space="preserve"> </w:t>
      </w:r>
      <w:r w:rsidRPr="008837E7">
        <w:t xml:space="preserve">For additional information about </w:t>
      </w:r>
      <w:r>
        <w:t>the Special Education Expenditure Project (</w:t>
      </w:r>
      <w:r w:rsidRPr="008837E7">
        <w:t>SEEP</w:t>
      </w:r>
      <w:r>
        <w:t>)</w:t>
      </w:r>
      <w:r w:rsidRPr="008837E7">
        <w:t xml:space="preserve">, see Chambers, J.G., Parrish, T., Shkolnik, J., Levine, R., </w:t>
      </w:r>
      <w:r>
        <w:t>and</w:t>
      </w:r>
      <w:r w:rsidRPr="008837E7">
        <w:t xml:space="preserve"> Makris, F.E. (2003), </w:t>
      </w:r>
      <w:r w:rsidRPr="008837E7">
        <w:rPr>
          <w:i/>
          <w:iCs/>
        </w:rPr>
        <w:t xml:space="preserve">The </w:t>
      </w:r>
      <w:r>
        <w:rPr>
          <w:i/>
          <w:iCs/>
        </w:rPr>
        <w:t>P</w:t>
      </w:r>
      <w:r w:rsidRPr="008837E7">
        <w:rPr>
          <w:i/>
          <w:iCs/>
        </w:rPr>
        <w:t xml:space="preserve">urpose and </w:t>
      </w:r>
      <w:r>
        <w:rPr>
          <w:i/>
          <w:iCs/>
        </w:rPr>
        <w:t>D</w:t>
      </w:r>
      <w:r w:rsidRPr="008837E7">
        <w:rPr>
          <w:i/>
          <w:iCs/>
        </w:rPr>
        <w:t>esign of the Special Education Expenditure Project</w:t>
      </w:r>
      <w:r>
        <w:rPr>
          <w:i/>
          <w:iCs/>
        </w:rPr>
        <w:t>,</w:t>
      </w:r>
      <w:r w:rsidRPr="008837E7">
        <w:rPr>
          <w:i/>
          <w:iCs/>
        </w:rPr>
        <w:t xml:space="preserve"> </w:t>
      </w:r>
      <w:hyperlink r:id="rId1" w:history="1">
        <w:r w:rsidRPr="008837E7">
          <w:rPr>
            <w:rStyle w:val="Hyperlink"/>
            <w:sz w:val="20"/>
            <w:szCs w:val="20"/>
          </w:rPr>
          <w:t>https://www.air.org/sites/default/files/Purpose-Design-of-SEEP.pdf</w:t>
        </w:r>
      </w:hyperlink>
      <w:r w:rsidRPr="00777A50">
        <w:t>.</w:t>
      </w:r>
      <w:r>
        <w:rPr>
          <w:i/>
          <w:iCs/>
        </w:rPr>
        <w:t xml:space="preserve"> </w:t>
      </w:r>
      <w:r w:rsidRPr="00BC36E0">
        <w:rPr>
          <w:rFonts w:eastAsia="Times New Roman" w:cstheme="minorHAnsi"/>
        </w:rPr>
        <w:t xml:space="preserve">Since the SEEP there have been (1) changes </w:t>
      </w:r>
      <w:r w:rsidRPr="008837E7">
        <w:rPr>
          <w:rFonts w:eastAsia="Times New Roman" w:cstheme="minorHAnsi"/>
        </w:rPr>
        <w:t xml:space="preserve">to the prevalence and characteristics of the SWDs who receive special education services and their overall level of need (NCES 2023); (2) shifts in where and how SWDs are served, particularly </w:t>
      </w:r>
      <w:r>
        <w:rPr>
          <w:rFonts w:eastAsia="Times New Roman" w:cstheme="minorHAnsi"/>
        </w:rPr>
        <w:t>the time they</w:t>
      </w:r>
      <w:r w:rsidRPr="008837E7">
        <w:rPr>
          <w:rFonts w:eastAsia="Times New Roman" w:cstheme="minorHAnsi"/>
        </w:rPr>
        <w:t xml:space="preserve"> spend in general education classrooms (McFarland et al. 2019); (3) updated federal and state policies and procedures that prioritize early intervention and shared responsibility between general and special education for educating SWDs (Bailey 2019, 2021); (4) </w:t>
      </w:r>
      <w:r>
        <w:rPr>
          <w:rFonts w:eastAsia="Times New Roman" w:cstheme="minorHAnsi"/>
        </w:rPr>
        <w:t>i</w:t>
      </w:r>
      <w:r w:rsidRPr="008837E7">
        <w:rPr>
          <w:rFonts w:eastAsia="Times New Roman" w:cstheme="minorHAnsi"/>
        </w:rPr>
        <w:t>ncreased expectations that i</w:t>
      </w:r>
      <w:r w:rsidRPr="008837E7">
        <w:rPr>
          <w:rFonts w:cstheme="minorHAnsi"/>
        </w:rPr>
        <w:t>ndividualized education programs (</w:t>
      </w:r>
      <w:r w:rsidRPr="008837E7">
        <w:rPr>
          <w:rFonts w:eastAsia="Times New Roman" w:cstheme="minorHAnsi"/>
        </w:rPr>
        <w:t xml:space="preserve">IEPs) meet the substantive standard set by </w:t>
      </w:r>
      <w:r w:rsidRPr="008837E7">
        <w:rPr>
          <w:rFonts w:eastAsia="Times New Roman" w:cstheme="minorHAnsi"/>
          <w:i/>
          <w:iCs/>
        </w:rPr>
        <w:t>Endrew F. v. Douglas County School District</w:t>
      </w:r>
      <w:r w:rsidRPr="008837E7">
        <w:rPr>
          <w:rFonts w:eastAsia="Times New Roman" w:cstheme="minorHAnsi"/>
          <w:iCs/>
        </w:rPr>
        <w:t xml:space="preserve"> </w:t>
      </w:r>
      <w:r w:rsidRPr="008837E7">
        <w:rPr>
          <w:rFonts w:eastAsia="Times New Roman" w:cstheme="minorHAnsi"/>
        </w:rPr>
        <w:t xml:space="preserve">(Re-1, 137 S. Ct. 988; Library of Congress, n.d.) and are aligned with general education content standards (Harr-Robins et al. 2013); </w:t>
      </w:r>
      <w:r>
        <w:rPr>
          <w:rFonts w:eastAsia="Times New Roman" w:cstheme="minorHAnsi"/>
        </w:rPr>
        <w:t xml:space="preserve">and </w:t>
      </w:r>
      <w:r w:rsidRPr="008837E7">
        <w:rPr>
          <w:rFonts w:eastAsia="Times New Roman" w:cstheme="minorHAnsi"/>
        </w:rPr>
        <w:t xml:space="preserve">(5) </w:t>
      </w:r>
      <w:r>
        <w:rPr>
          <w:rFonts w:eastAsia="Times New Roman" w:cstheme="minorHAnsi"/>
        </w:rPr>
        <w:t>o</w:t>
      </w:r>
      <w:r w:rsidRPr="008837E7">
        <w:rPr>
          <w:rFonts w:eastAsia="Times New Roman" w:cstheme="minorHAnsi"/>
        </w:rPr>
        <w:t>pportunities for SWDs to attend charter schools (Rhim et al. 2019).</w:t>
      </w:r>
    </w:p>
  </w:footnote>
  <w:footnote w:id="4">
    <w:p w:rsidR="00715069" w14:paraId="14F80B5A" w14:textId="20F7F7C1">
      <w:pPr>
        <w:pStyle w:val="FootnoteText"/>
        <w:rPr>
          <w:rFonts w:eastAsia="Times New Roman"/>
          <w:sz w:val="16"/>
        </w:rPr>
      </w:pPr>
      <w:r>
        <w:rPr>
          <w:rStyle w:val="FootnoteReference"/>
        </w:rPr>
        <w:footnoteRef/>
      </w:r>
      <w:r>
        <w:t xml:space="preserve"> Note that some private or charter schools could be considered small businesses; however, these schools are not expected to bear any additional burden beyond what is asked of public schools. In addition, because of the voluntary nature of the study, they can decline participation.</w:t>
      </w:r>
    </w:p>
  </w:footnote>
  <w:footnote w:id="5">
    <w:p w:rsidR="00352888" w:rsidRPr="00AC6115" w:rsidP="00352888" w14:paraId="6F22378C" w14:textId="77777777">
      <w:pPr>
        <w:pStyle w:val="BodyText"/>
        <w:rPr>
          <w:sz w:val="18"/>
          <w:szCs w:val="18"/>
        </w:rPr>
      </w:pPr>
      <w:r w:rsidRPr="00AC6115">
        <w:rPr>
          <w:rStyle w:val="FootnoteReference"/>
          <w:sz w:val="18"/>
          <w:szCs w:val="18"/>
        </w:rPr>
        <w:footnoteRef/>
      </w:r>
      <w:r w:rsidRPr="00AC6115">
        <w:rPr>
          <w:sz w:val="18"/>
          <w:szCs w:val="18"/>
        </w:rPr>
        <w:t xml:space="preserve"> Incentive amounts referenced in the recruitment materials are comparable to those used for NCES’s ECLS-K:2024 in </w:t>
      </w:r>
      <w:hyperlink r:id="rId2">
        <w:r w:rsidRPr="00AC6115">
          <w:rPr>
            <w:rStyle w:val="Hyperlink"/>
            <w:rFonts w:eastAsia="Times New Roman"/>
            <w:sz w:val="18"/>
            <w:szCs w:val="18"/>
          </w:rPr>
          <w:t>OMB# 1850-0750 v.30</w:t>
        </w:r>
      </w:hyperlink>
      <w:r w:rsidRPr="00AC6115">
        <w:rPr>
          <w:sz w:val="18"/>
          <w:szCs w:val="18"/>
        </w:rPr>
        <w:t>. The NSSES is very similar to the ECLS-K:2024 in its nested design, with similar levels of cooperation and data collection burden needed from schools, school coordinators, and teachers. In addition, the NSSES design includes an LEA component, and school participation is contingent on LEA participation.</w:t>
      </w:r>
    </w:p>
    <w:p w:rsidR="00352888" w14:paraId="6DF0A908" w14:textId="0EB9EC2D">
      <w:pPr>
        <w:pStyle w:val="FootnoteText"/>
      </w:pPr>
    </w:p>
  </w:footnote>
  <w:footnote w:id="6">
    <w:p w:rsidR="00715069" w:rsidRPr="00854F9B" w:rsidP="007D55F3" w14:paraId="269E6E3B" w14:textId="0480F212">
      <w:pPr>
        <w:pStyle w:val="FootnoteText"/>
      </w:pPr>
      <w:r w:rsidRPr="00854F9B">
        <w:rPr>
          <w:rStyle w:val="FootnoteReference"/>
          <w:szCs w:val="18"/>
        </w:rPr>
        <w:footnoteRef/>
      </w:r>
      <w:r w:rsidRPr="00854F9B">
        <w:t xml:space="preserve"> NIH considers CoC requests for non-</w:t>
      </w:r>
      <w:r>
        <w:t>Health and Human Services (</w:t>
      </w:r>
      <w:r w:rsidRPr="00854F9B">
        <w:t>HHS</w:t>
      </w:r>
      <w:r>
        <w:t>)–</w:t>
      </w:r>
      <w:r w:rsidRPr="00854F9B">
        <w:t>funded research.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11ABFC59" w14:textId="77777777" w:rsidTr="5002F315">
      <w:tblPrEx>
        <w:tblW w:w="0" w:type="auto"/>
        <w:tblLook w:val="06A0"/>
      </w:tblPrEx>
      <w:trPr>
        <w:trHeight w:val="300"/>
      </w:trPr>
      <w:tc>
        <w:tcPr>
          <w:tcW w:w="3120" w:type="dxa"/>
        </w:tcPr>
        <w:p w:rsidR="5002F315" w:rsidP="5002F315" w14:paraId="543A6008" w14:textId="6FC94254">
          <w:pPr>
            <w:pStyle w:val="Header"/>
            <w:ind w:left="-115"/>
          </w:pPr>
        </w:p>
      </w:tc>
      <w:tc>
        <w:tcPr>
          <w:tcW w:w="3120" w:type="dxa"/>
        </w:tcPr>
        <w:p w:rsidR="5002F315" w:rsidP="5002F315" w14:paraId="08E42D5C" w14:textId="69341A56">
          <w:pPr>
            <w:pStyle w:val="Header"/>
            <w:jc w:val="center"/>
          </w:pPr>
        </w:p>
      </w:tc>
      <w:tc>
        <w:tcPr>
          <w:tcW w:w="3120" w:type="dxa"/>
        </w:tcPr>
        <w:p w:rsidR="5002F315" w:rsidP="5002F315" w14:paraId="63E8930A" w14:textId="6BEB070F">
          <w:pPr>
            <w:pStyle w:val="Header"/>
            <w:ind w:right="-115"/>
            <w:jc w:val="right"/>
          </w:pPr>
        </w:p>
      </w:tc>
    </w:tr>
  </w:tbl>
  <w:p w:rsidR="5002F315" w:rsidP="5002F315" w14:paraId="67408079" w14:textId="4C456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7EDFE0FF" w14:textId="77777777" w:rsidTr="5002F315">
      <w:tblPrEx>
        <w:tblW w:w="0" w:type="auto"/>
        <w:tblLook w:val="06A0"/>
      </w:tblPrEx>
      <w:trPr>
        <w:trHeight w:val="300"/>
      </w:trPr>
      <w:tc>
        <w:tcPr>
          <w:tcW w:w="3120" w:type="dxa"/>
        </w:tcPr>
        <w:p w:rsidR="5002F315" w:rsidP="5002F315" w14:paraId="6E3C766E" w14:textId="50945933">
          <w:pPr>
            <w:pStyle w:val="Header"/>
            <w:ind w:left="-115"/>
          </w:pPr>
        </w:p>
      </w:tc>
      <w:tc>
        <w:tcPr>
          <w:tcW w:w="3120" w:type="dxa"/>
        </w:tcPr>
        <w:p w:rsidR="5002F315" w:rsidP="5002F315" w14:paraId="4AAB0699" w14:textId="2929126B">
          <w:pPr>
            <w:pStyle w:val="Header"/>
            <w:jc w:val="center"/>
          </w:pPr>
        </w:p>
      </w:tc>
      <w:tc>
        <w:tcPr>
          <w:tcW w:w="3120" w:type="dxa"/>
        </w:tcPr>
        <w:p w:rsidR="5002F315" w:rsidP="5002F315" w14:paraId="6CCBB570" w14:textId="24A8B06C">
          <w:pPr>
            <w:pStyle w:val="Header"/>
            <w:ind w:right="-115"/>
            <w:jc w:val="right"/>
          </w:pPr>
        </w:p>
      </w:tc>
    </w:tr>
  </w:tbl>
  <w:p w:rsidR="5002F315" w:rsidP="5002F315" w14:paraId="63DA8A2A" w14:textId="51D2E8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30BC10F5" w14:textId="77777777" w:rsidTr="5002F315">
      <w:tblPrEx>
        <w:tblW w:w="0" w:type="auto"/>
        <w:tblLook w:val="06A0"/>
      </w:tblPrEx>
      <w:trPr>
        <w:trHeight w:val="300"/>
      </w:trPr>
      <w:tc>
        <w:tcPr>
          <w:tcW w:w="3120" w:type="dxa"/>
        </w:tcPr>
        <w:p w:rsidR="5002F315" w:rsidP="5002F315" w14:paraId="1037A777" w14:textId="71997CA2">
          <w:pPr>
            <w:pStyle w:val="Header"/>
            <w:ind w:left="-115"/>
          </w:pPr>
        </w:p>
      </w:tc>
      <w:tc>
        <w:tcPr>
          <w:tcW w:w="3120" w:type="dxa"/>
        </w:tcPr>
        <w:p w:rsidR="5002F315" w:rsidP="5002F315" w14:paraId="36FDF22D" w14:textId="1676F7E4">
          <w:pPr>
            <w:pStyle w:val="Header"/>
            <w:jc w:val="center"/>
          </w:pPr>
        </w:p>
      </w:tc>
      <w:tc>
        <w:tcPr>
          <w:tcW w:w="3120" w:type="dxa"/>
        </w:tcPr>
        <w:p w:rsidR="5002F315" w:rsidP="5002F315" w14:paraId="571748A8" w14:textId="7F8E557B">
          <w:pPr>
            <w:pStyle w:val="Header"/>
            <w:ind w:right="-115"/>
            <w:jc w:val="right"/>
          </w:pPr>
        </w:p>
      </w:tc>
    </w:tr>
  </w:tbl>
  <w:p w:rsidR="5002F315" w:rsidP="5002F315" w14:paraId="1F7AD2A3" w14:textId="3652C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B1462"/>
    <w:multiLevelType w:val="multilevel"/>
    <w:tmpl w:val="291435FA"/>
    <w:numStyleLink w:val="ListOrdered-Body"/>
  </w:abstractNum>
  <w:abstractNum w:abstractNumId="1">
    <w:nsid w:val="03324B80"/>
    <w:multiLevelType w:val="multilevel"/>
    <w:tmpl w:val="8D14CC44"/>
    <w:styleLink w:val="ListOrdered-Table11"/>
    <w:lvl w:ilvl="0">
      <w:start w:val="1"/>
      <w:numFmt w:val="decimal"/>
      <w:pStyle w:val="Table11Numbering"/>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
    <w:nsid w:val="069772F7"/>
    <w:multiLevelType w:val="multilevel"/>
    <w:tmpl w:val="B600D168"/>
    <w:styleLink w:val="ListStyle-BoxBullets"/>
    <w:lvl w:ilvl="0">
      <w:start w:val="1"/>
      <w:numFmt w:val="bullet"/>
      <w:lvlText w:val="•"/>
      <w:lvlJc w:val="left"/>
      <w:pPr>
        <w:ind w:left="360" w:hanging="360"/>
      </w:pPr>
      <w:rPr>
        <w:rFonts w:asciiTheme="majorHAnsi" w:hAnsiTheme="majorHAnsi" w:cs="Times New Roman" w:hint="default"/>
        <w:color w:val="auto"/>
        <w:sz w:val="24"/>
      </w:rPr>
    </w:lvl>
    <w:lvl w:ilvl="1">
      <w:start w:val="1"/>
      <w:numFmt w:val="bullet"/>
      <w:lvlText w:val="–"/>
      <w:lvlJc w:val="left"/>
      <w:pPr>
        <w:ind w:left="720" w:hanging="360"/>
      </w:pPr>
      <w:rPr>
        <w:rFonts w:ascii="Calibri" w:hAnsi="Calibri" w:hint="default"/>
        <w:color w:val="1C252D" w:themeColor="text2"/>
        <w:sz w:val="22"/>
      </w:rPr>
    </w:lvl>
    <w:lvl w:ilvl="2">
      <w:start w:val="1"/>
      <w:numFmt w:val="bullet"/>
      <w:lvlText w:val="»"/>
      <w:lvlJc w:val="left"/>
      <w:pPr>
        <w:ind w:left="1080" w:hanging="360"/>
      </w:pPr>
      <w:rPr>
        <w:rFonts w:ascii="Calibri" w:hAnsi="Calibri" w:hint="default"/>
        <w:color w:val="1C252D" w:themeColor="text2"/>
        <w:sz w:val="22"/>
      </w:rPr>
    </w:lvl>
    <w:lvl w:ilvl="3">
      <w:start w:val="1"/>
      <w:numFmt w:val="none"/>
      <w:suff w:val="nothing"/>
      <w:lvlJc w:val="left"/>
      <w:pPr>
        <w:ind w:left="1440" w:hanging="360"/>
      </w:pPr>
      <w:rPr>
        <w:rFonts w:hint="default"/>
      </w:rPr>
    </w:lvl>
    <w:lvl w:ilvl="4">
      <w:start w:val="1"/>
      <w:numFmt w:val="none"/>
      <w:suff w:val="nothing"/>
      <w:lvlJc w:val="left"/>
      <w:pPr>
        <w:ind w:left="1800" w:hanging="360"/>
      </w:pPr>
      <w:rPr>
        <w:rFonts w:hint="default"/>
      </w:rPr>
    </w:lvl>
    <w:lvl w:ilvl="5">
      <w:start w:val="1"/>
      <w:numFmt w:val="none"/>
      <w:suff w:val="nothing"/>
      <w:lvlJc w:val="left"/>
      <w:pPr>
        <w:ind w:left="2160" w:hanging="360"/>
      </w:pPr>
      <w:rPr>
        <w:rFonts w:hint="default"/>
      </w:rPr>
    </w:lvl>
    <w:lvl w:ilvl="6">
      <w:start w:val="1"/>
      <w:numFmt w:val="none"/>
      <w:suff w:val="nothing"/>
      <w:lvlJc w:val="left"/>
      <w:pPr>
        <w:ind w:left="2520" w:hanging="360"/>
      </w:pPr>
      <w:rPr>
        <w:rFonts w:hint="default"/>
      </w:rPr>
    </w:lvl>
    <w:lvl w:ilvl="7">
      <w:start w:val="1"/>
      <w:numFmt w:val="none"/>
      <w:suff w:val="nothing"/>
      <w:lvlJc w:val="left"/>
      <w:pPr>
        <w:ind w:left="2880" w:hanging="360"/>
      </w:pPr>
      <w:rPr>
        <w:rFonts w:hint="default"/>
      </w:rPr>
    </w:lvl>
    <w:lvl w:ilvl="8">
      <w:start w:val="1"/>
      <w:numFmt w:val="none"/>
      <w:lvlJc w:val="left"/>
      <w:pPr>
        <w:ind w:left="3240" w:hanging="360"/>
      </w:pPr>
      <w:rPr>
        <w:rFonts w:hint="default"/>
      </w:rPr>
    </w:lvl>
  </w:abstractNum>
  <w:abstractNum w:abstractNumId="3">
    <w:nsid w:val="088460F9"/>
    <w:multiLevelType w:val="multilevel"/>
    <w:tmpl w:val="D21644BE"/>
    <w:styleLink w:val="Callout-Inline"/>
    <w:lvl w:ilvl="0">
      <w:start w:val="1"/>
      <w:numFmt w:val="bullet"/>
      <w:pStyle w:val="Callout-InlineTextSource"/>
      <w:suff w:val="space"/>
      <w:lvlText w:val="–"/>
      <w:lvlJc w:val="left"/>
      <w:pPr>
        <w:ind w:left="0" w:firstLine="0"/>
      </w:pPr>
      <w:rPr>
        <w:rFonts w:ascii="Arial Narrow" w:hAnsi="Arial Narrow" w:hint="default"/>
        <w:color w:val="1C252D" w:themeColor="text2"/>
      </w:rPr>
    </w:lvl>
    <w:lvl w:ilvl="1">
      <w:start w:val="1"/>
      <w:numFmt w:val="none"/>
      <w:lvlJc w:val="left"/>
      <w:pPr>
        <w:ind w:left="0" w:firstLine="0"/>
      </w:pPr>
      <w:rPr>
        <w:rFonts w:hint="default"/>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4">
    <w:nsid w:val="0F810A6C"/>
    <w:multiLevelType w:val="multilevel"/>
    <w:tmpl w:val="3C26D8F2"/>
    <w:styleLink w:val="ListBullets-Table11"/>
    <w:lvl w:ilvl="0">
      <w:start w:val="1"/>
      <w:numFmt w:val="bullet"/>
      <w:lvlText w:val="•"/>
      <w:lvlJc w:val="left"/>
      <w:pPr>
        <w:ind w:left="288" w:hanging="288"/>
      </w:pPr>
      <w:rPr>
        <w:rFonts w:ascii="Calibri" w:hAnsi="Calibri" w:hint="default"/>
        <w:color w:val="00507F" w:themeColor="accent1"/>
      </w:rPr>
    </w:lvl>
    <w:lvl w:ilvl="1">
      <w:start w:val="1"/>
      <w:numFmt w:val="bullet"/>
      <w:lvlText w:val="–"/>
      <w:lvlJc w:val="left"/>
      <w:pPr>
        <w:ind w:left="576" w:hanging="288"/>
      </w:pPr>
      <w:rPr>
        <w:rFonts w:ascii="Calibri" w:hAnsi="Calibri" w:hint="default"/>
        <w:color w:val="00507F" w:themeColor="accent1"/>
      </w:rPr>
    </w:lvl>
    <w:lvl w:ilvl="2">
      <w:start w:val="1"/>
      <w:numFmt w:val="bullet"/>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5">
    <w:nsid w:val="13513796"/>
    <w:multiLevelType w:val="hybridMultilevel"/>
    <w:tmpl w:val="477838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EF7AC9"/>
    <w:multiLevelType w:val="multilevel"/>
    <w:tmpl w:val="3C26D8F2"/>
    <w:lvl w:ilvl="0">
      <w:start w:val="1"/>
      <w:numFmt w:val="bullet"/>
      <w:pStyle w:val="Table11Bullet1"/>
      <w:lvlText w:val="•"/>
      <w:lvlJc w:val="left"/>
      <w:pPr>
        <w:ind w:left="288" w:hanging="288"/>
      </w:pPr>
      <w:rPr>
        <w:rFonts w:ascii="Calibri" w:hAnsi="Calibri" w:hint="default"/>
        <w:color w:val="00507F" w:themeColor="accent1"/>
      </w:rPr>
    </w:lvl>
    <w:lvl w:ilvl="1">
      <w:start w:val="1"/>
      <w:numFmt w:val="bullet"/>
      <w:pStyle w:val="Table11Bullet2"/>
      <w:lvlText w:val="–"/>
      <w:lvlJc w:val="left"/>
      <w:pPr>
        <w:ind w:left="576" w:hanging="288"/>
      </w:pPr>
      <w:rPr>
        <w:rFonts w:ascii="Calibri" w:hAnsi="Calibri" w:hint="default"/>
        <w:color w:val="00507F" w:themeColor="accent1"/>
      </w:rPr>
    </w:lvl>
    <w:lvl w:ilvl="2">
      <w:start w:val="1"/>
      <w:numFmt w:val="bullet"/>
      <w:pStyle w:val="Table11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7">
    <w:nsid w:val="1B7A5996"/>
    <w:multiLevelType w:val="multilevel"/>
    <w:tmpl w:val="291435FA"/>
    <w:numStyleLink w:val="ListOrdered-Body"/>
  </w:abstractNum>
  <w:abstractNum w:abstractNumId="8">
    <w:nsid w:val="1CA94574"/>
    <w:multiLevelType w:val="multilevel"/>
    <w:tmpl w:val="6DDE5BCA"/>
    <w:styleLink w:val="ListBullets-Body"/>
    <w:lvl w:ilvl="0">
      <w:start w:val="1"/>
      <w:numFmt w:val="bullet"/>
      <w:pStyle w:val="Bullet1"/>
      <w:lvlText w:val=""/>
      <w:lvlJc w:val="left"/>
      <w:pPr>
        <w:ind w:left="360" w:hanging="360"/>
      </w:pPr>
      <w:rPr>
        <w:rFonts w:ascii="Symbol" w:hAnsi="Symbol" w:hint="default"/>
        <w:color w:val="00507F" w:themeColor="accent1"/>
      </w:rPr>
    </w:lvl>
    <w:lvl w:ilvl="1">
      <w:start w:val="1"/>
      <w:numFmt w:val="bullet"/>
      <w:pStyle w:val="Bullet2"/>
      <w:lvlText w:val="–"/>
      <w:lvlJc w:val="left"/>
      <w:pPr>
        <w:ind w:left="720" w:hanging="360"/>
      </w:pPr>
      <w:rPr>
        <w:rFonts w:ascii="Calibri" w:hAnsi="Calibri" w:hint="default"/>
        <w:color w:val="00507F" w:themeColor="accent1"/>
      </w:rPr>
    </w:lvl>
    <w:lvl w:ilvl="2">
      <w:start w:val="1"/>
      <w:numFmt w:val="bullet"/>
      <w:pStyle w:val="Bullet3"/>
      <w:lvlText w:val="»"/>
      <w:lvlJc w:val="left"/>
      <w:pPr>
        <w:ind w:left="1080" w:hanging="360"/>
      </w:pPr>
      <w:rPr>
        <w:rFonts w:ascii="Calibri" w:hAnsi="Calibri" w:hint="default"/>
        <w:color w:val="00507F" w:themeColor="accent1"/>
      </w:rPr>
    </w:lvl>
    <w:lvl w:ilvl="3">
      <w:start w:val="1"/>
      <w:numFmt w:val="bullet"/>
      <w:lvlText w:val="◦"/>
      <w:lvlJc w:val="left"/>
      <w:pPr>
        <w:ind w:left="1440" w:hanging="360"/>
      </w:pPr>
      <w:rPr>
        <w:rFonts w:ascii="Calibri" w:hAnsi="Calibri" w:hint="default"/>
        <w:color w:val="00507F" w:themeColor="accent1"/>
      </w:rPr>
    </w:lvl>
    <w:lvl w:ilvl="4">
      <w:start w:val="1"/>
      <w:numFmt w:val="bullet"/>
      <w:lvlText w:val="›"/>
      <w:lvlJc w:val="left"/>
      <w:pPr>
        <w:ind w:left="1800" w:hanging="360"/>
      </w:pPr>
      <w:rPr>
        <w:rFonts w:ascii="Calibri" w:hAnsi="Calibri" w:hint="default"/>
        <w:color w:val="00507F" w:themeColor="accent1"/>
      </w:rPr>
    </w:lvl>
    <w:lvl w:ilvl="5">
      <w:start w:val="1"/>
      <w:numFmt w:val="bullet"/>
      <w:lvlText w:val="‹"/>
      <w:lvlJc w:val="left"/>
      <w:pPr>
        <w:ind w:left="2160" w:hanging="360"/>
      </w:pPr>
      <w:rPr>
        <w:rFonts w:ascii="Calibri" w:hAnsi="Calibri" w:hint="default"/>
        <w:color w:val="00507F" w:themeColor="accent1"/>
      </w:rPr>
    </w:lvl>
    <w:lvl w:ilvl="6">
      <w:start w:val="1"/>
      <w:numFmt w:val="bullet"/>
      <w:lvlText w:val="«"/>
      <w:lvlJc w:val="left"/>
      <w:pPr>
        <w:ind w:left="2520" w:hanging="360"/>
      </w:pPr>
      <w:rPr>
        <w:rFonts w:ascii="Calibri" w:hAnsi="Calibri" w:hint="default"/>
        <w:color w:val="00507F" w:themeColor="accent1"/>
      </w:rPr>
    </w:lvl>
    <w:lvl w:ilvl="7">
      <w:start w:val="1"/>
      <w:numFmt w:val="bullet"/>
      <w:lvlText w:val="-"/>
      <w:lvlJc w:val="left"/>
      <w:pPr>
        <w:ind w:left="2880" w:hanging="360"/>
      </w:pPr>
      <w:rPr>
        <w:rFonts w:ascii="Calibri" w:hAnsi="Calibri" w:hint="default"/>
        <w:color w:val="00507F" w:themeColor="accent1"/>
      </w:rPr>
    </w:lvl>
    <w:lvl w:ilvl="8">
      <w:start w:val="1"/>
      <w:numFmt w:val="bullet"/>
      <w:lvlText w:val=""/>
      <w:lvlJc w:val="left"/>
      <w:pPr>
        <w:ind w:left="3240" w:hanging="360"/>
      </w:pPr>
      <w:rPr>
        <w:rFonts w:ascii="Wingdings" w:hAnsi="Wingdings" w:hint="default"/>
        <w:color w:val="00507F" w:themeColor="accent1"/>
      </w:rPr>
    </w:lvl>
  </w:abstractNum>
  <w:abstractNum w:abstractNumId="9">
    <w:nsid w:val="1CD253FC"/>
    <w:multiLevelType w:val="multilevel"/>
    <w:tmpl w:val="469645F8"/>
    <w:styleLink w:val="ListStyle-InfoBoxBullets"/>
    <w:lvl w:ilvl="0">
      <w:start w:val="1"/>
      <w:numFmt w:val="bullet"/>
      <w:lvlText w:val="•"/>
      <w:lvlJc w:val="left"/>
      <w:pPr>
        <w:ind w:left="360" w:hanging="360"/>
      </w:pPr>
      <w:rPr>
        <w:rFonts w:ascii="Arial Narrow" w:hAnsi="Arial Narrow" w:hint="default"/>
        <w:color w:val="00507F" w:themeColor="accent1"/>
        <w:sz w:val="24"/>
      </w:rPr>
    </w:lvl>
    <w:lvl w:ilvl="1">
      <w:start w:val="1"/>
      <w:numFmt w:val="bullet"/>
      <w:lvlText w:val="–"/>
      <w:lvlJc w:val="left"/>
      <w:pPr>
        <w:ind w:left="720" w:hanging="360"/>
      </w:pPr>
      <w:rPr>
        <w:rFonts w:ascii="Calibri" w:hAnsi="Calibri" w:hint="default"/>
        <w:color w:val="00507F" w:themeColor="accent1"/>
        <w:sz w:val="22"/>
      </w:rPr>
    </w:lvl>
    <w:lvl w:ilvl="2">
      <w:start w:val="1"/>
      <w:numFmt w:val="bullet"/>
      <w:lvlText w:val="»"/>
      <w:lvlJc w:val="left"/>
      <w:pPr>
        <w:ind w:left="1080" w:hanging="360"/>
      </w:pPr>
      <w:rPr>
        <w:rFonts w:ascii="Calibri" w:hAnsi="Calibri" w:hint="default"/>
        <w:color w:val="00507F" w:themeColor="accent1"/>
        <w:sz w:val="22"/>
      </w:rPr>
    </w:lvl>
    <w:lvl w:ilvl="3">
      <w:start w:val="1"/>
      <w:numFmt w:val="none"/>
      <w:suff w:val="nothing"/>
      <w:lvlJc w:val="left"/>
      <w:pPr>
        <w:ind w:left="1440" w:hanging="360"/>
      </w:pPr>
      <w:rPr>
        <w:rFonts w:hint="default"/>
        <w:color w:val="00507F" w:themeColor="accent1"/>
      </w:rPr>
    </w:lvl>
    <w:lvl w:ilvl="4">
      <w:start w:val="1"/>
      <w:numFmt w:val="none"/>
      <w:suff w:val="nothing"/>
      <w:lvlJc w:val="left"/>
      <w:pPr>
        <w:ind w:left="1800" w:hanging="360"/>
      </w:pPr>
      <w:rPr>
        <w:rFonts w:hint="default"/>
        <w:color w:val="00507F" w:themeColor="accent1"/>
      </w:rPr>
    </w:lvl>
    <w:lvl w:ilvl="5">
      <w:start w:val="1"/>
      <w:numFmt w:val="none"/>
      <w:suff w:val="nothing"/>
      <w:lvlJc w:val="left"/>
      <w:pPr>
        <w:ind w:left="2160" w:hanging="360"/>
      </w:pPr>
      <w:rPr>
        <w:rFonts w:hint="default"/>
      </w:rPr>
    </w:lvl>
    <w:lvl w:ilvl="6">
      <w:start w:val="1"/>
      <w:numFmt w:val="none"/>
      <w:suff w:val="nothing"/>
      <w:lvlJc w:val="left"/>
      <w:pPr>
        <w:ind w:left="2520" w:hanging="360"/>
      </w:pPr>
      <w:rPr>
        <w:rFonts w:hint="default"/>
      </w:rPr>
    </w:lvl>
    <w:lvl w:ilvl="7">
      <w:start w:val="1"/>
      <w:numFmt w:val="none"/>
      <w:suff w:val="nothing"/>
      <w:lvlJc w:val="left"/>
      <w:pPr>
        <w:ind w:left="2880" w:hanging="360"/>
      </w:pPr>
      <w:rPr>
        <w:rFonts w:hint="default"/>
      </w:rPr>
    </w:lvl>
    <w:lvl w:ilvl="8">
      <w:start w:val="1"/>
      <w:numFmt w:val="none"/>
      <w:lvlJc w:val="left"/>
      <w:pPr>
        <w:ind w:left="3240" w:hanging="360"/>
      </w:pPr>
      <w:rPr>
        <w:rFonts w:hint="default"/>
      </w:rPr>
    </w:lvl>
  </w:abstractNum>
  <w:abstractNum w:abstractNumId="10">
    <w:nsid w:val="1EEB4BB8"/>
    <w:multiLevelType w:val="hybridMultilevel"/>
    <w:tmpl w:val="06CC43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1795F3B"/>
    <w:multiLevelType w:val="multilevel"/>
    <w:tmpl w:val="2EDC288A"/>
    <w:lvl w:ilvl="0">
      <w:start w:val="1"/>
      <w:numFmt w:val="none"/>
      <w:suff w:val="nothing"/>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pStyle w:val="Heading7"/>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2">
    <w:nsid w:val="2344327C"/>
    <w:multiLevelType w:val="hybridMultilevel"/>
    <w:tmpl w:val="8C0C38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A115C0"/>
    <w:multiLevelType w:val="hybridMultilevel"/>
    <w:tmpl w:val="32C2B0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3BA40AF"/>
    <w:multiLevelType w:val="multilevel"/>
    <w:tmpl w:val="80D4DD62"/>
    <w:lvl w:ilvl="0">
      <w:start w:val="1"/>
      <w:numFmt w:val="decimal"/>
      <w:pStyle w:val="Table10Numbering"/>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5">
    <w:nsid w:val="24E10289"/>
    <w:multiLevelType w:val="hybridMultilevel"/>
    <w:tmpl w:val="BCEC1C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4EC2B48"/>
    <w:multiLevelType w:val="hybridMultilevel"/>
    <w:tmpl w:val="37DA2E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B3C5D5E"/>
    <w:multiLevelType w:val="hybridMultilevel"/>
    <w:tmpl w:val="4C2463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9">
    <w:nsid w:val="34BB35BE"/>
    <w:multiLevelType w:val="multilevel"/>
    <w:tmpl w:val="8D14CC44"/>
    <w:numStyleLink w:val="ListOrdered-Table11"/>
  </w:abstractNum>
  <w:abstractNum w:abstractNumId="20">
    <w:nsid w:val="47B357E0"/>
    <w:multiLevelType w:val="multilevel"/>
    <w:tmpl w:val="D21644BE"/>
    <w:lvl w:ilvl="0">
      <w:start w:val="1"/>
      <w:numFmt w:val="bullet"/>
      <w:suff w:val="space"/>
      <w:lvlText w:val="–"/>
      <w:lvlJc w:val="left"/>
      <w:pPr>
        <w:ind w:left="0" w:firstLine="0"/>
      </w:pPr>
      <w:rPr>
        <w:rFonts w:ascii="Arial Narrow" w:hAnsi="Arial Narrow" w:hint="default"/>
        <w:color w:val="1C252D" w:themeColor="text2"/>
      </w:rPr>
    </w:lvl>
    <w:lvl w:ilvl="1">
      <w:start w:val="1"/>
      <w:numFmt w:val="none"/>
      <w:lvlJc w:val="left"/>
      <w:pPr>
        <w:ind w:left="0" w:firstLine="0"/>
      </w:pPr>
      <w:rPr>
        <w:rFonts w:hint="default"/>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21">
    <w:nsid w:val="49906308"/>
    <w:multiLevelType w:val="multilevel"/>
    <w:tmpl w:val="A83237D6"/>
    <w:styleLink w:val="AppxCaptions"/>
    <w:lvl w:ilvl="0">
      <w:start w:val="1"/>
      <w:numFmt w:val="upperLetter"/>
      <w:pStyle w:val="AppxTitle"/>
      <w:suff w:val="space"/>
      <w:lvlText w:val="Appendix %1."/>
      <w:lvlJc w:val="left"/>
      <w:pPr>
        <w:ind w:left="0" w:firstLine="0"/>
      </w:pPr>
      <w:rPr>
        <w:rFonts w:asciiTheme="majorHAnsi" w:hAnsiTheme="majorHAnsi" w:hint="default"/>
        <w:b/>
        <w:i w:val="0"/>
        <w:color w:val="00507F" w:themeColor="accent1"/>
        <w:sz w:val="44"/>
      </w:rPr>
    </w:lvl>
    <w:lvl w:ilvl="1">
      <w:start w:val="1"/>
      <w:numFmt w:val="decimal"/>
      <w:pStyle w:val="AppxExhibitTitle"/>
      <w:suff w:val="space"/>
      <w:lvlText w:val="Exhibit %1–%2."/>
      <w:lvlJc w:val="left"/>
      <w:pPr>
        <w:ind w:left="0" w:firstLine="0"/>
      </w:pPr>
      <w:rPr>
        <w:rFonts w:asciiTheme="majorHAnsi" w:hAnsiTheme="majorHAnsi" w:hint="default"/>
        <w:b/>
        <w:i w:val="0"/>
        <w:sz w:val="24"/>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22">
    <w:nsid w:val="4E1006D3"/>
    <w:multiLevelType w:val="multilevel"/>
    <w:tmpl w:val="6DDE5BCA"/>
    <w:numStyleLink w:val="ListBullets-Body"/>
  </w:abstractNum>
  <w:abstractNum w:abstractNumId="23">
    <w:nsid w:val="50B735F9"/>
    <w:multiLevelType w:val="multilevel"/>
    <w:tmpl w:val="291435FA"/>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24">
    <w:nsid w:val="524A20A5"/>
    <w:multiLevelType w:val="hybridMultilevel"/>
    <w:tmpl w:val="2752F4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38C7A77"/>
    <w:multiLevelType w:val="hybridMultilevel"/>
    <w:tmpl w:val="F67C97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60946FC"/>
    <w:multiLevelType w:val="multilevel"/>
    <w:tmpl w:val="A83237D6"/>
    <w:numStyleLink w:val="AppxCaptions"/>
  </w:abstractNum>
  <w:abstractNum w:abstractNumId="27">
    <w:nsid w:val="6A0756DB"/>
    <w:multiLevelType w:val="multilevel"/>
    <w:tmpl w:val="5B403676"/>
    <w:styleLink w:val="ListBullets-Table10"/>
    <w:lvl w:ilvl="0">
      <w:start w:val="1"/>
      <w:numFmt w:val="bullet"/>
      <w:pStyle w:val="Table10Bullet1"/>
      <w:lvlText w:val="•"/>
      <w:lvlJc w:val="left"/>
      <w:pPr>
        <w:ind w:left="288" w:hanging="288"/>
      </w:pPr>
      <w:rPr>
        <w:rFonts w:ascii="Calibri" w:hAnsi="Calibri" w:hint="default"/>
        <w:color w:val="00507F" w:themeColor="accent1"/>
        <w:sz w:val="20"/>
      </w:rPr>
    </w:lvl>
    <w:lvl w:ilvl="1">
      <w:start w:val="1"/>
      <w:numFmt w:val="bullet"/>
      <w:pStyle w:val="Table10Bullet2"/>
      <w:lvlText w:val="–"/>
      <w:lvlJc w:val="left"/>
      <w:pPr>
        <w:ind w:left="576" w:hanging="288"/>
      </w:pPr>
      <w:rPr>
        <w:rFonts w:ascii="Calibri" w:hAnsi="Calibri" w:hint="default"/>
        <w:color w:val="00507F" w:themeColor="accent1"/>
      </w:rPr>
    </w:lvl>
    <w:lvl w:ilvl="2">
      <w:start w:val="1"/>
      <w:numFmt w:val="bullet"/>
      <w:pStyle w:val="Table10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28">
    <w:nsid w:val="72C305E4"/>
    <w:multiLevelType w:val="multilevel"/>
    <w:tmpl w:val="6DDE5BCA"/>
    <w:numStyleLink w:val="ListBullets-Body"/>
  </w:abstractNum>
  <w:abstractNum w:abstractNumId="29">
    <w:nsid w:val="7636374D"/>
    <w:multiLevelType w:val="hybridMultilevel"/>
    <w:tmpl w:val="35B4CA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7D503F85"/>
    <w:multiLevelType w:val="hybridMultilevel"/>
    <w:tmpl w:val="BB9E13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7E154A20"/>
    <w:multiLevelType w:val="multilevel"/>
    <w:tmpl w:val="469645F8"/>
    <w:numStyleLink w:val="ListStyle-InfoBoxBullets"/>
  </w:abstractNum>
  <w:num w:numId="1" w16cid:durableId="778261465">
    <w:abstractNumId w:val="0"/>
  </w:num>
  <w:num w:numId="2" w16cid:durableId="1711027103">
    <w:abstractNumId w:val="22"/>
  </w:num>
  <w:num w:numId="3" w16cid:durableId="1621957116">
    <w:abstractNumId w:val="31"/>
  </w:num>
  <w:num w:numId="4" w16cid:durableId="2086338942">
    <w:abstractNumId w:val="8"/>
  </w:num>
  <w:num w:numId="5" w16cid:durableId="1676372712">
    <w:abstractNumId w:val="27"/>
  </w:num>
  <w:num w:numId="6" w16cid:durableId="1156605695">
    <w:abstractNumId w:val="4"/>
  </w:num>
  <w:num w:numId="7" w16cid:durableId="779839399">
    <w:abstractNumId w:val="23"/>
  </w:num>
  <w:num w:numId="8" w16cid:durableId="1752699796">
    <w:abstractNumId w:val="1"/>
  </w:num>
  <w:num w:numId="9" w16cid:durableId="1763648678">
    <w:abstractNumId w:val="2"/>
  </w:num>
  <w:num w:numId="10" w16cid:durableId="277297741">
    <w:abstractNumId w:val="9"/>
  </w:num>
  <w:num w:numId="11" w16cid:durableId="1474785035">
    <w:abstractNumId w:val="21"/>
  </w:num>
  <w:num w:numId="12" w16cid:durableId="1637029350">
    <w:abstractNumId w:val="26"/>
    <w:lvlOverride w:ilvl="0">
      <w:lvl w:ilvl="0">
        <w:start w:val="1"/>
        <w:numFmt w:val="upperLetter"/>
        <w:pStyle w:val="AppxTitle"/>
        <w:suff w:val="space"/>
        <w:lvlText w:val="Appendix %1."/>
        <w:lvlJc w:val="left"/>
        <w:pPr>
          <w:ind w:left="0" w:firstLine="0"/>
        </w:pPr>
        <w:rPr>
          <w:rFonts w:asciiTheme="majorHAnsi" w:hAnsiTheme="majorHAnsi" w:hint="default"/>
          <w:b/>
          <w:i w:val="0"/>
          <w:color w:val="00507F" w:themeColor="accent1"/>
          <w:sz w:val="44"/>
        </w:rPr>
      </w:lvl>
    </w:lvlOverride>
  </w:num>
  <w:num w:numId="13" w16cid:durableId="1131745598">
    <w:abstractNumId w:val="28"/>
  </w:num>
  <w:num w:numId="14" w16cid:durableId="1047685420">
    <w:abstractNumId w:val="3"/>
  </w:num>
  <w:num w:numId="15" w16cid:durableId="86197631">
    <w:abstractNumId w:val="20"/>
  </w:num>
  <w:num w:numId="16" w16cid:durableId="1278566538">
    <w:abstractNumId w:val="3"/>
  </w:num>
  <w:num w:numId="17" w16cid:durableId="1563324940">
    <w:abstractNumId w:val="11"/>
  </w:num>
  <w:num w:numId="18" w16cid:durableId="264113599">
    <w:abstractNumId w:val="7"/>
  </w:num>
  <w:num w:numId="19" w16cid:durableId="1519850064">
    <w:abstractNumId w:val="27"/>
  </w:num>
  <w:num w:numId="20" w16cid:durableId="718869014">
    <w:abstractNumId w:val="14"/>
  </w:num>
  <w:num w:numId="21" w16cid:durableId="1745569799">
    <w:abstractNumId w:val="6"/>
  </w:num>
  <w:num w:numId="22" w16cid:durableId="316690112">
    <w:abstractNumId w:val="19"/>
  </w:num>
  <w:num w:numId="23" w16cid:durableId="624695641">
    <w:abstractNumId w:val="18"/>
  </w:num>
  <w:num w:numId="24" w16cid:durableId="243301985">
    <w:abstractNumId w:val="12"/>
  </w:num>
  <w:num w:numId="25" w16cid:durableId="1580750407">
    <w:abstractNumId w:val="30"/>
  </w:num>
  <w:num w:numId="26" w16cid:durableId="825248336">
    <w:abstractNumId w:val="15"/>
  </w:num>
  <w:num w:numId="27" w16cid:durableId="493959786">
    <w:abstractNumId w:val="13"/>
  </w:num>
  <w:num w:numId="28" w16cid:durableId="1832715614">
    <w:abstractNumId w:val="16"/>
  </w:num>
  <w:num w:numId="29" w16cid:durableId="620068315">
    <w:abstractNumId w:val="5"/>
  </w:num>
  <w:num w:numId="30" w16cid:durableId="205722626">
    <w:abstractNumId w:val="25"/>
  </w:num>
  <w:num w:numId="31" w16cid:durableId="1806117071">
    <w:abstractNumId w:val="24"/>
  </w:num>
  <w:num w:numId="32" w16cid:durableId="156113013">
    <w:abstractNumId w:val="29"/>
  </w:num>
  <w:num w:numId="33" w16cid:durableId="1854489445">
    <w:abstractNumId w:val="17"/>
  </w:num>
  <w:num w:numId="34" w16cid:durableId="1858613024">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displayBackgroundShape/>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69"/>
    <w:rsid w:val="00000B51"/>
    <w:rsid w:val="00001D2C"/>
    <w:rsid w:val="00002588"/>
    <w:rsid w:val="00004792"/>
    <w:rsid w:val="00005082"/>
    <w:rsid w:val="000055E0"/>
    <w:rsid w:val="00005A4C"/>
    <w:rsid w:val="00005EEA"/>
    <w:rsid w:val="0000695C"/>
    <w:rsid w:val="00006CA2"/>
    <w:rsid w:val="00007E7B"/>
    <w:rsid w:val="00007F56"/>
    <w:rsid w:val="0001197F"/>
    <w:rsid w:val="000163B9"/>
    <w:rsid w:val="00016CDB"/>
    <w:rsid w:val="0001752A"/>
    <w:rsid w:val="00020A1D"/>
    <w:rsid w:val="0002166E"/>
    <w:rsid w:val="00022EB2"/>
    <w:rsid w:val="00022FF0"/>
    <w:rsid w:val="00024AD5"/>
    <w:rsid w:val="000250C0"/>
    <w:rsid w:val="000328D7"/>
    <w:rsid w:val="00032A3D"/>
    <w:rsid w:val="00033774"/>
    <w:rsid w:val="000348D1"/>
    <w:rsid w:val="00034DA6"/>
    <w:rsid w:val="000352DF"/>
    <w:rsid w:val="000375DC"/>
    <w:rsid w:val="00041FFA"/>
    <w:rsid w:val="0004214F"/>
    <w:rsid w:val="000427BA"/>
    <w:rsid w:val="00044BBF"/>
    <w:rsid w:val="0004651B"/>
    <w:rsid w:val="00047B33"/>
    <w:rsid w:val="00053E4F"/>
    <w:rsid w:val="000548A4"/>
    <w:rsid w:val="000559E6"/>
    <w:rsid w:val="00056BCA"/>
    <w:rsid w:val="00057739"/>
    <w:rsid w:val="0006178A"/>
    <w:rsid w:val="0006294E"/>
    <w:rsid w:val="000650AD"/>
    <w:rsid w:val="0006553B"/>
    <w:rsid w:val="000707FC"/>
    <w:rsid w:val="000709D0"/>
    <w:rsid w:val="00070B40"/>
    <w:rsid w:val="00070ECC"/>
    <w:rsid w:val="00071F5C"/>
    <w:rsid w:val="00072986"/>
    <w:rsid w:val="00073958"/>
    <w:rsid w:val="00074255"/>
    <w:rsid w:val="00075544"/>
    <w:rsid w:val="0008013A"/>
    <w:rsid w:val="0008144A"/>
    <w:rsid w:val="00081765"/>
    <w:rsid w:val="000828DB"/>
    <w:rsid w:val="00084E78"/>
    <w:rsid w:val="00084FD8"/>
    <w:rsid w:val="000851AA"/>
    <w:rsid w:val="000861B1"/>
    <w:rsid w:val="00086432"/>
    <w:rsid w:val="0008657B"/>
    <w:rsid w:val="00087C83"/>
    <w:rsid w:val="0009046B"/>
    <w:rsid w:val="00090F12"/>
    <w:rsid w:val="000911AD"/>
    <w:rsid w:val="00091D92"/>
    <w:rsid w:val="00094A4E"/>
    <w:rsid w:val="00094C44"/>
    <w:rsid w:val="00094F13"/>
    <w:rsid w:val="00095007"/>
    <w:rsid w:val="00096653"/>
    <w:rsid w:val="00096C0B"/>
    <w:rsid w:val="000979A9"/>
    <w:rsid w:val="000A0C3E"/>
    <w:rsid w:val="000A2173"/>
    <w:rsid w:val="000A3186"/>
    <w:rsid w:val="000A3AFD"/>
    <w:rsid w:val="000A6DF7"/>
    <w:rsid w:val="000A7757"/>
    <w:rsid w:val="000A78F7"/>
    <w:rsid w:val="000B0039"/>
    <w:rsid w:val="000B0462"/>
    <w:rsid w:val="000B0B87"/>
    <w:rsid w:val="000B22EE"/>
    <w:rsid w:val="000B23E5"/>
    <w:rsid w:val="000B2DD8"/>
    <w:rsid w:val="000B3127"/>
    <w:rsid w:val="000B3805"/>
    <w:rsid w:val="000B3C9C"/>
    <w:rsid w:val="000B6393"/>
    <w:rsid w:val="000C23D1"/>
    <w:rsid w:val="000C2CD0"/>
    <w:rsid w:val="000C4A0B"/>
    <w:rsid w:val="000C5403"/>
    <w:rsid w:val="000C6E1D"/>
    <w:rsid w:val="000D0C71"/>
    <w:rsid w:val="000D256F"/>
    <w:rsid w:val="000D2788"/>
    <w:rsid w:val="000D2900"/>
    <w:rsid w:val="000D3029"/>
    <w:rsid w:val="000D48D5"/>
    <w:rsid w:val="000E026C"/>
    <w:rsid w:val="000E268F"/>
    <w:rsid w:val="000E4C78"/>
    <w:rsid w:val="000E4E41"/>
    <w:rsid w:val="000E7F65"/>
    <w:rsid w:val="000F0748"/>
    <w:rsid w:val="000F19ED"/>
    <w:rsid w:val="000F2437"/>
    <w:rsid w:val="000F366A"/>
    <w:rsid w:val="000F39E2"/>
    <w:rsid w:val="000F5718"/>
    <w:rsid w:val="000F6294"/>
    <w:rsid w:val="000F7223"/>
    <w:rsid w:val="00100D51"/>
    <w:rsid w:val="00100EEB"/>
    <w:rsid w:val="00101CB6"/>
    <w:rsid w:val="001029B5"/>
    <w:rsid w:val="00105FBF"/>
    <w:rsid w:val="00106060"/>
    <w:rsid w:val="001064E5"/>
    <w:rsid w:val="00110DF1"/>
    <w:rsid w:val="0011158A"/>
    <w:rsid w:val="00111834"/>
    <w:rsid w:val="00111C71"/>
    <w:rsid w:val="00112DE3"/>
    <w:rsid w:val="001152E0"/>
    <w:rsid w:val="0011595B"/>
    <w:rsid w:val="001159B1"/>
    <w:rsid w:val="00116566"/>
    <w:rsid w:val="001173A7"/>
    <w:rsid w:val="0012002C"/>
    <w:rsid w:val="0012606E"/>
    <w:rsid w:val="00126609"/>
    <w:rsid w:val="001266E6"/>
    <w:rsid w:val="00127018"/>
    <w:rsid w:val="00127041"/>
    <w:rsid w:val="0012704B"/>
    <w:rsid w:val="001300C1"/>
    <w:rsid w:val="0013061C"/>
    <w:rsid w:val="00130A82"/>
    <w:rsid w:val="001323B6"/>
    <w:rsid w:val="00133061"/>
    <w:rsid w:val="0013388B"/>
    <w:rsid w:val="00133EB4"/>
    <w:rsid w:val="00134961"/>
    <w:rsid w:val="00134B08"/>
    <w:rsid w:val="0013695A"/>
    <w:rsid w:val="001379C1"/>
    <w:rsid w:val="001379FA"/>
    <w:rsid w:val="00141F57"/>
    <w:rsid w:val="0014502D"/>
    <w:rsid w:val="001458DB"/>
    <w:rsid w:val="0014640E"/>
    <w:rsid w:val="00150B7A"/>
    <w:rsid w:val="001534EA"/>
    <w:rsid w:val="00153AAE"/>
    <w:rsid w:val="0015585C"/>
    <w:rsid w:val="001558E5"/>
    <w:rsid w:val="00155B83"/>
    <w:rsid w:val="00157063"/>
    <w:rsid w:val="0015775C"/>
    <w:rsid w:val="001579B5"/>
    <w:rsid w:val="00157B84"/>
    <w:rsid w:val="00161096"/>
    <w:rsid w:val="00161450"/>
    <w:rsid w:val="0016259C"/>
    <w:rsid w:val="001627C7"/>
    <w:rsid w:val="00163C1E"/>
    <w:rsid w:val="00164176"/>
    <w:rsid w:val="001646FE"/>
    <w:rsid w:val="001655DB"/>
    <w:rsid w:val="00167F25"/>
    <w:rsid w:val="0017072D"/>
    <w:rsid w:val="00170CF8"/>
    <w:rsid w:val="0017150A"/>
    <w:rsid w:val="00172424"/>
    <w:rsid w:val="001734DC"/>
    <w:rsid w:val="00173A24"/>
    <w:rsid w:val="00176922"/>
    <w:rsid w:val="00176E33"/>
    <w:rsid w:val="00177AB6"/>
    <w:rsid w:val="00181EA9"/>
    <w:rsid w:val="00182758"/>
    <w:rsid w:val="001835B9"/>
    <w:rsid w:val="001845C2"/>
    <w:rsid w:val="001876F3"/>
    <w:rsid w:val="00191C87"/>
    <w:rsid w:val="0019208C"/>
    <w:rsid w:val="0019258A"/>
    <w:rsid w:val="00193317"/>
    <w:rsid w:val="001958DD"/>
    <w:rsid w:val="0019688C"/>
    <w:rsid w:val="00196971"/>
    <w:rsid w:val="001A06B8"/>
    <w:rsid w:val="001A0E10"/>
    <w:rsid w:val="001A10B3"/>
    <w:rsid w:val="001A20B7"/>
    <w:rsid w:val="001A2B34"/>
    <w:rsid w:val="001A6AF1"/>
    <w:rsid w:val="001A7724"/>
    <w:rsid w:val="001B073A"/>
    <w:rsid w:val="001B0C6E"/>
    <w:rsid w:val="001B2A16"/>
    <w:rsid w:val="001B2BB3"/>
    <w:rsid w:val="001B30E2"/>
    <w:rsid w:val="001B7A88"/>
    <w:rsid w:val="001C1B38"/>
    <w:rsid w:val="001C47A8"/>
    <w:rsid w:val="001C6337"/>
    <w:rsid w:val="001C7144"/>
    <w:rsid w:val="001C7F74"/>
    <w:rsid w:val="001D1D91"/>
    <w:rsid w:val="001D76B7"/>
    <w:rsid w:val="001D7CB7"/>
    <w:rsid w:val="001D7D6B"/>
    <w:rsid w:val="001E044C"/>
    <w:rsid w:val="001E0A32"/>
    <w:rsid w:val="001E1108"/>
    <w:rsid w:val="001E225C"/>
    <w:rsid w:val="001E2D07"/>
    <w:rsid w:val="001E3916"/>
    <w:rsid w:val="001E42F2"/>
    <w:rsid w:val="001E6A61"/>
    <w:rsid w:val="001E6DDC"/>
    <w:rsid w:val="001F0435"/>
    <w:rsid w:val="001F09DC"/>
    <w:rsid w:val="001F2615"/>
    <w:rsid w:val="001F6AEC"/>
    <w:rsid w:val="00201AB0"/>
    <w:rsid w:val="00202D43"/>
    <w:rsid w:val="00203096"/>
    <w:rsid w:val="00205AF0"/>
    <w:rsid w:val="002071A3"/>
    <w:rsid w:val="0020780D"/>
    <w:rsid w:val="00207889"/>
    <w:rsid w:val="002100EB"/>
    <w:rsid w:val="00211FDB"/>
    <w:rsid w:val="00213925"/>
    <w:rsid w:val="00214602"/>
    <w:rsid w:val="0021518C"/>
    <w:rsid w:val="00215924"/>
    <w:rsid w:val="00215FB5"/>
    <w:rsid w:val="0021639D"/>
    <w:rsid w:val="00216BB4"/>
    <w:rsid w:val="00216BF3"/>
    <w:rsid w:val="00217964"/>
    <w:rsid w:val="00220205"/>
    <w:rsid w:val="00221475"/>
    <w:rsid w:val="0022216B"/>
    <w:rsid w:val="00222828"/>
    <w:rsid w:val="00226CB4"/>
    <w:rsid w:val="00231530"/>
    <w:rsid w:val="002335AE"/>
    <w:rsid w:val="0023562E"/>
    <w:rsid w:val="00242F59"/>
    <w:rsid w:val="002432C9"/>
    <w:rsid w:val="00244B57"/>
    <w:rsid w:val="00245CFF"/>
    <w:rsid w:val="0024600B"/>
    <w:rsid w:val="00250113"/>
    <w:rsid w:val="00250B09"/>
    <w:rsid w:val="0025328A"/>
    <w:rsid w:val="002553B6"/>
    <w:rsid w:val="00255602"/>
    <w:rsid w:val="002556DC"/>
    <w:rsid w:val="00256AAE"/>
    <w:rsid w:val="002618E5"/>
    <w:rsid w:val="00261C61"/>
    <w:rsid w:val="0026473F"/>
    <w:rsid w:val="00264955"/>
    <w:rsid w:val="00264ACF"/>
    <w:rsid w:val="002671F6"/>
    <w:rsid w:val="00270243"/>
    <w:rsid w:val="00271BF0"/>
    <w:rsid w:val="002721D5"/>
    <w:rsid w:val="00273AEB"/>
    <w:rsid w:val="00275986"/>
    <w:rsid w:val="002759E2"/>
    <w:rsid w:val="0027634F"/>
    <w:rsid w:val="00277161"/>
    <w:rsid w:val="00280885"/>
    <w:rsid w:val="00281AB9"/>
    <w:rsid w:val="00281F5F"/>
    <w:rsid w:val="00286122"/>
    <w:rsid w:val="0028694F"/>
    <w:rsid w:val="002911C0"/>
    <w:rsid w:val="00292075"/>
    <w:rsid w:val="00292EC1"/>
    <w:rsid w:val="00293424"/>
    <w:rsid w:val="002942B4"/>
    <w:rsid w:val="00294DFB"/>
    <w:rsid w:val="00294E5E"/>
    <w:rsid w:val="0029527D"/>
    <w:rsid w:val="00295EAA"/>
    <w:rsid w:val="002A12F9"/>
    <w:rsid w:val="002A3921"/>
    <w:rsid w:val="002A46D5"/>
    <w:rsid w:val="002A4A2B"/>
    <w:rsid w:val="002B180E"/>
    <w:rsid w:val="002B1F6D"/>
    <w:rsid w:val="002B2062"/>
    <w:rsid w:val="002B6DBC"/>
    <w:rsid w:val="002B7EAF"/>
    <w:rsid w:val="002C003F"/>
    <w:rsid w:val="002C0456"/>
    <w:rsid w:val="002C0BBE"/>
    <w:rsid w:val="002C2560"/>
    <w:rsid w:val="002C278F"/>
    <w:rsid w:val="002C2C64"/>
    <w:rsid w:val="002C2E7B"/>
    <w:rsid w:val="002C34F1"/>
    <w:rsid w:val="002C5121"/>
    <w:rsid w:val="002C60C1"/>
    <w:rsid w:val="002C70CC"/>
    <w:rsid w:val="002D084F"/>
    <w:rsid w:val="002D1E1A"/>
    <w:rsid w:val="002D2C52"/>
    <w:rsid w:val="002D3C9A"/>
    <w:rsid w:val="002D601E"/>
    <w:rsid w:val="002D6894"/>
    <w:rsid w:val="002E1079"/>
    <w:rsid w:val="002E1171"/>
    <w:rsid w:val="002E1BBD"/>
    <w:rsid w:val="002E2B64"/>
    <w:rsid w:val="002E2FD7"/>
    <w:rsid w:val="002E3722"/>
    <w:rsid w:val="002E3742"/>
    <w:rsid w:val="002E3D50"/>
    <w:rsid w:val="002E41D9"/>
    <w:rsid w:val="002E65AC"/>
    <w:rsid w:val="002F0E2D"/>
    <w:rsid w:val="002F1B5E"/>
    <w:rsid w:val="002F1EC9"/>
    <w:rsid w:val="002F1EE2"/>
    <w:rsid w:val="002F28D1"/>
    <w:rsid w:val="002F32E3"/>
    <w:rsid w:val="002F3E99"/>
    <w:rsid w:val="002F7CEE"/>
    <w:rsid w:val="0030072F"/>
    <w:rsid w:val="00301E5C"/>
    <w:rsid w:val="0030315F"/>
    <w:rsid w:val="0030436C"/>
    <w:rsid w:val="003055C3"/>
    <w:rsid w:val="00306DAC"/>
    <w:rsid w:val="003136AE"/>
    <w:rsid w:val="00314C95"/>
    <w:rsid w:val="00315A5F"/>
    <w:rsid w:val="00315BDA"/>
    <w:rsid w:val="00316588"/>
    <w:rsid w:val="003172C9"/>
    <w:rsid w:val="00317F89"/>
    <w:rsid w:val="00320A13"/>
    <w:rsid w:val="0032269E"/>
    <w:rsid w:val="003250E7"/>
    <w:rsid w:val="00325252"/>
    <w:rsid w:val="003259E4"/>
    <w:rsid w:val="00332970"/>
    <w:rsid w:val="003337C0"/>
    <w:rsid w:val="00340A4B"/>
    <w:rsid w:val="003416FB"/>
    <w:rsid w:val="00343A7C"/>
    <w:rsid w:val="0034491B"/>
    <w:rsid w:val="00344E87"/>
    <w:rsid w:val="0034759C"/>
    <w:rsid w:val="00350FD3"/>
    <w:rsid w:val="00351209"/>
    <w:rsid w:val="003514F4"/>
    <w:rsid w:val="00352888"/>
    <w:rsid w:val="00353147"/>
    <w:rsid w:val="003535D1"/>
    <w:rsid w:val="00353F55"/>
    <w:rsid w:val="003549A1"/>
    <w:rsid w:val="00356A2E"/>
    <w:rsid w:val="0036122F"/>
    <w:rsid w:val="00361523"/>
    <w:rsid w:val="00361AA6"/>
    <w:rsid w:val="003630AE"/>
    <w:rsid w:val="0036694A"/>
    <w:rsid w:val="00367645"/>
    <w:rsid w:val="003711E4"/>
    <w:rsid w:val="00372D9A"/>
    <w:rsid w:val="00373343"/>
    <w:rsid w:val="00375C1B"/>
    <w:rsid w:val="00375FBC"/>
    <w:rsid w:val="00376CEC"/>
    <w:rsid w:val="00377216"/>
    <w:rsid w:val="0037735A"/>
    <w:rsid w:val="003803BD"/>
    <w:rsid w:val="003806F4"/>
    <w:rsid w:val="00383592"/>
    <w:rsid w:val="00384256"/>
    <w:rsid w:val="00384308"/>
    <w:rsid w:val="00385C28"/>
    <w:rsid w:val="00387666"/>
    <w:rsid w:val="003919B2"/>
    <w:rsid w:val="00394509"/>
    <w:rsid w:val="00395F20"/>
    <w:rsid w:val="003A0024"/>
    <w:rsid w:val="003A04BF"/>
    <w:rsid w:val="003A3AF6"/>
    <w:rsid w:val="003A6765"/>
    <w:rsid w:val="003B083B"/>
    <w:rsid w:val="003B132A"/>
    <w:rsid w:val="003B2DB5"/>
    <w:rsid w:val="003B2FFA"/>
    <w:rsid w:val="003B5BCE"/>
    <w:rsid w:val="003C4AA3"/>
    <w:rsid w:val="003C71C4"/>
    <w:rsid w:val="003D0D01"/>
    <w:rsid w:val="003D1634"/>
    <w:rsid w:val="003D26AC"/>
    <w:rsid w:val="003D2C79"/>
    <w:rsid w:val="003D40A5"/>
    <w:rsid w:val="003D432E"/>
    <w:rsid w:val="003D4493"/>
    <w:rsid w:val="003D5864"/>
    <w:rsid w:val="003D6FA2"/>
    <w:rsid w:val="003D7D02"/>
    <w:rsid w:val="003E0F59"/>
    <w:rsid w:val="003E1DB8"/>
    <w:rsid w:val="003E2894"/>
    <w:rsid w:val="003E4EE5"/>
    <w:rsid w:val="003E5DC3"/>
    <w:rsid w:val="003E65EE"/>
    <w:rsid w:val="003E6E13"/>
    <w:rsid w:val="003E7B15"/>
    <w:rsid w:val="003F0418"/>
    <w:rsid w:val="003F20F9"/>
    <w:rsid w:val="003F3F47"/>
    <w:rsid w:val="003F4C3D"/>
    <w:rsid w:val="003F5257"/>
    <w:rsid w:val="003F56EC"/>
    <w:rsid w:val="003F5BBE"/>
    <w:rsid w:val="003F5ECD"/>
    <w:rsid w:val="003F60E4"/>
    <w:rsid w:val="003F61C0"/>
    <w:rsid w:val="004000F4"/>
    <w:rsid w:val="00401036"/>
    <w:rsid w:val="00405D07"/>
    <w:rsid w:val="00405DAD"/>
    <w:rsid w:val="00410E5D"/>
    <w:rsid w:val="00411199"/>
    <w:rsid w:val="004139D7"/>
    <w:rsid w:val="0041441A"/>
    <w:rsid w:val="0041485E"/>
    <w:rsid w:val="0041562D"/>
    <w:rsid w:val="00416123"/>
    <w:rsid w:val="00420221"/>
    <w:rsid w:val="004204D4"/>
    <w:rsid w:val="0042117C"/>
    <w:rsid w:val="00421D99"/>
    <w:rsid w:val="00422B8E"/>
    <w:rsid w:val="00423FDB"/>
    <w:rsid w:val="00424D7D"/>
    <w:rsid w:val="00424E58"/>
    <w:rsid w:val="0042534E"/>
    <w:rsid w:val="0042547A"/>
    <w:rsid w:val="00426F6B"/>
    <w:rsid w:val="004315C5"/>
    <w:rsid w:val="004317C3"/>
    <w:rsid w:val="00431945"/>
    <w:rsid w:val="00432182"/>
    <w:rsid w:val="004343E3"/>
    <w:rsid w:val="004348A4"/>
    <w:rsid w:val="00434F4E"/>
    <w:rsid w:val="004407E3"/>
    <w:rsid w:val="00440C8E"/>
    <w:rsid w:val="00441AF3"/>
    <w:rsid w:val="0044297D"/>
    <w:rsid w:val="00443969"/>
    <w:rsid w:val="00445B67"/>
    <w:rsid w:val="004511E6"/>
    <w:rsid w:val="004549AB"/>
    <w:rsid w:val="00455251"/>
    <w:rsid w:val="00456BF3"/>
    <w:rsid w:val="004570DC"/>
    <w:rsid w:val="00461906"/>
    <w:rsid w:val="00462E23"/>
    <w:rsid w:val="0046498C"/>
    <w:rsid w:val="00465505"/>
    <w:rsid w:val="004667EF"/>
    <w:rsid w:val="00466D02"/>
    <w:rsid w:val="0047224B"/>
    <w:rsid w:val="004723C3"/>
    <w:rsid w:val="0047517E"/>
    <w:rsid w:val="00480762"/>
    <w:rsid w:val="00480D19"/>
    <w:rsid w:val="00483B32"/>
    <w:rsid w:val="0048661A"/>
    <w:rsid w:val="00490907"/>
    <w:rsid w:val="00491F71"/>
    <w:rsid w:val="00492D1C"/>
    <w:rsid w:val="004940E3"/>
    <w:rsid w:val="0049464B"/>
    <w:rsid w:val="00494E5A"/>
    <w:rsid w:val="00496239"/>
    <w:rsid w:val="00496C77"/>
    <w:rsid w:val="00496D16"/>
    <w:rsid w:val="00497734"/>
    <w:rsid w:val="00497F8D"/>
    <w:rsid w:val="004A0566"/>
    <w:rsid w:val="004A1913"/>
    <w:rsid w:val="004A4A85"/>
    <w:rsid w:val="004A4E9C"/>
    <w:rsid w:val="004A52E3"/>
    <w:rsid w:val="004A535A"/>
    <w:rsid w:val="004B0759"/>
    <w:rsid w:val="004B0EFE"/>
    <w:rsid w:val="004B1490"/>
    <w:rsid w:val="004B2C3A"/>
    <w:rsid w:val="004B2DFB"/>
    <w:rsid w:val="004B3274"/>
    <w:rsid w:val="004C0698"/>
    <w:rsid w:val="004C08C4"/>
    <w:rsid w:val="004C12C7"/>
    <w:rsid w:val="004C4C36"/>
    <w:rsid w:val="004C53B9"/>
    <w:rsid w:val="004C5648"/>
    <w:rsid w:val="004C6516"/>
    <w:rsid w:val="004C7143"/>
    <w:rsid w:val="004D074D"/>
    <w:rsid w:val="004D0D24"/>
    <w:rsid w:val="004D212A"/>
    <w:rsid w:val="004D2C0A"/>
    <w:rsid w:val="004D3034"/>
    <w:rsid w:val="004D3822"/>
    <w:rsid w:val="004D6157"/>
    <w:rsid w:val="004D7C88"/>
    <w:rsid w:val="004E0514"/>
    <w:rsid w:val="004E0657"/>
    <w:rsid w:val="004E1A84"/>
    <w:rsid w:val="004E323B"/>
    <w:rsid w:val="004E3EB0"/>
    <w:rsid w:val="004E45A6"/>
    <w:rsid w:val="004E46C4"/>
    <w:rsid w:val="004E4E46"/>
    <w:rsid w:val="004E5476"/>
    <w:rsid w:val="004E7DE9"/>
    <w:rsid w:val="004F186F"/>
    <w:rsid w:val="004F226B"/>
    <w:rsid w:val="004F2404"/>
    <w:rsid w:val="004F3CD0"/>
    <w:rsid w:val="004F4E75"/>
    <w:rsid w:val="004F5144"/>
    <w:rsid w:val="004F616B"/>
    <w:rsid w:val="004F7F42"/>
    <w:rsid w:val="00501DCF"/>
    <w:rsid w:val="00503A31"/>
    <w:rsid w:val="005049B6"/>
    <w:rsid w:val="00505562"/>
    <w:rsid w:val="00506141"/>
    <w:rsid w:val="0050676A"/>
    <w:rsid w:val="00507684"/>
    <w:rsid w:val="00511768"/>
    <w:rsid w:val="005120C0"/>
    <w:rsid w:val="0051269E"/>
    <w:rsid w:val="00512AD2"/>
    <w:rsid w:val="00513033"/>
    <w:rsid w:val="00517729"/>
    <w:rsid w:val="005200BC"/>
    <w:rsid w:val="005202A3"/>
    <w:rsid w:val="005234C4"/>
    <w:rsid w:val="0052391B"/>
    <w:rsid w:val="00525D15"/>
    <w:rsid w:val="00525F96"/>
    <w:rsid w:val="00526D11"/>
    <w:rsid w:val="00526DCF"/>
    <w:rsid w:val="005305D9"/>
    <w:rsid w:val="00530C05"/>
    <w:rsid w:val="00532B94"/>
    <w:rsid w:val="005334CC"/>
    <w:rsid w:val="00534629"/>
    <w:rsid w:val="00534709"/>
    <w:rsid w:val="005351D5"/>
    <w:rsid w:val="00535237"/>
    <w:rsid w:val="00537D1B"/>
    <w:rsid w:val="00543E35"/>
    <w:rsid w:val="005477BA"/>
    <w:rsid w:val="00550F61"/>
    <w:rsid w:val="0055139F"/>
    <w:rsid w:val="00552138"/>
    <w:rsid w:val="00552267"/>
    <w:rsid w:val="005522CD"/>
    <w:rsid w:val="00552958"/>
    <w:rsid w:val="00552A19"/>
    <w:rsid w:val="00552B0F"/>
    <w:rsid w:val="0055448D"/>
    <w:rsid w:val="005546D0"/>
    <w:rsid w:val="0055475A"/>
    <w:rsid w:val="00555ABC"/>
    <w:rsid w:val="00556C55"/>
    <w:rsid w:val="00560641"/>
    <w:rsid w:val="0056076D"/>
    <w:rsid w:val="00560A90"/>
    <w:rsid w:val="00562361"/>
    <w:rsid w:val="0056425D"/>
    <w:rsid w:val="00565076"/>
    <w:rsid w:val="00565297"/>
    <w:rsid w:val="00565776"/>
    <w:rsid w:val="005770F8"/>
    <w:rsid w:val="00577AB6"/>
    <w:rsid w:val="005809D1"/>
    <w:rsid w:val="00580F3D"/>
    <w:rsid w:val="00581F92"/>
    <w:rsid w:val="005849A7"/>
    <w:rsid w:val="00584C5B"/>
    <w:rsid w:val="00590F97"/>
    <w:rsid w:val="005912EA"/>
    <w:rsid w:val="005918CE"/>
    <w:rsid w:val="005934A4"/>
    <w:rsid w:val="00593AB2"/>
    <w:rsid w:val="00595742"/>
    <w:rsid w:val="0059743D"/>
    <w:rsid w:val="0059776B"/>
    <w:rsid w:val="0059777D"/>
    <w:rsid w:val="005A0A21"/>
    <w:rsid w:val="005A2541"/>
    <w:rsid w:val="005A2C11"/>
    <w:rsid w:val="005A5B42"/>
    <w:rsid w:val="005A7CC3"/>
    <w:rsid w:val="005B04E3"/>
    <w:rsid w:val="005B0958"/>
    <w:rsid w:val="005B10B5"/>
    <w:rsid w:val="005B3B38"/>
    <w:rsid w:val="005B48B1"/>
    <w:rsid w:val="005B58DA"/>
    <w:rsid w:val="005C10EC"/>
    <w:rsid w:val="005C1689"/>
    <w:rsid w:val="005C1717"/>
    <w:rsid w:val="005C2FA3"/>
    <w:rsid w:val="005C4B4A"/>
    <w:rsid w:val="005C722B"/>
    <w:rsid w:val="005C753E"/>
    <w:rsid w:val="005D4DFA"/>
    <w:rsid w:val="005D599E"/>
    <w:rsid w:val="005D69DC"/>
    <w:rsid w:val="005D79A4"/>
    <w:rsid w:val="005D7DB6"/>
    <w:rsid w:val="005E0C60"/>
    <w:rsid w:val="005E16A3"/>
    <w:rsid w:val="005E1E7F"/>
    <w:rsid w:val="005E36C8"/>
    <w:rsid w:val="005E4728"/>
    <w:rsid w:val="005E5080"/>
    <w:rsid w:val="005E6AD6"/>
    <w:rsid w:val="005F40C3"/>
    <w:rsid w:val="005F49A9"/>
    <w:rsid w:val="005F5129"/>
    <w:rsid w:val="005F7946"/>
    <w:rsid w:val="0060167B"/>
    <w:rsid w:val="00602341"/>
    <w:rsid w:val="006023DA"/>
    <w:rsid w:val="006036AD"/>
    <w:rsid w:val="006038FE"/>
    <w:rsid w:val="00604856"/>
    <w:rsid w:val="00604D79"/>
    <w:rsid w:val="006056E8"/>
    <w:rsid w:val="00606E6C"/>
    <w:rsid w:val="00607046"/>
    <w:rsid w:val="006074CD"/>
    <w:rsid w:val="00607541"/>
    <w:rsid w:val="00610366"/>
    <w:rsid w:val="00610BE0"/>
    <w:rsid w:val="006119E5"/>
    <w:rsid w:val="006124B0"/>
    <w:rsid w:val="00612CE1"/>
    <w:rsid w:val="006132BE"/>
    <w:rsid w:val="00613DD9"/>
    <w:rsid w:val="00614251"/>
    <w:rsid w:val="00617070"/>
    <w:rsid w:val="006229DF"/>
    <w:rsid w:val="00622F11"/>
    <w:rsid w:val="006235D0"/>
    <w:rsid w:val="00624320"/>
    <w:rsid w:val="0062488C"/>
    <w:rsid w:val="00625129"/>
    <w:rsid w:val="00625E85"/>
    <w:rsid w:val="00626D8E"/>
    <w:rsid w:val="00633952"/>
    <w:rsid w:val="00636F1A"/>
    <w:rsid w:val="0063706A"/>
    <w:rsid w:val="00637188"/>
    <w:rsid w:val="00637BD2"/>
    <w:rsid w:val="00637FE0"/>
    <w:rsid w:val="00640BFC"/>
    <w:rsid w:val="00640F0B"/>
    <w:rsid w:val="00643C42"/>
    <w:rsid w:val="0064416D"/>
    <w:rsid w:val="00644703"/>
    <w:rsid w:val="0064595C"/>
    <w:rsid w:val="00650170"/>
    <w:rsid w:val="00650725"/>
    <w:rsid w:val="00650BB1"/>
    <w:rsid w:val="00656841"/>
    <w:rsid w:val="00656C41"/>
    <w:rsid w:val="00656F62"/>
    <w:rsid w:val="006576F7"/>
    <w:rsid w:val="0065773F"/>
    <w:rsid w:val="00657B61"/>
    <w:rsid w:val="0066021A"/>
    <w:rsid w:val="00661F58"/>
    <w:rsid w:val="00662028"/>
    <w:rsid w:val="0066307C"/>
    <w:rsid w:val="00663DD2"/>
    <w:rsid w:val="00665E2B"/>
    <w:rsid w:val="00666141"/>
    <w:rsid w:val="006675AA"/>
    <w:rsid w:val="006702B3"/>
    <w:rsid w:val="00670371"/>
    <w:rsid w:val="0067069F"/>
    <w:rsid w:val="006734C2"/>
    <w:rsid w:val="006742FD"/>
    <w:rsid w:val="00676C14"/>
    <w:rsid w:val="0068031B"/>
    <w:rsid w:val="006809C9"/>
    <w:rsid w:val="0068126B"/>
    <w:rsid w:val="00681A24"/>
    <w:rsid w:val="00682056"/>
    <w:rsid w:val="006826D9"/>
    <w:rsid w:val="00682C66"/>
    <w:rsid w:val="00682EAE"/>
    <w:rsid w:val="006831B6"/>
    <w:rsid w:val="0068339F"/>
    <w:rsid w:val="00683978"/>
    <w:rsid w:val="00684357"/>
    <w:rsid w:val="006845F2"/>
    <w:rsid w:val="0068560E"/>
    <w:rsid w:val="00686095"/>
    <w:rsid w:val="00690ED2"/>
    <w:rsid w:val="00693880"/>
    <w:rsid w:val="006947DE"/>
    <w:rsid w:val="00694956"/>
    <w:rsid w:val="006955B8"/>
    <w:rsid w:val="00697299"/>
    <w:rsid w:val="00697808"/>
    <w:rsid w:val="00697FBD"/>
    <w:rsid w:val="006A08E8"/>
    <w:rsid w:val="006A12ED"/>
    <w:rsid w:val="006A329E"/>
    <w:rsid w:val="006A5284"/>
    <w:rsid w:val="006A6CDB"/>
    <w:rsid w:val="006B0539"/>
    <w:rsid w:val="006B0689"/>
    <w:rsid w:val="006B22B9"/>
    <w:rsid w:val="006B2FEE"/>
    <w:rsid w:val="006B3FF8"/>
    <w:rsid w:val="006B4404"/>
    <w:rsid w:val="006B5BBA"/>
    <w:rsid w:val="006B7007"/>
    <w:rsid w:val="006B700F"/>
    <w:rsid w:val="006C276F"/>
    <w:rsid w:val="006C66C9"/>
    <w:rsid w:val="006D11C7"/>
    <w:rsid w:val="006D44F4"/>
    <w:rsid w:val="006D4565"/>
    <w:rsid w:val="006D5F97"/>
    <w:rsid w:val="006D7512"/>
    <w:rsid w:val="006E24A1"/>
    <w:rsid w:val="006E28B5"/>
    <w:rsid w:val="006E4E01"/>
    <w:rsid w:val="006E6B48"/>
    <w:rsid w:val="006F18C2"/>
    <w:rsid w:val="006F21B0"/>
    <w:rsid w:val="006F236F"/>
    <w:rsid w:val="006F3C4D"/>
    <w:rsid w:val="006F6FD8"/>
    <w:rsid w:val="006F763D"/>
    <w:rsid w:val="00700FB7"/>
    <w:rsid w:val="007025ED"/>
    <w:rsid w:val="00703720"/>
    <w:rsid w:val="0070558A"/>
    <w:rsid w:val="00705BB4"/>
    <w:rsid w:val="00706D6D"/>
    <w:rsid w:val="007071FF"/>
    <w:rsid w:val="00710C3E"/>
    <w:rsid w:val="00710C6A"/>
    <w:rsid w:val="00711290"/>
    <w:rsid w:val="007115B2"/>
    <w:rsid w:val="00711658"/>
    <w:rsid w:val="00714F50"/>
    <w:rsid w:val="00715069"/>
    <w:rsid w:val="00715FB0"/>
    <w:rsid w:val="00717059"/>
    <w:rsid w:val="00717682"/>
    <w:rsid w:val="00720325"/>
    <w:rsid w:val="007224DF"/>
    <w:rsid w:val="00722C11"/>
    <w:rsid w:val="00724390"/>
    <w:rsid w:val="00724714"/>
    <w:rsid w:val="00725361"/>
    <w:rsid w:val="00733F5D"/>
    <w:rsid w:val="00737EC6"/>
    <w:rsid w:val="0074086B"/>
    <w:rsid w:val="007415EF"/>
    <w:rsid w:val="00741AE5"/>
    <w:rsid w:val="00743CB9"/>
    <w:rsid w:val="0074400D"/>
    <w:rsid w:val="007519C4"/>
    <w:rsid w:val="007527A6"/>
    <w:rsid w:val="0075385E"/>
    <w:rsid w:val="007540CE"/>
    <w:rsid w:val="00754401"/>
    <w:rsid w:val="00755CAE"/>
    <w:rsid w:val="007576EC"/>
    <w:rsid w:val="00761AA7"/>
    <w:rsid w:val="00762AF2"/>
    <w:rsid w:val="00763DA1"/>
    <w:rsid w:val="007642C7"/>
    <w:rsid w:val="007649D8"/>
    <w:rsid w:val="00765FA8"/>
    <w:rsid w:val="00765FFB"/>
    <w:rsid w:val="00767F32"/>
    <w:rsid w:val="00772CFA"/>
    <w:rsid w:val="0077306D"/>
    <w:rsid w:val="00773361"/>
    <w:rsid w:val="00773A11"/>
    <w:rsid w:val="00775CF5"/>
    <w:rsid w:val="00776024"/>
    <w:rsid w:val="00776B62"/>
    <w:rsid w:val="00776C00"/>
    <w:rsid w:val="00777A50"/>
    <w:rsid w:val="00777AAF"/>
    <w:rsid w:val="007805F2"/>
    <w:rsid w:val="00781641"/>
    <w:rsid w:val="0078177A"/>
    <w:rsid w:val="007841AF"/>
    <w:rsid w:val="0078621C"/>
    <w:rsid w:val="007862F4"/>
    <w:rsid w:val="00790786"/>
    <w:rsid w:val="0079100E"/>
    <w:rsid w:val="007913BF"/>
    <w:rsid w:val="00791DF9"/>
    <w:rsid w:val="00792A54"/>
    <w:rsid w:val="00793CB0"/>
    <w:rsid w:val="0079431B"/>
    <w:rsid w:val="007943A8"/>
    <w:rsid w:val="007A0072"/>
    <w:rsid w:val="007A067D"/>
    <w:rsid w:val="007A18DB"/>
    <w:rsid w:val="007A1BC5"/>
    <w:rsid w:val="007A46E9"/>
    <w:rsid w:val="007A5EB1"/>
    <w:rsid w:val="007A6A6A"/>
    <w:rsid w:val="007A6D2A"/>
    <w:rsid w:val="007A72B1"/>
    <w:rsid w:val="007B10DF"/>
    <w:rsid w:val="007B3172"/>
    <w:rsid w:val="007C110F"/>
    <w:rsid w:val="007C133D"/>
    <w:rsid w:val="007C1FC9"/>
    <w:rsid w:val="007C3DB3"/>
    <w:rsid w:val="007C51A2"/>
    <w:rsid w:val="007D218F"/>
    <w:rsid w:val="007D400C"/>
    <w:rsid w:val="007D4B67"/>
    <w:rsid w:val="007D55F3"/>
    <w:rsid w:val="007D5BDA"/>
    <w:rsid w:val="007D716E"/>
    <w:rsid w:val="007E1EDA"/>
    <w:rsid w:val="007E35F7"/>
    <w:rsid w:val="007E5A0E"/>
    <w:rsid w:val="007E6944"/>
    <w:rsid w:val="007E7233"/>
    <w:rsid w:val="007F17A0"/>
    <w:rsid w:val="007F1E76"/>
    <w:rsid w:val="007F2344"/>
    <w:rsid w:val="007F2774"/>
    <w:rsid w:val="007F3FEB"/>
    <w:rsid w:val="007F4DF7"/>
    <w:rsid w:val="007F4FD8"/>
    <w:rsid w:val="007F511B"/>
    <w:rsid w:val="007F642A"/>
    <w:rsid w:val="007F7797"/>
    <w:rsid w:val="0080065A"/>
    <w:rsid w:val="00800858"/>
    <w:rsid w:val="0080103A"/>
    <w:rsid w:val="00801285"/>
    <w:rsid w:val="00801509"/>
    <w:rsid w:val="008017A2"/>
    <w:rsid w:val="00802A5C"/>
    <w:rsid w:val="008045D8"/>
    <w:rsid w:val="00804A60"/>
    <w:rsid w:val="00804B53"/>
    <w:rsid w:val="00810696"/>
    <w:rsid w:val="00813984"/>
    <w:rsid w:val="00814666"/>
    <w:rsid w:val="00814691"/>
    <w:rsid w:val="00816159"/>
    <w:rsid w:val="008166D6"/>
    <w:rsid w:val="00816A5E"/>
    <w:rsid w:val="00816E34"/>
    <w:rsid w:val="008202EC"/>
    <w:rsid w:val="00821A55"/>
    <w:rsid w:val="00821D35"/>
    <w:rsid w:val="008242CC"/>
    <w:rsid w:val="0082509F"/>
    <w:rsid w:val="00830584"/>
    <w:rsid w:val="00831745"/>
    <w:rsid w:val="00831DE5"/>
    <w:rsid w:val="00833BE7"/>
    <w:rsid w:val="008357C8"/>
    <w:rsid w:val="00835EAF"/>
    <w:rsid w:val="0083609A"/>
    <w:rsid w:val="008372DB"/>
    <w:rsid w:val="0084144C"/>
    <w:rsid w:val="00841551"/>
    <w:rsid w:val="00841838"/>
    <w:rsid w:val="00844CD6"/>
    <w:rsid w:val="0084502F"/>
    <w:rsid w:val="00850453"/>
    <w:rsid w:val="00853582"/>
    <w:rsid w:val="00854B56"/>
    <w:rsid w:val="00854F9B"/>
    <w:rsid w:val="0085652D"/>
    <w:rsid w:val="008566CF"/>
    <w:rsid w:val="008566F1"/>
    <w:rsid w:val="00856F09"/>
    <w:rsid w:val="0086145D"/>
    <w:rsid w:val="00862AAC"/>
    <w:rsid w:val="008643EF"/>
    <w:rsid w:val="00865961"/>
    <w:rsid w:val="00865C4B"/>
    <w:rsid w:val="0086747F"/>
    <w:rsid w:val="00870F4A"/>
    <w:rsid w:val="008712BF"/>
    <w:rsid w:val="008716D3"/>
    <w:rsid w:val="00871AB9"/>
    <w:rsid w:val="00871B87"/>
    <w:rsid w:val="00872596"/>
    <w:rsid w:val="00872708"/>
    <w:rsid w:val="00873193"/>
    <w:rsid w:val="00873917"/>
    <w:rsid w:val="0088125B"/>
    <w:rsid w:val="008830F9"/>
    <w:rsid w:val="00883517"/>
    <w:rsid w:val="008837E7"/>
    <w:rsid w:val="00885A38"/>
    <w:rsid w:val="00886EA2"/>
    <w:rsid w:val="008917FE"/>
    <w:rsid w:val="00891F2A"/>
    <w:rsid w:val="00893240"/>
    <w:rsid w:val="0089363C"/>
    <w:rsid w:val="00893685"/>
    <w:rsid w:val="008A02B0"/>
    <w:rsid w:val="008A1BC1"/>
    <w:rsid w:val="008A295E"/>
    <w:rsid w:val="008A370F"/>
    <w:rsid w:val="008A37AF"/>
    <w:rsid w:val="008A4CAB"/>
    <w:rsid w:val="008A5EF4"/>
    <w:rsid w:val="008A707B"/>
    <w:rsid w:val="008A7225"/>
    <w:rsid w:val="008A7419"/>
    <w:rsid w:val="008B2244"/>
    <w:rsid w:val="008B4276"/>
    <w:rsid w:val="008B449A"/>
    <w:rsid w:val="008B602D"/>
    <w:rsid w:val="008B6E65"/>
    <w:rsid w:val="008B6EFD"/>
    <w:rsid w:val="008B78CA"/>
    <w:rsid w:val="008C02DB"/>
    <w:rsid w:val="008C294B"/>
    <w:rsid w:val="008C484F"/>
    <w:rsid w:val="008D0717"/>
    <w:rsid w:val="008D0F95"/>
    <w:rsid w:val="008D34F0"/>
    <w:rsid w:val="008D3ECA"/>
    <w:rsid w:val="008D4512"/>
    <w:rsid w:val="008D62AE"/>
    <w:rsid w:val="008D6CBD"/>
    <w:rsid w:val="008E2966"/>
    <w:rsid w:val="008E3089"/>
    <w:rsid w:val="008E3450"/>
    <w:rsid w:val="008E59D2"/>
    <w:rsid w:val="008F23B0"/>
    <w:rsid w:val="008F305E"/>
    <w:rsid w:val="008F7CCB"/>
    <w:rsid w:val="00900273"/>
    <w:rsid w:val="0090186A"/>
    <w:rsid w:val="00904ADC"/>
    <w:rsid w:val="00905D2F"/>
    <w:rsid w:val="00906508"/>
    <w:rsid w:val="00913C89"/>
    <w:rsid w:val="00914094"/>
    <w:rsid w:val="00915B45"/>
    <w:rsid w:val="0091653E"/>
    <w:rsid w:val="0091760C"/>
    <w:rsid w:val="009215DA"/>
    <w:rsid w:val="00921B72"/>
    <w:rsid w:val="009220CE"/>
    <w:rsid w:val="00922150"/>
    <w:rsid w:val="009241B7"/>
    <w:rsid w:val="00924570"/>
    <w:rsid w:val="00924FEC"/>
    <w:rsid w:val="009251E2"/>
    <w:rsid w:val="00925592"/>
    <w:rsid w:val="00926AF6"/>
    <w:rsid w:val="00931845"/>
    <w:rsid w:val="009324A7"/>
    <w:rsid w:val="00932963"/>
    <w:rsid w:val="00933051"/>
    <w:rsid w:val="009348F2"/>
    <w:rsid w:val="009351C4"/>
    <w:rsid w:val="00935937"/>
    <w:rsid w:val="00936889"/>
    <w:rsid w:val="0093763F"/>
    <w:rsid w:val="00940879"/>
    <w:rsid w:val="00943362"/>
    <w:rsid w:val="009443C4"/>
    <w:rsid w:val="00945EA1"/>
    <w:rsid w:val="009501E0"/>
    <w:rsid w:val="009504DC"/>
    <w:rsid w:val="00951470"/>
    <w:rsid w:val="009538B2"/>
    <w:rsid w:val="00957F61"/>
    <w:rsid w:val="00961EE5"/>
    <w:rsid w:val="00962CC4"/>
    <w:rsid w:val="00963F5A"/>
    <w:rsid w:val="00964D5C"/>
    <w:rsid w:val="009655A9"/>
    <w:rsid w:val="0097049D"/>
    <w:rsid w:val="00970C64"/>
    <w:rsid w:val="009763B5"/>
    <w:rsid w:val="00976EEE"/>
    <w:rsid w:val="00977324"/>
    <w:rsid w:val="00984D91"/>
    <w:rsid w:val="00985B50"/>
    <w:rsid w:val="00987326"/>
    <w:rsid w:val="0098738B"/>
    <w:rsid w:val="009878EA"/>
    <w:rsid w:val="00992B65"/>
    <w:rsid w:val="009A21E8"/>
    <w:rsid w:val="009A3463"/>
    <w:rsid w:val="009A3A73"/>
    <w:rsid w:val="009A71A8"/>
    <w:rsid w:val="009B1663"/>
    <w:rsid w:val="009B6B5C"/>
    <w:rsid w:val="009B6C95"/>
    <w:rsid w:val="009B6E9C"/>
    <w:rsid w:val="009C2ABF"/>
    <w:rsid w:val="009C3742"/>
    <w:rsid w:val="009C48D5"/>
    <w:rsid w:val="009C48F2"/>
    <w:rsid w:val="009C6F88"/>
    <w:rsid w:val="009C70A1"/>
    <w:rsid w:val="009C79F3"/>
    <w:rsid w:val="009D081C"/>
    <w:rsid w:val="009D0BBC"/>
    <w:rsid w:val="009D1700"/>
    <w:rsid w:val="009D1C0A"/>
    <w:rsid w:val="009D1C30"/>
    <w:rsid w:val="009D4EEF"/>
    <w:rsid w:val="009D5FDD"/>
    <w:rsid w:val="009D7030"/>
    <w:rsid w:val="009D79FA"/>
    <w:rsid w:val="009D7AC6"/>
    <w:rsid w:val="009E1E0C"/>
    <w:rsid w:val="009E39B7"/>
    <w:rsid w:val="009E3ECE"/>
    <w:rsid w:val="009E4D19"/>
    <w:rsid w:val="009E634E"/>
    <w:rsid w:val="009E7F45"/>
    <w:rsid w:val="009F1A75"/>
    <w:rsid w:val="009F2360"/>
    <w:rsid w:val="009F328A"/>
    <w:rsid w:val="009F3BEE"/>
    <w:rsid w:val="009F494C"/>
    <w:rsid w:val="009F540D"/>
    <w:rsid w:val="009F7766"/>
    <w:rsid w:val="009F7AD9"/>
    <w:rsid w:val="00A00DA1"/>
    <w:rsid w:val="00A0445D"/>
    <w:rsid w:val="00A06109"/>
    <w:rsid w:val="00A073CC"/>
    <w:rsid w:val="00A1149F"/>
    <w:rsid w:val="00A16968"/>
    <w:rsid w:val="00A17515"/>
    <w:rsid w:val="00A237A8"/>
    <w:rsid w:val="00A243A6"/>
    <w:rsid w:val="00A25D7B"/>
    <w:rsid w:val="00A269C1"/>
    <w:rsid w:val="00A26F9A"/>
    <w:rsid w:val="00A275E8"/>
    <w:rsid w:val="00A3026D"/>
    <w:rsid w:val="00A3029A"/>
    <w:rsid w:val="00A30AF6"/>
    <w:rsid w:val="00A32A01"/>
    <w:rsid w:val="00A3442B"/>
    <w:rsid w:val="00A35BC1"/>
    <w:rsid w:val="00A36D66"/>
    <w:rsid w:val="00A400E3"/>
    <w:rsid w:val="00A41205"/>
    <w:rsid w:val="00A428BA"/>
    <w:rsid w:val="00A43951"/>
    <w:rsid w:val="00A442F9"/>
    <w:rsid w:val="00A44B17"/>
    <w:rsid w:val="00A46834"/>
    <w:rsid w:val="00A5014A"/>
    <w:rsid w:val="00A503C9"/>
    <w:rsid w:val="00A507AF"/>
    <w:rsid w:val="00A512C1"/>
    <w:rsid w:val="00A5315D"/>
    <w:rsid w:val="00A53215"/>
    <w:rsid w:val="00A541F0"/>
    <w:rsid w:val="00A5587B"/>
    <w:rsid w:val="00A56256"/>
    <w:rsid w:val="00A56E04"/>
    <w:rsid w:val="00A62096"/>
    <w:rsid w:val="00A62352"/>
    <w:rsid w:val="00A62C14"/>
    <w:rsid w:val="00A632E7"/>
    <w:rsid w:val="00A63763"/>
    <w:rsid w:val="00A70249"/>
    <w:rsid w:val="00A70B97"/>
    <w:rsid w:val="00A71A7E"/>
    <w:rsid w:val="00A7204A"/>
    <w:rsid w:val="00A7774D"/>
    <w:rsid w:val="00A77915"/>
    <w:rsid w:val="00A77A85"/>
    <w:rsid w:val="00A77DA4"/>
    <w:rsid w:val="00A80B7A"/>
    <w:rsid w:val="00A80D9C"/>
    <w:rsid w:val="00A81C8C"/>
    <w:rsid w:val="00A82BB4"/>
    <w:rsid w:val="00A82CEC"/>
    <w:rsid w:val="00A84A13"/>
    <w:rsid w:val="00A84C0D"/>
    <w:rsid w:val="00A9180C"/>
    <w:rsid w:val="00A91ACA"/>
    <w:rsid w:val="00A93285"/>
    <w:rsid w:val="00A93319"/>
    <w:rsid w:val="00A9662E"/>
    <w:rsid w:val="00A969AA"/>
    <w:rsid w:val="00AA19CF"/>
    <w:rsid w:val="00AA3082"/>
    <w:rsid w:val="00AA4D91"/>
    <w:rsid w:val="00AA6A18"/>
    <w:rsid w:val="00AA72EE"/>
    <w:rsid w:val="00AA7CF6"/>
    <w:rsid w:val="00AB034B"/>
    <w:rsid w:val="00AB49D9"/>
    <w:rsid w:val="00AB51AD"/>
    <w:rsid w:val="00AB6590"/>
    <w:rsid w:val="00AB66DE"/>
    <w:rsid w:val="00AB6AF9"/>
    <w:rsid w:val="00AB7527"/>
    <w:rsid w:val="00AB78A5"/>
    <w:rsid w:val="00AC0C2B"/>
    <w:rsid w:val="00AC2104"/>
    <w:rsid w:val="00AC24EE"/>
    <w:rsid w:val="00AC42B0"/>
    <w:rsid w:val="00AC45A5"/>
    <w:rsid w:val="00AC4DA9"/>
    <w:rsid w:val="00AC539D"/>
    <w:rsid w:val="00AC54E7"/>
    <w:rsid w:val="00AC6115"/>
    <w:rsid w:val="00AC666F"/>
    <w:rsid w:val="00AD05BF"/>
    <w:rsid w:val="00AD0A44"/>
    <w:rsid w:val="00AD0E5A"/>
    <w:rsid w:val="00AD10C3"/>
    <w:rsid w:val="00AD215B"/>
    <w:rsid w:val="00AD24BD"/>
    <w:rsid w:val="00AD266F"/>
    <w:rsid w:val="00AD3513"/>
    <w:rsid w:val="00AD5377"/>
    <w:rsid w:val="00AD5625"/>
    <w:rsid w:val="00AD5E24"/>
    <w:rsid w:val="00AD6C1C"/>
    <w:rsid w:val="00AD6EDE"/>
    <w:rsid w:val="00AD7ADB"/>
    <w:rsid w:val="00AE1E5E"/>
    <w:rsid w:val="00AE4F99"/>
    <w:rsid w:val="00AE519D"/>
    <w:rsid w:val="00AE5AA4"/>
    <w:rsid w:val="00AE6664"/>
    <w:rsid w:val="00AE6E71"/>
    <w:rsid w:val="00AE7249"/>
    <w:rsid w:val="00AF34E8"/>
    <w:rsid w:val="00AF38F2"/>
    <w:rsid w:val="00AF46EA"/>
    <w:rsid w:val="00AF520B"/>
    <w:rsid w:val="00AF5407"/>
    <w:rsid w:val="00AF5F95"/>
    <w:rsid w:val="00AF62E9"/>
    <w:rsid w:val="00AF6763"/>
    <w:rsid w:val="00AF692E"/>
    <w:rsid w:val="00AF7CDC"/>
    <w:rsid w:val="00B00C00"/>
    <w:rsid w:val="00B00E92"/>
    <w:rsid w:val="00B02438"/>
    <w:rsid w:val="00B031C5"/>
    <w:rsid w:val="00B04941"/>
    <w:rsid w:val="00B06B17"/>
    <w:rsid w:val="00B07DED"/>
    <w:rsid w:val="00B11720"/>
    <w:rsid w:val="00B11E56"/>
    <w:rsid w:val="00B13972"/>
    <w:rsid w:val="00B14508"/>
    <w:rsid w:val="00B158F2"/>
    <w:rsid w:val="00B15C5A"/>
    <w:rsid w:val="00B1682F"/>
    <w:rsid w:val="00B2046D"/>
    <w:rsid w:val="00B20A58"/>
    <w:rsid w:val="00B21BC8"/>
    <w:rsid w:val="00B225D3"/>
    <w:rsid w:val="00B22810"/>
    <w:rsid w:val="00B24630"/>
    <w:rsid w:val="00B24D98"/>
    <w:rsid w:val="00B2544F"/>
    <w:rsid w:val="00B257DB"/>
    <w:rsid w:val="00B27FEE"/>
    <w:rsid w:val="00B30CA1"/>
    <w:rsid w:val="00B31368"/>
    <w:rsid w:val="00B323F2"/>
    <w:rsid w:val="00B34CBA"/>
    <w:rsid w:val="00B3666B"/>
    <w:rsid w:val="00B3792B"/>
    <w:rsid w:val="00B40467"/>
    <w:rsid w:val="00B41455"/>
    <w:rsid w:val="00B41B3C"/>
    <w:rsid w:val="00B43CBD"/>
    <w:rsid w:val="00B4478C"/>
    <w:rsid w:val="00B44E61"/>
    <w:rsid w:val="00B51D2B"/>
    <w:rsid w:val="00B5321A"/>
    <w:rsid w:val="00B540E9"/>
    <w:rsid w:val="00B54568"/>
    <w:rsid w:val="00B549A1"/>
    <w:rsid w:val="00B5679E"/>
    <w:rsid w:val="00B57141"/>
    <w:rsid w:val="00B60182"/>
    <w:rsid w:val="00B60254"/>
    <w:rsid w:val="00B605A8"/>
    <w:rsid w:val="00B6085F"/>
    <w:rsid w:val="00B63251"/>
    <w:rsid w:val="00B63661"/>
    <w:rsid w:val="00B63F7F"/>
    <w:rsid w:val="00B67679"/>
    <w:rsid w:val="00B70BC9"/>
    <w:rsid w:val="00B70FCB"/>
    <w:rsid w:val="00B71A12"/>
    <w:rsid w:val="00B73FBF"/>
    <w:rsid w:val="00B740B0"/>
    <w:rsid w:val="00B74918"/>
    <w:rsid w:val="00B74AFD"/>
    <w:rsid w:val="00B76ED9"/>
    <w:rsid w:val="00B774DF"/>
    <w:rsid w:val="00B82AE4"/>
    <w:rsid w:val="00B84A51"/>
    <w:rsid w:val="00B8525C"/>
    <w:rsid w:val="00B865EB"/>
    <w:rsid w:val="00B86C39"/>
    <w:rsid w:val="00B87483"/>
    <w:rsid w:val="00B90825"/>
    <w:rsid w:val="00B912DB"/>
    <w:rsid w:val="00B91713"/>
    <w:rsid w:val="00B951B6"/>
    <w:rsid w:val="00B96B38"/>
    <w:rsid w:val="00BA0CC6"/>
    <w:rsid w:val="00BA0E11"/>
    <w:rsid w:val="00BA1128"/>
    <w:rsid w:val="00BA25F6"/>
    <w:rsid w:val="00BA2F54"/>
    <w:rsid w:val="00BA47EC"/>
    <w:rsid w:val="00BB2134"/>
    <w:rsid w:val="00BB5F92"/>
    <w:rsid w:val="00BB61B3"/>
    <w:rsid w:val="00BC0E03"/>
    <w:rsid w:val="00BC1794"/>
    <w:rsid w:val="00BC1B6D"/>
    <w:rsid w:val="00BC1B7F"/>
    <w:rsid w:val="00BC36E0"/>
    <w:rsid w:val="00BC4836"/>
    <w:rsid w:val="00BC4B32"/>
    <w:rsid w:val="00BC5F88"/>
    <w:rsid w:val="00BC61A0"/>
    <w:rsid w:val="00BC7104"/>
    <w:rsid w:val="00BC7BC3"/>
    <w:rsid w:val="00BD0215"/>
    <w:rsid w:val="00BD0417"/>
    <w:rsid w:val="00BD2A7A"/>
    <w:rsid w:val="00BD2FAB"/>
    <w:rsid w:val="00BD45A5"/>
    <w:rsid w:val="00BD5713"/>
    <w:rsid w:val="00BD61D0"/>
    <w:rsid w:val="00BD7778"/>
    <w:rsid w:val="00BE0CC3"/>
    <w:rsid w:val="00BE18C9"/>
    <w:rsid w:val="00BE42F7"/>
    <w:rsid w:val="00BF21FF"/>
    <w:rsid w:val="00BF3BDA"/>
    <w:rsid w:val="00BF6C8D"/>
    <w:rsid w:val="00BF78DA"/>
    <w:rsid w:val="00C00710"/>
    <w:rsid w:val="00C01213"/>
    <w:rsid w:val="00C064FC"/>
    <w:rsid w:val="00C07360"/>
    <w:rsid w:val="00C07AB5"/>
    <w:rsid w:val="00C1162F"/>
    <w:rsid w:val="00C11C78"/>
    <w:rsid w:val="00C1337A"/>
    <w:rsid w:val="00C14FDD"/>
    <w:rsid w:val="00C17434"/>
    <w:rsid w:val="00C17DBC"/>
    <w:rsid w:val="00C21CF5"/>
    <w:rsid w:val="00C24C21"/>
    <w:rsid w:val="00C24C6F"/>
    <w:rsid w:val="00C2708E"/>
    <w:rsid w:val="00C30C6F"/>
    <w:rsid w:val="00C30DE0"/>
    <w:rsid w:val="00C32ABB"/>
    <w:rsid w:val="00C331E2"/>
    <w:rsid w:val="00C34435"/>
    <w:rsid w:val="00C35732"/>
    <w:rsid w:val="00C35E80"/>
    <w:rsid w:val="00C36D91"/>
    <w:rsid w:val="00C3720D"/>
    <w:rsid w:val="00C374BD"/>
    <w:rsid w:val="00C45073"/>
    <w:rsid w:val="00C4773E"/>
    <w:rsid w:val="00C53494"/>
    <w:rsid w:val="00C53C25"/>
    <w:rsid w:val="00C54E97"/>
    <w:rsid w:val="00C55F2C"/>
    <w:rsid w:val="00C61174"/>
    <w:rsid w:val="00C62530"/>
    <w:rsid w:val="00C62562"/>
    <w:rsid w:val="00C63492"/>
    <w:rsid w:val="00C63B4F"/>
    <w:rsid w:val="00C648DE"/>
    <w:rsid w:val="00C65178"/>
    <w:rsid w:val="00C714E0"/>
    <w:rsid w:val="00C71C97"/>
    <w:rsid w:val="00C721B1"/>
    <w:rsid w:val="00C73D92"/>
    <w:rsid w:val="00C761D2"/>
    <w:rsid w:val="00C761DD"/>
    <w:rsid w:val="00C76AAE"/>
    <w:rsid w:val="00C773E5"/>
    <w:rsid w:val="00C820C8"/>
    <w:rsid w:val="00C8293C"/>
    <w:rsid w:val="00C82F7E"/>
    <w:rsid w:val="00C837CE"/>
    <w:rsid w:val="00C8435C"/>
    <w:rsid w:val="00C9012E"/>
    <w:rsid w:val="00C919A6"/>
    <w:rsid w:val="00C92877"/>
    <w:rsid w:val="00C93186"/>
    <w:rsid w:val="00C931EA"/>
    <w:rsid w:val="00C967D2"/>
    <w:rsid w:val="00C97421"/>
    <w:rsid w:val="00CA002A"/>
    <w:rsid w:val="00CA0538"/>
    <w:rsid w:val="00CA07B4"/>
    <w:rsid w:val="00CA0923"/>
    <w:rsid w:val="00CA1E4F"/>
    <w:rsid w:val="00CA6265"/>
    <w:rsid w:val="00CB07F3"/>
    <w:rsid w:val="00CB0E07"/>
    <w:rsid w:val="00CB1E96"/>
    <w:rsid w:val="00CB221B"/>
    <w:rsid w:val="00CB23C9"/>
    <w:rsid w:val="00CB537B"/>
    <w:rsid w:val="00CB6180"/>
    <w:rsid w:val="00CB654A"/>
    <w:rsid w:val="00CC394A"/>
    <w:rsid w:val="00CC682F"/>
    <w:rsid w:val="00CC6BD7"/>
    <w:rsid w:val="00CC77A6"/>
    <w:rsid w:val="00CC7EFD"/>
    <w:rsid w:val="00CD013E"/>
    <w:rsid w:val="00CD1804"/>
    <w:rsid w:val="00CD2508"/>
    <w:rsid w:val="00CD525C"/>
    <w:rsid w:val="00CD5C27"/>
    <w:rsid w:val="00CD5EFC"/>
    <w:rsid w:val="00CD6E31"/>
    <w:rsid w:val="00CD78F3"/>
    <w:rsid w:val="00CD7CBC"/>
    <w:rsid w:val="00CD7CD5"/>
    <w:rsid w:val="00CE21F0"/>
    <w:rsid w:val="00CE2B9E"/>
    <w:rsid w:val="00CE3146"/>
    <w:rsid w:val="00CE3C35"/>
    <w:rsid w:val="00CE7F51"/>
    <w:rsid w:val="00CF232B"/>
    <w:rsid w:val="00CF349A"/>
    <w:rsid w:val="00CF54DA"/>
    <w:rsid w:val="00CF5B64"/>
    <w:rsid w:val="00CF6ABD"/>
    <w:rsid w:val="00CF78AB"/>
    <w:rsid w:val="00D01749"/>
    <w:rsid w:val="00D017EF"/>
    <w:rsid w:val="00D02DBF"/>
    <w:rsid w:val="00D0551A"/>
    <w:rsid w:val="00D057D4"/>
    <w:rsid w:val="00D06A32"/>
    <w:rsid w:val="00D073CB"/>
    <w:rsid w:val="00D07BE6"/>
    <w:rsid w:val="00D1278F"/>
    <w:rsid w:val="00D1319D"/>
    <w:rsid w:val="00D157AB"/>
    <w:rsid w:val="00D17EB9"/>
    <w:rsid w:val="00D2000C"/>
    <w:rsid w:val="00D201C6"/>
    <w:rsid w:val="00D210DF"/>
    <w:rsid w:val="00D212AD"/>
    <w:rsid w:val="00D2237A"/>
    <w:rsid w:val="00D23A21"/>
    <w:rsid w:val="00D2445C"/>
    <w:rsid w:val="00D25887"/>
    <w:rsid w:val="00D26785"/>
    <w:rsid w:val="00D3193F"/>
    <w:rsid w:val="00D325C6"/>
    <w:rsid w:val="00D32E15"/>
    <w:rsid w:val="00D33198"/>
    <w:rsid w:val="00D3430E"/>
    <w:rsid w:val="00D35F5E"/>
    <w:rsid w:val="00D3672F"/>
    <w:rsid w:val="00D379CD"/>
    <w:rsid w:val="00D37B00"/>
    <w:rsid w:val="00D37FFE"/>
    <w:rsid w:val="00D40009"/>
    <w:rsid w:val="00D41282"/>
    <w:rsid w:val="00D415AE"/>
    <w:rsid w:val="00D41AEF"/>
    <w:rsid w:val="00D41F12"/>
    <w:rsid w:val="00D43583"/>
    <w:rsid w:val="00D4506F"/>
    <w:rsid w:val="00D458CA"/>
    <w:rsid w:val="00D45FB8"/>
    <w:rsid w:val="00D50070"/>
    <w:rsid w:val="00D50CEB"/>
    <w:rsid w:val="00D50FDD"/>
    <w:rsid w:val="00D51CBA"/>
    <w:rsid w:val="00D53A07"/>
    <w:rsid w:val="00D54382"/>
    <w:rsid w:val="00D545E6"/>
    <w:rsid w:val="00D54CB6"/>
    <w:rsid w:val="00D567D1"/>
    <w:rsid w:val="00D5722E"/>
    <w:rsid w:val="00D60202"/>
    <w:rsid w:val="00D61974"/>
    <w:rsid w:val="00D61DEC"/>
    <w:rsid w:val="00D62B3A"/>
    <w:rsid w:val="00D6316F"/>
    <w:rsid w:val="00D63515"/>
    <w:rsid w:val="00D65A06"/>
    <w:rsid w:val="00D65CBE"/>
    <w:rsid w:val="00D6608B"/>
    <w:rsid w:val="00D660B1"/>
    <w:rsid w:val="00D66AE1"/>
    <w:rsid w:val="00D6784D"/>
    <w:rsid w:val="00D67B9F"/>
    <w:rsid w:val="00D70BA6"/>
    <w:rsid w:val="00D71ED0"/>
    <w:rsid w:val="00D73837"/>
    <w:rsid w:val="00D73DE3"/>
    <w:rsid w:val="00D741D8"/>
    <w:rsid w:val="00D74CE1"/>
    <w:rsid w:val="00D74D14"/>
    <w:rsid w:val="00D76CCF"/>
    <w:rsid w:val="00D776FE"/>
    <w:rsid w:val="00D77D30"/>
    <w:rsid w:val="00D81A10"/>
    <w:rsid w:val="00D8287C"/>
    <w:rsid w:val="00D82FB3"/>
    <w:rsid w:val="00D85394"/>
    <w:rsid w:val="00D866A1"/>
    <w:rsid w:val="00D86AD5"/>
    <w:rsid w:val="00D86D57"/>
    <w:rsid w:val="00D87229"/>
    <w:rsid w:val="00D87BB3"/>
    <w:rsid w:val="00D87EB8"/>
    <w:rsid w:val="00D912B0"/>
    <w:rsid w:val="00D917E3"/>
    <w:rsid w:val="00D93DB6"/>
    <w:rsid w:val="00D95902"/>
    <w:rsid w:val="00D97250"/>
    <w:rsid w:val="00D97FF1"/>
    <w:rsid w:val="00DA1A9C"/>
    <w:rsid w:val="00DA30CC"/>
    <w:rsid w:val="00DA3BAD"/>
    <w:rsid w:val="00DA3C93"/>
    <w:rsid w:val="00DA7510"/>
    <w:rsid w:val="00DB2CA4"/>
    <w:rsid w:val="00DB4848"/>
    <w:rsid w:val="00DB5DF3"/>
    <w:rsid w:val="00DB67F3"/>
    <w:rsid w:val="00DB7E49"/>
    <w:rsid w:val="00DC039E"/>
    <w:rsid w:val="00DC0885"/>
    <w:rsid w:val="00DC22F7"/>
    <w:rsid w:val="00DC3EEC"/>
    <w:rsid w:val="00DC44F7"/>
    <w:rsid w:val="00DC4C65"/>
    <w:rsid w:val="00DC5E4F"/>
    <w:rsid w:val="00DC60B6"/>
    <w:rsid w:val="00DC714D"/>
    <w:rsid w:val="00DC7B1F"/>
    <w:rsid w:val="00DD3325"/>
    <w:rsid w:val="00DD4C73"/>
    <w:rsid w:val="00DD4F04"/>
    <w:rsid w:val="00DD5A51"/>
    <w:rsid w:val="00DD5B55"/>
    <w:rsid w:val="00DD61C0"/>
    <w:rsid w:val="00DD6CE9"/>
    <w:rsid w:val="00DD6DF3"/>
    <w:rsid w:val="00DE06EC"/>
    <w:rsid w:val="00DE0BA0"/>
    <w:rsid w:val="00DE0C76"/>
    <w:rsid w:val="00DE0F0F"/>
    <w:rsid w:val="00DE1333"/>
    <w:rsid w:val="00DE562D"/>
    <w:rsid w:val="00DE58C1"/>
    <w:rsid w:val="00DE652B"/>
    <w:rsid w:val="00DE791D"/>
    <w:rsid w:val="00DF66B3"/>
    <w:rsid w:val="00DF6ECF"/>
    <w:rsid w:val="00E007EA"/>
    <w:rsid w:val="00E03122"/>
    <w:rsid w:val="00E0326B"/>
    <w:rsid w:val="00E03D05"/>
    <w:rsid w:val="00E066AA"/>
    <w:rsid w:val="00E070AF"/>
    <w:rsid w:val="00E10FD9"/>
    <w:rsid w:val="00E11863"/>
    <w:rsid w:val="00E14978"/>
    <w:rsid w:val="00E14F60"/>
    <w:rsid w:val="00E16BC4"/>
    <w:rsid w:val="00E16CB6"/>
    <w:rsid w:val="00E2001F"/>
    <w:rsid w:val="00E213A9"/>
    <w:rsid w:val="00E22397"/>
    <w:rsid w:val="00E22D94"/>
    <w:rsid w:val="00E24334"/>
    <w:rsid w:val="00E26136"/>
    <w:rsid w:val="00E269E2"/>
    <w:rsid w:val="00E26FCC"/>
    <w:rsid w:val="00E276C9"/>
    <w:rsid w:val="00E27D37"/>
    <w:rsid w:val="00E31B76"/>
    <w:rsid w:val="00E33353"/>
    <w:rsid w:val="00E33A99"/>
    <w:rsid w:val="00E33C27"/>
    <w:rsid w:val="00E34B0D"/>
    <w:rsid w:val="00E3546F"/>
    <w:rsid w:val="00E369BE"/>
    <w:rsid w:val="00E36FE7"/>
    <w:rsid w:val="00E40166"/>
    <w:rsid w:val="00E40A4C"/>
    <w:rsid w:val="00E40A74"/>
    <w:rsid w:val="00E425EB"/>
    <w:rsid w:val="00E448BF"/>
    <w:rsid w:val="00E44B56"/>
    <w:rsid w:val="00E4696B"/>
    <w:rsid w:val="00E47B1F"/>
    <w:rsid w:val="00E502F7"/>
    <w:rsid w:val="00E52FF9"/>
    <w:rsid w:val="00E534FA"/>
    <w:rsid w:val="00E54ED6"/>
    <w:rsid w:val="00E550D6"/>
    <w:rsid w:val="00E56438"/>
    <w:rsid w:val="00E570DE"/>
    <w:rsid w:val="00E571C8"/>
    <w:rsid w:val="00E6071C"/>
    <w:rsid w:val="00E6285A"/>
    <w:rsid w:val="00E63977"/>
    <w:rsid w:val="00E64CAE"/>
    <w:rsid w:val="00E65B1D"/>
    <w:rsid w:val="00E67922"/>
    <w:rsid w:val="00E7116C"/>
    <w:rsid w:val="00E72769"/>
    <w:rsid w:val="00E72D0D"/>
    <w:rsid w:val="00E74012"/>
    <w:rsid w:val="00E764E7"/>
    <w:rsid w:val="00E7770A"/>
    <w:rsid w:val="00E816DD"/>
    <w:rsid w:val="00E8351E"/>
    <w:rsid w:val="00E83E8E"/>
    <w:rsid w:val="00E84DAF"/>
    <w:rsid w:val="00E85030"/>
    <w:rsid w:val="00E92DC3"/>
    <w:rsid w:val="00E935E7"/>
    <w:rsid w:val="00E936D0"/>
    <w:rsid w:val="00E971AC"/>
    <w:rsid w:val="00EA2D5C"/>
    <w:rsid w:val="00EA3A53"/>
    <w:rsid w:val="00EA4746"/>
    <w:rsid w:val="00EB064C"/>
    <w:rsid w:val="00EB110E"/>
    <w:rsid w:val="00EB1C32"/>
    <w:rsid w:val="00EB4AB1"/>
    <w:rsid w:val="00EB518D"/>
    <w:rsid w:val="00EB5A8C"/>
    <w:rsid w:val="00EB76BA"/>
    <w:rsid w:val="00EC10D7"/>
    <w:rsid w:val="00EC1556"/>
    <w:rsid w:val="00EC1995"/>
    <w:rsid w:val="00EC46B3"/>
    <w:rsid w:val="00EC5717"/>
    <w:rsid w:val="00EC74A9"/>
    <w:rsid w:val="00ED00A5"/>
    <w:rsid w:val="00ED022E"/>
    <w:rsid w:val="00ED03FD"/>
    <w:rsid w:val="00ED210A"/>
    <w:rsid w:val="00ED2A9F"/>
    <w:rsid w:val="00ED3882"/>
    <w:rsid w:val="00ED396C"/>
    <w:rsid w:val="00ED5D70"/>
    <w:rsid w:val="00ED6558"/>
    <w:rsid w:val="00EE0272"/>
    <w:rsid w:val="00EE04F5"/>
    <w:rsid w:val="00EE09A3"/>
    <w:rsid w:val="00EE10FD"/>
    <w:rsid w:val="00EE2202"/>
    <w:rsid w:val="00EE263A"/>
    <w:rsid w:val="00EE41B9"/>
    <w:rsid w:val="00EE4BA5"/>
    <w:rsid w:val="00EE4BCC"/>
    <w:rsid w:val="00EE4E0F"/>
    <w:rsid w:val="00EE5561"/>
    <w:rsid w:val="00EE76AB"/>
    <w:rsid w:val="00EE7FD2"/>
    <w:rsid w:val="00EF0710"/>
    <w:rsid w:val="00EF23D3"/>
    <w:rsid w:val="00EF5270"/>
    <w:rsid w:val="00EF5657"/>
    <w:rsid w:val="00EF6385"/>
    <w:rsid w:val="00F02171"/>
    <w:rsid w:val="00F025B5"/>
    <w:rsid w:val="00F03A05"/>
    <w:rsid w:val="00F04879"/>
    <w:rsid w:val="00F10791"/>
    <w:rsid w:val="00F12197"/>
    <w:rsid w:val="00F12A2A"/>
    <w:rsid w:val="00F154BB"/>
    <w:rsid w:val="00F15E90"/>
    <w:rsid w:val="00F21E09"/>
    <w:rsid w:val="00F22322"/>
    <w:rsid w:val="00F22DC7"/>
    <w:rsid w:val="00F2381B"/>
    <w:rsid w:val="00F23E1F"/>
    <w:rsid w:val="00F25902"/>
    <w:rsid w:val="00F3068C"/>
    <w:rsid w:val="00F3084D"/>
    <w:rsid w:val="00F31B2D"/>
    <w:rsid w:val="00F31D85"/>
    <w:rsid w:val="00F35E67"/>
    <w:rsid w:val="00F3656B"/>
    <w:rsid w:val="00F4050E"/>
    <w:rsid w:val="00F41323"/>
    <w:rsid w:val="00F420B5"/>
    <w:rsid w:val="00F42973"/>
    <w:rsid w:val="00F42F5B"/>
    <w:rsid w:val="00F444B0"/>
    <w:rsid w:val="00F46BF8"/>
    <w:rsid w:val="00F5075E"/>
    <w:rsid w:val="00F50A78"/>
    <w:rsid w:val="00F51B31"/>
    <w:rsid w:val="00F52215"/>
    <w:rsid w:val="00F5263F"/>
    <w:rsid w:val="00F527DF"/>
    <w:rsid w:val="00F53284"/>
    <w:rsid w:val="00F538AF"/>
    <w:rsid w:val="00F53DBC"/>
    <w:rsid w:val="00F54FB5"/>
    <w:rsid w:val="00F559E2"/>
    <w:rsid w:val="00F55F56"/>
    <w:rsid w:val="00F5654E"/>
    <w:rsid w:val="00F573B5"/>
    <w:rsid w:val="00F61492"/>
    <w:rsid w:val="00F6157A"/>
    <w:rsid w:val="00F630B5"/>
    <w:rsid w:val="00F631F8"/>
    <w:rsid w:val="00F63767"/>
    <w:rsid w:val="00F65603"/>
    <w:rsid w:val="00F656E7"/>
    <w:rsid w:val="00F65EBE"/>
    <w:rsid w:val="00F667AD"/>
    <w:rsid w:val="00F77FBB"/>
    <w:rsid w:val="00F82061"/>
    <w:rsid w:val="00F8231F"/>
    <w:rsid w:val="00F82BDB"/>
    <w:rsid w:val="00F82FCC"/>
    <w:rsid w:val="00F83787"/>
    <w:rsid w:val="00F84C6D"/>
    <w:rsid w:val="00F85308"/>
    <w:rsid w:val="00F85417"/>
    <w:rsid w:val="00F8621C"/>
    <w:rsid w:val="00F87B49"/>
    <w:rsid w:val="00F905B6"/>
    <w:rsid w:val="00F912FB"/>
    <w:rsid w:val="00F916B5"/>
    <w:rsid w:val="00F932F1"/>
    <w:rsid w:val="00F94996"/>
    <w:rsid w:val="00F96458"/>
    <w:rsid w:val="00F96D7E"/>
    <w:rsid w:val="00FA1B43"/>
    <w:rsid w:val="00FA1F46"/>
    <w:rsid w:val="00FA4013"/>
    <w:rsid w:val="00FA4CB6"/>
    <w:rsid w:val="00FA619D"/>
    <w:rsid w:val="00FA71A3"/>
    <w:rsid w:val="00FB0EF7"/>
    <w:rsid w:val="00FB13BC"/>
    <w:rsid w:val="00FB222A"/>
    <w:rsid w:val="00FB3376"/>
    <w:rsid w:val="00FB4940"/>
    <w:rsid w:val="00FB4F8B"/>
    <w:rsid w:val="00FB51C5"/>
    <w:rsid w:val="00FB5E4F"/>
    <w:rsid w:val="00FC1CBD"/>
    <w:rsid w:val="00FC1CF7"/>
    <w:rsid w:val="00FC2121"/>
    <w:rsid w:val="00FC27AC"/>
    <w:rsid w:val="00FC2F2D"/>
    <w:rsid w:val="00FC329A"/>
    <w:rsid w:val="00FC4121"/>
    <w:rsid w:val="00FC4216"/>
    <w:rsid w:val="00FC5755"/>
    <w:rsid w:val="00FC5BBA"/>
    <w:rsid w:val="00FC5C2D"/>
    <w:rsid w:val="00FC67F9"/>
    <w:rsid w:val="00FC7FC5"/>
    <w:rsid w:val="00FD013E"/>
    <w:rsid w:val="00FD0A14"/>
    <w:rsid w:val="00FD18CD"/>
    <w:rsid w:val="00FD1CF1"/>
    <w:rsid w:val="00FD4446"/>
    <w:rsid w:val="00FD458B"/>
    <w:rsid w:val="00FD5B02"/>
    <w:rsid w:val="00FD5C7E"/>
    <w:rsid w:val="00FD7FB4"/>
    <w:rsid w:val="00FE2950"/>
    <w:rsid w:val="00FE6739"/>
    <w:rsid w:val="00FE7414"/>
    <w:rsid w:val="00FF1245"/>
    <w:rsid w:val="00FF146F"/>
    <w:rsid w:val="00FF1D28"/>
    <w:rsid w:val="00FF44BE"/>
    <w:rsid w:val="00FF5BB7"/>
    <w:rsid w:val="00FF7695"/>
    <w:rsid w:val="095FC5EC"/>
    <w:rsid w:val="18FD4227"/>
    <w:rsid w:val="1B853DC4"/>
    <w:rsid w:val="338FF36F"/>
    <w:rsid w:val="37E32E00"/>
    <w:rsid w:val="390C6E49"/>
    <w:rsid w:val="40F78CC1"/>
    <w:rsid w:val="5002F315"/>
    <w:rsid w:val="50BC876A"/>
    <w:rsid w:val="767DFFF4"/>
    <w:rsid w:val="77D8FF5F"/>
    <w:rsid w:val="7E2AFE25"/>
  </w:rsids>
  <w:docVars>
    <w:docVar w:name="__Grammarly_42___1" w:val="H4sIAAAAAAAEAKtWcslP9kxRslIyNDYyMzGxsLAwMDYxszA3tbRU0lEKTi0uzszPAykwrgUAYTj2qi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E677F43"/>
  <w15:chartTrackingRefBased/>
  <w15:docId w15:val="{C65B3717-00D0-429B-99B5-2A0B4CC4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1C252D" w:themeColor="text2"/>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069"/>
  </w:style>
  <w:style w:type="paragraph" w:styleId="Heading1">
    <w:name w:val="heading 1"/>
    <w:basedOn w:val="Heading1-ReportCover"/>
    <w:next w:val="DocumentSubtitle"/>
    <w:link w:val="Heading1Char"/>
    <w:uiPriority w:val="9"/>
    <w:qFormat/>
    <w:rsid w:val="00DB4848"/>
    <w:pPr>
      <w:outlineLvl w:val="0"/>
    </w:pPr>
    <w:rPr>
      <w:rFonts w:cs="Arial"/>
      <w:bCs w:val="0"/>
      <w:color w:val="00507F" w:themeColor="accent1"/>
    </w:rPr>
  </w:style>
  <w:style w:type="paragraph" w:styleId="Heading2">
    <w:name w:val="heading 2"/>
    <w:aliases w:val="WTDOM H2,aHeading 2"/>
    <w:basedOn w:val="Normal"/>
    <w:next w:val="Normal"/>
    <w:link w:val="Heading2Char"/>
    <w:uiPriority w:val="9"/>
    <w:unhideWhenUsed/>
    <w:qFormat/>
    <w:rsid w:val="00B84A51"/>
    <w:pPr>
      <w:keepNext/>
      <w:spacing w:before="360" w:line="240" w:lineRule="auto"/>
      <w:outlineLvl w:val="1"/>
    </w:pPr>
    <w:rPr>
      <w:rFonts w:asciiTheme="majorHAnsi" w:eastAsiaTheme="majorEastAsia" w:hAnsiTheme="majorHAnsi" w:cstheme="majorBidi"/>
      <w:b/>
      <w:color w:val="00507F" w:themeColor="accent1"/>
      <w:sz w:val="32"/>
      <w:szCs w:val="32"/>
    </w:rPr>
  </w:style>
  <w:style w:type="paragraph" w:styleId="Heading3">
    <w:name w:val="heading 3"/>
    <w:basedOn w:val="Heading2"/>
    <w:next w:val="BodyTextPostHeading"/>
    <w:link w:val="Heading3Char"/>
    <w:uiPriority w:val="9"/>
    <w:unhideWhenUsed/>
    <w:qFormat/>
    <w:rsid w:val="0021639D"/>
    <w:pPr>
      <w:numPr>
        <w:ilvl w:val="2"/>
      </w:numPr>
      <w:spacing w:before="240" w:after="60"/>
      <w:outlineLvl w:val="2"/>
    </w:pPr>
    <w:rPr>
      <w:rFonts w:eastAsia="Times New Roman" w:cs="Times New Roman"/>
      <w:sz w:val="28"/>
      <w:szCs w:val="26"/>
    </w:rPr>
  </w:style>
  <w:style w:type="paragraph" w:styleId="Heading4">
    <w:name w:val="heading 4"/>
    <w:aliases w:val="WTDOM H4,aHeading 4"/>
    <w:basedOn w:val="Heading3"/>
    <w:next w:val="BodyTextPostHeading"/>
    <w:link w:val="Heading4Char"/>
    <w:uiPriority w:val="9"/>
    <w:unhideWhenUsed/>
    <w:qFormat/>
    <w:rsid w:val="0021639D"/>
    <w:pPr>
      <w:numPr>
        <w:ilvl w:val="3"/>
      </w:numPr>
      <w:outlineLvl w:val="3"/>
    </w:pPr>
    <w:rPr>
      <w:i/>
      <w:iCs/>
      <w:sz w:val="26"/>
    </w:rPr>
  </w:style>
  <w:style w:type="paragraph" w:styleId="Heading5">
    <w:name w:val="heading 5"/>
    <w:aliases w:val="aHeading 5"/>
    <w:basedOn w:val="HeadingFont"/>
    <w:next w:val="BodyTextPostHeading"/>
    <w:link w:val="Heading5Char"/>
    <w:uiPriority w:val="9"/>
    <w:unhideWhenUsed/>
    <w:qFormat/>
    <w:rsid w:val="0021639D"/>
    <w:pPr>
      <w:spacing w:before="240" w:after="120" w:line="240" w:lineRule="auto"/>
      <w:outlineLvl w:val="4"/>
    </w:pPr>
    <w:rPr>
      <w:b/>
      <w:bCs/>
    </w:rPr>
  </w:style>
  <w:style w:type="paragraph" w:styleId="Heading6">
    <w:name w:val="heading 6"/>
    <w:basedOn w:val="HeadingFont"/>
    <w:next w:val="BodyTextPostHeading"/>
    <w:link w:val="Heading6Char"/>
    <w:uiPriority w:val="9"/>
    <w:unhideWhenUsed/>
    <w:qFormat/>
    <w:rsid w:val="0021639D"/>
    <w:pPr>
      <w:spacing w:before="240" w:after="120" w:line="240" w:lineRule="auto"/>
      <w:outlineLvl w:val="5"/>
    </w:pPr>
    <w:rPr>
      <w:b/>
      <w:bCs/>
      <w:i/>
      <w:iCs/>
    </w:rPr>
  </w:style>
  <w:style w:type="paragraph" w:styleId="Heading7">
    <w:name w:val="heading 7"/>
    <w:basedOn w:val="Normal"/>
    <w:next w:val="Normal"/>
    <w:link w:val="Heading7Char"/>
    <w:uiPriority w:val="9"/>
    <w:unhideWhenUsed/>
    <w:qFormat/>
    <w:rsid w:val="0021639D"/>
    <w:pPr>
      <w:keepNext/>
      <w:keepLines/>
      <w:numPr>
        <w:ilvl w:val="6"/>
        <w:numId w:val="17"/>
      </w:numPr>
      <w:spacing w:before="40"/>
      <w:outlineLvl w:val="6"/>
    </w:pPr>
    <w:rPr>
      <w:rFonts w:asciiTheme="majorHAnsi" w:eastAsiaTheme="majorEastAsia" w:hAnsiTheme="majorHAnsi" w:cstheme="majorBidi"/>
      <w:i/>
      <w:iCs/>
      <w:color w:val="00273F" w:themeColor="accent1" w:themeShade="7F"/>
    </w:rPr>
  </w:style>
  <w:style w:type="paragraph" w:styleId="Heading8">
    <w:name w:val="heading 8"/>
    <w:basedOn w:val="Normal"/>
    <w:next w:val="Normal"/>
    <w:link w:val="Heading8Char"/>
    <w:uiPriority w:val="9"/>
    <w:unhideWhenUsed/>
    <w:qFormat/>
    <w:rsid w:val="0021639D"/>
    <w:pPr>
      <w:keepNext/>
      <w:keepLines/>
      <w:numPr>
        <w:ilvl w:val="7"/>
        <w:numId w:val="17"/>
      </w:numPr>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unhideWhenUsed/>
    <w:qFormat/>
    <w:rsid w:val="0021639D"/>
    <w:pPr>
      <w:keepNext/>
      <w:keepLines/>
      <w:numPr>
        <w:ilvl w:val="8"/>
        <w:numId w:val="17"/>
      </w:numPr>
      <w:spacing w:before="4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21639D"/>
    <w:pPr>
      <w:tabs>
        <w:tab w:val="center" w:pos="4680"/>
        <w:tab w:val="right" w:pos="9360"/>
      </w:tabs>
      <w:spacing w:line="240" w:lineRule="auto"/>
    </w:pPr>
  </w:style>
  <w:style w:type="character" w:customStyle="1" w:styleId="HeaderChar">
    <w:name w:val="Header Char"/>
    <w:basedOn w:val="DefaultParagraphFont"/>
    <w:link w:val="Header"/>
    <w:uiPriority w:val="99"/>
    <w:rsid w:val="0021639D"/>
  </w:style>
  <w:style w:type="paragraph" w:styleId="Footer">
    <w:name w:val="footer"/>
    <w:basedOn w:val="HeadingFont"/>
    <w:link w:val="FooterChar"/>
    <w:uiPriority w:val="99"/>
    <w:unhideWhenUsed/>
    <w:qFormat/>
    <w:rsid w:val="0021639D"/>
    <w:pPr>
      <w:keepNext w:val="0"/>
      <w:tabs>
        <w:tab w:val="center" w:pos="4680"/>
        <w:tab w:val="right" w:pos="9360"/>
      </w:tabs>
    </w:pPr>
    <w:rPr>
      <w:sz w:val="22"/>
    </w:rPr>
  </w:style>
  <w:style w:type="character" w:customStyle="1" w:styleId="FooterChar">
    <w:name w:val="Footer Char"/>
    <w:basedOn w:val="DefaultParagraphFont"/>
    <w:link w:val="Footer"/>
    <w:uiPriority w:val="99"/>
    <w:rsid w:val="0021639D"/>
    <w:rPr>
      <w:rFonts w:asciiTheme="majorHAnsi" w:hAnsiTheme="majorHAnsi"/>
      <w:sz w:val="22"/>
    </w:rPr>
  </w:style>
  <w:style w:type="paragraph" w:styleId="BalloonText">
    <w:name w:val="Balloon Text"/>
    <w:basedOn w:val="BodyText"/>
    <w:link w:val="BalloonTextChar"/>
    <w:uiPriority w:val="99"/>
    <w:unhideWhenUsed/>
    <w:rsid w:val="0021639D"/>
    <w:pPr>
      <w:spacing w:after="0" w:line="240" w:lineRule="auto"/>
    </w:pPr>
    <w:rPr>
      <w:rFonts w:cs="Segoe UI"/>
      <w:sz w:val="18"/>
      <w:szCs w:val="18"/>
    </w:rPr>
  </w:style>
  <w:style w:type="character" w:customStyle="1" w:styleId="BalloonTextChar">
    <w:name w:val="Balloon Text Char"/>
    <w:basedOn w:val="DefaultParagraphFont"/>
    <w:link w:val="BalloonText"/>
    <w:uiPriority w:val="99"/>
    <w:rsid w:val="0021639D"/>
    <w:rPr>
      <w:rFonts w:eastAsia="Calibri" w:cs="Segoe UI"/>
      <w:sz w:val="18"/>
      <w:szCs w:val="18"/>
    </w:rPr>
  </w:style>
  <w:style w:type="paragraph" w:customStyle="1" w:styleId="FooterDocTitle">
    <w:name w:val="Footer Doc Title"/>
    <w:qFormat/>
    <w:rsid w:val="0021639D"/>
    <w:pPr>
      <w:pBdr>
        <w:top w:val="single" w:sz="8" w:space="10" w:color="009DD7" w:themeColor="accent2"/>
      </w:pBdr>
      <w:tabs>
        <w:tab w:val="left" w:pos="1080"/>
      </w:tabs>
      <w:spacing w:before="360"/>
    </w:pPr>
    <w:rPr>
      <w:rFonts w:asciiTheme="majorHAnsi" w:hAnsiTheme="majorHAnsi"/>
      <w:color w:val="00507F" w:themeColor="accent1"/>
      <w:sz w:val="22"/>
    </w:rPr>
  </w:style>
  <w:style w:type="paragraph" w:styleId="FootnoteText">
    <w:name w:val="footnote text"/>
    <w:aliases w:val="*Footnote Text,F1,Footnote Text Char Char,Footnote Text Char Char Char,Footnote Text Char Char Char Char,Footnote Text Char Char1,Footnote Text r,bv,figure or table,fn,footnote text,ft"/>
    <w:basedOn w:val="BodyText"/>
    <w:link w:val="FootnoteTextChar"/>
    <w:uiPriority w:val="99"/>
    <w:unhideWhenUsed/>
    <w:qFormat/>
    <w:rsid w:val="0021639D"/>
    <w:pPr>
      <w:spacing w:before="0" w:after="0" w:line="240" w:lineRule="auto"/>
    </w:pPr>
    <w:rPr>
      <w:sz w:val="18"/>
    </w:rPr>
  </w:style>
  <w:style w:type="character" w:customStyle="1" w:styleId="FootnoteTextChar">
    <w:name w:val="Footnote Text Char"/>
    <w:aliases w:val="*Footnote Text Char,F1 Char,Footnote Text Char Char Char Char Char,Footnote Text Char Char Char Char1,Footnote Text Char Char Char1,Footnote Text Char Char1 Char,bv Char,figure or table Char,fn Char,footnote text Char,ft Char"/>
    <w:basedOn w:val="DefaultParagraphFont"/>
    <w:link w:val="FootnoteText"/>
    <w:uiPriority w:val="99"/>
    <w:rsid w:val="0021639D"/>
    <w:rPr>
      <w:rFonts w:eastAsia="Calibri" w:cs="Times New Roman"/>
      <w:sz w:val="18"/>
    </w:rPr>
  </w:style>
  <w:style w:type="character" w:styleId="Hyperlink">
    <w:name w:val="Hyperlink"/>
    <w:basedOn w:val="DefaultParagraphFont"/>
    <w:uiPriority w:val="99"/>
    <w:unhideWhenUsed/>
    <w:qFormat/>
    <w:rsid w:val="0021639D"/>
    <w:rPr>
      <w:color w:val="00507F" w:themeColor="hyperlink"/>
      <w:u w:val="single"/>
    </w:rPr>
  </w:style>
  <w:style w:type="character" w:styleId="FootnoteReference">
    <w:name w:val="footnote reference"/>
    <w:aliases w:val="*Footnote Reference,fr"/>
    <w:qFormat/>
    <w:rsid w:val="0021639D"/>
    <w:rPr>
      <w:vertAlign w:val="superscript"/>
    </w:rPr>
  </w:style>
  <w:style w:type="character" w:customStyle="1" w:styleId="Heading3Char">
    <w:name w:val="Heading 3 Char"/>
    <w:basedOn w:val="DefaultParagraphFont"/>
    <w:link w:val="Heading3"/>
    <w:uiPriority w:val="9"/>
    <w:rsid w:val="0021639D"/>
    <w:rPr>
      <w:rFonts w:eastAsia="Times New Roman" w:asciiTheme="majorHAnsi" w:hAnsiTheme="majorHAnsi" w:cs="Times New Roman"/>
      <w:b/>
      <w:color w:val="00507F" w:themeColor="accent1"/>
      <w:sz w:val="28"/>
      <w:szCs w:val="26"/>
    </w:rPr>
  </w:style>
  <w:style w:type="paragraph" w:styleId="BodyText">
    <w:name w:val="Body Text"/>
    <w:aliases w:val="bt"/>
    <w:link w:val="BodyTextChar"/>
    <w:unhideWhenUsed/>
    <w:qFormat/>
    <w:rsid w:val="0021639D"/>
    <w:pPr>
      <w:suppressAutoHyphens/>
      <w:spacing w:before="240" w:after="120"/>
    </w:pPr>
    <w:rPr>
      <w:rFonts w:eastAsia="Calibri" w:cs="Times New Roman"/>
    </w:rPr>
  </w:style>
  <w:style w:type="character" w:customStyle="1" w:styleId="BodyTextChar">
    <w:name w:val="Body Text Char"/>
    <w:aliases w:val="bt Char"/>
    <w:basedOn w:val="DefaultParagraphFont"/>
    <w:link w:val="BodyText"/>
    <w:rsid w:val="0021639D"/>
    <w:rPr>
      <w:rFonts w:eastAsia="Calibri" w:cs="Times New Roman"/>
    </w:rPr>
  </w:style>
  <w:style w:type="paragraph" w:customStyle="1" w:styleId="BodyTextPostHeading">
    <w:name w:val="Body Text Post Heading"/>
    <w:aliases w:val="Body Text Post Head,btp"/>
    <w:basedOn w:val="BodyText"/>
    <w:next w:val="BodyText"/>
    <w:link w:val="BodyTextPostHeadChar"/>
    <w:qFormat/>
    <w:rsid w:val="0021639D"/>
    <w:pPr>
      <w:spacing w:before="60"/>
    </w:pPr>
  </w:style>
  <w:style w:type="character" w:customStyle="1" w:styleId="Heading2Char">
    <w:name w:val="Heading 2 Char"/>
    <w:aliases w:val="WTDOM H2 Char,aHeading 2 Char"/>
    <w:basedOn w:val="DefaultParagraphFont"/>
    <w:link w:val="Heading2"/>
    <w:uiPriority w:val="9"/>
    <w:rsid w:val="0021639D"/>
    <w:rPr>
      <w:rFonts w:asciiTheme="majorHAnsi" w:eastAsiaTheme="majorEastAsia" w:hAnsiTheme="majorHAnsi" w:cstheme="majorBidi"/>
      <w:b/>
      <w:color w:val="00507F" w:themeColor="accent1"/>
      <w:sz w:val="32"/>
      <w:szCs w:val="32"/>
    </w:rPr>
  </w:style>
  <w:style w:type="character" w:customStyle="1" w:styleId="Heading4Char">
    <w:name w:val="Heading 4 Char"/>
    <w:aliases w:val="WTDOM H4 Char,aHeading 4 Char"/>
    <w:basedOn w:val="DefaultParagraphFont"/>
    <w:link w:val="Heading4"/>
    <w:uiPriority w:val="9"/>
    <w:rsid w:val="0021639D"/>
    <w:rPr>
      <w:rFonts w:eastAsia="Times New Roman" w:asciiTheme="majorHAnsi" w:hAnsiTheme="majorHAnsi" w:cs="Times New Roman"/>
      <w:b/>
      <w:i/>
      <w:iCs/>
      <w:color w:val="00507F" w:themeColor="accent1"/>
      <w:sz w:val="26"/>
      <w:szCs w:val="26"/>
    </w:rPr>
  </w:style>
  <w:style w:type="character" w:customStyle="1" w:styleId="Heading5Char">
    <w:name w:val="Heading 5 Char"/>
    <w:aliases w:val="aHeading 5 Char"/>
    <w:basedOn w:val="DefaultParagraphFont"/>
    <w:link w:val="Heading5"/>
    <w:uiPriority w:val="9"/>
    <w:rsid w:val="0021639D"/>
    <w:rPr>
      <w:rFonts w:asciiTheme="majorHAnsi" w:hAnsiTheme="majorHAnsi"/>
      <w:b/>
      <w:bCs/>
    </w:rPr>
  </w:style>
  <w:style w:type="character" w:customStyle="1" w:styleId="Heading6Char">
    <w:name w:val="Heading 6 Char"/>
    <w:basedOn w:val="DefaultParagraphFont"/>
    <w:link w:val="Heading6"/>
    <w:uiPriority w:val="9"/>
    <w:rsid w:val="0021639D"/>
    <w:rPr>
      <w:rFonts w:asciiTheme="majorHAnsi" w:hAnsiTheme="majorHAnsi"/>
      <w:b/>
      <w:bCs/>
      <w:i/>
      <w:iCs/>
    </w:rPr>
  </w:style>
  <w:style w:type="paragraph" w:styleId="BlockText">
    <w:name w:val="Block Text"/>
    <w:basedOn w:val="BodyText"/>
    <w:next w:val="BodyText"/>
    <w:uiPriority w:val="99"/>
    <w:unhideWhenUsed/>
    <w:rsid w:val="0021639D"/>
    <w:pPr>
      <w:ind w:left="720"/>
    </w:pPr>
  </w:style>
  <w:style w:type="numbering" w:customStyle="1" w:styleId="ListBullets-Body">
    <w:name w:val="_List Bullets-Body"/>
    <w:uiPriority w:val="99"/>
    <w:rsid w:val="0021639D"/>
    <w:pPr>
      <w:numPr>
        <w:numId w:val="4"/>
      </w:numPr>
    </w:pPr>
  </w:style>
  <w:style w:type="numbering" w:customStyle="1" w:styleId="ListBullets-Table11">
    <w:name w:val="_List Bullets-Table 11"/>
    <w:uiPriority w:val="99"/>
    <w:rsid w:val="0021639D"/>
    <w:pPr>
      <w:numPr>
        <w:numId w:val="6"/>
      </w:numPr>
    </w:pPr>
  </w:style>
  <w:style w:type="numbering" w:customStyle="1" w:styleId="ListOrdered-Body">
    <w:name w:val="_List Ordered-Body"/>
    <w:uiPriority w:val="99"/>
    <w:rsid w:val="0021639D"/>
    <w:pPr>
      <w:numPr>
        <w:numId w:val="7"/>
      </w:numPr>
    </w:pPr>
  </w:style>
  <w:style w:type="numbering" w:customStyle="1" w:styleId="ListOrdered-Table11">
    <w:name w:val="_List Ordered-Table 11"/>
    <w:uiPriority w:val="99"/>
    <w:rsid w:val="0021639D"/>
    <w:pPr>
      <w:numPr>
        <w:numId w:val="8"/>
      </w:numPr>
    </w:pPr>
  </w:style>
  <w:style w:type="paragraph" w:customStyle="1" w:styleId="Bullet1">
    <w:name w:val="Bullet 1"/>
    <w:basedOn w:val="BodyText"/>
    <w:uiPriority w:val="4"/>
    <w:qFormat/>
    <w:rsid w:val="00B84A51"/>
    <w:pPr>
      <w:numPr>
        <w:numId w:val="13"/>
      </w:numPr>
      <w:spacing w:before="120" w:after="0"/>
    </w:pPr>
    <w:rPr>
      <w:rFonts w:eastAsia="Times New Roman"/>
    </w:rPr>
  </w:style>
  <w:style w:type="paragraph" w:customStyle="1" w:styleId="Bullet2">
    <w:name w:val="Bullet 2"/>
    <w:basedOn w:val="BodyText"/>
    <w:uiPriority w:val="4"/>
    <w:qFormat/>
    <w:rsid w:val="00B84A51"/>
    <w:pPr>
      <w:numPr>
        <w:ilvl w:val="1"/>
        <w:numId w:val="13"/>
      </w:numPr>
      <w:spacing w:before="60" w:after="0"/>
    </w:pPr>
    <w:rPr>
      <w:rFonts w:eastAsia="Times New Roman"/>
    </w:rPr>
  </w:style>
  <w:style w:type="paragraph" w:customStyle="1" w:styleId="Bullet3">
    <w:name w:val="Bullet 3"/>
    <w:basedOn w:val="BodyText"/>
    <w:uiPriority w:val="4"/>
    <w:qFormat/>
    <w:rsid w:val="00B84A51"/>
    <w:pPr>
      <w:numPr>
        <w:ilvl w:val="2"/>
        <w:numId w:val="13"/>
      </w:numPr>
      <w:spacing w:before="60" w:after="0"/>
    </w:pPr>
    <w:rPr>
      <w:rFonts w:eastAsiaTheme="minorEastAsia"/>
    </w:rPr>
  </w:style>
  <w:style w:type="paragraph" w:customStyle="1" w:styleId="NumberedList">
    <w:name w:val="Numbered List"/>
    <w:basedOn w:val="BodyText"/>
    <w:qFormat/>
    <w:rsid w:val="0021639D"/>
    <w:pPr>
      <w:numPr>
        <w:numId w:val="18"/>
      </w:numPr>
      <w:spacing w:before="120" w:after="0"/>
    </w:pPr>
    <w:rPr>
      <w:rFonts w:eastAsia="Times New Roman"/>
    </w:rPr>
  </w:style>
  <w:style w:type="paragraph" w:customStyle="1" w:styleId="Table11Bullet1">
    <w:name w:val="Table 11 Bullet 1"/>
    <w:basedOn w:val="Table11Basic"/>
    <w:qFormat/>
    <w:rsid w:val="0021639D"/>
    <w:pPr>
      <w:numPr>
        <w:numId w:val="21"/>
      </w:numPr>
    </w:pPr>
  </w:style>
  <w:style w:type="paragraph" w:customStyle="1" w:styleId="Table11Bullet2">
    <w:name w:val="Table 11 Bullet 2"/>
    <w:basedOn w:val="Table11Basic"/>
    <w:qFormat/>
    <w:rsid w:val="0021639D"/>
    <w:pPr>
      <w:numPr>
        <w:ilvl w:val="1"/>
        <w:numId w:val="21"/>
      </w:numPr>
    </w:pPr>
  </w:style>
  <w:style w:type="paragraph" w:customStyle="1" w:styleId="Table11Bullet3">
    <w:name w:val="Table 11 Bullet 3"/>
    <w:basedOn w:val="Table11Basic"/>
    <w:qFormat/>
    <w:rsid w:val="0021639D"/>
    <w:pPr>
      <w:numPr>
        <w:ilvl w:val="2"/>
        <w:numId w:val="21"/>
      </w:numPr>
    </w:pPr>
    <w:rPr>
      <w:rFonts w:eastAsia="Times New Roman"/>
    </w:rPr>
  </w:style>
  <w:style w:type="paragraph" w:customStyle="1" w:styleId="Table11Numbering">
    <w:name w:val="Table 11 Numbering"/>
    <w:basedOn w:val="Table11Basic"/>
    <w:qFormat/>
    <w:rsid w:val="0021639D"/>
    <w:pPr>
      <w:numPr>
        <w:numId w:val="22"/>
      </w:numPr>
    </w:pPr>
  </w:style>
  <w:style w:type="paragraph" w:customStyle="1" w:styleId="Callout-InlineText">
    <w:name w:val="Callout-Inline Text"/>
    <w:basedOn w:val="BodyText"/>
    <w:rsid w:val="0021639D"/>
    <w:pPr>
      <w:keepLines/>
      <w:pBdr>
        <w:top w:val="single" w:sz="12" w:space="4" w:color="C8D0D4" w:themeColor="accent6" w:themeShade="E6"/>
        <w:bottom w:val="single" w:sz="12" w:space="4" w:color="C8D0D4" w:themeColor="accent6" w:themeShade="E6"/>
      </w:pBdr>
      <w:spacing w:before="120" w:after="240"/>
      <w:ind w:left="360" w:right="360"/>
    </w:pPr>
    <w:rPr>
      <w:rFonts w:ascii="Arial Narrow" w:eastAsia="Times New Roman" w:hAnsi="Arial Narrow" w:cstheme="majorHAnsi"/>
      <w:iCs/>
      <w:color w:val="006E9F" w:themeColor="accent3"/>
    </w:rPr>
  </w:style>
  <w:style w:type="table" w:styleId="TableGrid">
    <w:name w:val="Table Grid"/>
    <w:basedOn w:val="TableNormal"/>
    <w:uiPriority w:val="39"/>
    <w:rsid w:val="0021639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debar">
    <w:name w:val="_Table Style-Sidebar"/>
    <w:basedOn w:val="TableNormal"/>
    <w:uiPriority w:val="99"/>
    <w:rsid w:val="0021639D"/>
    <w:pPr>
      <w:spacing w:before="120" w:after="120"/>
    </w:pPr>
    <w:rPr>
      <w:rFonts w:ascii="Arial Narrow" w:hAnsi="Arial Narrow"/>
    </w:rPr>
    <w:tblPr>
      <w:tblCellMar>
        <w:left w:w="0" w:type="dxa"/>
        <w:right w:w="0" w:type="dxa"/>
      </w:tblCellMar>
    </w:tblPr>
    <w:tcPr>
      <w:shd w:val="clear" w:color="auto" w:fill="D1EEFC" w:themeFill="background2"/>
    </w:tcPr>
  </w:style>
  <w:style w:type="paragraph" w:customStyle="1" w:styleId="SidebarText">
    <w:name w:val="Sidebar Text"/>
    <w:qFormat/>
    <w:rsid w:val="0021639D"/>
    <w:pPr>
      <w:spacing w:before="100" w:after="100" w:line="240" w:lineRule="auto"/>
      <w:ind w:left="187" w:right="72"/>
    </w:pPr>
    <w:rPr>
      <w:rFonts w:ascii="Arial Narrow" w:eastAsia="Calibri" w:hAnsi="Arial Narrow" w:cstheme="majorHAnsi"/>
      <w:sz w:val="20"/>
      <w:szCs w:val="22"/>
    </w:rPr>
  </w:style>
  <w:style w:type="paragraph" w:customStyle="1" w:styleId="Table11Basic">
    <w:name w:val="Table 11 Basic"/>
    <w:basedOn w:val="HeadingFont"/>
    <w:qFormat/>
    <w:rsid w:val="0021639D"/>
    <w:pPr>
      <w:keepNext w:val="0"/>
      <w:spacing w:before="60" w:after="60"/>
    </w:pPr>
    <w:rPr>
      <w:sz w:val="22"/>
      <w:szCs w:val="22"/>
    </w:rPr>
  </w:style>
  <w:style w:type="paragraph" w:customStyle="1" w:styleId="Table11Centered">
    <w:name w:val="Table 11 Centered"/>
    <w:basedOn w:val="Table11Basic"/>
    <w:qFormat/>
    <w:rsid w:val="0021639D"/>
    <w:pPr>
      <w:jc w:val="center"/>
    </w:pPr>
  </w:style>
  <w:style w:type="numbering" w:customStyle="1" w:styleId="ListBullets-Table10">
    <w:name w:val="_List Bullets-Table 10"/>
    <w:uiPriority w:val="99"/>
    <w:rsid w:val="0021639D"/>
    <w:pPr>
      <w:numPr>
        <w:numId w:val="5"/>
      </w:numPr>
    </w:pPr>
  </w:style>
  <w:style w:type="numbering" w:customStyle="1" w:styleId="ListOrdered-Table10">
    <w:name w:val="_List Ordered-Table 10"/>
    <w:uiPriority w:val="99"/>
    <w:rsid w:val="0021639D"/>
  </w:style>
  <w:style w:type="paragraph" w:customStyle="1" w:styleId="ExhibitNote">
    <w:name w:val="Exhibit Note"/>
    <w:aliases w:val="Figure Note,Table Note"/>
    <w:basedOn w:val="HeadingFont"/>
    <w:uiPriority w:val="18"/>
    <w:qFormat/>
    <w:rsid w:val="0021639D"/>
    <w:pPr>
      <w:keepNext w:val="0"/>
      <w:spacing w:before="120" w:after="360"/>
      <w:contextualSpacing/>
    </w:pPr>
    <w:rPr>
      <w:rFonts w:eastAsia="Times New Roman" w:cs="Times New Roman"/>
      <w:sz w:val="20"/>
    </w:rPr>
  </w:style>
  <w:style w:type="paragraph" w:customStyle="1" w:styleId="FigurePlacement">
    <w:name w:val="Figure Placement"/>
    <w:basedOn w:val="HeadingFont"/>
    <w:qFormat/>
    <w:rsid w:val="0021639D"/>
    <w:pPr>
      <w:keepNext w:val="0"/>
      <w:spacing w:before="120" w:after="120"/>
      <w:jc w:val="center"/>
    </w:pPr>
    <w:rPr>
      <w:rFonts w:eastAsia="Times New Roman"/>
    </w:rPr>
  </w:style>
  <w:style w:type="paragraph" w:styleId="Caption">
    <w:name w:val="caption"/>
    <w:basedOn w:val="HeadingFont"/>
    <w:next w:val="BodyText"/>
    <w:link w:val="CaptionChar"/>
    <w:uiPriority w:val="35"/>
    <w:unhideWhenUsed/>
    <w:qFormat/>
    <w:rsid w:val="0021639D"/>
    <w:pPr>
      <w:keepLines/>
      <w:spacing w:before="240" w:after="120"/>
    </w:pPr>
    <w:rPr>
      <w:rFonts w:eastAsia="Calibri" w:cs="Times New Roman"/>
      <w:b/>
      <w:iCs/>
      <w:color w:val="00507F" w:themeColor="accent1"/>
      <w:szCs w:val="18"/>
    </w:rPr>
  </w:style>
  <w:style w:type="paragraph" w:customStyle="1" w:styleId="HeadingFont">
    <w:name w:val="Heading Font"/>
    <w:qFormat/>
    <w:rsid w:val="0021639D"/>
    <w:pPr>
      <w:keepNext/>
      <w:suppressAutoHyphens/>
    </w:pPr>
    <w:rPr>
      <w:rFonts w:asciiTheme="majorHAnsi" w:hAnsiTheme="majorHAnsi"/>
    </w:rPr>
  </w:style>
  <w:style w:type="character" w:customStyle="1" w:styleId="Heading1Char">
    <w:name w:val="Heading 1 Char"/>
    <w:basedOn w:val="DefaultParagraphFont"/>
    <w:link w:val="Heading1"/>
    <w:uiPriority w:val="9"/>
    <w:rsid w:val="00DB4848"/>
    <w:rPr>
      <w:rFonts w:eastAsia="Perpetua" w:asciiTheme="majorHAnsi" w:hAnsiTheme="majorHAnsi" w:cs="Arial"/>
      <w:b/>
      <w:noProof/>
      <w:color w:val="00507F" w:themeColor="accent1"/>
      <w:sz w:val="56"/>
      <w:szCs w:val="56"/>
    </w:rPr>
  </w:style>
  <w:style w:type="paragraph" w:styleId="NoSpacing">
    <w:name w:val="No Spacing"/>
    <w:basedOn w:val="BodyText"/>
    <w:qFormat/>
    <w:rsid w:val="0021639D"/>
    <w:pPr>
      <w:spacing w:before="0" w:after="0"/>
    </w:pPr>
  </w:style>
  <w:style w:type="paragraph" w:styleId="EndnoteText">
    <w:name w:val="endnote text"/>
    <w:basedOn w:val="BodyText"/>
    <w:link w:val="EndnoteTextChar"/>
    <w:uiPriority w:val="99"/>
    <w:unhideWhenUsed/>
    <w:rsid w:val="0021639D"/>
    <w:pPr>
      <w:spacing w:after="0" w:line="240" w:lineRule="auto"/>
    </w:pPr>
  </w:style>
  <w:style w:type="character" w:customStyle="1" w:styleId="EndnoteTextChar">
    <w:name w:val="Endnote Text Char"/>
    <w:basedOn w:val="DefaultParagraphFont"/>
    <w:link w:val="EndnoteText"/>
    <w:uiPriority w:val="99"/>
    <w:rsid w:val="0021639D"/>
    <w:rPr>
      <w:rFonts w:eastAsia="Calibri" w:cs="Times New Roman"/>
    </w:rPr>
  </w:style>
  <w:style w:type="paragraph" w:customStyle="1" w:styleId="ShapeText">
    <w:name w:val="Shape Text"/>
    <w:basedOn w:val="BodyText"/>
    <w:qFormat/>
    <w:rsid w:val="0021639D"/>
    <w:pPr>
      <w:spacing w:before="120"/>
      <w:jc w:val="center"/>
    </w:pPr>
  </w:style>
  <w:style w:type="paragraph" w:customStyle="1" w:styleId="Spacer-HeaderFooter">
    <w:name w:val="Spacer-HeaderFooter"/>
    <w:link w:val="Spacer-HeaderFooterChar"/>
    <w:rsid w:val="0021639D"/>
    <w:pPr>
      <w:spacing w:line="20" w:lineRule="exact"/>
    </w:pPr>
    <w:rPr>
      <w:sz w:val="2"/>
      <w:szCs w:val="2"/>
    </w:rPr>
  </w:style>
  <w:style w:type="paragraph" w:customStyle="1" w:styleId="ExhibitTitle">
    <w:name w:val="Exhibit Title"/>
    <w:basedOn w:val="HeadingFont"/>
    <w:next w:val="Normal"/>
    <w:qFormat/>
    <w:rsid w:val="0021639D"/>
    <w:pPr>
      <w:keepLines/>
      <w:spacing w:before="240" w:after="120"/>
    </w:pPr>
    <w:rPr>
      <w:rFonts w:eastAsia="Times New Roman" w:cs="Times"/>
      <w:b/>
      <w:iCs/>
      <w:color w:val="00507F" w:themeColor="accent1"/>
    </w:rPr>
  </w:style>
  <w:style w:type="table" w:customStyle="1" w:styleId="TableStyle-Handout">
    <w:name w:val="_Table Style-Handout"/>
    <w:basedOn w:val="TableNormal"/>
    <w:uiPriority w:val="99"/>
    <w:rsid w:val="0021639D"/>
    <w:pPr>
      <w:spacing w:before="120" w:after="120"/>
    </w:pPr>
    <w:tblPr>
      <w:tblBorders>
        <w:bottom w:val="single" w:sz="6" w:space="0" w:color="A6A6A6" w:themeColor="background1" w:themeShade="A6"/>
        <w:insideH w:val="single" w:sz="6" w:space="0" w:color="A6A6A6" w:themeColor="background1" w:themeShade="A6"/>
      </w:tblBorders>
    </w:tblPr>
    <w:trPr>
      <w:cantSplit/>
    </w:trPr>
    <w:tblStylePr w:type="firstRow">
      <w:pPr>
        <w:jc w:val="center"/>
      </w:pPr>
      <w:rPr>
        <w:b w:val="0"/>
        <w:color w:val="auto"/>
      </w:rPr>
      <w:tblPr/>
      <w:trPr>
        <w:cantSplit w:val="0"/>
      </w:trPr>
      <w:tcPr>
        <w:vAlign w:val="bottom"/>
      </w:tcPr>
    </w:tblStylePr>
    <w:tblStylePr w:type="firstCol">
      <w:rPr>
        <w:b w:val="0"/>
        <w:color w:val="auto"/>
      </w:rPr>
    </w:tblStyle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21639D"/>
    <w:pPr>
      <w:keepLines/>
      <w:ind w:left="720" w:hanging="720"/>
    </w:pPr>
    <w:rPr>
      <w:rFonts w:eastAsiaTheme="minorHAnsi" w:cstheme="minorBidi"/>
    </w:rPr>
  </w:style>
  <w:style w:type="character" w:customStyle="1" w:styleId="ReferenceChar">
    <w:name w:val="Reference Char"/>
    <w:basedOn w:val="DefaultParagraphFont"/>
    <w:link w:val="Reference"/>
    <w:rsid w:val="0021639D"/>
  </w:style>
  <w:style w:type="paragraph" w:customStyle="1" w:styleId="Heading3NoTOC">
    <w:name w:val="Heading 3 No TOC"/>
    <w:basedOn w:val="Heading3"/>
    <w:next w:val="BodyTextPostHeading"/>
    <w:link w:val="Heading3NoTOCChar"/>
    <w:qFormat/>
    <w:rsid w:val="0021639D"/>
    <w:pPr>
      <w:spacing w:after="0"/>
      <w:outlineLvl w:val="9"/>
    </w:pPr>
  </w:style>
  <w:style w:type="paragraph" w:customStyle="1" w:styleId="Heading4NoTOC">
    <w:name w:val="Heading 4 No TOC"/>
    <w:basedOn w:val="Heading4"/>
    <w:next w:val="BodyTextPostHeading"/>
    <w:link w:val="Heading4NoTOCChar"/>
    <w:qFormat/>
    <w:rsid w:val="0021639D"/>
    <w:pPr>
      <w:outlineLvl w:val="9"/>
    </w:pPr>
  </w:style>
  <w:style w:type="paragraph" w:customStyle="1" w:styleId="Heading5NoTOC">
    <w:name w:val="Heading 5 No TOC"/>
    <w:basedOn w:val="Heading5"/>
    <w:link w:val="Heading5NoTOCChar"/>
    <w:qFormat/>
    <w:rsid w:val="0021639D"/>
    <w:pPr>
      <w:outlineLvl w:val="9"/>
    </w:pPr>
  </w:style>
  <w:style w:type="paragraph" w:customStyle="1" w:styleId="Heading6NoTOC">
    <w:name w:val="Heading 6 No TOC"/>
    <w:basedOn w:val="Heading6"/>
    <w:link w:val="Heading6NoTOCChar"/>
    <w:qFormat/>
    <w:rsid w:val="0021639D"/>
    <w:pPr>
      <w:outlineLvl w:val="9"/>
    </w:pPr>
  </w:style>
  <w:style w:type="character" w:customStyle="1" w:styleId="Heading5NoTOCChar">
    <w:name w:val="Heading 5 No TOC Char"/>
    <w:basedOn w:val="Heading5Char"/>
    <w:link w:val="Heading5NoTOC"/>
    <w:rsid w:val="0021639D"/>
    <w:rPr>
      <w:rFonts w:asciiTheme="majorHAnsi" w:hAnsiTheme="majorHAnsi"/>
      <w:b/>
      <w:bCs/>
    </w:rPr>
  </w:style>
  <w:style w:type="character" w:customStyle="1" w:styleId="Heading4NoTOCChar">
    <w:name w:val="Heading 4 No TOC Char"/>
    <w:basedOn w:val="DefaultParagraphFont"/>
    <w:link w:val="Heading4NoTOC"/>
    <w:rsid w:val="0021639D"/>
    <w:rPr>
      <w:rFonts w:eastAsia="Times New Roman" w:asciiTheme="majorHAnsi" w:hAnsiTheme="majorHAnsi" w:cs="Times New Roman"/>
      <w:b/>
      <w:i/>
      <w:iCs/>
      <w:color w:val="00507F" w:themeColor="accent1"/>
      <w:sz w:val="26"/>
      <w:szCs w:val="26"/>
    </w:rPr>
  </w:style>
  <w:style w:type="character" w:customStyle="1" w:styleId="Heading3NoTOCChar">
    <w:name w:val="Heading 3 No TOC Char"/>
    <w:basedOn w:val="Heading3Char"/>
    <w:link w:val="Heading3NoTOC"/>
    <w:rsid w:val="0021639D"/>
    <w:rPr>
      <w:rFonts w:eastAsia="Times New Roman" w:asciiTheme="majorHAnsi" w:hAnsiTheme="majorHAnsi" w:cs="Times New Roman"/>
      <w:b/>
      <w:color w:val="00507F" w:themeColor="accent1"/>
      <w:sz w:val="28"/>
      <w:szCs w:val="26"/>
    </w:rPr>
  </w:style>
  <w:style w:type="paragraph" w:customStyle="1" w:styleId="AgendaTime">
    <w:name w:val="Agenda Time"/>
    <w:basedOn w:val="AgendaDescription"/>
    <w:uiPriority w:val="28"/>
    <w:qFormat/>
    <w:rsid w:val="0021639D"/>
    <w:pPr>
      <w:spacing w:before="240"/>
    </w:pPr>
    <w:rPr>
      <w:rFonts w:eastAsia="Calibri"/>
      <w:b/>
    </w:rPr>
  </w:style>
  <w:style w:type="paragraph" w:customStyle="1" w:styleId="AgendaItem">
    <w:name w:val="Agenda Item"/>
    <w:basedOn w:val="AgendaDescription"/>
    <w:next w:val="AgendaDescription"/>
    <w:uiPriority w:val="28"/>
    <w:qFormat/>
    <w:rsid w:val="0021639D"/>
    <w:pPr>
      <w:spacing w:before="240"/>
    </w:pPr>
    <w:rPr>
      <w:rFonts w:eastAsia="Calibri"/>
      <w:b/>
    </w:rPr>
  </w:style>
  <w:style w:type="paragraph" w:customStyle="1" w:styleId="AgendaDescription">
    <w:name w:val="Agenda Description"/>
    <w:basedOn w:val="BodyText"/>
    <w:uiPriority w:val="28"/>
    <w:qFormat/>
    <w:rsid w:val="0021639D"/>
    <w:pPr>
      <w:spacing w:before="120"/>
    </w:pPr>
    <w:rPr>
      <w:rFonts w:eastAsia="Times New Roman"/>
    </w:rPr>
  </w:style>
  <w:style w:type="paragraph" w:customStyle="1" w:styleId="AgendaLocation">
    <w:name w:val="Agenda Location"/>
    <w:basedOn w:val="AgendaDescription"/>
    <w:uiPriority w:val="28"/>
    <w:qFormat/>
    <w:rsid w:val="0021639D"/>
    <w:pPr>
      <w:spacing w:before="240"/>
    </w:pPr>
    <w:rPr>
      <w:rFonts w:eastAsia="Calibri"/>
      <w:b/>
      <w:i/>
    </w:rPr>
  </w:style>
  <w:style w:type="paragraph" w:customStyle="1" w:styleId="DocumentAuthor">
    <w:name w:val="Document Author"/>
    <w:basedOn w:val="BodyText"/>
    <w:next w:val="Normal"/>
    <w:qFormat/>
    <w:rsid w:val="0021639D"/>
    <w:pPr>
      <w:spacing w:before="0" w:after="60"/>
    </w:pPr>
    <w:rPr>
      <w:rFonts w:asciiTheme="majorHAnsi" w:hAnsiTheme="majorHAnsi" w:cs="Arial"/>
      <w:sz w:val="28"/>
      <w:szCs w:val="28"/>
    </w:rPr>
  </w:style>
  <w:style w:type="paragraph" w:customStyle="1" w:styleId="AgendaColumnHeading">
    <w:name w:val="Agenda Column Heading"/>
    <w:basedOn w:val="AgendaDescription"/>
    <w:uiPriority w:val="28"/>
    <w:rsid w:val="0021639D"/>
    <w:pPr>
      <w:spacing w:before="60" w:after="60"/>
    </w:pPr>
    <w:rPr>
      <w:b/>
    </w:rPr>
  </w:style>
  <w:style w:type="character" w:customStyle="1" w:styleId="Heading6NoTOCChar">
    <w:name w:val="Heading 6 No TOC Char"/>
    <w:basedOn w:val="Heading6Char"/>
    <w:link w:val="Heading6NoTOC"/>
    <w:rsid w:val="0021639D"/>
    <w:rPr>
      <w:rFonts w:asciiTheme="majorHAnsi" w:hAnsiTheme="majorHAnsi"/>
      <w:b/>
      <w:bCs/>
      <w:i/>
      <w:iCs/>
    </w:rPr>
  </w:style>
  <w:style w:type="character" w:styleId="FollowedHyperlink">
    <w:name w:val="FollowedHyperlink"/>
    <w:basedOn w:val="DefaultParagraphFont"/>
    <w:uiPriority w:val="99"/>
    <w:unhideWhenUsed/>
    <w:rsid w:val="0021639D"/>
    <w:rPr>
      <w:color w:val="49134C" w:themeColor="followedHyperlink"/>
      <w:u w:val="single"/>
    </w:rPr>
  </w:style>
  <w:style w:type="character" w:styleId="Emphasis">
    <w:name w:val="Emphasis"/>
    <w:uiPriority w:val="20"/>
    <w:qFormat/>
    <w:rsid w:val="0021639D"/>
    <w:rPr>
      <w:i/>
      <w:iCs/>
    </w:rPr>
  </w:style>
  <w:style w:type="character" w:customStyle="1" w:styleId="CaptionChar">
    <w:name w:val="Caption Char"/>
    <w:basedOn w:val="BodyTextChar"/>
    <w:link w:val="Caption"/>
    <w:uiPriority w:val="35"/>
    <w:rsid w:val="0021639D"/>
    <w:rPr>
      <w:rFonts w:eastAsia="Calibri" w:asciiTheme="majorHAnsi" w:hAnsiTheme="majorHAnsi" w:cs="Times New Roman"/>
      <w:b/>
      <w:iCs/>
      <w:color w:val="00507F" w:themeColor="accent1"/>
      <w:szCs w:val="18"/>
    </w:rPr>
  </w:style>
  <w:style w:type="paragraph" w:customStyle="1" w:styleId="Heading2NoTOC">
    <w:name w:val="Heading 2 No TOC"/>
    <w:basedOn w:val="Heading2"/>
    <w:next w:val="H2Line075-12-6"/>
    <w:link w:val="Heading2NoTOCChar"/>
    <w:qFormat/>
    <w:rsid w:val="0021639D"/>
  </w:style>
  <w:style w:type="paragraph" w:customStyle="1" w:styleId="Table11ColumnHeading">
    <w:name w:val="Table 11 Column Heading"/>
    <w:basedOn w:val="Table11Basic"/>
    <w:qFormat/>
    <w:rsid w:val="0021639D"/>
    <w:pPr>
      <w:jc w:val="center"/>
    </w:pPr>
    <w:rPr>
      <w:b/>
      <w:color w:val="FFFFFF" w:themeColor="background1"/>
    </w:rPr>
  </w:style>
  <w:style w:type="paragraph" w:customStyle="1" w:styleId="Table11RowHeading">
    <w:name w:val="Table 11 Row Heading"/>
    <w:basedOn w:val="Table11Basic"/>
    <w:qFormat/>
    <w:rsid w:val="0021639D"/>
    <w:rPr>
      <w:b/>
    </w:rPr>
  </w:style>
  <w:style w:type="character" w:styleId="EndnoteReference">
    <w:name w:val="endnote reference"/>
    <w:basedOn w:val="DefaultParagraphFont"/>
    <w:uiPriority w:val="99"/>
    <w:unhideWhenUsed/>
    <w:rsid w:val="0021639D"/>
    <w:rPr>
      <w:vertAlign w:val="superscript"/>
    </w:rPr>
  </w:style>
  <w:style w:type="character" w:styleId="Strong">
    <w:name w:val="Strong"/>
    <w:basedOn w:val="DefaultParagraphFont"/>
    <w:uiPriority w:val="22"/>
    <w:qFormat/>
    <w:rsid w:val="0021639D"/>
    <w:rPr>
      <w:b/>
      <w:bCs/>
    </w:rPr>
  </w:style>
  <w:style w:type="character" w:customStyle="1" w:styleId="CtrlPlusspacecharacter">
    <w:name w:val="Ctrl Plus space character"/>
    <w:basedOn w:val="DefaultParagraphFont"/>
    <w:uiPriority w:val="1"/>
    <w:qFormat/>
    <w:rsid w:val="0021639D"/>
    <w:rPr>
      <w:sz w:val="4"/>
    </w:rPr>
  </w:style>
  <w:style w:type="table" w:customStyle="1" w:styleId="TableStyle-DocumentLayout">
    <w:name w:val="_Table Style-Document Layout"/>
    <w:basedOn w:val="TableNormal"/>
    <w:uiPriority w:val="99"/>
    <w:rsid w:val="0021639D"/>
    <w:pPr>
      <w:spacing w:line="240" w:lineRule="auto"/>
    </w:pPr>
    <w:tblPr>
      <w:tblCellMar>
        <w:left w:w="0" w:type="dxa"/>
      </w:tblCellMar>
    </w:tblPr>
  </w:style>
  <w:style w:type="character" w:customStyle="1" w:styleId="Heading7Char">
    <w:name w:val="Heading 7 Char"/>
    <w:basedOn w:val="DefaultParagraphFont"/>
    <w:link w:val="Heading7"/>
    <w:uiPriority w:val="9"/>
    <w:rsid w:val="0021639D"/>
    <w:rPr>
      <w:rFonts w:asciiTheme="majorHAnsi" w:eastAsiaTheme="majorEastAsia" w:hAnsiTheme="majorHAnsi" w:cstheme="majorBidi"/>
      <w:i/>
      <w:iCs/>
      <w:color w:val="00273F" w:themeColor="accent1" w:themeShade="7F"/>
    </w:rPr>
  </w:style>
  <w:style w:type="character" w:customStyle="1" w:styleId="Heading8Char">
    <w:name w:val="Heading 8 Char"/>
    <w:basedOn w:val="DefaultParagraphFont"/>
    <w:link w:val="Heading8"/>
    <w:uiPriority w:val="9"/>
    <w:rsid w:val="0021639D"/>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rsid w:val="0021639D"/>
    <w:rPr>
      <w:rFonts w:asciiTheme="majorHAnsi" w:eastAsiaTheme="majorEastAsia" w:hAnsiTheme="majorHAnsi" w:cstheme="majorBidi"/>
      <w:i/>
      <w:iCs/>
      <w:sz w:val="21"/>
      <w:szCs w:val="21"/>
    </w:rPr>
  </w:style>
  <w:style w:type="paragraph" w:customStyle="1" w:styleId="DocumentOrganization">
    <w:name w:val="Document Organization"/>
    <w:basedOn w:val="BodyText"/>
    <w:next w:val="DocumentAuthor"/>
    <w:qFormat/>
    <w:rsid w:val="0021639D"/>
    <w:pPr>
      <w:spacing w:before="0"/>
    </w:pPr>
    <w:rPr>
      <w:rFonts w:asciiTheme="majorHAnsi" w:hAnsiTheme="majorHAnsi"/>
      <w:i/>
      <w:sz w:val="28"/>
      <w:szCs w:val="28"/>
    </w:rPr>
  </w:style>
  <w:style w:type="paragraph" w:customStyle="1" w:styleId="SidebarHeading">
    <w:name w:val="Sidebar Heading"/>
    <w:basedOn w:val="SidebarText"/>
    <w:next w:val="SidebarText"/>
    <w:qFormat/>
    <w:rsid w:val="0021639D"/>
    <w:rPr>
      <w:b/>
      <w:bCs/>
      <w:color w:val="00507F" w:themeColor="accent1"/>
      <w:sz w:val="24"/>
      <w:szCs w:val="28"/>
    </w:rPr>
  </w:style>
  <w:style w:type="paragraph" w:styleId="TOC1">
    <w:name w:val="toc 1"/>
    <w:basedOn w:val="BodyText"/>
    <w:autoRedefine/>
    <w:uiPriority w:val="39"/>
    <w:unhideWhenUsed/>
    <w:rsid w:val="0021639D"/>
    <w:pPr>
      <w:tabs>
        <w:tab w:val="right" w:leader="dot" w:pos="9360"/>
      </w:tabs>
      <w:spacing w:after="0" w:line="216" w:lineRule="auto"/>
      <w:ind w:right="720"/>
    </w:pPr>
    <w:rPr>
      <w:rFonts w:eastAsia="Times New Roman"/>
      <w:noProof/>
    </w:rPr>
  </w:style>
  <w:style w:type="paragraph" w:styleId="TOC2">
    <w:name w:val="toc 2"/>
    <w:basedOn w:val="TOC1"/>
    <w:autoRedefine/>
    <w:uiPriority w:val="39"/>
    <w:unhideWhenUsed/>
    <w:rsid w:val="0021639D"/>
    <w:pPr>
      <w:spacing w:before="80"/>
      <w:ind w:left="245"/>
    </w:pPr>
  </w:style>
  <w:style w:type="paragraph" w:styleId="TableofFigures">
    <w:name w:val="table of figures"/>
    <w:basedOn w:val="TOC1"/>
    <w:uiPriority w:val="99"/>
    <w:unhideWhenUsed/>
    <w:rsid w:val="0021639D"/>
    <w:rPr>
      <w:rFonts w:eastAsiaTheme="majorEastAsia"/>
    </w:rPr>
  </w:style>
  <w:style w:type="paragraph" w:styleId="TOCHeading">
    <w:name w:val="TOC Heading"/>
    <w:basedOn w:val="Heading2"/>
    <w:next w:val="H2TOCLine1-12-6"/>
    <w:uiPriority w:val="39"/>
    <w:unhideWhenUsed/>
    <w:qFormat/>
    <w:rsid w:val="0021639D"/>
    <w:pPr>
      <w:tabs>
        <w:tab w:val="right" w:pos="10080"/>
      </w:tabs>
      <w:spacing w:before="0"/>
      <w:outlineLvl w:val="9"/>
    </w:pPr>
    <w:rPr>
      <w:rFonts w:eastAsia="Times New Roman"/>
    </w:rPr>
  </w:style>
  <w:style w:type="paragraph" w:customStyle="1" w:styleId="DocumentSubtitle">
    <w:name w:val="Document Subtitle"/>
    <w:next w:val="H1ReportLine1-18-18"/>
    <w:qFormat/>
    <w:rsid w:val="0021639D"/>
    <w:pPr>
      <w:outlineLvl w:val="0"/>
    </w:pPr>
    <w:rPr>
      <w:rFonts w:eastAsia="Perpetua" w:cs="Arial"/>
      <w:noProof/>
      <w:sz w:val="48"/>
      <w:szCs w:val="48"/>
    </w:rPr>
  </w:style>
  <w:style w:type="paragraph" w:customStyle="1" w:styleId="DocumentDate">
    <w:name w:val="Document Date"/>
    <w:basedOn w:val="HeadingFont"/>
    <w:qFormat/>
    <w:rsid w:val="0021639D"/>
    <w:pPr>
      <w:spacing w:before="360" w:after="480"/>
    </w:pPr>
    <w:rPr>
      <w:b/>
      <w:bCs/>
      <w:sz w:val="20"/>
      <w:szCs w:val="20"/>
    </w:rPr>
  </w:style>
  <w:style w:type="table" w:customStyle="1" w:styleId="TableStyle-InformationBox">
    <w:name w:val="_Table Style-Information Box"/>
    <w:basedOn w:val="TableNormal"/>
    <w:uiPriority w:val="99"/>
    <w:rsid w:val="0021639D"/>
    <w:pPr>
      <w:spacing w:line="240" w:lineRule="auto"/>
    </w:pPr>
    <w:tblPr>
      <w:tblBorders>
        <w:top w:val="single" w:sz="48" w:space="0" w:color="00507F" w:themeColor="accent1"/>
      </w:tblBorders>
      <w:tblCellMar>
        <w:left w:w="360" w:type="dxa"/>
        <w:bottom w:w="360" w:type="dxa"/>
        <w:right w:w="360" w:type="dxa"/>
      </w:tblCellMar>
    </w:tblPr>
    <w:tcPr>
      <w:shd w:val="clear" w:color="auto" w:fill="E3E8EE" w:themeFill="text2" w:themeFillTint="1A"/>
    </w:tcPr>
  </w:style>
  <w:style w:type="character" w:styleId="CommentReference">
    <w:name w:val="annotation reference"/>
    <w:basedOn w:val="DefaultParagraphFont"/>
    <w:uiPriority w:val="99"/>
    <w:unhideWhenUsed/>
    <w:rsid w:val="0021639D"/>
    <w:rPr>
      <w:sz w:val="16"/>
      <w:szCs w:val="16"/>
    </w:rPr>
  </w:style>
  <w:style w:type="paragraph" w:styleId="CommentText">
    <w:name w:val="annotation text"/>
    <w:link w:val="CommentTextChar"/>
    <w:uiPriority w:val="99"/>
    <w:unhideWhenUsed/>
    <w:rsid w:val="0021639D"/>
    <w:pPr>
      <w:spacing w:line="240" w:lineRule="auto"/>
    </w:pPr>
  </w:style>
  <w:style w:type="character" w:customStyle="1" w:styleId="CommentTextChar">
    <w:name w:val="Comment Text Char"/>
    <w:basedOn w:val="DefaultParagraphFont"/>
    <w:link w:val="CommentText"/>
    <w:uiPriority w:val="99"/>
    <w:rsid w:val="0021639D"/>
  </w:style>
  <w:style w:type="paragraph" w:styleId="CommentSubject">
    <w:name w:val="annotation subject"/>
    <w:basedOn w:val="CommentText"/>
    <w:next w:val="CommentText"/>
    <w:link w:val="CommentSubjectChar"/>
    <w:uiPriority w:val="99"/>
    <w:unhideWhenUsed/>
    <w:rsid w:val="0021639D"/>
    <w:rPr>
      <w:b/>
      <w:bCs/>
    </w:rPr>
  </w:style>
  <w:style w:type="character" w:customStyle="1" w:styleId="CommentSubjectChar">
    <w:name w:val="Comment Subject Char"/>
    <w:basedOn w:val="CommentTextChar"/>
    <w:link w:val="CommentSubject"/>
    <w:uiPriority w:val="99"/>
    <w:rsid w:val="0021639D"/>
    <w:rPr>
      <w:b/>
      <w:bCs/>
    </w:rPr>
  </w:style>
  <w:style w:type="table" w:customStyle="1" w:styleId="TableStyle-AIR2021">
    <w:name w:val="__Table Style-AIR 2021"/>
    <w:basedOn w:val="TableNormal"/>
    <w:uiPriority w:val="99"/>
    <w:rsid w:val="0021639D"/>
    <w:pPr>
      <w:spacing w:line="240" w:lineRule="auto"/>
    </w:pPr>
    <w:tblPr>
      <w:tblStyleRowBandSize w:val="1"/>
      <w:tblBorders>
        <w:bottom w:val="single" w:sz="6" w:space="0" w:color="00507F"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009DD7" w:themeColor="accent2"/>
          <w:right w:val="nil"/>
          <w:insideH w:val="single" w:sz="6" w:space="0" w:color="FFFFFF" w:themeColor="background1"/>
          <w:insideV w:val="single" w:sz="6" w:space="0" w:color="FFFFFF" w:themeColor="background1"/>
          <w:tl2br w:val="nil"/>
          <w:tr2bl w:val="nil"/>
        </w:tcBorders>
        <w:shd w:val="clear" w:color="auto" w:fill="00507F" w:themeFill="accent1"/>
      </w:tcPr>
    </w:tblStylePr>
    <w:tblStylePr w:type="band2Horz">
      <w:tblPr/>
      <w:tcPr>
        <w:shd w:val="clear" w:color="auto" w:fill="F3FBFF"/>
      </w:tcPr>
    </w:tblStylePr>
  </w:style>
  <w:style w:type="paragraph" w:customStyle="1" w:styleId="LastPageHOCopyright">
    <w:name w:val="Last Page HO Copyright"/>
    <w:basedOn w:val="BodyText"/>
    <w:qFormat/>
    <w:rsid w:val="0021639D"/>
    <w:pPr>
      <w:shd w:val="clear" w:color="auto" w:fill="00507F" w:themeFill="accent1"/>
      <w:tabs>
        <w:tab w:val="right" w:pos="10080"/>
      </w:tabs>
      <w:spacing w:before="200" w:after="80" w:line="240" w:lineRule="auto"/>
    </w:pPr>
    <w:rPr>
      <w:rFonts w:asciiTheme="majorHAnsi" w:hAnsiTheme="majorHAnsi"/>
      <w:color w:val="D1EEFC" w:themeColor="background2"/>
      <w:kern w:val="24"/>
      <w:sz w:val="13"/>
      <w:szCs w:val="14"/>
    </w:rPr>
  </w:style>
  <w:style w:type="paragraph" w:customStyle="1" w:styleId="RptBackCopyright">
    <w:name w:val="Rpt Back Copyright"/>
    <w:qFormat/>
    <w:rsid w:val="0021639D"/>
    <w:pPr>
      <w:suppressAutoHyphens/>
      <w:spacing w:before="80" w:line="240" w:lineRule="auto"/>
    </w:pPr>
    <w:rPr>
      <w:rFonts w:eastAsia="Calibri" w:asciiTheme="majorHAnsi" w:hAnsiTheme="majorHAnsi" w:cs="Times New Roman"/>
      <w:sz w:val="13"/>
      <w:szCs w:val="13"/>
    </w:rPr>
  </w:style>
  <w:style w:type="paragraph" w:customStyle="1" w:styleId="LastPageHOTrademark">
    <w:name w:val="Last Page HO Trademark"/>
    <w:basedOn w:val="LastPageHOCopyright"/>
    <w:link w:val="LastPageHOTrademarkChar"/>
    <w:qFormat/>
    <w:rsid w:val="0021639D"/>
    <w:pPr>
      <w:suppressAutoHyphens w:val="0"/>
      <w:spacing w:before="0"/>
    </w:pPr>
    <w:rPr>
      <w:rFonts w:cstheme="minorBidi"/>
    </w:rPr>
  </w:style>
  <w:style w:type="paragraph" w:customStyle="1" w:styleId="RptBackTrademark">
    <w:name w:val="Rpt Back Trademark"/>
    <w:qFormat/>
    <w:rsid w:val="0021639D"/>
    <w:pPr>
      <w:suppressAutoHyphens/>
      <w:spacing w:before="80" w:line="240" w:lineRule="auto"/>
    </w:pPr>
    <w:rPr>
      <w:rFonts w:eastAsia="Calibri" w:asciiTheme="majorHAnsi" w:hAnsiTheme="majorHAnsi" w:cs="Times New Roman"/>
      <w:sz w:val="13"/>
      <w:szCs w:val="13"/>
    </w:rPr>
  </w:style>
  <w:style w:type="paragraph" w:customStyle="1" w:styleId="RptBackFileID">
    <w:name w:val="Rpt Back FileID"/>
    <w:qFormat/>
    <w:rsid w:val="0021639D"/>
    <w:pPr>
      <w:suppressAutoHyphens/>
      <w:spacing w:before="120" w:line="240" w:lineRule="auto"/>
      <w:jc w:val="right"/>
    </w:pPr>
    <w:rPr>
      <w:rFonts w:eastAsia="Calibri" w:asciiTheme="majorHAnsi" w:hAnsiTheme="majorHAnsi" w:cs="Times New Roman"/>
      <w:color w:val="000000" w:themeColor="text1"/>
      <w:spacing w:val="-4"/>
      <w:sz w:val="13"/>
      <w:szCs w:val="15"/>
    </w:rPr>
  </w:style>
  <w:style w:type="character" w:styleId="UnresolvedMention">
    <w:name w:val="Unresolved Mention"/>
    <w:basedOn w:val="DefaultParagraphFont"/>
    <w:uiPriority w:val="99"/>
    <w:unhideWhenUsed/>
    <w:rsid w:val="0021639D"/>
    <w:rPr>
      <w:color w:val="605E5C"/>
      <w:shd w:val="clear" w:color="auto" w:fill="E1DFDD"/>
    </w:rPr>
  </w:style>
  <w:style w:type="paragraph" w:customStyle="1" w:styleId="Heading1-SpaceAfterH1Table">
    <w:name w:val="Heading 1-Space After H1 Table"/>
    <w:basedOn w:val="Spacer-HeaderFooter"/>
    <w:next w:val="BodyTextPostHeading"/>
    <w:qFormat/>
    <w:rsid w:val="0021639D"/>
  </w:style>
  <w:style w:type="paragraph" w:customStyle="1" w:styleId="Heading1-ReportCover">
    <w:name w:val="Heading 1-Report Cover"/>
    <w:next w:val="DocumentSubtitle"/>
    <w:qFormat/>
    <w:rsid w:val="0021639D"/>
    <w:pPr>
      <w:spacing w:before="360" w:after="120"/>
      <w:outlineLvl w:val="0"/>
    </w:pPr>
    <w:rPr>
      <w:rFonts w:eastAsia="Perpetua" w:asciiTheme="majorHAnsi" w:hAnsiTheme="majorHAnsi" w:cstheme="majorHAnsi"/>
      <w:b/>
      <w:bCs/>
      <w:noProof/>
      <w:sz w:val="56"/>
      <w:szCs w:val="56"/>
    </w:rPr>
  </w:style>
  <w:style w:type="paragraph" w:customStyle="1" w:styleId="Heading1-NarrowHandout">
    <w:name w:val="Heading 1-NarrowHandout"/>
    <w:basedOn w:val="Heading1"/>
    <w:qFormat/>
    <w:rsid w:val="0021639D"/>
    <w:pPr>
      <w:outlineLvl w:val="9"/>
    </w:pPr>
  </w:style>
  <w:style w:type="paragraph" w:customStyle="1" w:styleId="Table10Basic">
    <w:name w:val="Table 10 Basic"/>
    <w:basedOn w:val="Table11Basic"/>
    <w:qFormat/>
    <w:rsid w:val="0021639D"/>
    <w:rPr>
      <w:sz w:val="20"/>
    </w:rPr>
  </w:style>
  <w:style w:type="paragraph" w:customStyle="1" w:styleId="Table10Centered">
    <w:name w:val="Table 10 Centered"/>
    <w:basedOn w:val="Table10Basic"/>
    <w:qFormat/>
    <w:rsid w:val="0021639D"/>
    <w:pPr>
      <w:jc w:val="center"/>
    </w:pPr>
  </w:style>
  <w:style w:type="paragraph" w:customStyle="1" w:styleId="Table10Bullet1">
    <w:name w:val="Table 10 Bullet 1"/>
    <w:basedOn w:val="Table10Basic"/>
    <w:rsid w:val="0021639D"/>
    <w:pPr>
      <w:numPr>
        <w:numId w:val="19"/>
      </w:numPr>
    </w:pPr>
  </w:style>
  <w:style w:type="paragraph" w:customStyle="1" w:styleId="Table10Bullet2">
    <w:name w:val="Table 10 Bullet 2"/>
    <w:basedOn w:val="Table10Basic"/>
    <w:rsid w:val="0021639D"/>
    <w:pPr>
      <w:numPr>
        <w:ilvl w:val="1"/>
        <w:numId w:val="19"/>
      </w:numPr>
    </w:pPr>
  </w:style>
  <w:style w:type="paragraph" w:customStyle="1" w:styleId="Table10Bullet3">
    <w:name w:val="Table 10 Bullet 3"/>
    <w:basedOn w:val="Table10Basic"/>
    <w:rsid w:val="0021639D"/>
    <w:pPr>
      <w:numPr>
        <w:ilvl w:val="2"/>
        <w:numId w:val="19"/>
      </w:numPr>
    </w:pPr>
  </w:style>
  <w:style w:type="paragraph" w:customStyle="1" w:styleId="Table10Numbering">
    <w:name w:val="Table 10 Numbering"/>
    <w:basedOn w:val="Table10Basic"/>
    <w:rsid w:val="0021639D"/>
    <w:pPr>
      <w:numPr>
        <w:numId w:val="20"/>
      </w:numPr>
    </w:pPr>
    <w:rPr>
      <w:color w:val="auto"/>
    </w:rPr>
  </w:style>
  <w:style w:type="paragraph" w:customStyle="1" w:styleId="Table10ColumnHeading">
    <w:name w:val="Table 10 Column Heading"/>
    <w:basedOn w:val="Table10Basic"/>
    <w:qFormat/>
    <w:rsid w:val="0021639D"/>
    <w:pPr>
      <w:jc w:val="center"/>
    </w:pPr>
    <w:rPr>
      <w:b/>
      <w:color w:val="FFFFFF" w:themeColor="background1"/>
    </w:rPr>
  </w:style>
  <w:style w:type="paragraph" w:customStyle="1" w:styleId="Table10RowHeading">
    <w:name w:val="Table 10 Row Heading"/>
    <w:basedOn w:val="Table10Basic"/>
    <w:qFormat/>
    <w:rsid w:val="0021639D"/>
    <w:rPr>
      <w:b/>
    </w:rPr>
  </w:style>
  <w:style w:type="paragraph" w:customStyle="1" w:styleId="ReportCoverFrontBottomleft">
    <w:name w:val="Report Cover Front Bottom left"/>
    <w:basedOn w:val="BodyText"/>
    <w:qFormat/>
    <w:rsid w:val="0021639D"/>
    <w:pPr>
      <w:spacing w:before="0" w:after="0"/>
      <w:ind w:left="20"/>
    </w:pPr>
    <w:rPr>
      <w:rFonts w:asciiTheme="majorHAnsi" w:hAnsiTheme="majorHAnsi" w:cstheme="majorHAnsi"/>
      <w:b/>
      <w:color w:val="FFFFFF" w:themeColor="background1"/>
      <w:sz w:val="20"/>
    </w:rPr>
  </w:style>
  <w:style w:type="paragraph" w:customStyle="1" w:styleId="BoxHeading">
    <w:name w:val="Box Heading"/>
    <w:basedOn w:val="BodyText"/>
    <w:next w:val="BoxText"/>
    <w:qFormat/>
    <w:rsid w:val="0021639D"/>
    <w:pPr>
      <w:spacing w:line="240" w:lineRule="auto"/>
    </w:pPr>
    <w:rPr>
      <w:b/>
    </w:rPr>
  </w:style>
  <w:style w:type="paragraph" w:customStyle="1" w:styleId="LastPgFileID">
    <w:name w:val="LastPg FileID"/>
    <w:link w:val="LastPgFileIDChar"/>
    <w:qFormat/>
    <w:rsid w:val="0021639D"/>
    <w:pPr>
      <w:shd w:val="clear" w:color="auto" w:fill="00507F" w:themeFill="accent1"/>
      <w:suppressAutoHyphens/>
      <w:spacing w:before="120" w:line="240" w:lineRule="auto"/>
      <w:jc w:val="right"/>
    </w:pPr>
    <w:rPr>
      <w:rFonts w:eastAsia="Calibri" w:asciiTheme="majorHAnsi" w:hAnsiTheme="majorHAnsi" w:cs="Times New Roman"/>
      <w:color w:val="E8F6FD"/>
      <w:spacing w:val="-4"/>
      <w:sz w:val="12"/>
      <w:szCs w:val="15"/>
    </w:rPr>
  </w:style>
  <w:style w:type="numbering" w:customStyle="1" w:styleId="ListStyle-InfoBoxBullets">
    <w:name w:val="_List Style-Info Box Bullets"/>
    <w:uiPriority w:val="99"/>
    <w:rsid w:val="0021639D"/>
    <w:pPr>
      <w:numPr>
        <w:numId w:val="10"/>
      </w:numPr>
    </w:pPr>
  </w:style>
  <w:style w:type="paragraph" w:customStyle="1" w:styleId="BoxBullets">
    <w:name w:val="Box Bullets"/>
    <w:basedOn w:val="BoxText"/>
    <w:rsid w:val="0021639D"/>
    <w:pPr>
      <w:tabs>
        <w:tab w:val="num" w:pos="360"/>
      </w:tabs>
    </w:pPr>
    <w:rPr>
      <w:rFonts w:eastAsiaTheme="minorHAnsi" w:cstheme="minorBidi"/>
      <w:color w:val="auto"/>
    </w:rPr>
  </w:style>
  <w:style w:type="paragraph" w:customStyle="1" w:styleId="BoxText">
    <w:name w:val="Box Text"/>
    <w:basedOn w:val="BodyText"/>
    <w:qFormat/>
    <w:rsid w:val="0021639D"/>
    <w:pPr>
      <w:spacing w:before="60" w:after="60" w:line="240" w:lineRule="auto"/>
    </w:pPr>
    <w:rPr>
      <w:rFonts w:asciiTheme="majorHAnsi" w:hAnsiTheme="majorHAnsi"/>
      <w:szCs w:val="22"/>
    </w:rPr>
  </w:style>
  <w:style w:type="paragraph" w:customStyle="1" w:styleId="InformationBoxHeading">
    <w:name w:val="Information Box Heading"/>
    <w:basedOn w:val="BodyText"/>
    <w:next w:val="Normal"/>
    <w:qFormat/>
    <w:rsid w:val="0021639D"/>
    <w:pPr>
      <w:spacing w:before="180" w:line="240" w:lineRule="auto"/>
    </w:pPr>
    <w:rPr>
      <w:rFonts w:ascii="Arial Narrow" w:hAnsi="Arial Narrow"/>
      <w:b/>
      <w:bCs/>
      <w:caps/>
      <w:color w:val="00507F" w:themeColor="accent1"/>
    </w:rPr>
  </w:style>
  <w:style w:type="paragraph" w:customStyle="1" w:styleId="Cover-BottomleftAIRText">
    <w:name w:val="Cover-Bottom left AIR Text"/>
    <w:qFormat/>
    <w:rsid w:val="0021639D"/>
    <w:pPr>
      <w:suppressAutoHyphens/>
    </w:pPr>
    <w:rPr>
      <w:rFonts w:eastAsia="Calibri" w:asciiTheme="majorHAnsi" w:hAnsiTheme="majorHAnsi" w:cs="Times New Roman"/>
      <w:b/>
      <w:bCs/>
      <w:i/>
      <w:sz w:val="20"/>
      <w:szCs w:val="28"/>
    </w:rPr>
  </w:style>
  <w:style w:type="paragraph" w:customStyle="1" w:styleId="TOC">
    <w:name w:val="TOC"/>
    <w:basedOn w:val="Heading2"/>
    <w:rsid w:val="0021639D"/>
  </w:style>
  <w:style w:type="paragraph" w:customStyle="1" w:styleId="Spacer-TitlePageTable">
    <w:name w:val="Spacer-Title Page Table"/>
    <w:basedOn w:val="NoSpacing"/>
    <w:qFormat/>
    <w:rsid w:val="0021639D"/>
    <w:rPr>
      <w:sz w:val="12"/>
      <w:szCs w:val="12"/>
    </w:rPr>
  </w:style>
  <w:style w:type="character" w:customStyle="1" w:styleId="ReferenceItalics">
    <w:name w:val="Reference Italics"/>
    <w:basedOn w:val="DefaultParagraphFont"/>
    <w:qFormat/>
    <w:rsid w:val="0021639D"/>
    <w:rPr>
      <w:i/>
    </w:rPr>
  </w:style>
  <w:style w:type="paragraph" w:customStyle="1" w:styleId="PSidebarHeading">
    <w:name w:val="P.SidebarHeading"/>
    <w:next w:val="Normal"/>
    <w:qFormat/>
    <w:rsid w:val="0021639D"/>
    <w:pPr>
      <w:spacing w:line="240" w:lineRule="auto"/>
      <w:ind w:left="216" w:right="216"/>
      <w:outlineLvl w:val="2"/>
    </w:pPr>
    <w:rPr>
      <w:rFonts w:eastAsia="Calibri" w:asciiTheme="majorHAnsi" w:hAnsiTheme="majorHAnsi" w:cstheme="majorHAnsi"/>
      <w:b/>
      <w:bCs/>
      <w:color w:val="010000"/>
      <w:szCs w:val="28"/>
    </w:rPr>
  </w:style>
  <w:style w:type="paragraph" w:customStyle="1" w:styleId="AboutAIRText">
    <w:name w:val="About AIR Text"/>
    <w:basedOn w:val="AboutAIRHeading"/>
    <w:qFormat/>
    <w:rsid w:val="0021639D"/>
    <w:pPr>
      <w:spacing w:before="120" w:line="300" w:lineRule="auto"/>
      <w:ind w:left="2707"/>
      <w:jc w:val="both"/>
    </w:pPr>
    <w:rPr>
      <w:rFonts w:asciiTheme="minorHAnsi" w:hAnsiTheme="minorHAnsi"/>
      <w:b w:val="0"/>
      <w:sz w:val="21"/>
      <w:szCs w:val="21"/>
    </w:rPr>
  </w:style>
  <w:style w:type="paragraph" w:customStyle="1" w:styleId="AboutAIRHeading">
    <w:name w:val="About AIR Heading"/>
    <w:qFormat/>
    <w:rsid w:val="0021639D"/>
    <w:pPr>
      <w:spacing w:before="320"/>
      <w:ind w:left="2700"/>
    </w:pPr>
    <w:rPr>
      <w:rFonts w:asciiTheme="majorHAnsi" w:hAnsiTheme="majorHAnsi" w:cstheme="majorHAnsi"/>
      <w:b/>
      <w:bCs/>
    </w:rPr>
  </w:style>
  <w:style w:type="paragraph" w:customStyle="1" w:styleId="PSidebarText">
    <w:name w:val="P.Sidebar Text"/>
    <w:qFormat/>
    <w:rsid w:val="0021639D"/>
    <w:pPr>
      <w:spacing w:before="100" w:after="100" w:line="240" w:lineRule="auto"/>
      <w:ind w:left="216" w:right="216"/>
    </w:pPr>
    <w:rPr>
      <w:rFonts w:eastAsia="Calibri" w:asciiTheme="majorHAnsi" w:hAnsiTheme="majorHAnsi" w:cstheme="majorHAnsi"/>
      <w:color w:val="000000"/>
      <w:szCs w:val="22"/>
    </w:rPr>
  </w:style>
  <w:style w:type="paragraph" w:customStyle="1" w:styleId="InformationBoxText">
    <w:name w:val="Information Box Text"/>
    <w:basedOn w:val="BodyText"/>
    <w:qFormat/>
    <w:rsid w:val="0021639D"/>
    <w:pPr>
      <w:spacing w:before="180" w:after="0" w:line="300" w:lineRule="auto"/>
      <w:ind w:right="360"/>
    </w:pPr>
    <w:rPr>
      <w:rFonts w:ascii="Arial Narrow" w:hAnsi="Arial Narrow"/>
      <w:color w:val="00507F" w:themeColor="accent1"/>
    </w:rPr>
  </w:style>
  <w:style w:type="paragraph" w:customStyle="1" w:styleId="InfoBoxBullets">
    <w:name w:val="Info Box Bullets"/>
    <w:rsid w:val="0021639D"/>
    <w:pPr>
      <w:ind w:left="360" w:hanging="360"/>
    </w:pPr>
    <w:rPr>
      <w:rFonts w:ascii="Arial Narrow" w:hAnsi="Arial Narrow"/>
      <w:color w:val="00507F" w:themeColor="accent1"/>
    </w:rPr>
  </w:style>
  <w:style w:type="character" w:customStyle="1" w:styleId="LastPgFileIDChar">
    <w:name w:val="LastPg FileID Char"/>
    <w:basedOn w:val="DefaultParagraphFont"/>
    <w:link w:val="LastPgFileID"/>
    <w:rsid w:val="0021639D"/>
    <w:rPr>
      <w:rFonts w:eastAsia="Calibri" w:asciiTheme="majorHAnsi" w:hAnsiTheme="majorHAnsi" w:cs="Times New Roman"/>
      <w:color w:val="E8F6FD"/>
      <w:spacing w:val="-4"/>
      <w:sz w:val="12"/>
      <w:szCs w:val="15"/>
      <w:shd w:val="clear" w:color="auto" w:fill="00507F" w:themeFill="accent1"/>
    </w:rPr>
  </w:style>
  <w:style w:type="table" w:customStyle="1" w:styleId="TableStyle-Agenda">
    <w:name w:val="_Table Style-Agenda"/>
    <w:basedOn w:val="TableNormal"/>
    <w:uiPriority w:val="99"/>
    <w:rsid w:val="0021639D"/>
    <w:tblPr/>
    <w:tblStylePr w:type="firstRow">
      <w:pPr>
        <w:wordWrap/>
        <w:spacing w:before="0" w:beforeLines="0" w:beforeAutospacing="0" w:after="0" w:afterLines="0" w:afterAutospacing="0" w:line="276" w:lineRule="auto"/>
        <w:jc w:val="center"/>
      </w:pPr>
      <w:rPr>
        <w:b w:val="0"/>
        <w:color w:val="FFFFFF" w:themeColor="background1"/>
      </w:rPr>
      <w:tblPr/>
      <w:tcPr>
        <w:tcBorders>
          <w:top w:val="single" w:sz="6" w:space="0" w:color="FFFFFF" w:themeColor="background1"/>
          <w:left w:val="single" w:sz="6" w:space="0" w:color="00507F" w:themeColor="accent1"/>
          <w:bottom w:val="single" w:sz="6" w:space="0" w:color="FFFFFF" w:themeColor="background1"/>
          <w:right w:val="single" w:sz="6" w:space="0" w:color="00507F" w:themeColor="accent1"/>
          <w:insideH w:val="single" w:sz="6" w:space="0" w:color="auto"/>
          <w:insideV w:val="single" w:sz="6" w:space="0" w:color="FFFFFF" w:themeColor="background1"/>
          <w:tl2br w:val="nil"/>
          <w:tr2bl w:val="nil"/>
        </w:tcBorders>
        <w:shd w:val="clear" w:color="auto" w:fill="00507F" w:themeFill="accent1"/>
        <w:vAlign w:val="bottom"/>
      </w:tcPr>
    </w:tblStylePr>
  </w:style>
  <w:style w:type="table" w:customStyle="1" w:styleId="TableStyle-ProposalBox">
    <w:name w:val="_Table Style-Proposal Box"/>
    <w:basedOn w:val="TableNormal"/>
    <w:uiPriority w:val="99"/>
    <w:rsid w:val="0021639D"/>
    <w:pPr>
      <w:spacing w:line="240" w:lineRule="auto"/>
    </w:pPr>
    <w:tblPr>
      <w:tblBorders>
        <w:top w:val="single" w:sz="48" w:space="0" w:color="00507F" w:themeColor="accent1"/>
      </w:tblBorders>
      <w:tblCellMar>
        <w:left w:w="360" w:type="dxa"/>
        <w:bottom w:w="360" w:type="dxa"/>
        <w:right w:w="360" w:type="dxa"/>
      </w:tblCellMar>
    </w:tblPr>
    <w:tcPr>
      <w:shd w:val="clear" w:color="auto" w:fill="E3E8EE" w:themeFill="text2" w:themeFillTint="1A"/>
    </w:tcPr>
  </w:style>
  <w:style w:type="paragraph" w:customStyle="1" w:styleId="Callout-InlineTextSource">
    <w:name w:val="Callout-Inline Text_Source"/>
    <w:aliases w:val="Callout-Source"/>
    <w:basedOn w:val="Callout-InlineText"/>
    <w:next w:val="Normal"/>
    <w:qFormat/>
    <w:rsid w:val="00B67679"/>
    <w:pPr>
      <w:numPr>
        <w:numId w:val="16"/>
      </w:numPr>
      <w:tabs>
        <w:tab w:val="num" w:pos="360"/>
      </w:tabs>
      <w:spacing w:before="160" w:after="360" w:line="240" w:lineRule="auto"/>
      <w:ind w:left="360"/>
      <w:jc w:val="right"/>
    </w:pPr>
    <w:rPr>
      <w:i/>
      <w:iCs w:val="0"/>
    </w:rPr>
  </w:style>
  <w:style w:type="numbering" w:customStyle="1" w:styleId="Callout-Inline">
    <w:name w:val="Callout-Inline"/>
    <w:uiPriority w:val="99"/>
    <w:rsid w:val="0021639D"/>
    <w:pPr>
      <w:numPr>
        <w:numId w:val="14"/>
      </w:numPr>
    </w:pPr>
  </w:style>
  <w:style w:type="character" w:customStyle="1" w:styleId="AIRORGURL">
    <w:name w:val="AIR.ORG URL"/>
    <w:uiPriority w:val="1"/>
    <w:qFormat/>
    <w:rsid w:val="0021639D"/>
    <w:rPr>
      <w:b/>
      <w:color w:val="00507F" w:themeColor="accent1"/>
    </w:rPr>
  </w:style>
  <w:style w:type="character" w:customStyle="1" w:styleId="Spacer-HeaderFooterChar">
    <w:name w:val="Spacer-HeaderFooter Char"/>
    <w:basedOn w:val="DefaultParagraphFont"/>
    <w:link w:val="Spacer-HeaderFooter"/>
    <w:rsid w:val="0021639D"/>
    <w:rPr>
      <w:sz w:val="2"/>
      <w:szCs w:val="2"/>
    </w:rPr>
  </w:style>
  <w:style w:type="paragraph" w:customStyle="1" w:styleId="ResPublications">
    <w:name w:val="Res Publications"/>
    <w:link w:val="ResPublicationsChar"/>
    <w:uiPriority w:val="16"/>
    <w:rsid w:val="0021639D"/>
    <w:pPr>
      <w:spacing w:after="160" w:line="240" w:lineRule="auto"/>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21639D"/>
    <w:rPr>
      <w:rFonts w:eastAsia="Times New Roman" w:cs="Times New Roman"/>
      <w:szCs w:val="20"/>
    </w:rPr>
  </w:style>
  <w:style w:type="numbering" w:customStyle="1" w:styleId="ListStyle-BoxBullets">
    <w:name w:val="_List Style-Box Bullets"/>
    <w:uiPriority w:val="99"/>
    <w:rsid w:val="0021639D"/>
    <w:pPr>
      <w:numPr>
        <w:numId w:val="9"/>
      </w:numPr>
    </w:pPr>
  </w:style>
  <w:style w:type="table" w:customStyle="1" w:styleId="TableStyle-HandoutTitle">
    <w:name w:val="_Table Style-Handout Title"/>
    <w:basedOn w:val="TableNormal"/>
    <w:uiPriority w:val="99"/>
    <w:rsid w:val="0021639D"/>
    <w:pPr>
      <w:spacing w:line="240" w:lineRule="auto"/>
    </w:pPr>
    <w:rPr>
      <w:color w:val="FFFFFF" w:themeColor="background1"/>
    </w:rPr>
    <w:tblPr>
      <w:tblCellMar>
        <w:left w:w="0" w:type="dxa"/>
        <w:right w:w="0" w:type="dxa"/>
      </w:tblCellMar>
    </w:tblPr>
    <w:tcPr>
      <w:vAlign w:val="bottom"/>
    </w:tcPr>
  </w:style>
  <w:style w:type="paragraph" w:customStyle="1" w:styleId="AIRInternalGroupName">
    <w:name w:val="AIR Internal Group Name"/>
    <w:basedOn w:val="BodyText"/>
    <w:qFormat/>
    <w:rsid w:val="0021639D"/>
    <w:pPr>
      <w:spacing w:after="240" w:line="240" w:lineRule="auto"/>
      <w:ind w:left="1080" w:right="1080"/>
    </w:pPr>
    <w:rPr>
      <w:b/>
      <w:bCs/>
      <w:color w:val="00507F" w:themeColor="accent1"/>
    </w:rPr>
  </w:style>
  <w:style w:type="paragraph" w:customStyle="1" w:styleId="RptBackAddressAIRHQ">
    <w:name w:val="Rpt Back Address AIR HQ"/>
    <w:basedOn w:val="RptBackAboutAIRHeading"/>
    <w:qFormat/>
    <w:rsid w:val="0021639D"/>
    <w:pPr>
      <w:spacing w:line="240" w:lineRule="auto"/>
    </w:pPr>
    <w:rPr>
      <w:sz w:val="22"/>
      <w:szCs w:val="22"/>
    </w:rPr>
  </w:style>
  <w:style w:type="paragraph" w:customStyle="1" w:styleId="LastPageHOAIRORG">
    <w:name w:val="Last Page HO AIR.ORG"/>
    <w:next w:val="Normal"/>
    <w:qFormat/>
    <w:rsid w:val="0021639D"/>
    <w:pPr>
      <w:tabs>
        <w:tab w:val="right" w:pos="9696"/>
      </w:tabs>
      <w:spacing w:after="120" w:line="240" w:lineRule="auto"/>
      <w:ind w:right="360"/>
    </w:pPr>
    <w:rPr>
      <w:rFonts w:ascii="Calibri" w:eastAsia="Calibri" w:cstheme="minorHAnsi"/>
      <w:color w:val="FFFFFF" w:themeColor="background1"/>
      <w:sz w:val="20"/>
      <w:szCs w:val="20"/>
    </w:rPr>
  </w:style>
  <w:style w:type="character" w:customStyle="1" w:styleId="LastPageHOTrademarkChar">
    <w:name w:val="Last Page HO Trademark Char"/>
    <w:basedOn w:val="DefaultParagraphFont"/>
    <w:link w:val="LastPageHOTrademark"/>
    <w:rsid w:val="0021639D"/>
    <w:rPr>
      <w:rFonts w:eastAsia="Calibri" w:asciiTheme="majorHAnsi" w:hAnsiTheme="majorHAnsi"/>
      <w:color w:val="D1EEFC" w:themeColor="background2"/>
      <w:kern w:val="24"/>
      <w:sz w:val="13"/>
      <w:szCs w:val="14"/>
      <w:shd w:val="clear" w:color="auto" w:fill="00507F" w:themeFill="accent1"/>
    </w:rPr>
  </w:style>
  <w:style w:type="paragraph" w:customStyle="1" w:styleId="RptBackAIRAddress">
    <w:name w:val="Rpt Back AIR Address"/>
    <w:basedOn w:val="RptBackAboutAIRText"/>
    <w:qFormat/>
    <w:rsid w:val="0021639D"/>
    <w:pPr>
      <w:spacing w:before="0" w:line="240" w:lineRule="auto"/>
      <w:jc w:val="left"/>
    </w:pPr>
    <w:rPr>
      <w:sz w:val="20"/>
      <w:szCs w:val="20"/>
    </w:rPr>
  </w:style>
  <w:style w:type="paragraph" w:customStyle="1" w:styleId="PSidebarHeadingWhite">
    <w:name w:val="P.Sidebar Heading White"/>
    <w:basedOn w:val="PSidebarHeading"/>
    <w:qFormat/>
    <w:rsid w:val="0021639D"/>
    <w:pPr>
      <w:spacing w:before="100" w:after="100"/>
    </w:pPr>
    <w:rPr>
      <w:color w:val="FFFFFF"/>
    </w:rPr>
  </w:style>
  <w:style w:type="paragraph" w:customStyle="1" w:styleId="Header-1stPgNarrow">
    <w:name w:val="Header-1st Pg Narrow"/>
    <w:qFormat/>
    <w:rsid w:val="0021639D"/>
    <w:pPr>
      <w:spacing w:after="360" w:line="240" w:lineRule="auto"/>
      <w:ind w:left="-1080" w:right="-1080"/>
    </w:pPr>
  </w:style>
  <w:style w:type="paragraph" w:customStyle="1" w:styleId="H1ReportLine1-18-18">
    <w:name w:val="H1 Report Line 1&quot;-18-18"/>
    <w:next w:val="DocumentAuthor"/>
    <w:qFormat/>
    <w:rsid w:val="0021639D"/>
    <w:pPr>
      <w:framePr w:w="1440" w:wrap="notBeside" w:vAnchor="text" w:hAnchor="text" w:y="1"/>
      <w:pBdr>
        <w:top w:val="single" w:sz="36" w:space="1" w:color="009DD7" w:themeColor="accent2"/>
      </w:pBdr>
      <w:tabs>
        <w:tab w:val="center" w:pos="720"/>
      </w:tabs>
      <w:spacing w:before="240" w:after="360" w:line="240" w:lineRule="auto"/>
    </w:pPr>
    <w:rPr>
      <w:rFonts w:eastAsia="Calibri" w:cstheme="minorHAnsi"/>
      <w:bCs/>
    </w:rPr>
  </w:style>
  <w:style w:type="paragraph" w:customStyle="1" w:styleId="Heading2HO">
    <w:name w:val="Heading 2 HO"/>
    <w:next w:val="Normal"/>
    <w:qFormat/>
    <w:rsid w:val="0021639D"/>
    <w:pPr>
      <w:spacing w:before="360" w:line="240" w:lineRule="auto"/>
      <w:outlineLvl w:val="1"/>
    </w:pPr>
    <w:rPr>
      <w:rFonts w:asciiTheme="majorHAnsi" w:eastAsiaTheme="majorEastAsia" w:hAnsiTheme="majorHAnsi" w:cstheme="majorBidi"/>
      <w:b/>
      <w:noProof/>
      <w:color w:val="00507F" w:themeColor="accent1"/>
      <w:sz w:val="32"/>
      <w:szCs w:val="32"/>
    </w:rPr>
  </w:style>
  <w:style w:type="paragraph" w:customStyle="1" w:styleId="RptBackAboutAIRText">
    <w:name w:val="Rpt Back About AIR Text"/>
    <w:basedOn w:val="RptBackAboutAIRHeading"/>
    <w:qFormat/>
    <w:rsid w:val="0021639D"/>
    <w:pPr>
      <w:spacing w:before="120" w:line="300" w:lineRule="auto"/>
      <w:jc w:val="both"/>
    </w:pPr>
    <w:rPr>
      <w:rFonts w:asciiTheme="minorHAnsi" w:hAnsiTheme="minorHAnsi"/>
      <w:b w:val="0"/>
      <w:sz w:val="21"/>
      <w:szCs w:val="21"/>
    </w:rPr>
  </w:style>
  <w:style w:type="paragraph" w:customStyle="1" w:styleId="RptBackAboutAIRHeading">
    <w:name w:val="Rpt Back About AIR Heading"/>
    <w:qFormat/>
    <w:rsid w:val="0021639D"/>
    <w:pPr>
      <w:ind w:left="360"/>
    </w:pPr>
    <w:rPr>
      <w:rFonts w:asciiTheme="majorHAnsi" w:hAnsiTheme="majorHAnsi" w:cstheme="majorHAnsi"/>
      <w:b/>
      <w:bCs/>
    </w:rPr>
  </w:style>
  <w:style w:type="paragraph" w:customStyle="1" w:styleId="AppxTitle">
    <w:name w:val="Appx Title"/>
    <w:basedOn w:val="Heading2"/>
    <w:next w:val="Normal"/>
    <w:qFormat/>
    <w:rsid w:val="0021639D"/>
    <w:pPr>
      <w:numPr>
        <w:numId w:val="12"/>
      </w:numPr>
      <w:spacing w:before="0" w:after="480" w:line="276" w:lineRule="auto"/>
    </w:pPr>
    <w:rPr>
      <w:sz w:val="44"/>
      <w:szCs w:val="24"/>
    </w:rPr>
  </w:style>
  <w:style w:type="numbering" w:customStyle="1" w:styleId="AppxCaptions">
    <w:name w:val="Appx Captions"/>
    <w:uiPriority w:val="99"/>
    <w:rsid w:val="0021639D"/>
    <w:pPr>
      <w:numPr>
        <w:numId w:val="11"/>
      </w:numPr>
    </w:pPr>
  </w:style>
  <w:style w:type="paragraph" w:customStyle="1" w:styleId="AppxExhibitTitle">
    <w:name w:val="Appx Exhibit Title"/>
    <w:basedOn w:val="ExhibitTitle"/>
    <w:qFormat/>
    <w:rsid w:val="001C47A8"/>
    <w:pPr>
      <w:numPr>
        <w:ilvl w:val="1"/>
        <w:numId w:val="12"/>
      </w:numPr>
    </w:pPr>
    <w:rPr>
      <w:bCs/>
    </w:rPr>
  </w:style>
  <w:style w:type="character" w:customStyle="1" w:styleId="RptBackAIRORGURL">
    <w:name w:val="Rpt Back AIR.ORG URL"/>
    <w:uiPriority w:val="1"/>
    <w:qFormat/>
    <w:rsid w:val="0021639D"/>
    <w:rPr>
      <w:b/>
      <w:color w:val="00507F" w:themeColor="accent1"/>
    </w:rPr>
  </w:style>
  <w:style w:type="paragraph" w:customStyle="1" w:styleId="RptBackAIRLogo">
    <w:name w:val="Rpt Back AIR Logo"/>
    <w:qFormat/>
    <w:rsid w:val="0021639D"/>
  </w:style>
  <w:style w:type="paragraph" w:customStyle="1" w:styleId="H2Line075-12-6">
    <w:name w:val="H2 Line 0.75&quot;-12-6"/>
    <w:next w:val="BodyTextPostHeading"/>
    <w:qFormat/>
    <w:rsid w:val="0021639D"/>
    <w:pPr>
      <w:keepNext/>
      <w:framePr w:w="1080" w:wrap="notBeside" w:vAnchor="text" w:hAnchor="text" w:y="1"/>
      <w:pBdr>
        <w:top w:val="single" w:sz="36" w:space="0" w:color="009DD7" w:themeColor="accent2"/>
        <w:left w:val="single" w:sz="6" w:space="0" w:color="FFFFFF" w:themeColor="background1"/>
        <w:bottom w:val="single" w:sz="36" w:space="0" w:color="FFFFFF" w:themeColor="background1"/>
        <w:right w:val="single" w:sz="6" w:space="0" w:color="FFFFFF" w:themeColor="background1"/>
      </w:pBdr>
      <w:spacing w:before="240" w:after="120" w:line="240" w:lineRule="auto"/>
    </w:pPr>
    <w:rPr>
      <w:rFonts w:eastAsiaTheme="minorEastAsia"/>
      <w:color w:val="auto"/>
      <w:sz w:val="2"/>
      <w:szCs w:val="2"/>
      <w:lang w:eastAsia="zh-CN"/>
    </w:rPr>
  </w:style>
  <w:style w:type="paragraph" w:customStyle="1" w:styleId="H2TOCLine1-12-6">
    <w:name w:val="H2 TOC Line 1&quot;-12-6"/>
    <w:basedOn w:val="H2Line075-12-6"/>
    <w:next w:val="TOC1"/>
    <w:qFormat/>
    <w:rsid w:val="0021639D"/>
    <w:pPr>
      <w:framePr w:w="1440" w:wrap="notBeside"/>
    </w:pPr>
  </w:style>
  <w:style w:type="paragraph" w:customStyle="1" w:styleId="Heading2Report">
    <w:name w:val="Heading 2 Report"/>
    <w:basedOn w:val="Heading2"/>
    <w:next w:val="H2Line075-12-6"/>
    <w:qFormat/>
    <w:rsid w:val="0021639D"/>
  </w:style>
  <w:style w:type="paragraph" w:customStyle="1" w:styleId="FirstPageHeaderBanner">
    <w:name w:val="First Page Header Banner"/>
    <w:qFormat/>
    <w:rsid w:val="0021639D"/>
    <w:pPr>
      <w:widowControl w:val="0"/>
      <w:spacing w:after="2520" w:line="240" w:lineRule="auto"/>
      <w:ind w:left="-1080" w:right="-1080"/>
    </w:pPr>
    <w:rPr>
      <w:sz w:val="20"/>
      <w:szCs w:val="2"/>
    </w:rPr>
  </w:style>
  <w:style w:type="paragraph" w:customStyle="1" w:styleId="Heading1-Handout">
    <w:name w:val="Heading 1-Handout"/>
    <w:qFormat/>
    <w:rsid w:val="0021639D"/>
    <w:rPr>
      <w:rFonts w:eastAsia="Perpetua" w:asciiTheme="majorHAnsi" w:hAnsiTheme="majorHAnsi" w:cstheme="majorHAnsi"/>
      <w:b/>
      <w:bCs/>
      <w:color w:val="FFFFFF" w:themeColor="background1"/>
      <w:sz w:val="56"/>
      <w:szCs w:val="56"/>
    </w:rPr>
  </w:style>
  <w:style w:type="paragraph" w:customStyle="1" w:styleId="Heading1-HandoutSpaceAfterH1Table">
    <w:name w:val="Heading 1-Handout Space After H1 Table"/>
    <w:basedOn w:val="Spacer-HeaderFooter"/>
    <w:next w:val="BodyTextPostHeading"/>
    <w:qFormat/>
    <w:rsid w:val="0021639D"/>
  </w:style>
  <w:style w:type="character" w:customStyle="1" w:styleId="Heading2NoTOCChar">
    <w:name w:val="Heading 2 No TOC Char"/>
    <w:basedOn w:val="DefaultParagraphFont"/>
    <w:link w:val="Heading2NoTOC"/>
    <w:rsid w:val="0021639D"/>
    <w:rPr>
      <w:rFonts w:asciiTheme="majorHAnsi" w:eastAsiaTheme="majorEastAsia" w:hAnsiTheme="majorHAnsi" w:cstheme="majorBidi"/>
      <w:b/>
      <w:color w:val="00507F" w:themeColor="accent1"/>
      <w:sz w:val="32"/>
      <w:szCs w:val="32"/>
    </w:rPr>
  </w:style>
  <w:style w:type="paragraph" w:customStyle="1" w:styleId="LastPageAIRORG">
    <w:name w:val="Last Page AIR.ORG"/>
    <w:next w:val="Normal"/>
    <w:qFormat/>
    <w:rsid w:val="0021639D"/>
    <w:pPr>
      <w:tabs>
        <w:tab w:val="right" w:pos="9696"/>
      </w:tabs>
      <w:spacing w:after="120" w:line="240" w:lineRule="auto"/>
      <w:ind w:right="360"/>
    </w:pPr>
    <w:rPr>
      <w:rFonts w:ascii="Calibri" w:eastAsia="Calibri" w:cstheme="minorHAnsi"/>
      <w:color w:val="FFFFFF" w:themeColor="background1"/>
      <w:sz w:val="20"/>
      <w:szCs w:val="20"/>
    </w:rPr>
  </w:style>
  <w:style w:type="paragraph" w:customStyle="1" w:styleId="LastPageCopyright">
    <w:name w:val="Last Page Copyright"/>
    <w:basedOn w:val="BodyText"/>
    <w:qFormat/>
    <w:rsid w:val="0021639D"/>
    <w:pPr>
      <w:shd w:val="clear" w:color="auto" w:fill="00507F" w:themeFill="accent1"/>
      <w:tabs>
        <w:tab w:val="right" w:pos="10080"/>
      </w:tabs>
      <w:spacing w:before="200" w:after="80" w:line="240" w:lineRule="auto"/>
    </w:pPr>
    <w:rPr>
      <w:rFonts w:asciiTheme="majorHAnsi" w:hAnsiTheme="majorHAnsi"/>
      <w:color w:val="D1EEFC" w:themeColor="background2"/>
      <w:kern w:val="24"/>
      <w:sz w:val="13"/>
      <w:szCs w:val="14"/>
    </w:rPr>
  </w:style>
  <w:style w:type="paragraph" w:customStyle="1" w:styleId="LastPageFileIDExternal">
    <w:name w:val="Last Page FileID (External)"/>
    <w:link w:val="LastPageFileIDExternalChar"/>
    <w:qFormat/>
    <w:rsid w:val="0021639D"/>
    <w:pPr>
      <w:shd w:val="clear" w:color="auto" w:fill="00507F" w:themeFill="accent1"/>
      <w:tabs>
        <w:tab w:val="right" w:pos="10080"/>
      </w:tabs>
      <w:spacing w:after="80" w:line="240" w:lineRule="auto"/>
    </w:pPr>
    <w:rPr>
      <w:rFonts w:eastAsia="Calibri" w:asciiTheme="majorHAnsi" w:hAnsiTheme="majorHAnsi"/>
      <w:color w:val="D1EEFC" w:themeColor="background2"/>
      <w:kern w:val="24"/>
      <w:sz w:val="13"/>
      <w:szCs w:val="14"/>
    </w:rPr>
  </w:style>
  <w:style w:type="character" w:customStyle="1" w:styleId="LastPageFileIDExternalChar">
    <w:name w:val="Last Page FileID (External) Char"/>
    <w:basedOn w:val="DefaultParagraphFont"/>
    <w:link w:val="LastPageFileIDExternal"/>
    <w:rsid w:val="0021639D"/>
    <w:rPr>
      <w:rFonts w:eastAsia="Calibri" w:asciiTheme="majorHAnsi" w:hAnsiTheme="majorHAnsi"/>
      <w:color w:val="D1EEFC" w:themeColor="background2"/>
      <w:kern w:val="24"/>
      <w:sz w:val="13"/>
      <w:szCs w:val="14"/>
      <w:shd w:val="clear" w:color="auto" w:fill="00507F" w:themeFill="accent1"/>
    </w:rPr>
  </w:style>
  <w:style w:type="paragraph" w:customStyle="1" w:styleId="LastPageFooter">
    <w:name w:val="Last Page Footer"/>
    <w:basedOn w:val="BodyText"/>
    <w:qFormat/>
    <w:rsid w:val="0021639D"/>
    <w:pPr>
      <w:ind w:left="-1080" w:right="-1080"/>
      <w:jc w:val="right"/>
    </w:pPr>
    <w:rPr>
      <w:rFonts w:asciiTheme="majorHAnsi" w:hAnsiTheme="majorHAnsi"/>
      <w:color w:val="00507F" w:themeColor="accent1"/>
    </w:rPr>
  </w:style>
  <w:style w:type="paragraph" w:customStyle="1" w:styleId="LastPageTrademark">
    <w:name w:val="Last Page Trademark"/>
    <w:link w:val="LastPageTrademarkChar"/>
    <w:qFormat/>
    <w:rsid w:val="0021639D"/>
    <w:pPr>
      <w:shd w:val="clear" w:color="auto" w:fill="00507F" w:themeFill="accent1"/>
      <w:tabs>
        <w:tab w:val="right" w:pos="10080"/>
      </w:tabs>
      <w:spacing w:line="240" w:lineRule="auto"/>
    </w:pPr>
    <w:rPr>
      <w:rFonts w:ascii="Calibri" w:eastAsia="Calibri" w:hAnsi="Calibri"/>
      <w:color w:val="D1EEFC" w:themeColor="background2"/>
      <w:kern w:val="24"/>
      <w:sz w:val="13"/>
      <w:szCs w:val="13"/>
    </w:rPr>
  </w:style>
  <w:style w:type="character" w:customStyle="1" w:styleId="LastPageTrademarkChar">
    <w:name w:val="Last Page Trademark Char"/>
    <w:basedOn w:val="DefaultParagraphFont"/>
    <w:link w:val="LastPageTrademark"/>
    <w:rsid w:val="0021639D"/>
    <w:rPr>
      <w:rFonts w:ascii="Calibri" w:eastAsia="Calibri" w:hAnsi="Calibri"/>
      <w:color w:val="D1EEFC" w:themeColor="background2"/>
      <w:kern w:val="24"/>
      <w:sz w:val="13"/>
      <w:szCs w:val="13"/>
      <w:shd w:val="clear" w:color="auto" w:fill="00507F" w:themeFill="accent1"/>
    </w:rPr>
  </w:style>
  <w:style w:type="table" w:styleId="GridTableLight">
    <w:name w:val="Grid Table Light"/>
    <w:basedOn w:val="TableNormal"/>
    <w:uiPriority w:val="40"/>
    <w:rsid w:val="0021639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OCPageHeading">
    <w:name w:val="TOC Page Heading"/>
    <w:basedOn w:val="DefaultParagraphFont"/>
    <w:uiPriority w:val="1"/>
    <w:qFormat/>
    <w:rsid w:val="0021639D"/>
    <w:rPr>
      <w:sz w:val="24"/>
    </w:rPr>
  </w:style>
  <w:style w:type="paragraph" w:styleId="ListParagraph">
    <w:name w:val="List Paragraph"/>
    <w:basedOn w:val="Normal"/>
    <w:uiPriority w:val="34"/>
    <w:qFormat/>
    <w:rsid w:val="00715069"/>
    <w:pPr>
      <w:spacing w:after="200"/>
      <w:ind w:left="720"/>
      <w:contextualSpacing/>
    </w:pPr>
    <w:rPr>
      <w:rFonts w:eastAsiaTheme="minorEastAsia"/>
      <w:color w:val="auto"/>
      <w:sz w:val="22"/>
      <w:szCs w:val="22"/>
    </w:rPr>
  </w:style>
  <w:style w:type="table" w:customStyle="1" w:styleId="TableGrid2">
    <w:name w:val="Table Grid2"/>
    <w:basedOn w:val="TableNormal"/>
    <w:next w:val="TableGrid"/>
    <w:uiPriority w:val="59"/>
    <w:rsid w:val="00715069"/>
    <w:pPr>
      <w:spacing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15069"/>
    <w:pPr>
      <w:spacing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rsid w:val="00715069"/>
    <w:pPr>
      <w:spacing w:line="360" w:lineRule="atLeast"/>
      <w:ind w:firstLine="1152"/>
      <w:jc w:val="both"/>
    </w:pPr>
    <w:rPr>
      <w:rFonts w:ascii="Times New Roman" w:eastAsia="Times New Roman" w:hAnsi="Times New Roman" w:cs="Times New Roman"/>
      <w:color w:val="auto"/>
      <w:sz w:val="22"/>
      <w:szCs w:val="20"/>
    </w:rPr>
  </w:style>
  <w:style w:type="paragraph" w:customStyle="1" w:styleId="N2-2ndBullet">
    <w:name w:val="N2-2nd Bullet"/>
    <w:basedOn w:val="Normal"/>
    <w:uiPriority w:val="99"/>
    <w:rsid w:val="00715069"/>
    <w:pPr>
      <w:numPr>
        <w:numId w:val="23"/>
      </w:numPr>
      <w:tabs>
        <w:tab w:val="clear" w:pos="0"/>
        <w:tab w:val="num" w:pos="360"/>
        <w:tab w:val="left" w:pos="1728"/>
      </w:tabs>
      <w:spacing w:after="240" w:line="240" w:lineRule="atLeast"/>
      <w:ind w:left="0" w:firstLine="0"/>
      <w:jc w:val="both"/>
    </w:pPr>
    <w:rPr>
      <w:rFonts w:ascii="Times New Roman" w:eastAsia="Times New Roman" w:hAnsi="Times New Roman" w:cs="Times New Roman"/>
      <w:color w:val="auto"/>
      <w:sz w:val="22"/>
      <w:szCs w:val="20"/>
    </w:rPr>
  </w:style>
  <w:style w:type="paragraph" w:styleId="Bibliography">
    <w:name w:val="Bibliography"/>
    <w:basedOn w:val="Normal"/>
    <w:next w:val="Normal"/>
    <w:uiPriority w:val="37"/>
    <w:unhideWhenUsed/>
    <w:rsid w:val="00715069"/>
    <w:pPr>
      <w:spacing w:after="160" w:line="259" w:lineRule="auto"/>
    </w:pPr>
    <w:rPr>
      <w:color w:val="auto"/>
      <w:sz w:val="22"/>
      <w:szCs w:val="22"/>
    </w:rPr>
  </w:style>
  <w:style w:type="table" w:styleId="LightListAccent1">
    <w:name w:val="Light List Accent 1"/>
    <w:basedOn w:val="TableNormal"/>
    <w:uiPriority w:val="61"/>
    <w:rsid w:val="00715069"/>
    <w:pPr>
      <w:spacing w:line="240" w:lineRule="auto"/>
    </w:pPr>
    <w:rPr>
      <w:color w:val="auto"/>
      <w:sz w:val="22"/>
      <w:szCs w:val="22"/>
    </w:rPr>
    <w:tblPr>
      <w:tblStyleRowBandSize w:val="1"/>
      <w:tblStyleColBandSize w:val="1"/>
      <w:tblBorders>
        <w:top w:val="single" w:sz="8" w:space="0" w:color="00507F" w:themeColor="accent1"/>
        <w:left w:val="single" w:sz="8" w:space="0" w:color="00507F" w:themeColor="accent1"/>
        <w:bottom w:val="single" w:sz="8" w:space="0" w:color="00507F" w:themeColor="accent1"/>
        <w:right w:val="single" w:sz="8" w:space="0" w:color="00507F" w:themeColor="accent1"/>
      </w:tblBorders>
    </w:tblPr>
    <w:tblStylePr w:type="firstRow">
      <w:pPr>
        <w:spacing w:before="0" w:after="0" w:line="240" w:lineRule="auto"/>
      </w:pPr>
      <w:rPr>
        <w:b/>
        <w:bCs/>
        <w:color w:val="FFFFFF" w:themeColor="background1"/>
      </w:rPr>
      <w:tblPr/>
      <w:tcPr>
        <w:shd w:val="clear" w:color="auto" w:fill="00507F" w:themeFill="accent1"/>
      </w:tcPr>
    </w:tblStylePr>
    <w:tblStylePr w:type="lastRow">
      <w:pPr>
        <w:spacing w:before="0" w:after="0" w:line="240" w:lineRule="auto"/>
      </w:pPr>
      <w:rPr>
        <w:b/>
        <w:bCs/>
      </w:rPr>
      <w:tblPr/>
      <w:tcPr>
        <w:tcBorders>
          <w:top w:val="double" w:sz="6" w:space="0" w:color="00507F" w:themeColor="accent1"/>
          <w:left w:val="single" w:sz="8" w:space="0" w:color="00507F" w:themeColor="accent1"/>
          <w:bottom w:val="single" w:sz="8" w:space="0" w:color="00507F" w:themeColor="accent1"/>
          <w:right w:val="single" w:sz="8" w:space="0" w:color="00507F" w:themeColor="accent1"/>
        </w:tcBorders>
      </w:tcPr>
    </w:tblStylePr>
    <w:tblStylePr w:type="firstCol">
      <w:rPr>
        <w:b/>
        <w:bCs/>
      </w:rPr>
    </w:tblStylePr>
    <w:tblStylePr w:type="lastCol">
      <w:rPr>
        <w:b/>
        <w:bCs/>
      </w:rPr>
    </w:tblStylePr>
    <w:tblStylePr w:type="band1Vert">
      <w:tblPr/>
      <w:tcPr>
        <w:tcBorders>
          <w:top w:val="single" w:sz="8" w:space="0" w:color="00507F" w:themeColor="accent1"/>
          <w:left w:val="single" w:sz="8" w:space="0" w:color="00507F" w:themeColor="accent1"/>
          <w:bottom w:val="single" w:sz="8" w:space="0" w:color="00507F" w:themeColor="accent1"/>
          <w:right w:val="single" w:sz="8" w:space="0" w:color="00507F" w:themeColor="accent1"/>
        </w:tcBorders>
      </w:tcPr>
    </w:tblStylePr>
    <w:tblStylePr w:type="band1Horz">
      <w:tblPr/>
      <w:tcPr>
        <w:tcBorders>
          <w:top w:val="single" w:sz="8" w:space="0" w:color="00507F" w:themeColor="accent1"/>
          <w:left w:val="single" w:sz="8" w:space="0" w:color="00507F" w:themeColor="accent1"/>
          <w:bottom w:val="single" w:sz="8" w:space="0" w:color="00507F" w:themeColor="accent1"/>
          <w:right w:val="single" w:sz="8" w:space="0" w:color="00507F" w:themeColor="accent1"/>
        </w:tcBorders>
      </w:tcPr>
    </w:tblStylePr>
  </w:style>
  <w:style w:type="paragraph" w:customStyle="1" w:styleId="paragraph">
    <w:name w:val="paragraph"/>
    <w:basedOn w:val="Normal"/>
    <w:rsid w:val="00715069"/>
    <w:pPr>
      <w:spacing w:before="100" w:beforeAutospacing="1" w:after="100" w:afterAutospacing="1" w:line="240" w:lineRule="auto"/>
    </w:pPr>
    <w:rPr>
      <w:rFonts w:ascii="Calibri" w:hAnsi="Calibri" w:cs="Calibri"/>
      <w:color w:val="auto"/>
      <w:sz w:val="22"/>
      <w:szCs w:val="22"/>
    </w:rPr>
  </w:style>
  <w:style w:type="character" w:customStyle="1" w:styleId="normaltextrun">
    <w:name w:val="normaltextrun"/>
    <w:basedOn w:val="DefaultParagraphFont"/>
    <w:rsid w:val="00715069"/>
  </w:style>
  <w:style w:type="character" w:customStyle="1" w:styleId="eop">
    <w:name w:val="eop"/>
    <w:basedOn w:val="DefaultParagraphFont"/>
    <w:rsid w:val="00715069"/>
  </w:style>
  <w:style w:type="character" w:styleId="PageNumber">
    <w:name w:val="page number"/>
    <w:basedOn w:val="DefaultParagraphFont"/>
    <w:uiPriority w:val="99"/>
    <w:rsid w:val="00715069"/>
    <w:rPr>
      <w:rFonts w:cs="Times New Roman"/>
    </w:rPr>
  </w:style>
  <w:style w:type="paragraph" w:customStyle="1" w:styleId="BodyText0">
    <w:name w:val="BodyText"/>
    <w:basedOn w:val="Normal"/>
    <w:link w:val="BodyTextChar0"/>
    <w:qFormat/>
    <w:rsid w:val="00715069"/>
    <w:pPr>
      <w:spacing w:after="200"/>
    </w:pPr>
    <w:rPr>
      <w:rFonts w:ascii="Calibri" w:eastAsia="SimSun" w:hAnsi="Calibri" w:cs="Times New Roman"/>
      <w:color w:val="auto"/>
      <w:sz w:val="22"/>
      <w:szCs w:val="22"/>
    </w:rPr>
  </w:style>
  <w:style w:type="character" w:customStyle="1" w:styleId="BodyTextChar0">
    <w:name w:val="BodyText Char"/>
    <w:link w:val="BodyText0"/>
    <w:rsid w:val="00715069"/>
    <w:rPr>
      <w:rFonts w:ascii="Calibri" w:eastAsia="SimSun" w:hAnsi="Calibri" w:cs="Times New Roman"/>
      <w:color w:val="auto"/>
      <w:sz w:val="22"/>
      <w:szCs w:val="22"/>
    </w:rPr>
  </w:style>
  <w:style w:type="table" w:styleId="PlainTable3">
    <w:name w:val="Plain Table 3"/>
    <w:basedOn w:val="TableNormal"/>
    <w:uiPriority w:val="43"/>
    <w:rsid w:val="00715069"/>
    <w:pPr>
      <w:spacing w:line="240" w:lineRule="auto"/>
    </w:pPr>
    <w:rPr>
      <w:color w:val="auto"/>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715069"/>
    <w:pPr>
      <w:spacing w:line="240" w:lineRule="auto"/>
    </w:pPr>
    <w:rPr>
      <w:color w:val="auto"/>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715069"/>
    <w:rPr>
      <w:color w:val="2B579A"/>
      <w:shd w:val="clear" w:color="auto" w:fill="E1DFDD"/>
    </w:rPr>
  </w:style>
  <w:style w:type="paragraph" w:customStyle="1" w:styleId="aHeading1">
    <w:name w:val="aHeading1"/>
    <w:basedOn w:val="Heading1"/>
    <w:link w:val="aHeading1Char"/>
    <w:qFormat/>
    <w:rsid w:val="00715069"/>
    <w:pPr>
      <w:keepNext/>
      <w:keepLines/>
      <w:widowControl w:val="0"/>
      <w:spacing w:before="240" w:after="240" w:line="240" w:lineRule="auto"/>
      <w:ind w:left="432" w:hanging="432"/>
    </w:pPr>
    <w:rPr>
      <w:rFonts w:eastAsia="Times New Roman" w:asciiTheme="minorHAnsi" w:hAnsiTheme="minorHAnsi" w:cs="Times New Roman"/>
      <w:smallCaps/>
      <w:noProof w:val="0"/>
      <w:color w:val="1F497D"/>
      <w:sz w:val="32"/>
      <w:szCs w:val="32"/>
    </w:rPr>
  </w:style>
  <w:style w:type="character" w:customStyle="1" w:styleId="aHeading1Char">
    <w:name w:val="aHeading1 Char"/>
    <w:link w:val="aHeading1"/>
    <w:locked/>
    <w:rsid w:val="00715069"/>
    <w:rPr>
      <w:rFonts w:eastAsia="Times New Roman" w:cs="Times New Roman"/>
      <w:b/>
      <w:smallCaps/>
      <w:color w:val="1F497D"/>
      <w:sz w:val="32"/>
      <w:szCs w:val="32"/>
    </w:rPr>
  </w:style>
  <w:style w:type="paragraph" w:customStyle="1" w:styleId="pf0">
    <w:name w:val="pf0"/>
    <w:basedOn w:val="Normal"/>
    <w:rsid w:val="00715069"/>
    <w:pPr>
      <w:spacing w:before="100" w:beforeAutospacing="1" w:after="100" w:afterAutospacing="1" w:line="240" w:lineRule="auto"/>
    </w:pPr>
    <w:rPr>
      <w:rFonts w:ascii="Times New Roman" w:eastAsia="Times New Roman" w:hAnsi="Times New Roman" w:cs="Times New Roman"/>
      <w:color w:val="auto"/>
    </w:rPr>
  </w:style>
  <w:style w:type="character" w:customStyle="1" w:styleId="cf01">
    <w:name w:val="cf01"/>
    <w:basedOn w:val="DefaultParagraphFont"/>
    <w:rsid w:val="00715069"/>
    <w:rPr>
      <w:rFonts w:ascii="Segoe UI" w:hAnsi="Segoe UI" w:cs="Segoe UI" w:hint="default"/>
      <w:sz w:val="18"/>
      <w:szCs w:val="18"/>
    </w:rPr>
  </w:style>
  <w:style w:type="paragraph" w:styleId="TOC3">
    <w:name w:val="toc 3"/>
    <w:basedOn w:val="Normal"/>
    <w:next w:val="Normal"/>
    <w:autoRedefine/>
    <w:uiPriority w:val="39"/>
    <w:unhideWhenUsed/>
    <w:rsid w:val="005D4DFA"/>
    <w:pPr>
      <w:spacing w:after="100"/>
      <w:ind w:left="480"/>
    </w:pPr>
  </w:style>
  <w:style w:type="character" w:customStyle="1" w:styleId="BodyTextPostHeadChar">
    <w:name w:val="Body Text Post Head Char"/>
    <w:aliases w:val="btp Char"/>
    <w:basedOn w:val="DefaultParagraphFont"/>
    <w:link w:val="BodyTextPostHeading"/>
    <w:rsid w:val="00715069"/>
    <w:rPr>
      <w:rFonts w:eastAsia="Calibri" w:cs="Times New Roman"/>
    </w:rPr>
  </w:style>
  <w:style w:type="paragraph" w:customStyle="1" w:styleId="NormalSS12">
    <w:name w:val="NormalSS 12"/>
    <w:basedOn w:val="Normal"/>
    <w:uiPriority w:val="99"/>
    <w:rsid w:val="00715069"/>
    <w:pPr>
      <w:spacing w:after="240" w:line="240" w:lineRule="auto"/>
      <w:ind w:firstLine="432"/>
      <w:jc w:val="both"/>
    </w:pPr>
    <w:rPr>
      <w:rFonts w:ascii="Times New Roman" w:hAnsi="Times New Roman" w:cs="Times New Roman"/>
      <w:color w:val="auto"/>
    </w:rPr>
  </w:style>
  <w:style w:type="paragraph" w:customStyle="1" w:styleId="L1-FlLSp12">
    <w:name w:val="L1-FlL Sp&amp;1/2"/>
    <w:link w:val="L1-FlLSp12Char"/>
    <w:rsid w:val="00715069"/>
    <w:pPr>
      <w:tabs>
        <w:tab w:val="left" w:pos="1152"/>
      </w:tabs>
      <w:spacing w:before="120" w:after="120" w:line="252" w:lineRule="auto"/>
    </w:pPr>
    <w:rPr>
      <w:rFonts w:ascii="Times New Roman" w:eastAsia="Times New Roman" w:hAnsi="Times New Roman" w:cs="Times New Roman"/>
      <w:color w:val="auto"/>
      <w:sz w:val="22"/>
      <w:szCs w:val="20"/>
    </w:rPr>
  </w:style>
  <w:style w:type="character" w:customStyle="1" w:styleId="L1-FlLSp12Char">
    <w:name w:val="L1-FlL Sp&amp;1/2 Char"/>
    <w:link w:val="L1-FlLSp12"/>
    <w:locked/>
    <w:rsid w:val="00715069"/>
    <w:rPr>
      <w:rFonts w:ascii="Times New Roman" w:eastAsia="Times New Roman" w:hAnsi="Times New Roman" w:cs="Times New Roman"/>
      <w:color w:val="auto"/>
      <w:sz w:val="22"/>
      <w:szCs w:val="20"/>
    </w:rPr>
  </w:style>
  <w:style w:type="table" w:styleId="PlainTable1">
    <w:name w:val="Plain Table 1"/>
    <w:basedOn w:val="TableNormal"/>
    <w:uiPriority w:val="41"/>
    <w:rsid w:val="00715069"/>
    <w:pPr>
      <w:spacing w:line="240" w:lineRule="auto"/>
    </w:pPr>
    <w:rPr>
      <w:color w:val="auto"/>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Style-AIR20211">
    <w:name w:val="__Table Style-AIR 20211"/>
    <w:basedOn w:val="TableNormal"/>
    <w:uiPriority w:val="99"/>
    <w:rsid w:val="00715069"/>
    <w:pPr>
      <w:spacing w:line="240" w:lineRule="auto"/>
    </w:pPr>
    <w:rPr>
      <w:szCs w:val="20"/>
    </w:rPr>
    <w:tblPr>
      <w:tblStyleRowBandSize w:val="1"/>
      <w:tblBorders>
        <w:bottom w:val="single" w:sz="6" w:space="0" w:color="00507F"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single" w:sz="8" w:space="0" w:color="00507F" w:themeColor="accent1"/>
          <w:bottom w:val="single" w:sz="36" w:space="0" w:color="009DD7" w:themeColor="accent2"/>
          <w:right w:val="nil"/>
          <w:insideH w:val="single" w:sz="6" w:space="0" w:color="FFFFFF" w:themeColor="background1"/>
          <w:insideV w:val="single" w:sz="6" w:space="0" w:color="FFFFFF" w:themeColor="background1"/>
          <w:tl2br w:val="nil"/>
          <w:tr2bl w:val="nil"/>
        </w:tcBorders>
        <w:shd w:val="clear" w:color="auto" w:fill="00507F" w:themeFill="accent1"/>
      </w:tcPr>
    </w:tblStylePr>
    <w:tblStylePr w:type="band1Horz">
      <w:tblPr/>
      <w:tcPr>
        <w:shd w:val="clear" w:color="auto" w:fill="F3FBFF"/>
      </w:tcPr>
    </w:tblStylePr>
  </w:style>
  <w:style w:type="paragraph" w:customStyle="1" w:styleId="Default">
    <w:name w:val="Default"/>
    <w:rsid w:val="00715069"/>
    <w:pPr>
      <w:autoSpaceDE w:val="0"/>
      <w:autoSpaceDN w:val="0"/>
      <w:adjustRightInd w:val="0"/>
      <w:spacing w:line="240" w:lineRule="auto"/>
    </w:pPr>
    <w:rPr>
      <w:rFonts w:ascii="Publico Text" w:hAnsi="Publico Text" w:cs="Publico Text"/>
      <w:color w:val="000000"/>
    </w:rPr>
  </w:style>
  <w:style w:type="paragraph" w:customStyle="1" w:styleId="Exhibit">
    <w:name w:val="Exhibit"/>
    <w:basedOn w:val="Normal"/>
    <w:link w:val="ExhibitChar"/>
    <w:qFormat/>
    <w:rsid w:val="00715069"/>
    <w:pPr>
      <w:spacing w:after="60" w:line="259" w:lineRule="auto"/>
      <w:ind w:left="90"/>
    </w:pPr>
    <w:rPr>
      <w:rFonts w:ascii="Calibri" w:eastAsia="Times New Roman" w:hAnsi="Calibri" w:cs="Times"/>
      <w:b/>
      <w:iCs/>
      <w:color w:val="00507F"/>
      <w:sz w:val="22"/>
      <w:szCs w:val="22"/>
    </w:rPr>
  </w:style>
  <w:style w:type="character" w:customStyle="1" w:styleId="ExhibitChar">
    <w:name w:val="Exhibit Char"/>
    <w:basedOn w:val="DefaultParagraphFont"/>
    <w:link w:val="Exhibit"/>
    <w:rsid w:val="00715069"/>
    <w:rPr>
      <w:rFonts w:ascii="Calibri" w:eastAsia="Times New Roman" w:hAnsi="Calibri" w:cs="Times"/>
      <w:b/>
      <w:iCs/>
      <w:color w:val="00507F"/>
      <w:sz w:val="22"/>
      <w:szCs w:val="22"/>
    </w:rPr>
  </w:style>
  <w:style w:type="paragraph" w:styleId="Subtitle">
    <w:name w:val="Subtitle"/>
    <w:basedOn w:val="Normal"/>
    <w:next w:val="Normal"/>
    <w:link w:val="SubtitleChar"/>
    <w:uiPriority w:val="11"/>
    <w:qFormat/>
    <w:rsid w:val="00EC46B3"/>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C46B3"/>
    <w:rPr>
      <w:rFonts w:eastAsiaTheme="minorEastAsia"/>
      <w:color w:val="5A5A5A" w:themeColor="text1" w:themeTint="A5"/>
      <w:spacing w:val="15"/>
      <w:sz w:val="22"/>
      <w:szCs w:val="22"/>
    </w:rPr>
  </w:style>
  <w:style w:type="paragraph" w:styleId="NormalWeb">
    <w:name w:val="Normal (Web)"/>
    <w:basedOn w:val="Normal"/>
    <w:uiPriority w:val="99"/>
    <w:semiHidden/>
    <w:unhideWhenUsed/>
    <w:rsid w:val="00F656E7"/>
    <w:pPr>
      <w:spacing w:before="100" w:beforeAutospacing="1" w:after="100" w:afterAutospacing="1" w:line="240" w:lineRule="auto"/>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hyperlink" Target="https://ies.ed.gov/ncee/projects/evaluation/idea_spending.asp" TargetMode="External" /><Relationship Id="rId15" Type="http://schemas.openxmlformats.org/officeDocument/2006/relationships/hyperlink" Target="https://www.reginfo.gov/public/do/PRAViewIC?ref_nbr=202401-1850-007&amp;icID=268606" TargetMode="External" /><Relationship Id="rId16" Type="http://schemas.openxmlformats.org/officeDocument/2006/relationships/hyperlink" Target="https://www.reginfo.gov/public/do/PRAViewIC?ref_nbr=202508-1850-002&amp;icID=277175" TargetMode="External" /><Relationship Id="rId17" Type="http://schemas.openxmlformats.org/officeDocument/2006/relationships/hyperlink" Target="https://air.org/project/nsses" TargetMode="External" /><Relationship Id="rId18" Type="http://schemas.openxmlformats.org/officeDocument/2006/relationships/hyperlink" Target="https://data.bls.gov/oes/" TargetMode="External" /><Relationship Id="rId19" Type="http://schemas.openxmlformats.org/officeDocument/2006/relationships/hyperlink" Target="https://mtss4success.org/blog/mtss-new-rti-depends-where-you-live" TargetMode="External" /><Relationship Id="rId2" Type="http://schemas.openxmlformats.org/officeDocument/2006/relationships/endnotes" Target="endnotes.xml" /><Relationship Id="rId20" Type="http://schemas.openxmlformats.org/officeDocument/2006/relationships/hyperlink" Target="https://wheelockpolicycenter.org/wp-content/uploads/2024/07/IEP-Goals-Working-Paper-2024-07-11.pdf" TargetMode="External" /><Relationship Id="rId21" Type="http://schemas.openxmlformats.org/officeDocument/2006/relationships/hyperlink" Target="https://ednote.ecs.org/do-we-spend-too-much-on-special-education-in-this-country/" TargetMode="External" /><Relationship Id="rId22" Type="http://schemas.openxmlformats.org/officeDocument/2006/relationships/hyperlink" Target="https://ies.ed.gov/ncee/pubs/20134017/pdf/20134017.pdf" TargetMode="External" /><Relationship Id="rId23" Type="http://schemas.openxmlformats.org/officeDocument/2006/relationships/hyperlink" Target="http://nepc.colorado.edu/publication/special-ed" TargetMode="External" /><Relationship Id="rId24" Type="http://schemas.openxmlformats.org/officeDocument/2006/relationships/hyperlink" Target="https://www.loc.gov/item/lcwaN0018878/" TargetMode="External" /><Relationship Id="rId25" Type="http://schemas.openxmlformats.org/officeDocument/2006/relationships/hyperlink" Target="https://doi.org/10.1177/07419325241226727" TargetMode="External" /><Relationship Id="rId26" Type="http://schemas.openxmlformats.org/officeDocument/2006/relationships/hyperlink" Target="https://doi.org/10.1177/87568705241255086" TargetMode="External" /><Relationship Id="rId27" Type="http://schemas.openxmlformats.org/officeDocument/2006/relationships/hyperlink" Target="https://nces.ed.gov/pubsearch/pubsinfo.asp?pubid=2019144" TargetMode="External" /><Relationship Id="rId28" Type="http://schemas.openxmlformats.org/officeDocument/2006/relationships/hyperlink" Target="https://nces.ed.gov/programs/coe/indicator/cgg" TargetMode="External" /><Relationship Id="rId29" Type="http://schemas.openxmlformats.org/officeDocument/2006/relationships/hyperlink" Target="https://nces.ed.gov/fastfacts/display.asp?id=64" TargetMode="External" /><Relationship Id="rId3" Type="http://schemas.openxmlformats.org/officeDocument/2006/relationships/settings" Target="settings.xml" /><Relationship Id="rId30" Type="http://schemas.openxmlformats.org/officeDocument/2006/relationships/hyperlink" Target="https://eric.ed.gov/?id=ED604728" TargetMode="External" /><Relationship Id="rId31" Type="http://schemas.openxmlformats.org/officeDocument/2006/relationships/hyperlink" Target="https://doi.org/10.1177/0002716212458082" TargetMode="External" /><Relationship Id="rId32" Type="http://schemas.openxmlformats.org/officeDocument/2006/relationships/header" Target="header3.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air.org/sites/default/files/Purpose-Design-of-SEEP.pdf" TargetMode="External" /><Relationship Id="rId2" Type="http://schemas.openxmlformats.org/officeDocument/2006/relationships/hyperlink" Target="https://www.federalregister.gov/documents/2024/04/30/2024-09312/agency-information-collection-activities-submission-to-the-office-of-management-and-budget-for"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aron\OneDrive\Documents\AIR\AIR-2025-Report-100825.dotx" TargetMode="External" /></Relationships>
</file>

<file path=word/theme/theme1.xml><?xml version="1.0" encoding="utf-8"?>
<a:theme xmlns:a="http://schemas.openxmlformats.org/drawingml/2006/main" name="AIR_2021_Corporate_MS-Office_Branding">
  <a:themeElements>
    <a:clrScheme name="AIR Blue-Green-Gray">
      <a:dk1>
        <a:srgbClr val="000000"/>
      </a:dk1>
      <a:lt1>
        <a:srgbClr val="FFFFFF"/>
      </a:lt1>
      <a:dk2>
        <a:srgbClr val="1C252D"/>
      </a:dk2>
      <a:lt2>
        <a:srgbClr val="D1EEFC"/>
      </a:lt2>
      <a:accent1>
        <a:srgbClr val="00507F"/>
      </a:accent1>
      <a:accent2>
        <a:srgbClr val="009DD7"/>
      </a:accent2>
      <a:accent3>
        <a:srgbClr val="006E9F"/>
      </a:accent3>
      <a:accent4>
        <a:srgbClr val="08A94F"/>
      </a:accent4>
      <a:accent5>
        <a:srgbClr val="028342"/>
      </a:accent5>
      <a:accent6>
        <a:srgbClr val="E2E6E8"/>
      </a:accent6>
      <a:hlink>
        <a:srgbClr val="00507F"/>
      </a:hlink>
      <a:folHlink>
        <a:srgbClr val="49134C"/>
      </a:folHlink>
    </a:clrScheme>
    <a:fontScheme name="2019 AIR Corpor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45720" tIns="45720" rIns="4572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custClrLst>
    <a:custClr name="Deep Blue">
      <a:srgbClr val="063C5C"/>
    </a:custClr>
    <a:custClr name="Classic Blue">
      <a:srgbClr val="00507F"/>
    </a:custClr>
    <a:custClr name="Ocean">
      <a:srgbClr val="006E9F"/>
    </a:custClr>
    <a:custClr name="Wedgewood">
      <a:srgbClr val="5393BD"/>
    </a:custClr>
    <a:custClr name="Hydrangea">
      <a:srgbClr val="98C7E9"/>
    </a:custClr>
    <a:custClr name="Ice">
      <a:srgbClr val="D1EEFC"/>
    </a:custClr>
    <a:custClr name="Blank">
      <a:srgbClr val="FFFFFF"/>
    </a:custClr>
    <a:custClr name="Classic Blue">
      <a:srgbClr val="00507F"/>
    </a:custClr>
    <a:custClr name="Pool">
      <a:srgbClr val="009DD7"/>
    </a:custClr>
    <a:custClr name="50 pct. Ice">
      <a:srgbClr val="E8F6FD"/>
    </a:custClr>
    <a:custClr name="Leaf">
      <a:srgbClr val="056233"/>
    </a:custClr>
    <a:custClr name="Grass">
      <a:srgbClr val="008341"/>
    </a:custClr>
    <a:custClr name="Lime">
      <a:srgbClr val="06A94F"/>
    </a:custClr>
    <a:custClr name="Mint">
      <a:srgbClr val="7AC79B"/>
    </a:custClr>
    <a:custClr name="Sage">
      <a:srgbClr val="B4D8BE"/>
    </a:custClr>
    <a:custClr name="Light Sage">
      <a:srgbClr val="D8ECDB"/>
    </a:custClr>
    <a:custClr name="Blank">
      <a:srgbClr val="FFFFFF"/>
    </a:custClr>
    <a:custClr name="Blank">
      <a:srgbClr val="FFFFFF"/>
    </a:custClr>
    <a:custClr name="Blank">
      <a:srgbClr val="FFFFFF"/>
    </a:custClr>
    <a:custClr name="Blank">
      <a:srgbClr val="FFFFFF"/>
    </a:custClr>
    <a:custClr name="Charcoal">
      <a:srgbClr val="1C252D"/>
    </a:custClr>
    <a:custClr name="Slate">
      <a:srgbClr val="333F48"/>
    </a:custClr>
    <a:custClr name="Stone">
      <a:srgbClr val="72808A"/>
    </a:custClr>
    <a:custClr name="Pewter">
      <a:srgbClr val="A3AAAD"/>
    </a:custClr>
    <a:custClr name="Fog">
      <a:srgbClr val="C6CDD1"/>
    </a:custClr>
    <a:custClr name="Cement">
      <a:srgbClr val="E2E6E8"/>
    </a:custClr>
    <a:custClr name="Blank">
      <a:srgbClr val="FFFFFF"/>
    </a:custClr>
    <a:custClr name="Blank">
      <a:srgbClr val="FFFFFF"/>
    </a:custClr>
    <a:custClr name="Blank">
      <a:srgbClr val="FFFFFF"/>
    </a:custClr>
    <a:custClr name="Blank">
      <a:srgbClr val="FFFFFF"/>
    </a:custClr>
    <a:custClr name="Amber">
      <a:srgbClr val="882E0A"/>
    </a:custClr>
    <a:custClr name="Pumpkin">
      <a:srgbClr val="BC4A26"/>
    </a:custClr>
    <a:custClr name="Tangerine">
      <a:srgbClr val="EA6A20"/>
    </a:custClr>
    <a:custClr name="Creamsicle">
      <a:srgbClr val="F9A872"/>
    </a:custClr>
    <a:custClr name="Peach">
      <a:srgbClr val="FDD1B0"/>
    </a:custClr>
    <a:custClr name="Pale Peach">
      <a:srgbClr val="FAECE7"/>
    </a:custClr>
    <a:custClr name="Blank">
      <a:srgbClr val="FFFFFF"/>
    </a:custClr>
    <a:custClr name="Bark">
      <a:srgbClr val="6A5204"/>
    </a:custClr>
    <a:custClr name="Caramel">
      <a:srgbClr val="946E29"/>
    </a:custClr>
    <a:custClr name="Gold">
      <a:srgbClr val="C6892B"/>
    </a:custClr>
    <a:custClr name="Eggplant">
      <a:srgbClr val="49124C"/>
    </a:custClr>
    <a:custClr name="Plum">
      <a:srgbClr val="602468"/>
    </a:custClr>
    <a:custClr name="Orchid">
      <a:srgbClr val="9A5EA6"/>
    </a:custClr>
    <a:custClr name="Heather">
      <a:srgbClr val="B888BD"/>
    </a:custClr>
    <a:custClr name="Lilac">
      <a:srgbClr val="E2C9E1"/>
    </a:custClr>
    <a:custClr name="Soft Lilac">
      <a:srgbClr val="F5E8F2"/>
    </a:custClr>
    <a:custClr name="Blank">
      <a:srgbClr val="FFFFFF"/>
    </a:custClr>
    <a:custClr name="Marigold">
      <a:srgbClr val="FEC553"/>
    </a:custClr>
    <a:custClr name="Flax">
      <a:srgbClr val="F7D880"/>
    </a:custClr>
    <a:custClr name="Cream">
      <a:srgbClr val="FFF6DC"/>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7C0E4-A9CF-47D5-9327-ED44C5D92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9c1f-469b-4f71-a1cf-515b2476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BA413-B164-43E8-8681-DF5B9BBD8F18}">
  <ds:schemaRefs>
    <ds:schemaRef ds:uri="http://schemas.openxmlformats.org/officeDocument/2006/bibliography"/>
  </ds:schemaRefs>
</ds:datastoreItem>
</file>

<file path=customXml/itemProps3.xml><?xml version="1.0" encoding="utf-8"?>
<ds:datastoreItem xmlns:ds="http://schemas.openxmlformats.org/officeDocument/2006/customXml" ds:itemID="{D29201F6-D2E7-492A-B04C-3A8FEA1D811F}">
  <ds:schemaRefs>
    <ds:schemaRef ds:uri="http://purl.org/dc/terms/"/>
    <ds:schemaRef ds:uri="http://purl.org/dc/elements/1.1/"/>
    <ds:schemaRef ds:uri="http://www.w3.org/XML/1998/namespace"/>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cbf09c1f-469b-4f71-a1cf-515b2476fa1e"/>
  </ds:schemaRefs>
</ds:datastoreItem>
</file>

<file path=customXml/itemProps4.xml><?xml version="1.0" encoding="utf-8"?>
<ds:datastoreItem xmlns:ds="http://schemas.openxmlformats.org/officeDocument/2006/customXml" ds:itemID="{5ADEFEDF-BC47-47BC-8A9E-7D4666B57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AIR-2025-Report-100825</Template>
  <TotalTime>44</TotalTime>
  <Pages>23</Pages>
  <Words>6930</Words>
  <Characters>40610</Characters>
  <Application>Microsoft Office Word</Application>
  <DocSecurity>0</DocSecurity>
  <Lines>990</Lines>
  <Paragraphs>417</Paragraphs>
  <ScaleCrop>false</ScaleCrop>
  <Company/>
  <LinksUpToDate>false</LinksUpToDate>
  <CharactersWithSpaces>47123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Study of Special Education Spending</dc:title>
  <dc:subject>Supporting Statement for OMB Clearance Request, Part A: Justification</dc:subject>
  <dc:creator>American Institutes for Research</dc:creator>
  <cp:lastModifiedBy>Soldner, Matthew</cp:lastModifiedBy>
  <cp:revision>30</cp:revision>
  <cp:lastPrinted>2019-10-05T06:04:00Z</cp:lastPrinted>
  <dcterms:created xsi:type="dcterms:W3CDTF">2026-01-09T20:55:00Z</dcterms:created>
  <dcterms:modified xsi:type="dcterms:W3CDTF">2026-04-21T12:58:00Z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docLang">
    <vt:lpwstr>en</vt:lpwstr>
  </property>
  <property fmtid="{D5CDD505-2E9C-101B-9397-08002B2CF9AE}" pid="4" name="MediaServiceImageTags">
    <vt:lpwstr/>
  </property>
</Properties>
</file>