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1337A" w:rsidRPr="00D67B9F" w:rsidP="00C1337A" w14:paraId="7B264B54" w14:textId="77777777">
      <w:pPr>
        <w:pStyle w:val="Spacer-HeaderFooter"/>
      </w:pPr>
      <w:bookmarkStart w:id="0" w:name="_Hlk64472213"/>
    </w:p>
    <w:p w:rsidR="00A21AD9" w:rsidRPr="0084502F" w:rsidP="00E13A68" w14:paraId="02C298EC" w14:textId="520981D7">
      <w:pPr>
        <w:pStyle w:val="Heading1"/>
      </w:pPr>
      <w:bookmarkStart w:id="1" w:name="_Hlk111450209"/>
      <w:bookmarkStart w:id="2" w:name="_Toc64877966"/>
      <w:bookmarkStart w:id="3" w:name="_Toc66965809"/>
      <w:bookmarkStart w:id="4" w:name="_Toc66968283"/>
      <w:r w:rsidRPr="0084502F">
        <w:t>National Study of Special Education Spending</w:t>
      </w:r>
    </w:p>
    <w:p w:rsidR="00A21AD9" w:rsidRPr="00250455" w:rsidP="00E13A68" w14:paraId="5330BDA3" w14:textId="5261A1DC">
      <w:pPr>
        <w:pStyle w:val="DocumentSubtitle"/>
        <w:rPr>
          <w:rFonts w:eastAsia="Times New Roman" w:cstheme="minorHAnsi"/>
          <w:b/>
          <w:bCs/>
          <w:sz w:val="32"/>
          <w:szCs w:val="32"/>
        </w:rPr>
      </w:pPr>
      <w:r>
        <w:t xml:space="preserve">Supporting Statement for OMB Clearance </w:t>
      </w:r>
      <w:r w:rsidR="001875F1">
        <w:t>Request for Full-Scale Study Recruitment Activities (Phase 1)</w:t>
      </w:r>
      <w:r w:rsidR="000D61C7">
        <w:br/>
      </w:r>
      <w:r>
        <w:t>Part B: Data Collection Procedures and Statistical Methods</w:t>
      </w:r>
    </w:p>
    <w:bookmarkEnd w:id="1"/>
    <w:p w:rsidR="00A21AD9" w:rsidP="00A21AD9" w14:paraId="6402D17C" w14:textId="3722BAD1">
      <w:pPr>
        <w:pStyle w:val="DocumentDate"/>
      </w:pPr>
      <w:r>
        <w:t>April</w:t>
      </w:r>
      <w:r w:rsidR="00171D6A">
        <w:t xml:space="preserve"> 2026</w:t>
      </w:r>
    </w:p>
    <w:p w:rsidR="00C1337A" w:rsidRPr="00D67B9F" w:rsidP="008238D9" w14:paraId="3C8D7075" w14:textId="77777777">
      <w:pPr>
        <w:pStyle w:val="NoSpacing"/>
      </w:pPr>
    </w:p>
    <w:p w:rsidR="00C1337A" w:rsidRPr="00D67B9F" w:rsidP="008238D9" w14:paraId="19201C29" w14:textId="77777777">
      <w:pPr>
        <w:pStyle w:val="NoSpacing"/>
      </w:pPr>
    </w:p>
    <w:p w:rsidR="00C1337A" w:rsidRPr="00D67B9F" w:rsidP="00C1337A" w14:paraId="7FE51AB2" w14:textId="77777777">
      <w:pPr>
        <w:sectPr w:rsidSect="00DD3325">
          <w:headerReference w:type="default" r:id="rId10"/>
          <w:pgSz w:w="12240" w:h="15840" w:code="1"/>
          <w:pgMar w:top="1440" w:right="1440" w:bottom="1440" w:left="1440" w:header="432" w:footer="432" w:gutter="0"/>
          <w:pgNumType w:start="1"/>
          <w:cols w:space="720"/>
          <w:docGrid w:linePitch="360"/>
        </w:sectPr>
      </w:pPr>
    </w:p>
    <w:p w:rsidR="00C1337A" w:rsidRPr="00D67B9F" w:rsidP="00C1337A" w14:paraId="133E1BA6" w14:textId="77777777">
      <w:pPr>
        <w:pStyle w:val="Spacer-HeaderFooter"/>
      </w:pPr>
    </w:p>
    <w:p w:rsidR="00C1337A" w:rsidRPr="00D67B9F" w:rsidP="00C1337A" w14:paraId="50B761E1" w14:textId="77777777">
      <w:pPr>
        <w:pStyle w:val="Spacer-HeaderFooter"/>
      </w:pPr>
    </w:p>
    <w:p w:rsidR="00420221" w:rsidRPr="00BC4B32" w:rsidP="00367645" w14:paraId="2632E5E2" w14:textId="77777777">
      <w:pPr>
        <w:pStyle w:val="TOCHeading"/>
      </w:pPr>
      <w:bookmarkStart w:id="5" w:name="_Hlk111447701"/>
      <w:bookmarkStart w:id="6" w:name="_Hlk111450323"/>
      <w:r w:rsidRPr="00420221">
        <w:t>Contents</w:t>
      </w:r>
    </w:p>
    <w:p w:rsidR="00420221" w:rsidRPr="00BC4B32" w:rsidP="00BC4B32" w14:paraId="09A9CD39" w14:textId="77777777">
      <w:pPr>
        <w:pStyle w:val="H2TOCLine1-12-6"/>
        <w:framePr w:wrap="notBeside"/>
      </w:pPr>
    </w:p>
    <w:bookmarkEnd w:id="5"/>
    <w:bookmarkEnd w:id="6"/>
    <w:p w:rsidR="005329B8" w14:paraId="43CA17B7" w14:textId="715C9B9A">
      <w:pPr>
        <w:pStyle w:val="TOC1"/>
        <w:rPr>
          <w:rFonts w:eastAsiaTheme="minorEastAsia" w:cstheme="minorBidi"/>
          <w:color w:val="auto"/>
          <w:kern w:val="2"/>
          <w14:ligatures w14:val="standardContextual"/>
        </w:rPr>
      </w:pPr>
      <w:r>
        <w:fldChar w:fldCharType="begin"/>
      </w:r>
      <w:r>
        <w:instrText xml:space="preserve"> TOC \h \z \t "Heading 3,2,Heading 2 Report,1" </w:instrText>
      </w:r>
      <w:r>
        <w:fldChar w:fldCharType="separate"/>
      </w:r>
      <w:r>
        <w:fldChar w:fldCharType="begin"/>
      </w:r>
      <w:r>
        <w:instrText xml:space="preserve"> HYPERLINK \l "_Toc217324940" </w:instrText>
      </w:r>
      <w:r>
        <w:fldChar w:fldCharType="separate"/>
      </w:r>
      <w:r w:rsidRPr="0023519F">
        <w:rPr>
          <w:rStyle w:val="Hyperlink"/>
        </w:rPr>
        <w:t>Introduction</w:t>
      </w:r>
      <w:r>
        <w:rPr>
          <w:webHidden/>
        </w:rPr>
        <w:tab/>
      </w:r>
      <w:r>
        <w:rPr>
          <w:webHidden/>
        </w:rPr>
        <w:fldChar w:fldCharType="begin"/>
      </w:r>
      <w:r>
        <w:rPr>
          <w:webHidden/>
        </w:rPr>
        <w:instrText xml:space="preserve"> PAGEREF _Toc217324940 \h </w:instrText>
      </w:r>
      <w:r>
        <w:rPr>
          <w:webHidden/>
        </w:rPr>
        <w:fldChar w:fldCharType="separate"/>
      </w:r>
      <w:r>
        <w:rPr>
          <w:webHidden/>
        </w:rPr>
        <w:t>1</w:t>
      </w:r>
      <w:r>
        <w:rPr>
          <w:webHidden/>
        </w:rPr>
        <w:fldChar w:fldCharType="end"/>
      </w:r>
      <w:r>
        <w:fldChar w:fldCharType="end"/>
      </w:r>
    </w:p>
    <w:p w:rsidR="005329B8" w14:paraId="3AFC93D5" w14:textId="560E48C7">
      <w:pPr>
        <w:pStyle w:val="TOC1"/>
        <w:rPr>
          <w:rFonts w:eastAsiaTheme="minorEastAsia" w:cstheme="minorBidi"/>
          <w:color w:val="auto"/>
          <w:kern w:val="2"/>
          <w14:ligatures w14:val="standardContextual"/>
        </w:rPr>
      </w:pPr>
      <w:hyperlink w:anchor="_Toc217324941" w:history="1">
        <w:r w:rsidRPr="0023519F">
          <w:rPr>
            <w:rStyle w:val="Hyperlink"/>
          </w:rPr>
          <w:t>B.1. Respondent Universe and Sampling Methods</w:t>
        </w:r>
        <w:r>
          <w:rPr>
            <w:webHidden/>
          </w:rPr>
          <w:tab/>
        </w:r>
        <w:r>
          <w:rPr>
            <w:webHidden/>
          </w:rPr>
          <w:fldChar w:fldCharType="begin"/>
        </w:r>
        <w:r>
          <w:rPr>
            <w:webHidden/>
          </w:rPr>
          <w:instrText xml:space="preserve"> PAGEREF _Toc217324941 \h </w:instrText>
        </w:r>
        <w:r>
          <w:rPr>
            <w:webHidden/>
          </w:rPr>
          <w:fldChar w:fldCharType="separate"/>
        </w:r>
        <w:r>
          <w:rPr>
            <w:webHidden/>
          </w:rPr>
          <w:t>1</w:t>
        </w:r>
        <w:r>
          <w:rPr>
            <w:webHidden/>
          </w:rPr>
          <w:fldChar w:fldCharType="end"/>
        </w:r>
      </w:hyperlink>
    </w:p>
    <w:p w:rsidR="005329B8" w14:paraId="06C02FBE" w14:textId="2364CEEE">
      <w:pPr>
        <w:pStyle w:val="TOC2"/>
        <w:rPr>
          <w:rFonts w:eastAsiaTheme="minorEastAsia" w:cstheme="minorBidi"/>
          <w:color w:val="auto"/>
          <w:kern w:val="2"/>
          <w14:ligatures w14:val="standardContextual"/>
        </w:rPr>
      </w:pPr>
      <w:hyperlink w:anchor="_Toc217324942" w:history="1">
        <w:r w:rsidRPr="0023519F">
          <w:rPr>
            <w:rStyle w:val="Hyperlink"/>
          </w:rPr>
          <w:t>B.1.1. Sampling Plan Goals</w:t>
        </w:r>
        <w:r>
          <w:rPr>
            <w:webHidden/>
          </w:rPr>
          <w:tab/>
        </w:r>
        <w:r>
          <w:rPr>
            <w:webHidden/>
          </w:rPr>
          <w:fldChar w:fldCharType="begin"/>
        </w:r>
        <w:r>
          <w:rPr>
            <w:webHidden/>
          </w:rPr>
          <w:instrText xml:space="preserve"> PAGEREF _Toc217324942 \h </w:instrText>
        </w:r>
        <w:r>
          <w:rPr>
            <w:webHidden/>
          </w:rPr>
          <w:fldChar w:fldCharType="separate"/>
        </w:r>
        <w:r>
          <w:rPr>
            <w:webHidden/>
          </w:rPr>
          <w:t>2</w:t>
        </w:r>
        <w:r>
          <w:rPr>
            <w:webHidden/>
          </w:rPr>
          <w:fldChar w:fldCharType="end"/>
        </w:r>
      </w:hyperlink>
    </w:p>
    <w:p w:rsidR="005329B8" w14:paraId="15F44BF1" w14:textId="16109EB8">
      <w:pPr>
        <w:pStyle w:val="TOC2"/>
        <w:rPr>
          <w:rFonts w:eastAsiaTheme="minorEastAsia" w:cstheme="minorBidi"/>
          <w:color w:val="auto"/>
          <w:kern w:val="2"/>
          <w14:ligatures w14:val="standardContextual"/>
        </w:rPr>
      </w:pPr>
      <w:hyperlink w:anchor="_Toc217324943" w:history="1">
        <w:r w:rsidRPr="0023519F">
          <w:rPr>
            <w:rStyle w:val="Hyperlink"/>
          </w:rPr>
          <w:t>B.1.2. Sample Design and Expected Response Rate</w:t>
        </w:r>
        <w:r>
          <w:rPr>
            <w:webHidden/>
          </w:rPr>
          <w:tab/>
        </w:r>
        <w:r>
          <w:rPr>
            <w:webHidden/>
          </w:rPr>
          <w:fldChar w:fldCharType="begin"/>
        </w:r>
        <w:r>
          <w:rPr>
            <w:webHidden/>
          </w:rPr>
          <w:instrText xml:space="preserve"> PAGEREF _Toc217324943 \h </w:instrText>
        </w:r>
        <w:r>
          <w:rPr>
            <w:webHidden/>
          </w:rPr>
          <w:fldChar w:fldCharType="separate"/>
        </w:r>
        <w:r>
          <w:rPr>
            <w:webHidden/>
          </w:rPr>
          <w:t>3</w:t>
        </w:r>
        <w:r>
          <w:rPr>
            <w:webHidden/>
          </w:rPr>
          <w:fldChar w:fldCharType="end"/>
        </w:r>
      </w:hyperlink>
    </w:p>
    <w:p w:rsidR="005329B8" w14:paraId="58120DB4" w14:textId="6DC7CC56">
      <w:pPr>
        <w:pStyle w:val="TOC2"/>
        <w:rPr>
          <w:rFonts w:eastAsiaTheme="minorEastAsia" w:cstheme="minorBidi"/>
          <w:color w:val="auto"/>
          <w:kern w:val="2"/>
          <w14:ligatures w14:val="standardContextual"/>
        </w:rPr>
      </w:pPr>
      <w:hyperlink w:anchor="_Toc217324944" w:history="1">
        <w:r w:rsidRPr="0023519F">
          <w:rPr>
            <w:rStyle w:val="Hyperlink"/>
          </w:rPr>
          <w:t>B.1.3. Sampling LEAs</w:t>
        </w:r>
        <w:r>
          <w:rPr>
            <w:webHidden/>
          </w:rPr>
          <w:tab/>
        </w:r>
        <w:r>
          <w:rPr>
            <w:webHidden/>
          </w:rPr>
          <w:fldChar w:fldCharType="begin"/>
        </w:r>
        <w:r>
          <w:rPr>
            <w:webHidden/>
          </w:rPr>
          <w:instrText xml:space="preserve"> PAGEREF _Toc217324944 \h </w:instrText>
        </w:r>
        <w:r>
          <w:rPr>
            <w:webHidden/>
          </w:rPr>
          <w:fldChar w:fldCharType="separate"/>
        </w:r>
        <w:r>
          <w:rPr>
            <w:webHidden/>
          </w:rPr>
          <w:t>4</w:t>
        </w:r>
        <w:r>
          <w:rPr>
            <w:webHidden/>
          </w:rPr>
          <w:fldChar w:fldCharType="end"/>
        </w:r>
      </w:hyperlink>
    </w:p>
    <w:p w:rsidR="005329B8" w14:paraId="47A49239" w14:textId="31429AB7">
      <w:pPr>
        <w:pStyle w:val="TOC2"/>
        <w:rPr>
          <w:rFonts w:eastAsiaTheme="minorEastAsia" w:cstheme="minorBidi"/>
          <w:color w:val="auto"/>
          <w:kern w:val="2"/>
          <w14:ligatures w14:val="standardContextual"/>
        </w:rPr>
      </w:pPr>
      <w:hyperlink w:anchor="_Toc217324945" w:history="1">
        <w:r w:rsidRPr="0023519F">
          <w:rPr>
            <w:rStyle w:val="Hyperlink"/>
          </w:rPr>
          <w:t>B.1.4. Sampling Schools</w:t>
        </w:r>
        <w:r>
          <w:rPr>
            <w:webHidden/>
          </w:rPr>
          <w:tab/>
        </w:r>
        <w:r>
          <w:rPr>
            <w:webHidden/>
          </w:rPr>
          <w:fldChar w:fldCharType="begin"/>
        </w:r>
        <w:r>
          <w:rPr>
            <w:webHidden/>
          </w:rPr>
          <w:instrText xml:space="preserve"> PAGEREF _Toc217324945 \h </w:instrText>
        </w:r>
        <w:r>
          <w:rPr>
            <w:webHidden/>
          </w:rPr>
          <w:fldChar w:fldCharType="separate"/>
        </w:r>
        <w:r>
          <w:rPr>
            <w:webHidden/>
          </w:rPr>
          <w:t>6</w:t>
        </w:r>
        <w:r>
          <w:rPr>
            <w:webHidden/>
          </w:rPr>
          <w:fldChar w:fldCharType="end"/>
        </w:r>
      </w:hyperlink>
    </w:p>
    <w:p w:rsidR="005329B8" w14:paraId="0F8A7AC3" w14:textId="31A598C4">
      <w:pPr>
        <w:pStyle w:val="TOC2"/>
        <w:rPr>
          <w:rFonts w:eastAsiaTheme="minorEastAsia" w:cstheme="minorBidi"/>
          <w:color w:val="auto"/>
          <w:kern w:val="2"/>
          <w14:ligatures w14:val="standardContextual"/>
        </w:rPr>
      </w:pPr>
      <w:hyperlink w:anchor="_Toc217324946" w:history="1">
        <w:r w:rsidRPr="0023519F">
          <w:rPr>
            <w:rStyle w:val="Hyperlink"/>
          </w:rPr>
          <w:t>B.1.5. Sampling SWDs</w:t>
        </w:r>
        <w:r>
          <w:rPr>
            <w:webHidden/>
          </w:rPr>
          <w:tab/>
        </w:r>
        <w:r>
          <w:rPr>
            <w:webHidden/>
          </w:rPr>
          <w:fldChar w:fldCharType="begin"/>
        </w:r>
        <w:r>
          <w:rPr>
            <w:webHidden/>
          </w:rPr>
          <w:instrText xml:space="preserve"> PAGEREF _Toc217324946 \h </w:instrText>
        </w:r>
        <w:r>
          <w:rPr>
            <w:webHidden/>
          </w:rPr>
          <w:fldChar w:fldCharType="separate"/>
        </w:r>
        <w:r>
          <w:rPr>
            <w:webHidden/>
          </w:rPr>
          <w:t>6</w:t>
        </w:r>
        <w:r>
          <w:rPr>
            <w:webHidden/>
          </w:rPr>
          <w:fldChar w:fldCharType="end"/>
        </w:r>
      </w:hyperlink>
    </w:p>
    <w:p w:rsidR="005329B8" w14:paraId="4E944D73" w14:textId="5E998CE3">
      <w:pPr>
        <w:pStyle w:val="TOC2"/>
        <w:rPr>
          <w:rFonts w:eastAsiaTheme="minorEastAsia" w:cstheme="minorBidi"/>
          <w:color w:val="auto"/>
          <w:kern w:val="2"/>
          <w14:ligatures w14:val="standardContextual"/>
        </w:rPr>
      </w:pPr>
      <w:hyperlink w:anchor="_Toc217324947" w:history="1">
        <w:r w:rsidRPr="0023519F">
          <w:rPr>
            <w:rStyle w:val="Hyperlink"/>
          </w:rPr>
          <w:t>B.1.6. Sampling Students Who Do Not Receive Special Education</w:t>
        </w:r>
        <w:r>
          <w:rPr>
            <w:webHidden/>
          </w:rPr>
          <w:tab/>
        </w:r>
        <w:r>
          <w:rPr>
            <w:webHidden/>
          </w:rPr>
          <w:fldChar w:fldCharType="begin"/>
        </w:r>
        <w:r>
          <w:rPr>
            <w:webHidden/>
          </w:rPr>
          <w:instrText xml:space="preserve"> PAGEREF _Toc217324947 \h </w:instrText>
        </w:r>
        <w:r>
          <w:rPr>
            <w:webHidden/>
          </w:rPr>
          <w:fldChar w:fldCharType="separate"/>
        </w:r>
        <w:r>
          <w:rPr>
            <w:webHidden/>
          </w:rPr>
          <w:t>13</w:t>
        </w:r>
        <w:r>
          <w:rPr>
            <w:webHidden/>
          </w:rPr>
          <w:fldChar w:fldCharType="end"/>
        </w:r>
      </w:hyperlink>
    </w:p>
    <w:p w:rsidR="005329B8" w14:paraId="2A6C20FA" w14:textId="094599C2">
      <w:pPr>
        <w:pStyle w:val="TOC1"/>
        <w:rPr>
          <w:rFonts w:eastAsiaTheme="minorEastAsia" w:cstheme="minorBidi"/>
          <w:color w:val="auto"/>
          <w:kern w:val="2"/>
          <w14:ligatures w14:val="standardContextual"/>
        </w:rPr>
      </w:pPr>
      <w:hyperlink w:anchor="_Toc217324948" w:history="1">
        <w:r w:rsidRPr="0023519F">
          <w:rPr>
            <w:rStyle w:val="Hyperlink"/>
          </w:rPr>
          <w:t>B.2. Procedures for Collection of Information</w:t>
        </w:r>
        <w:r>
          <w:rPr>
            <w:webHidden/>
          </w:rPr>
          <w:tab/>
        </w:r>
        <w:r>
          <w:rPr>
            <w:webHidden/>
          </w:rPr>
          <w:fldChar w:fldCharType="begin"/>
        </w:r>
        <w:r>
          <w:rPr>
            <w:webHidden/>
          </w:rPr>
          <w:instrText xml:space="preserve"> PAGEREF _Toc217324948 \h </w:instrText>
        </w:r>
        <w:r>
          <w:rPr>
            <w:webHidden/>
          </w:rPr>
          <w:fldChar w:fldCharType="separate"/>
        </w:r>
        <w:r>
          <w:rPr>
            <w:webHidden/>
          </w:rPr>
          <w:t>14</w:t>
        </w:r>
        <w:r>
          <w:rPr>
            <w:webHidden/>
          </w:rPr>
          <w:fldChar w:fldCharType="end"/>
        </w:r>
      </w:hyperlink>
    </w:p>
    <w:p w:rsidR="005329B8" w14:paraId="1139D563" w14:textId="7E416848">
      <w:pPr>
        <w:pStyle w:val="TOC2"/>
        <w:rPr>
          <w:rFonts w:eastAsiaTheme="minorEastAsia" w:cstheme="minorBidi"/>
          <w:color w:val="auto"/>
          <w:kern w:val="2"/>
          <w14:ligatures w14:val="standardContextual"/>
        </w:rPr>
      </w:pPr>
      <w:hyperlink w:anchor="_Toc217324949" w:history="1">
        <w:r w:rsidRPr="0023519F">
          <w:rPr>
            <w:rStyle w:val="Hyperlink"/>
          </w:rPr>
          <w:t>B.2.1. State Education Agency Notification</w:t>
        </w:r>
        <w:r>
          <w:rPr>
            <w:webHidden/>
          </w:rPr>
          <w:tab/>
        </w:r>
        <w:r>
          <w:rPr>
            <w:webHidden/>
          </w:rPr>
          <w:fldChar w:fldCharType="begin"/>
        </w:r>
        <w:r>
          <w:rPr>
            <w:webHidden/>
          </w:rPr>
          <w:instrText xml:space="preserve"> PAGEREF _Toc217324949 \h </w:instrText>
        </w:r>
        <w:r>
          <w:rPr>
            <w:webHidden/>
          </w:rPr>
          <w:fldChar w:fldCharType="separate"/>
        </w:r>
        <w:r>
          <w:rPr>
            <w:webHidden/>
          </w:rPr>
          <w:t>14</w:t>
        </w:r>
        <w:r>
          <w:rPr>
            <w:webHidden/>
          </w:rPr>
          <w:fldChar w:fldCharType="end"/>
        </w:r>
      </w:hyperlink>
    </w:p>
    <w:p w:rsidR="005329B8" w14:paraId="72BC0423" w14:textId="7DDAC538">
      <w:pPr>
        <w:pStyle w:val="TOC2"/>
        <w:rPr>
          <w:rFonts w:eastAsiaTheme="minorEastAsia" w:cstheme="minorBidi"/>
          <w:color w:val="auto"/>
          <w:kern w:val="2"/>
          <w14:ligatures w14:val="standardContextual"/>
        </w:rPr>
      </w:pPr>
      <w:hyperlink w:anchor="_Toc217324950" w:history="1">
        <w:r w:rsidRPr="0023519F">
          <w:rPr>
            <w:rStyle w:val="Hyperlink"/>
          </w:rPr>
          <w:t>B.2.2. Local Education Agency (LEA) Recruitment</w:t>
        </w:r>
        <w:r>
          <w:rPr>
            <w:webHidden/>
          </w:rPr>
          <w:tab/>
        </w:r>
        <w:r>
          <w:rPr>
            <w:webHidden/>
          </w:rPr>
          <w:fldChar w:fldCharType="begin"/>
        </w:r>
        <w:r>
          <w:rPr>
            <w:webHidden/>
          </w:rPr>
          <w:instrText xml:space="preserve"> PAGEREF _Toc217324950 \h </w:instrText>
        </w:r>
        <w:r>
          <w:rPr>
            <w:webHidden/>
          </w:rPr>
          <w:fldChar w:fldCharType="separate"/>
        </w:r>
        <w:r>
          <w:rPr>
            <w:webHidden/>
          </w:rPr>
          <w:t>14</w:t>
        </w:r>
        <w:r>
          <w:rPr>
            <w:webHidden/>
          </w:rPr>
          <w:fldChar w:fldCharType="end"/>
        </w:r>
      </w:hyperlink>
    </w:p>
    <w:p w:rsidR="005329B8" w14:paraId="31F7B65D" w14:textId="6E81A731">
      <w:pPr>
        <w:pStyle w:val="TOC2"/>
        <w:rPr>
          <w:rFonts w:eastAsiaTheme="minorEastAsia" w:cstheme="minorBidi"/>
          <w:color w:val="auto"/>
          <w:kern w:val="2"/>
          <w14:ligatures w14:val="standardContextual"/>
        </w:rPr>
      </w:pPr>
      <w:hyperlink w:anchor="_Toc217324951" w:history="1">
        <w:r w:rsidRPr="0023519F">
          <w:rPr>
            <w:rStyle w:val="Hyperlink"/>
          </w:rPr>
          <w:t>B.2.3. School Recruitment</w:t>
        </w:r>
        <w:r>
          <w:rPr>
            <w:webHidden/>
          </w:rPr>
          <w:tab/>
        </w:r>
        <w:r>
          <w:rPr>
            <w:webHidden/>
          </w:rPr>
          <w:fldChar w:fldCharType="begin"/>
        </w:r>
        <w:r>
          <w:rPr>
            <w:webHidden/>
          </w:rPr>
          <w:instrText xml:space="preserve"> PAGEREF _Toc217324951 \h </w:instrText>
        </w:r>
        <w:r>
          <w:rPr>
            <w:webHidden/>
          </w:rPr>
          <w:fldChar w:fldCharType="separate"/>
        </w:r>
        <w:r>
          <w:rPr>
            <w:webHidden/>
          </w:rPr>
          <w:t>15</w:t>
        </w:r>
        <w:r>
          <w:rPr>
            <w:webHidden/>
          </w:rPr>
          <w:fldChar w:fldCharType="end"/>
        </w:r>
      </w:hyperlink>
    </w:p>
    <w:p w:rsidR="005329B8" w14:paraId="071BED2C" w14:textId="0A02C146">
      <w:pPr>
        <w:pStyle w:val="TOC2"/>
        <w:rPr>
          <w:rFonts w:eastAsiaTheme="minorEastAsia" w:cstheme="minorBidi"/>
          <w:color w:val="auto"/>
          <w:kern w:val="2"/>
          <w14:ligatures w14:val="standardContextual"/>
        </w:rPr>
      </w:pPr>
      <w:hyperlink w:anchor="_Toc217324952" w:history="1">
        <w:r w:rsidRPr="0023519F">
          <w:rPr>
            <w:rStyle w:val="Hyperlink"/>
          </w:rPr>
          <w:t>B.2.4. Collecting Directory and Student Enrollment Rosters</w:t>
        </w:r>
        <w:r>
          <w:rPr>
            <w:webHidden/>
          </w:rPr>
          <w:tab/>
        </w:r>
        <w:r>
          <w:rPr>
            <w:webHidden/>
          </w:rPr>
          <w:fldChar w:fldCharType="begin"/>
        </w:r>
        <w:r>
          <w:rPr>
            <w:webHidden/>
          </w:rPr>
          <w:instrText xml:space="preserve"> PAGEREF _Toc217324952 \h </w:instrText>
        </w:r>
        <w:r>
          <w:rPr>
            <w:webHidden/>
          </w:rPr>
          <w:fldChar w:fldCharType="separate"/>
        </w:r>
        <w:r>
          <w:rPr>
            <w:webHidden/>
          </w:rPr>
          <w:t>16</w:t>
        </w:r>
        <w:r>
          <w:rPr>
            <w:webHidden/>
          </w:rPr>
          <w:fldChar w:fldCharType="end"/>
        </w:r>
      </w:hyperlink>
    </w:p>
    <w:p w:rsidR="005329B8" w14:paraId="55666D3A" w14:textId="482BC5E6">
      <w:pPr>
        <w:pStyle w:val="TOC1"/>
        <w:rPr>
          <w:rFonts w:eastAsiaTheme="minorEastAsia" w:cstheme="minorBidi"/>
          <w:color w:val="auto"/>
          <w:kern w:val="2"/>
          <w14:ligatures w14:val="standardContextual"/>
        </w:rPr>
      </w:pPr>
      <w:hyperlink w:anchor="_Toc217324953" w:history="1">
        <w:r w:rsidRPr="0023519F">
          <w:rPr>
            <w:rStyle w:val="Hyperlink"/>
          </w:rPr>
          <w:t>B.3. Methods to Maximize Response Rates and Address Nonresponse</w:t>
        </w:r>
        <w:r>
          <w:rPr>
            <w:webHidden/>
          </w:rPr>
          <w:tab/>
        </w:r>
        <w:r>
          <w:rPr>
            <w:webHidden/>
          </w:rPr>
          <w:fldChar w:fldCharType="begin"/>
        </w:r>
        <w:r>
          <w:rPr>
            <w:webHidden/>
          </w:rPr>
          <w:instrText xml:space="preserve"> PAGEREF _Toc217324953 \h </w:instrText>
        </w:r>
        <w:r>
          <w:rPr>
            <w:webHidden/>
          </w:rPr>
          <w:fldChar w:fldCharType="separate"/>
        </w:r>
        <w:r>
          <w:rPr>
            <w:webHidden/>
          </w:rPr>
          <w:t>16</w:t>
        </w:r>
        <w:r>
          <w:rPr>
            <w:webHidden/>
          </w:rPr>
          <w:fldChar w:fldCharType="end"/>
        </w:r>
      </w:hyperlink>
    </w:p>
    <w:p w:rsidR="005329B8" w14:paraId="55792568" w14:textId="79D2EF52">
      <w:pPr>
        <w:pStyle w:val="TOC2"/>
        <w:rPr>
          <w:rFonts w:eastAsiaTheme="minorEastAsia" w:cstheme="minorBidi"/>
          <w:color w:val="auto"/>
          <w:kern w:val="2"/>
          <w14:ligatures w14:val="standardContextual"/>
        </w:rPr>
      </w:pPr>
      <w:hyperlink w:anchor="_Toc217324954" w:history="1">
        <w:r w:rsidRPr="0023519F">
          <w:rPr>
            <w:rStyle w:val="Hyperlink"/>
          </w:rPr>
          <w:t>B.3.1. Securing Cooperation</w:t>
        </w:r>
        <w:r>
          <w:rPr>
            <w:webHidden/>
          </w:rPr>
          <w:tab/>
        </w:r>
        <w:r>
          <w:rPr>
            <w:webHidden/>
          </w:rPr>
          <w:fldChar w:fldCharType="begin"/>
        </w:r>
        <w:r>
          <w:rPr>
            <w:webHidden/>
          </w:rPr>
          <w:instrText xml:space="preserve"> PAGEREF _Toc217324954 \h </w:instrText>
        </w:r>
        <w:r>
          <w:rPr>
            <w:webHidden/>
          </w:rPr>
          <w:fldChar w:fldCharType="separate"/>
        </w:r>
        <w:r>
          <w:rPr>
            <w:webHidden/>
          </w:rPr>
          <w:t>16</w:t>
        </w:r>
        <w:r>
          <w:rPr>
            <w:webHidden/>
          </w:rPr>
          <w:fldChar w:fldCharType="end"/>
        </w:r>
      </w:hyperlink>
    </w:p>
    <w:p w:rsidR="005329B8" w14:paraId="239CF0BB" w14:textId="6779C04F">
      <w:pPr>
        <w:pStyle w:val="TOC2"/>
        <w:rPr>
          <w:rFonts w:eastAsiaTheme="minorEastAsia" w:cstheme="minorBidi"/>
          <w:color w:val="auto"/>
          <w:kern w:val="2"/>
          <w14:ligatures w14:val="standardContextual"/>
        </w:rPr>
      </w:pPr>
      <w:hyperlink w:anchor="_Toc217324955" w:history="1">
        <w:r w:rsidRPr="0023519F">
          <w:rPr>
            <w:rStyle w:val="Hyperlink"/>
          </w:rPr>
          <w:t>B.3.2. Methods to Maximize Response Rates</w:t>
        </w:r>
        <w:r>
          <w:rPr>
            <w:webHidden/>
          </w:rPr>
          <w:tab/>
        </w:r>
        <w:r>
          <w:rPr>
            <w:webHidden/>
          </w:rPr>
          <w:fldChar w:fldCharType="begin"/>
        </w:r>
        <w:r>
          <w:rPr>
            <w:webHidden/>
          </w:rPr>
          <w:instrText xml:space="preserve"> PAGEREF _Toc217324955 \h </w:instrText>
        </w:r>
        <w:r>
          <w:rPr>
            <w:webHidden/>
          </w:rPr>
          <w:fldChar w:fldCharType="separate"/>
        </w:r>
        <w:r>
          <w:rPr>
            <w:webHidden/>
          </w:rPr>
          <w:t>17</w:t>
        </w:r>
        <w:r>
          <w:rPr>
            <w:webHidden/>
          </w:rPr>
          <w:fldChar w:fldCharType="end"/>
        </w:r>
      </w:hyperlink>
    </w:p>
    <w:p w:rsidR="005329B8" w14:paraId="56CC09A1" w14:textId="0311DBF3">
      <w:pPr>
        <w:pStyle w:val="TOC1"/>
        <w:rPr>
          <w:rFonts w:eastAsiaTheme="minorEastAsia" w:cstheme="minorBidi"/>
          <w:color w:val="auto"/>
          <w:kern w:val="2"/>
          <w14:ligatures w14:val="standardContextual"/>
        </w:rPr>
      </w:pPr>
      <w:hyperlink w:anchor="_Toc217324956" w:history="1">
        <w:r w:rsidRPr="0023519F">
          <w:rPr>
            <w:rStyle w:val="Hyperlink"/>
          </w:rPr>
          <w:t>B.4. Tests of Procedures</w:t>
        </w:r>
        <w:r>
          <w:rPr>
            <w:webHidden/>
          </w:rPr>
          <w:tab/>
        </w:r>
        <w:r>
          <w:rPr>
            <w:webHidden/>
          </w:rPr>
          <w:fldChar w:fldCharType="begin"/>
        </w:r>
        <w:r>
          <w:rPr>
            <w:webHidden/>
          </w:rPr>
          <w:instrText xml:space="preserve"> PAGEREF _Toc217324956 \h </w:instrText>
        </w:r>
        <w:r>
          <w:rPr>
            <w:webHidden/>
          </w:rPr>
          <w:fldChar w:fldCharType="separate"/>
        </w:r>
        <w:r>
          <w:rPr>
            <w:webHidden/>
          </w:rPr>
          <w:t>18</w:t>
        </w:r>
        <w:r>
          <w:rPr>
            <w:webHidden/>
          </w:rPr>
          <w:fldChar w:fldCharType="end"/>
        </w:r>
      </w:hyperlink>
    </w:p>
    <w:p w:rsidR="005329B8" w14:paraId="6C9A3B34" w14:textId="4281DF9B">
      <w:pPr>
        <w:pStyle w:val="TOC1"/>
        <w:rPr>
          <w:rFonts w:eastAsiaTheme="minorEastAsia" w:cstheme="minorBidi"/>
          <w:color w:val="auto"/>
          <w:kern w:val="2"/>
          <w14:ligatures w14:val="standardContextual"/>
        </w:rPr>
      </w:pPr>
      <w:hyperlink w:anchor="_Toc217324957" w:history="1">
        <w:r w:rsidRPr="0023519F">
          <w:rPr>
            <w:rStyle w:val="Hyperlink"/>
          </w:rPr>
          <w:t>B.5. Individuals Consulted on Statistical Aspects of the Design and Leading Data Collection/Analysis</w:t>
        </w:r>
        <w:r>
          <w:rPr>
            <w:webHidden/>
          </w:rPr>
          <w:tab/>
        </w:r>
        <w:r>
          <w:rPr>
            <w:webHidden/>
          </w:rPr>
          <w:fldChar w:fldCharType="begin"/>
        </w:r>
        <w:r>
          <w:rPr>
            <w:webHidden/>
          </w:rPr>
          <w:instrText xml:space="preserve"> PAGEREF _Toc217324957 \h </w:instrText>
        </w:r>
        <w:r>
          <w:rPr>
            <w:webHidden/>
          </w:rPr>
          <w:fldChar w:fldCharType="separate"/>
        </w:r>
        <w:r>
          <w:rPr>
            <w:webHidden/>
          </w:rPr>
          <w:t>19</w:t>
        </w:r>
        <w:r>
          <w:rPr>
            <w:webHidden/>
          </w:rPr>
          <w:fldChar w:fldCharType="end"/>
        </w:r>
      </w:hyperlink>
    </w:p>
    <w:p w:rsidR="00C1337A" w:rsidRPr="00D67B9F" w:rsidP="003322E9" w14:paraId="55A700D2" w14:textId="73DE324C">
      <w:pPr>
        <w:pStyle w:val="TOC1"/>
      </w:pPr>
      <w:r>
        <w:fldChar w:fldCharType="end"/>
      </w:r>
    </w:p>
    <w:p w:rsidR="000F39E2" w14:paraId="02D75DBF" w14:textId="77777777">
      <w:pPr>
        <w:rPr>
          <w:rFonts w:eastAsia="Calibri" w:cs="Times New Roman"/>
        </w:rPr>
      </w:pPr>
      <w:r>
        <w:br w:type="page"/>
      </w:r>
    </w:p>
    <w:p w:rsidR="00C1337A" w:rsidP="00367645" w14:paraId="1B34199E" w14:textId="77777777">
      <w:pPr>
        <w:pStyle w:val="TOCHeading"/>
      </w:pPr>
      <w:r w:rsidRPr="00D67B9F">
        <w:t>Exhibits</w:t>
      </w:r>
    </w:p>
    <w:p w:rsidR="000F39E2" w:rsidRPr="000F39E2" w:rsidP="00BC4B32" w14:paraId="38C782D7" w14:textId="77777777">
      <w:pPr>
        <w:pStyle w:val="H2TOCLine1-12-6"/>
        <w:framePr w:wrap="notBeside"/>
      </w:pPr>
    </w:p>
    <w:p w:rsidR="005329B8" w14:paraId="16D77A2A" w14:textId="34DA096A">
      <w:pPr>
        <w:pStyle w:val="TOC1"/>
        <w:rPr>
          <w:rFonts w:eastAsiaTheme="minorEastAsia" w:cstheme="minorBidi"/>
          <w:color w:val="auto"/>
          <w:kern w:val="2"/>
          <w14:ligatures w14:val="standardContextual"/>
        </w:rPr>
      </w:pPr>
      <w:r w:rsidRPr="00D67B9F">
        <w:fldChar w:fldCharType="begin"/>
      </w:r>
      <w:r w:rsidRPr="00D67B9F">
        <w:instrText xml:space="preserve"> TOC \h \z \t "Caption,1,Exhibit Title,1,Figure Title,1,Table Title,1,Appx Exhibit Title,1,Exhibit Title Appendix,1" </w:instrText>
      </w:r>
      <w:r w:rsidRPr="00D67B9F">
        <w:fldChar w:fldCharType="separate"/>
      </w:r>
      <w:hyperlink w:anchor="_Toc217324958" w:history="1">
        <w:r w:rsidRPr="00DE5000">
          <w:rPr>
            <w:rStyle w:val="Hyperlink"/>
          </w:rPr>
          <w:t>Exhibit 1. Expected number of responding LEAs and expected number of students receiving special education in responding LEAs, overall and by student disability category</w:t>
        </w:r>
        <w:r>
          <w:rPr>
            <w:webHidden/>
          </w:rPr>
          <w:tab/>
        </w:r>
        <w:r>
          <w:rPr>
            <w:webHidden/>
          </w:rPr>
          <w:fldChar w:fldCharType="begin"/>
        </w:r>
        <w:r>
          <w:rPr>
            <w:webHidden/>
          </w:rPr>
          <w:instrText xml:space="preserve"> PAGEREF _Toc217324958 \h </w:instrText>
        </w:r>
        <w:r>
          <w:rPr>
            <w:webHidden/>
          </w:rPr>
          <w:fldChar w:fldCharType="separate"/>
        </w:r>
        <w:r>
          <w:rPr>
            <w:webHidden/>
          </w:rPr>
          <w:t>5</w:t>
        </w:r>
        <w:r>
          <w:rPr>
            <w:webHidden/>
          </w:rPr>
          <w:fldChar w:fldCharType="end"/>
        </w:r>
      </w:hyperlink>
    </w:p>
    <w:p w:rsidR="005329B8" w14:paraId="6376675C" w14:textId="67318609">
      <w:pPr>
        <w:pStyle w:val="TOC1"/>
        <w:rPr>
          <w:rFonts w:eastAsiaTheme="minorEastAsia" w:cstheme="minorBidi"/>
          <w:color w:val="auto"/>
          <w:kern w:val="2"/>
          <w14:ligatures w14:val="standardContextual"/>
        </w:rPr>
      </w:pPr>
      <w:hyperlink w:anchor="_Toc217324959" w:history="1">
        <w:r w:rsidRPr="00DE5000">
          <w:rPr>
            <w:rStyle w:val="Hyperlink"/>
          </w:rPr>
          <w:t>Exhibit 2. Key statistics for the total special education spending estimates from the SEEP that were used to develop the SWD sample design</w:t>
        </w:r>
        <w:r>
          <w:rPr>
            <w:webHidden/>
          </w:rPr>
          <w:tab/>
        </w:r>
        <w:r>
          <w:rPr>
            <w:webHidden/>
          </w:rPr>
          <w:fldChar w:fldCharType="begin"/>
        </w:r>
        <w:r>
          <w:rPr>
            <w:webHidden/>
          </w:rPr>
          <w:instrText xml:space="preserve"> PAGEREF _Toc217324959 \h </w:instrText>
        </w:r>
        <w:r>
          <w:rPr>
            <w:webHidden/>
          </w:rPr>
          <w:fldChar w:fldCharType="separate"/>
        </w:r>
        <w:r>
          <w:rPr>
            <w:webHidden/>
          </w:rPr>
          <w:t>7</w:t>
        </w:r>
        <w:r>
          <w:rPr>
            <w:webHidden/>
          </w:rPr>
          <w:fldChar w:fldCharType="end"/>
        </w:r>
      </w:hyperlink>
    </w:p>
    <w:p w:rsidR="005329B8" w14:paraId="506826E9" w14:textId="1F7B48B8">
      <w:pPr>
        <w:pStyle w:val="TOC1"/>
        <w:rPr>
          <w:rFonts w:eastAsiaTheme="minorEastAsia" w:cstheme="minorBidi"/>
          <w:color w:val="auto"/>
          <w:kern w:val="2"/>
          <w14:ligatures w14:val="standardContextual"/>
        </w:rPr>
      </w:pPr>
      <w:hyperlink w:anchor="_Toc217324960" w:history="1">
        <w:r w:rsidRPr="00DE5000">
          <w:rPr>
            <w:rStyle w:val="Hyperlink"/>
          </w:rPr>
          <w:t>Exhibit 3. Population of SWDs, expected number of responding SWDs, and RMOE, by disability category</w:t>
        </w:r>
        <w:r>
          <w:rPr>
            <w:webHidden/>
          </w:rPr>
          <w:tab/>
        </w:r>
        <w:r>
          <w:rPr>
            <w:webHidden/>
          </w:rPr>
          <w:fldChar w:fldCharType="begin"/>
        </w:r>
        <w:r>
          <w:rPr>
            <w:webHidden/>
          </w:rPr>
          <w:instrText xml:space="preserve"> PAGEREF _Toc217324960 \h </w:instrText>
        </w:r>
        <w:r>
          <w:rPr>
            <w:webHidden/>
          </w:rPr>
          <w:fldChar w:fldCharType="separate"/>
        </w:r>
        <w:r>
          <w:rPr>
            <w:webHidden/>
          </w:rPr>
          <w:t>9</w:t>
        </w:r>
        <w:r>
          <w:rPr>
            <w:webHidden/>
          </w:rPr>
          <w:fldChar w:fldCharType="end"/>
        </w:r>
      </w:hyperlink>
    </w:p>
    <w:p w:rsidR="005329B8" w14:paraId="46A9A777" w14:textId="692E7925">
      <w:pPr>
        <w:pStyle w:val="TOC1"/>
        <w:rPr>
          <w:rFonts w:eastAsiaTheme="minorEastAsia" w:cstheme="minorBidi"/>
          <w:color w:val="auto"/>
          <w:kern w:val="2"/>
          <w14:ligatures w14:val="standardContextual"/>
        </w:rPr>
      </w:pPr>
      <w:hyperlink w:anchor="_Toc217324961" w:history="1">
        <w:r w:rsidRPr="00DE5000">
          <w:rPr>
            <w:rStyle w:val="Hyperlink"/>
          </w:rPr>
          <w:t xml:space="preserve">Exhibit 4. Test statistics key student groups </w:t>
        </w:r>
        <w:r>
          <w:rPr>
            <w:webHidden/>
          </w:rPr>
          <w:tab/>
        </w:r>
        <w:r>
          <w:rPr>
            <w:webHidden/>
          </w:rPr>
          <w:fldChar w:fldCharType="begin"/>
        </w:r>
        <w:r>
          <w:rPr>
            <w:webHidden/>
          </w:rPr>
          <w:instrText xml:space="preserve"> PAGEREF _Toc217324961 \h </w:instrText>
        </w:r>
        <w:r>
          <w:rPr>
            <w:webHidden/>
          </w:rPr>
          <w:fldChar w:fldCharType="separate"/>
        </w:r>
        <w:r>
          <w:rPr>
            <w:webHidden/>
          </w:rPr>
          <w:t>11</w:t>
        </w:r>
        <w:r>
          <w:rPr>
            <w:webHidden/>
          </w:rPr>
          <w:fldChar w:fldCharType="end"/>
        </w:r>
      </w:hyperlink>
    </w:p>
    <w:p w:rsidR="005329B8" w14:paraId="758A4C81" w14:textId="5C255952">
      <w:pPr>
        <w:pStyle w:val="TOC1"/>
        <w:rPr>
          <w:rFonts w:eastAsiaTheme="minorEastAsia" w:cstheme="minorBidi"/>
          <w:color w:val="auto"/>
          <w:kern w:val="2"/>
          <w14:ligatures w14:val="standardContextual"/>
        </w:rPr>
      </w:pPr>
      <w:hyperlink w:anchor="_Toc217324962" w:history="1">
        <w:r w:rsidRPr="00DE5000">
          <w:rPr>
            <w:rStyle w:val="Hyperlink"/>
          </w:rPr>
          <w:t>Exhibit 5. Test statistics for three-stage sampling design, by key LEA groups</w:t>
        </w:r>
        <w:r>
          <w:rPr>
            <w:webHidden/>
          </w:rPr>
          <w:tab/>
        </w:r>
        <w:r>
          <w:rPr>
            <w:webHidden/>
          </w:rPr>
          <w:fldChar w:fldCharType="begin"/>
        </w:r>
        <w:r>
          <w:rPr>
            <w:webHidden/>
          </w:rPr>
          <w:instrText xml:space="preserve"> PAGEREF _Toc217324962 \h </w:instrText>
        </w:r>
        <w:r>
          <w:rPr>
            <w:webHidden/>
          </w:rPr>
          <w:fldChar w:fldCharType="separate"/>
        </w:r>
        <w:r>
          <w:rPr>
            <w:webHidden/>
          </w:rPr>
          <w:t>12</w:t>
        </w:r>
        <w:r>
          <w:rPr>
            <w:webHidden/>
          </w:rPr>
          <w:fldChar w:fldCharType="end"/>
        </w:r>
      </w:hyperlink>
    </w:p>
    <w:p w:rsidR="008F7CCB" w:rsidRPr="008F7CCB" w:rsidP="003322E9" w14:paraId="046490B8" w14:textId="55A5ED9E">
      <w:pPr>
        <w:pStyle w:val="TableofFigures"/>
      </w:pPr>
      <w:r w:rsidRPr="00D67B9F">
        <w:fldChar w:fldCharType="end"/>
      </w:r>
      <w:bookmarkStart w:id="7" w:name="_Hlk111448237"/>
      <w:bookmarkStart w:id="8" w:name="_Hlk111323045"/>
      <w:bookmarkEnd w:id="2"/>
      <w:bookmarkEnd w:id="3"/>
      <w:bookmarkEnd w:id="4"/>
    </w:p>
    <w:p w:rsidR="00614251" w:rsidP="00367645" w14:paraId="2110A53C" w14:textId="77777777">
      <w:pPr>
        <w:pStyle w:val="Heading2"/>
        <w:sectPr w:rsidSect="00614251">
          <w:headerReference w:type="default" r:id="rId11"/>
          <w:footerReference w:type="default" r:id="rId12"/>
          <w:headerReference w:type="first" r:id="rId13"/>
          <w:footerReference w:type="first" r:id="rId14"/>
          <w:pgSz w:w="12240" w:h="15840" w:code="1"/>
          <w:pgMar w:top="1440" w:right="1440" w:bottom="1440" w:left="1440" w:header="720" w:footer="432" w:gutter="0"/>
          <w:pgNumType w:fmt="lowerRoman"/>
          <w:cols w:space="720"/>
          <w:docGrid w:linePitch="326"/>
        </w:sectPr>
      </w:pPr>
      <w:bookmarkStart w:id="9" w:name="_Hlk111450351"/>
    </w:p>
    <w:p w:rsidR="00A21AD9" w:rsidP="00EC46A4" w14:paraId="37A25C77" w14:textId="77777777">
      <w:pPr>
        <w:pStyle w:val="Heading2Report"/>
      </w:pPr>
      <w:bookmarkStart w:id="10" w:name="_Toc217324940"/>
      <w:bookmarkStart w:id="11" w:name="_Toc67149942"/>
      <w:bookmarkEnd w:id="0"/>
      <w:bookmarkEnd w:id="7"/>
      <w:bookmarkEnd w:id="8"/>
      <w:bookmarkEnd w:id="9"/>
      <w:r w:rsidRPr="00C168CA">
        <w:t>Introduction</w:t>
      </w:r>
      <w:bookmarkEnd w:id="10"/>
    </w:p>
    <w:p w:rsidR="00EC46A4" w:rsidRPr="00EC46A4" w:rsidP="00EC46A4" w14:paraId="3C9F6B33" w14:textId="77777777">
      <w:pPr>
        <w:pStyle w:val="H2Line075-12-6"/>
        <w:framePr w:wrap="notBeside"/>
        <w:rPr>
          <w:lang w:eastAsia="en-US"/>
        </w:rPr>
      </w:pPr>
    </w:p>
    <w:p w:rsidR="00A21AD9" w:rsidP="008238D9" w14:paraId="6AC20F9A" w14:textId="26B0982B">
      <w:pPr>
        <w:pStyle w:val="BodyTextPostHeading"/>
        <w:rPr>
          <w:rFonts w:eastAsia="Times New Roman" w:cstheme="minorHAnsi"/>
        </w:rPr>
      </w:pPr>
      <w:bookmarkStart w:id="12" w:name="_Toc185327028"/>
      <w:bookmarkEnd w:id="11"/>
      <w:r w:rsidRPr="00A43951">
        <w:t>The</w:t>
      </w:r>
      <w:r>
        <w:t xml:space="preserve"> Institute of Education Sciences (IES), within the U.S. Department of Education (ED),</w:t>
      </w:r>
      <w:r w:rsidRPr="00552B0F">
        <w:rPr>
          <w:rFonts w:eastAsia="Times New Roman"/>
        </w:rPr>
        <w:t xml:space="preserve"> request</w:t>
      </w:r>
      <w:r>
        <w:rPr>
          <w:rFonts w:eastAsia="Times New Roman"/>
        </w:rPr>
        <w:t>s</w:t>
      </w:r>
      <w:r w:rsidRPr="00552B0F">
        <w:rPr>
          <w:rFonts w:eastAsia="Times New Roman"/>
        </w:rPr>
        <w:t xml:space="preserve"> </w:t>
      </w:r>
      <w:r>
        <w:rPr>
          <w:rFonts w:eastAsia="Times New Roman"/>
        </w:rPr>
        <w:t>clearance from the Office of Management and Budget (OMB)</w:t>
      </w:r>
      <w:r w:rsidRPr="00552B0F">
        <w:rPr>
          <w:rFonts w:eastAsia="Times New Roman"/>
        </w:rPr>
        <w:t xml:space="preserve"> for</w:t>
      </w:r>
      <w:r>
        <w:rPr>
          <w:rFonts w:eastAsia="Times New Roman"/>
        </w:rPr>
        <w:t xml:space="preserve"> a</w:t>
      </w:r>
      <w:r w:rsidRPr="00552B0F">
        <w:rPr>
          <w:rFonts w:eastAsia="Times New Roman"/>
        </w:rPr>
        <w:t xml:space="preserve"> </w:t>
      </w:r>
      <w:r>
        <w:rPr>
          <w:rFonts w:eastAsia="Times New Roman"/>
        </w:rPr>
        <w:t xml:space="preserve">new data collection, the </w:t>
      </w:r>
      <w:hyperlink r:id="rId15">
        <w:r w:rsidRPr="00552B0F">
          <w:rPr>
            <w:rStyle w:val="Hyperlink"/>
            <w:rFonts w:eastAsia="Times New Roman"/>
          </w:rPr>
          <w:t>National Study of Special Education Spending</w:t>
        </w:r>
      </w:hyperlink>
      <w:r w:rsidRPr="00552B0F">
        <w:rPr>
          <w:rFonts w:eastAsia="Times New Roman"/>
        </w:rPr>
        <w:t xml:space="preserve"> (</w:t>
      </w:r>
      <w:r w:rsidRPr="003D40A5">
        <w:rPr>
          <w:rFonts w:eastAsia="Times New Roman"/>
        </w:rPr>
        <w:t>NSSES</w:t>
      </w:r>
      <w:r w:rsidRPr="00552B0F">
        <w:rPr>
          <w:rFonts w:eastAsia="Times New Roman"/>
        </w:rPr>
        <w:t>)</w:t>
      </w:r>
      <w:r>
        <w:rPr>
          <w:rFonts w:eastAsia="Times New Roman"/>
        </w:rPr>
        <w:t xml:space="preserve">. The study will produce estimates for spending on special education services for students with disabilities (SWDs), both overall and by disability category, including expenditures made by states, districts, and schools. </w:t>
      </w:r>
      <w:r>
        <w:rPr>
          <w:rFonts w:eastAsia="Times New Roman" w:cstheme="minorHAnsi"/>
        </w:rPr>
        <w:t xml:space="preserve">The NSSES also will </w:t>
      </w:r>
      <w:r w:rsidRPr="00FF44BE">
        <w:t xml:space="preserve">provide policymakers and special education administrators </w:t>
      </w:r>
      <w:r>
        <w:t xml:space="preserve">with an up-to-date understanding of the key factors that influence special education spending, what this spending pays for, and to what extent federal appropriations from the Individuals with Disabilities Education Act </w:t>
      </w:r>
      <w:r w:rsidRPr="00622F11">
        <w:t>of 2004 (IDEA)</w:t>
      </w:r>
      <w:r>
        <w:t xml:space="preserve"> cover special education spending</w:t>
      </w:r>
      <w:r w:rsidRPr="00622F11">
        <w:t>.</w:t>
      </w:r>
    </w:p>
    <w:p w:rsidR="00A21AD9" w:rsidP="008238D9" w14:paraId="31DD8700" w14:textId="09055E38">
      <w:pPr>
        <w:pStyle w:val="BodyText"/>
      </w:pPr>
      <w:r>
        <w:t>IES contracted with the American Institutes for Research® (AIR®) and its partner organizations—the National Opinion Research Center, at the University of Chicago (NORC) and Allovue, a PowerSchool company (Allovue)—to conduct this study. Together, AIR, NORC, and Allovue are hereafter referred to as “the study team.” The study team is currently pilot-testing the NSSES planned recruitment strategy, survey instruments, and other data collection procedures in an OMB-approved pilot study (</w:t>
      </w:r>
      <w:hyperlink r:id="rId16">
        <w:r w:rsidRPr="14953AF8">
          <w:rPr>
            <w:rStyle w:val="Hyperlink"/>
            <w:rFonts w:cstheme="minorBidi"/>
          </w:rPr>
          <w:t>OMB# 1850-0952 v.10</w:t>
        </w:r>
      </w:hyperlink>
      <w:r>
        <w:t xml:space="preserve">, </w:t>
      </w:r>
      <w:hyperlink r:id="rId17">
        <w:r w:rsidRPr="14953AF8">
          <w:rPr>
            <w:rStyle w:val="Hyperlink"/>
          </w:rPr>
          <w:t>v.12</w:t>
        </w:r>
      </w:hyperlink>
      <w:r>
        <w:t>). Preliminary results from the pilot test’s recruitment phase informed the methods and procedures described in this submission.</w:t>
      </w:r>
    </w:p>
    <w:p w:rsidR="00A21AD9" w:rsidP="008238D9" w14:paraId="1A90CEBD" w14:textId="09421383">
      <w:pPr>
        <w:pStyle w:val="BodyText"/>
      </w:pPr>
      <w:r>
        <w:rPr>
          <w:rFonts w:cstheme="minorHAnsi"/>
        </w:rPr>
        <w:t xml:space="preserve">This is the first of two OMB clearance packages. This package is for clearance </w:t>
      </w:r>
      <w:r w:rsidRPr="00201AB0">
        <w:t xml:space="preserve">to contact </w:t>
      </w:r>
      <w:r>
        <w:t>state education agencies (</w:t>
      </w:r>
      <w:r w:rsidRPr="00201AB0">
        <w:t>SEAs</w:t>
      </w:r>
      <w:r>
        <w:t>)</w:t>
      </w:r>
      <w:r w:rsidRPr="00201AB0">
        <w:t>,</w:t>
      </w:r>
      <w:r>
        <w:t xml:space="preserve"> local education agencies (</w:t>
      </w:r>
      <w:r w:rsidRPr="00201AB0">
        <w:t>LEAs</w:t>
      </w:r>
      <w:r>
        <w:t>)</w:t>
      </w:r>
      <w:r w:rsidRPr="00201AB0">
        <w:t xml:space="preserve">, and schools </w:t>
      </w:r>
      <w:r>
        <w:t xml:space="preserve">in summer and fall 2026 </w:t>
      </w:r>
      <w:r w:rsidRPr="00201AB0">
        <w:t xml:space="preserve">to request their cooperation </w:t>
      </w:r>
      <w:r>
        <w:t>and participation</w:t>
      </w:r>
      <w:r w:rsidRPr="00201AB0">
        <w:t xml:space="preserve"> in the study and to collect the directory and enrollment data needed to sample students</w:t>
      </w:r>
      <w:r>
        <w:t>. A future package will request clearance to collect data from teachers, service providers, and LEA and SEA staff through survey instruments and administrative data files during the 2026–27 school year.</w:t>
      </w:r>
    </w:p>
    <w:p w:rsidR="00A21AD9" w:rsidP="00EC46A4" w14:paraId="4057E3EE" w14:textId="2741F456">
      <w:pPr>
        <w:pStyle w:val="Heading2Report"/>
      </w:pPr>
      <w:bookmarkStart w:id="13" w:name="_Toc217324941"/>
      <w:r>
        <w:t>B.1</w:t>
      </w:r>
      <w:r w:rsidR="006D425F">
        <w:t xml:space="preserve">. </w:t>
      </w:r>
      <w:r>
        <w:t>Respondent Universe and Sampling Methods</w:t>
      </w:r>
      <w:bookmarkEnd w:id="12"/>
      <w:bookmarkEnd w:id="13"/>
    </w:p>
    <w:p w:rsidR="00EC46A4" w:rsidRPr="00EC46A4" w:rsidP="00EC46A4" w14:paraId="12E56EFA" w14:textId="77777777">
      <w:pPr>
        <w:pStyle w:val="H2Line075-12-6"/>
        <w:framePr w:wrap="notBeside"/>
        <w:rPr>
          <w:lang w:eastAsia="en-US"/>
        </w:rPr>
      </w:pPr>
    </w:p>
    <w:p w:rsidR="00A21AD9" w:rsidP="008238D9" w14:paraId="06CFEEF1" w14:textId="64EA7533">
      <w:pPr>
        <w:pStyle w:val="BodyTextPostHeading"/>
      </w:pPr>
      <w:r>
        <w:t xml:space="preserve">The NSSES sampling plan is designed to produce nationally representative estimates for average total spending </w:t>
      </w:r>
      <w:r w:rsidR="00E63A51">
        <w:t>per</w:t>
      </w:r>
      <w:r w:rsidR="004044C7">
        <w:t xml:space="preserve"> </w:t>
      </w:r>
      <w:r>
        <w:t xml:space="preserve">SWD at the level of precision that can inform policy. Producing these estimates requires collecting data from a large sample of districts, schools, and students so that the findings reflect the experiences of SWDs nationwide and support disaggregation by IDEA’s disability categories and other policy-relevant groups of districts and students. IDEA recognizes </w:t>
      </w:r>
      <w:r>
        <w:t xml:space="preserve">13 federally defined disability categories, and even within these categories, students differ substantially in their needs and the services they </w:t>
      </w:r>
      <w:r w:rsidRPr="006069B2">
        <w:t>receive (e.g., Barret et al. 2020; Cleveland and Markham 2024; Jackson et al. 2022; Maurer et al. 2024; McCabe 2024).</w:t>
      </w:r>
      <w:r>
        <w:rPr>
          <w:rStyle w:val="FootnoteReference"/>
        </w:rPr>
        <w:footnoteReference w:id="3"/>
      </w:r>
      <w:r w:rsidRPr="006069B2">
        <w:t xml:space="preserve"> A large sample is needed because special education spending varies widely among students with different disabilities and levels of need (Chambers et al. 2003).</w:t>
      </w:r>
      <w:r>
        <w:rPr>
          <w:rStyle w:val="FootnoteReference"/>
        </w:rPr>
        <w:footnoteReference w:id="4"/>
      </w:r>
    </w:p>
    <w:p w:rsidR="00A21AD9" w:rsidP="008238D9" w14:paraId="720E3FFB" w14:textId="77777777">
      <w:pPr>
        <w:pStyle w:val="BodyText"/>
      </w:pPr>
      <w:r>
        <w:t xml:space="preserve">The next section outlines the NSSES sampling plan’s goals, followed by a section that describes the study’s three-stage sample design. </w:t>
      </w:r>
    </w:p>
    <w:p w:rsidR="00A21AD9" w:rsidRPr="00CB3180" w:rsidP="00CB3180" w14:paraId="27B97560" w14:textId="77777777">
      <w:pPr>
        <w:pStyle w:val="Heading3"/>
        <w:numPr>
          <w:ilvl w:val="0"/>
          <w:numId w:val="0"/>
        </w:numPr>
      </w:pPr>
      <w:bookmarkStart w:id="14" w:name="_Toc217324942"/>
      <w:r w:rsidRPr="00CB3180">
        <w:t>B.1.1. Sampling Plan Goals</w:t>
      </w:r>
      <w:bookmarkEnd w:id="14"/>
    </w:p>
    <w:p w:rsidR="00A21AD9" w:rsidRPr="00CB3180" w:rsidP="008238D9" w14:paraId="10D89AA7" w14:textId="5A4D9D0B">
      <w:pPr>
        <w:pStyle w:val="BodyTextPostHeading"/>
      </w:pPr>
      <w:r w:rsidRPr="00CB3180">
        <w:t>The NSSES sampling plan was designed to achieve the following goals:</w:t>
      </w:r>
    </w:p>
    <w:p w:rsidR="00A21AD9" w:rsidRPr="00B448B4" w:rsidP="00251D99" w14:paraId="60B1A3AD" w14:textId="70ADC2AC">
      <w:pPr>
        <w:pStyle w:val="Bullet1"/>
      </w:pPr>
      <w:r w:rsidRPr="00B448B4">
        <w:t xml:space="preserve">Generate a nationally representative estimate of average total spending per SWD for a universe of public school SWDs receiving special education, with no more than a 5 percent relative margin of error (RMOE). </w:t>
      </w:r>
    </w:p>
    <w:p w:rsidR="00A21AD9" w:rsidRPr="00B448B4" w:rsidP="00251D99" w14:paraId="19E107BB" w14:textId="496DEB2A">
      <w:pPr>
        <w:pStyle w:val="Bullet1"/>
      </w:pPr>
      <w:r w:rsidRPr="00B448B4">
        <w:t>Generate average total spending estimates, with an 8 percent RMOE, for most of the 13 disability categories identified by IDEA,</w:t>
      </w:r>
      <w:r>
        <w:rPr>
          <w:rStyle w:val="FootnoteReference"/>
        </w:rPr>
        <w:footnoteReference w:id="5"/>
      </w:r>
      <w:r w:rsidRPr="00B448B4">
        <w:t xml:space="preserve"> except for the deaf-blindness (DB), developmental delay (DD), Traumatic brain injury (TBI), and visual impairment (VI) disability categories (see section </w:t>
      </w:r>
      <w:r w:rsidRPr="003C330E">
        <w:t>B.</w:t>
      </w:r>
      <w:r w:rsidRPr="003C330E" w:rsidR="003C330E">
        <w:t>1.5</w:t>
      </w:r>
      <w:r w:rsidRPr="003C330E">
        <w:t xml:space="preserve"> for</w:t>
      </w:r>
      <w:r w:rsidRPr="00B448B4">
        <w:t xml:space="preserve"> further information about special assumptions for these categories).</w:t>
      </w:r>
    </w:p>
    <w:p w:rsidR="00A21AD9" w:rsidRPr="00B448B4" w:rsidP="00251D99" w14:paraId="68F24947" w14:textId="5D0A1625">
      <w:pPr>
        <w:pStyle w:val="Bullet1"/>
      </w:pPr>
      <w:r w:rsidRPr="00B448B4">
        <w:t xml:space="preserve">Generate a nationally representative estimate of average total spending per student for a universe of </w:t>
      </w:r>
      <w:r w:rsidRPr="00B448B4" w:rsidR="00705BEB">
        <w:t>public-school</w:t>
      </w:r>
      <w:r w:rsidRPr="00B448B4">
        <w:t xml:space="preserve"> students who do not receive special education, with no more than a 3 percent RMOE.</w:t>
      </w:r>
      <w:r>
        <w:rPr>
          <w:rStyle w:val="FootnoteReference"/>
        </w:rPr>
        <w:footnoteReference w:id="6"/>
      </w:r>
      <w:r w:rsidRPr="00251D99">
        <w:rPr>
          <w:vertAlign w:val="superscript"/>
        </w:rPr>
        <w:t xml:space="preserve"> </w:t>
      </w:r>
    </w:p>
    <w:p w:rsidR="00A21AD9" w:rsidRPr="00B448B4" w:rsidP="00251D99" w14:paraId="31F21969" w14:textId="7FD72E06">
      <w:pPr>
        <w:pStyle w:val="Bullet1"/>
      </w:pPr>
      <w:r w:rsidRPr="00B448B4">
        <w:t xml:space="preserve">Support reporting average total spending per SWD for groups of students categorized according to </w:t>
      </w:r>
      <w:r w:rsidR="008B21FB">
        <w:t xml:space="preserve">a student’s </w:t>
      </w:r>
      <w:r w:rsidRPr="00B448B4">
        <w:t xml:space="preserve">(a) </w:t>
      </w:r>
      <w:r w:rsidR="00A133B6">
        <w:t xml:space="preserve">enrollment in </w:t>
      </w:r>
      <w:r w:rsidR="008B21FB">
        <w:t xml:space="preserve">a </w:t>
      </w:r>
      <w:r w:rsidR="00A133B6">
        <w:t xml:space="preserve">charter </w:t>
      </w:r>
      <w:r w:rsidR="008B21FB">
        <w:t>or</w:t>
      </w:r>
      <w:r w:rsidR="00A133B6">
        <w:t xml:space="preserve"> non-charter school</w:t>
      </w:r>
      <w:r w:rsidRPr="00B448B4">
        <w:t xml:space="preserve">, (b) grade-level </w:t>
      </w:r>
      <w:r w:rsidRPr="00B448B4">
        <w:t xml:space="preserve">band (elementary, middle, secondary), (c) </w:t>
      </w:r>
      <w:r w:rsidR="00223848">
        <w:t>placement in the</w:t>
      </w:r>
      <w:r w:rsidR="00ED031A">
        <w:t xml:space="preserve">ir </w:t>
      </w:r>
      <w:r w:rsidRPr="00B448B4">
        <w:t>least restrictive environment (LRE) or outside an LEA,</w:t>
      </w:r>
      <w:r>
        <w:rPr>
          <w:rStyle w:val="FootnoteReference"/>
        </w:rPr>
        <w:footnoteReference w:id="7"/>
      </w:r>
      <w:r w:rsidRPr="00B448B4">
        <w:t xml:space="preserve"> and (d) race/ethnicity. </w:t>
      </w:r>
      <w:r w:rsidR="00311948">
        <w:t>Average s</w:t>
      </w:r>
      <w:r w:rsidRPr="00B448B4">
        <w:t>pending estimates for student groups will be reported for all SWDs and not disaggregated by disability category.</w:t>
      </w:r>
      <w:r>
        <w:rPr>
          <w:rStyle w:val="FootnoteReference"/>
        </w:rPr>
        <w:footnoteReference w:id="8"/>
      </w:r>
      <w:r w:rsidRPr="00251D99">
        <w:rPr>
          <w:vertAlign w:val="superscript"/>
        </w:rPr>
        <w:t xml:space="preserve"> </w:t>
      </w:r>
    </w:p>
    <w:p w:rsidR="00A21AD9" w:rsidRPr="00B448B4" w:rsidP="00CD4A86" w14:paraId="2FC5AB36" w14:textId="0D731226">
      <w:pPr>
        <w:pStyle w:val="Bullet1"/>
      </w:pPr>
      <w:r w:rsidRPr="00B448B4">
        <w:t xml:space="preserve">Support reporting of average total spending per SWD for groups of districts categorized by (a) average state per student education spending, (b) percentage of students experiencing poverty, (c) enrollment, (d) charter </w:t>
      </w:r>
      <w:r w:rsidR="001713E2">
        <w:t>or</w:t>
      </w:r>
      <w:r w:rsidRPr="00B448B4">
        <w:t xml:space="preserve"> noncharter status, and (e) locale (urbanicity). Spending estimates for </w:t>
      </w:r>
      <w:r w:rsidR="002E756D">
        <w:t>the district</w:t>
      </w:r>
      <w:r w:rsidRPr="00B448B4">
        <w:t xml:space="preserve"> groups will also be reported for all SWDs and not disaggregated by disability category.</w:t>
      </w:r>
      <w:r>
        <w:rPr>
          <w:rStyle w:val="FootnoteReference"/>
        </w:rPr>
        <w:footnoteReference w:id="9"/>
      </w:r>
      <w:r w:rsidRPr="00CD4A86">
        <w:rPr>
          <w:vertAlign w:val="superscript"/>
        </w:rPr>
        <w:t xml:space="preserve"> </w:t>
      </w:r>
    </w:p>
    <w:p w:rsidR="00A21AD9" w:rsidRPr="00F36618" w:rsidP="00D31D9E" w14:paraId="101B1669" w14:textId="493E8285">
      <w:pPr>
        <w:pStyle w:val="BodyText"/>
      </w:pPr>
      <w:r>
        <w:t xml:space="preserve">The precision targets set for the estimates are based on (a) a review of precision requirements and achieved precision for large-scale federal surveys and (b) interviews with subject-matter experts (SMEs) who would likely be end users for the estimates. Specifically, technical documentation published by the U.S. Department of Education’s National Center for Education Statistics (ED/NCES) and other national surveys (including finance-oriented surveys) </w:t>
      </w:r>
      <w:r w:rsidR="0065377A">
        <w:t xml:space="preserve">were reviewed </w:t>
      </w:r>
      <w:r>
        <w:t xml:space="preserve">to understand the way precision is typically expressed for key estimates—particularly the use of relative standard errors (RSEs) and RMOEs for dollar-based measures—and the range of precision levels commonly targeted and published. </w:t>
      </w:r>
      <w:r w:rsidR="00D31D9E">
        <w:t xml:space="preserve">Input from </w:t>
      </w:r>
      <w:r>
        <w:t>SMEs about what level of precision would be viewed as credible and usable for policy and practice</w:t>
      </w:r>
      <w:r w:rsidR="00D31D9E">
        <w:t xml:space="preserve"> was also considered</w:t>
      </w:r>
      <w:r>
        <w:t xml:space="preserve">, including the importance of producing estimates with comparable precision across disability categories when feasible. Finally, </w:t>
      </w:r>
      <w:r w:rsidR="00D31D9E">
        <w:t>c</w:t>
      </w:r>
      <w:r>
        <w:t>andidate sample sizes</w:t>
      </w:r>
      <w:r w:rsidR="00D31D9E">
        <w:t xml:space="preserve"> were tested</w:t>
      </w:r>
      <w:r>
        <w:t xml:space="preserve">, using earlier design work to assess which RMOEs were achievable overall and by IDEA disability category under realistic assumptions, and then, balanced analytic needs with data collection feasibility and cost. </w:t>
      </w:r>
    </w:p>
    <w:p w:rsidR="00A21AD9" w:rsidRPr="00CB3180" w:rsidP="005C5304" w14:paraId="7A376321" w14:textId="77777777">
      <w:pPr>
        <w:pStyle w:val="Heading3"/>
        <w:rPr>
          <w:i/>
          <w:iCs/>
        </w:rPr>
      </w:pPr>
      <w:bookmarkStart w:id="15" w:name="_Toc217324943"/>
      <w:r w:rsidRPr="00CB3180">
        <w:t>B.1.2. Sample Design and Expected Response Rate</w:t>
      </w:r>
      <w:bookmarkEnd w:id="15"/>
    </w:p>
    <w:p w:rsidR="00464BF1" w:rsidRPr="006C0DB8" w:rsidP="00B01507" w14:paraId="793B0D76" w14:textId="488504F6">
      <w:pPr>
        <w:pStyle w:val="BodyText"/>
      </w:pPr>
      <w:r w:rsidRPr="00B01507">
        <w:t xml:space="preserve">The NSSES will use a three-stage sample design, beginning with a nationally representative sample of LEAs, followed by selecting schools within sampled LEAs, and then selecting students within sampled schools—including SWDs and a comparison group of students who do not receive special education. The starting sample will include </w:t>
      </w:r>
      <w:r w:rsidRPr="006C0DB8">
        <w:t>1,250 LEAs, 3,750 schools</w:t>
      </w:r>
      <w:r w:rsidRPr="006C0DB8" w:rsidR="003665ED">
        <w:t xml:space="preserve"> within participating LEAs</w:t>
      </w:r>
      <w:r w:rsidRPr="006C0DB8">
        <w:t>, 10,949 SWDs, and 2,223 students who do not receive special education</w:t>
      </w:r>
      <w:r w:rsidRPr="006C0DB8" w:rsidR="003665ED">
        <w:t xml:space="preserve"> within participating schools</w:t>
      </w:r>
      <w:r w:rsidRPr="006C0DB8">
        <w:t xml:space="preserve">. </w:t>
      </w:r>
      <w:r w:rsidRPr="006C0DB8" w:rsidR="00E254B9">
        <w:t xml:space="preserve">The LEA and school samples will be selected first so that those sites </w:t>
      </w:r>
      <w:r w:rsidRPr="006C0DB8" w:rsidR="00E254B9">
        <w:t>can be contacted for recruitment, and the student samples will then be drawn only from LEAs and schools that agree to participate in the study.</w:t>
      </w:r>
    </w:p>
    <w:p w:rsidR="00A21AD9" w:rsidP="008238D9" w14:paraId="39E2D08A" w14:textId="4D290A7E">
      <w:pPr>
        <w:pStyle w:val="BodyTextPostHeading"/>
      </w:pPr>
      <w:r w:rsidRPr="006C0DB8">
        <w:t xml:space="preserve">The expected combined LEA and school response rate is 80 </w:t>
      </w:r>
      <w:r w:rsidRPr="006C0DB8">
        <w:rPr>
          <w:szCs w:val="22"/>
        </w:rPr>
        <w:t>percent</w:t>
      </w:r>
      <w:r w:rsidRPr="006C0DB8">
        <w:t xml:space="preserve">, and the expected student-level response rate is 90 </w:t>
      </w:r>
      <w:r w:rsidRPr="006C0DB8">
        <w:rPr>
          <w:szCs w:val="22"/>
        </w:rPr>
        <w:t>percent</w:t>
      </w:r>
      <w:r w:rsidRPr="006C0DB8">
        <w:t xml:space="preserve">. </w:t>
      </w:r>
      <w:r w:rsidRPr="006C0DB8" w:rsidR="006C0DB8">
        <w:t>Based on</w:t>
      </w:r>
      <w:r w:rsidRPr="006C0DB8">
        <w:t xml:space="preserve"> these assumptions, the responding sample is expected to include approximately 1,000 LEAS, 3,000 schools, 9,854 SWDs, and</w:t>
      </w:r>
      <w:r>
        <w:t xml:space="preserve"> 2,000 students not receiving special education.</w:t>
      </w:r>
    </w:p>
    <w:p w:rsidR="00A21AD9" w:rsidP="008238D9" w14:paraId="4D67192C" w14:textId="77777777">
      <w:pPr>
        <w:pStyle w:val="BodyText"/>
      </w:pPr>
      <w:r>
        <w:t>T</w:t>
      </w:r>
      <w:r w:rsidRPr="005340D0">
        <w:t>he sections that follow describe the sampling procedure</w:t>
      </w:r>
      <w:r>
        <w:t>s</w:t>
      </w:r>
      <w:r w:rsidRPr="005340D0">
        <w:t xml:space="preserve">. </w:t>
      </w:r>
    </w:p>
    <w:p w:rsidR="00A21AD9" w:rsidRPr="00CB3180" w:rsidP="005C5304" w14:paraId="073D7B10" w14:textId="566FF44F">
      <w:pPr>
        <w:pStyle w:val="Heading3"/>
      </w:pPr>
      <w:bookmarkStart w:id="16" w:name="_Toc217324944"/>
      <w:r w:rsidRPr="00CB3180">
        <w:t>B.1.3</w:t>
      </w:r>
      <w:r w:rsidR="00EB1580">
        <w:t>.</w:t>
      </w:r>
      <w:r w:rsidRPr="00CB3180">
        <w:t xml:space="preserve"> Sampling LEAs</w:t>
      </w:r>
      <w:bookmarkEnd w:id="16"/>
    </w:p>
    <w:p w:rsidR="00A21AD9" w:rsidP="008238D9" w14:paraId="5CA6D2A0" w14:textId="77777777">
      <w:pPr>
        <w:pStyle w:val="BodyTextPostHeading"/>
        <w:rPr>
          <w:rFonts w:ascii="Calibri" w:hAnsi="Calibri"/>
        </w:rPr>
      </w:pPr>
      <w:r w:rsidRPr="00BD470D">
        <w:t>The primary sampling unit is the LEA because this unit of governance is largely responsible for educating SWDs, including coordinating services and resources among schools and private providers.</w:t>
      </w:r>
      <w:r w:rsidRPr="00FC5E84">
        <w:rPr>
          <w:rFonts w:ascii="Calibri" w:hAnsi="Calibri"/>
        </w:rPr>
        <w:t xml:space="preserve"> </w:t>
      </w:r>
    </w:p>
    <w:p w:rsidR="00A21AD9" w:rsidRPr="008238D9" w:rsidP="008238D9" w14:paraId="06EB3EB6" w14:textId="303C1D89">
      <w:pPr>
        <w:pStyle w:val="BodyText"/>
      </w:pPr>
      <w:r w:rsidRPr="008238D9">
        <w:t>The LEA sampling frame was derived from the 2021–22 ED/NCES Common Core of Data (CCD) Public Elementary/Secondary School District Universe Survey, and includes LEAs identified as regular public school and charter school districts with at least one operating school.</w:t>
      </w:r>
      <w:r>
        <w:rPr>
          <w:rStyle w:val="FootnoteReference"/>
        </w:rPr>
        <w:footnoteReference w:id="10"/>
      </w:r>
      <w:r w:rsidRPr="008238D9">
        <w:t xml:space="preserve"> The LEA sampling frame excluded LEAs operated by the Bureau of Indian Affairs, located in U.S. </w:t>
      </w:r>
      <w:r w:rsidRPr="004E4E63">
        <w:rPr>
          <w:spacing w:val="-2"/>
        </w:rPr>
        <w:t>territories, and with fewer than 10 students.</w:t>
      </w:r>
      <w:r>
        <w:rPr>
          <w:rStyle w:val="FootnoteReference"/>
          <w:spacing w:val="-2"/>
        </w:rPr>
        <w:footnoteReference w:id="11"/>
      </w:r>
      <w:r w:rsidRPr="004E4E63">
        <w:rPr>
          <w:spacing w:val="-2"/>
        </w:rPr>
        <w:t xml:space="preserve"> Hawaii and the District of Columbia, which operate as single school districts, and very large districts (&gt; 50,000 students) were selected with certainty.</w:t>
      </w:r>
      <w:r w:rsidRPr="008238D9">
        <w:t xml:space="preserve"> </w:t>
      </w:r>
    </w:p>
    <w:p w:rsidR="00A21AD9" w:rsidRPr="008238D9" w:rsidP="008238D9" w14:paraId="09D185E4" w14:textId="238C8501">
      <w:pPr>
        <w:pStyle w:val="BodyText"/>
      </w:pPr>
      <w:r w:rsidRPr="008238D9">
        <w:t xml:space="preserve">The CCD does not include child count information about the number of students in an LEA who receive special education. Instead, information about the total number of SWDs and the number of SWDs in each of IDEA’s 13 disability categories </w:t>
      </w:r>
      <w:r w:rsidR="009773C0">
        <w:t xml:space="preserve">was obtained </w:t>
      </w:r>
      <w:r w:rsidRPr="008238D9">
        <w:t>from the U.S. Department of Education’s 2020–21 Civil Rights Data Collection (CRDC).</w:t>
      </w:r>
      <w:r>
        <w:rPr>
          <w:rStyle w:val="FootnoteReference"/>
        </w:rPr>
        <w:footnoteReference w:id="12"/>
      </w:r>
      <w:r w:rsidRPr="008238D9">
        <w:t xml:space="preserve"> </w:t>
      </w:r>
      <w:r w:rsidRPr="008238D9">
        <w:t>LEAs with missing special education child count information and LEAs that reported having no SWDs were dropped from the sampling frame.</w:t>
      </w:r>
      <w:r>
        <w:rPr>
          <w:vertAlign w:val="superscript"/>
        </w:rPr>
        <w:footnoteReference w:id="13"/>
      </w:r>
      <w:r w:rsidRPr="00A4342C">
        <w:rPr>
          <w:vertAlign w:val="superscript"/>
        </w:rPr>
        <w:t xml:space="preserve"> </w:t>
      </w:r>
    </w:p>
    <w:p w:rsidR="00A21AD9" w:rsidRPr="008238D9" w:rsidP="008238D9" w14:paraId="460A3107" w14:textId="5B3054C7">
      <w:pPr>
        <w:pStyle w:val="BodyText"/>
      </w:pPr>
      <w:r w:rsidRPr="008238D9">
        <w:t>The resulting LEA sampling frame included 13,059 traditional public school</w:t>
      </w:r>
      <w:r w:rsidR="00440281">
        <w:t>s</w:t>
      </w:r>
      <w:r w:rsidRPr="008238D9">
        <w:t xml:space="preserve"> and 3,470 charter LEAs nationwide.</w:t>
      </w:r>
    </w:p>
    <w:p w:rsidR="00A21AD9" w:rsidP="008238D9" w14:paraId="1007B209" w14:textId="7F64C243">
      <w:pPr>
        <w:pStyle w:val="BodyText"/>
      </w:pPr>
      <w:r>
        <w:t xml:space="preserve">A nationally representative sample of 1,250 LEAs </w:t>
      </w:r>
      <w:r w:rsidR="008521F4">
        <w:t>will be</w:t>
      </w:r>
      <w:r>
        <w:t xml:space="preserve"> drawn from the sampling frame. </w:t>
      </w:r>
      <w:r w:rsidRPr="00FC5E84">
        <w:t xml:space="preserve">LEAs </w:t>
      </w:r>
      <w:r w:rsidR="004F2538">
        <w:t>will be</w:t>
      </w:r>
      <w:r w:rsidRPr="00FC5E84">
        <w:t xml:space="preserve"> stratified according to state and, insofar as possible, explicitly stratified within states by the following LEA characteristics: (a) charter LEA status, </w:t>
      </w:r>
      <w:r>
        <w:t>(</w:t>
      </w:r>
      <w:r w:rsidRPr="00FC5E84">
        <w:t>b) LEA enrollment, (c)</w:t>
      </w:r>
      <w:r w:rsidR="0080405F">
        <w:t> </w:t>
      </w:r>
      <w:r w:rsidRPr="00FC5E84">
        <w:t>percentage of students in an LEA who</w:t>
      </w:r>
      <w:r>
        <w:t xml:space="preserve"> were</w:t>
      </w:r>
      <w:r w:rsidRPr="00FC5E84">
        <w:t xml:space="preserve"> experienc</w:t>
      </w:r>
      <w:r>
        <w:t>ing</w:t>
      </w:r>
      <w:r w:rsidRPr="00FC5E84">
        <w:t xml:space="preserve"> poverty, and </w:t>
      </w:r>
      <w:r>
        <w:t>(</w:t>
      </w:r>
      <w:r w:rsidRPr="00FC5E84">
        <w:t>d) LEA locale (urbanicity).</w:t>
      </w:r>
      <w:r w:rsidRPr="00857BBB">
        <w:t xml:space="preserve"> </w:t>
      </w:r>
      <w:r w:rsidRPr="00F36618">
        <w:t xml:space="preserve">Within explicit strata, to ensure representation in the sample, </w:t>
      </w:r>
      <w:r>
        <w:t xml:space="preserve">LEAs </w:t>
      </w:r>
      <w:r w:rsidR="008521F4">
        <w:t>will be</w:t>
      </w:r>
      <w:r w:rsidRPr="00F36618">
        <w:t xml:space="preserve"> implicitly stratified for other characteristics including</w:t>
      </w:r>
      <w:r w:rsidR="00486876">
        <w:t xml:space="preserve"> </w:t>
      </w:r>
      <w:r w:rsidRPr="00F36618">
        <w:t xml:space="preserve">(a) percentage of students receiving special education, (b) percentage of students identified as English language learners, and (c) grade levels served. LEAs </w:t>
      </w:r>
      <w:r w:rsidR="008521F4">
        <w:t>will be</w:t>
      </w:r>
      <w:r w:rsidRPr="00F36618">
        <w:t xml:space="preserve"> systematically sampled from the sorted list of LEAs, according to the characteristics used for implicit stratification.</w:t>
      </w:r>
      <w:r>
        <w:t xml:space="preserve"> </w:t>
      </w:r>
      <w:r w:rsidRPr="00F36618">
        <w:t xml:space="preserve">The total LEA sample </w:t>
      </w:r>
      <w:r w:rsidR="004F2538">
        <w:t>will be</w:t>
      </w:r>
      <w:r w:rsidRPr="00F36618">
        <w:t xml:space="preserve"> allocated to each explicit sampling stratum proportional to the square root of LEA SWD enrollment within the </w:t>
      </w:r>
      <w:r w:rsidRPr="008238D9">
        <w:t>explicit stratum. This design balance</w:t>
      </w:r>
      <w:r w:rsidR="004F2538">
        <w:t xml:space="preserve">s </w:t>
      </w:r>
      <w:r w:rsidRPr="008238D9">
        <w:t>the efficiency of estimates of LEA-level variables (e.g.,</w:t>
      </w:r>
      <w:r w:rsidR="0080405F">
        <w:t> </w:t>
      </w:r>
      <w:r w:rsidRPr="008238D9">
        <w:t>special education administrative costs) and student-level variables (e.g., special education spending per student) and so provides unbiased student-level estimates.</w:t>
      </w:r>
      <w:r w:rsidRPr="00F36618">
        <w:t xml:space="preserve"> </w:t>
      </w:r>
    </w:p>
    <w:p w:rsidR="00A21AD9" w:rsidRPr="00F31201" w:rsidP="008238D9" w14:paraId="1245CA9B" w14:textId="55B0E0DB">
      <w:pPr>
        <w:pStyle w:val="BodyText"/>
      </w:pPr>
      <w:r>
        <w:t>The expected responding sample is 1,000 LEAs (80 percent response rate</w:t>
      </w:r>
      <w:r w:rsidR="0006591A">
        <w:t xml:space="preserve">) and </w:t>
      </w:r>
      <w:r w:rsidRPr="00F36618">
        <w:t xml:space="preserve">Exhibit </w:t>
      </w:r>
      <w:r>
        <w:t>1</w:t>
      </w:r>
      <w:r w:rsidRPr="00F36618">
        <w:t xml:space="preserve"> presents the expected number of responding LEAs and total student counts for each of IDEA’s 13 disability categories. </w:t>
      </w:r>
      <w:r w:rsidRPr="00F31201">
        <w:t xml:space="preserve">Not all responding LEAs </w:t>
      </w:r>
      <w:r>
        <w:t>enroll</w:t>
      </w:r>
      <w:r w:rsidRPr="00F31201">
        <w:t xml:space="preserve"> students in each disability category, and the expected number of responding LEAs with at least one student in a disability category is much lower for some low-incidence disabilities than other disability categories. </w:t>
      </w:r>
      <w:bookmarkStart w:id="17" w:name="_Int_j72K2Jl5"/>
      <w:r w:rsidRPr="00F31201">
        <w:t>In particular, t</w:t>
      </w:r>
      <w:bookmarkEnd w:id="17"/>
      <w:r w:rsidRPr="00F31201">
        <w:t xml:space="preserve">he expected number of responding LEAs with students identified with DB is far fewer than for other disability categories; just 143 of the responding sample of 1,000 LEAs enrolled at least one student with DB, and in these LEAs, the expected number of students with DB is just 273. This low incidence </w:t>
      </w:r>
      <w:r>
        <w:t>will make</w:t>
      </w:r>
      <w:r w:rsidRPr="00F31201">
        <w:t xml:space="preserve"> it difficult to identify enough students with DB to develop disability-specific spending estimates. </w:t>
      </w:r>
    </w:p>
    <w:p w:rsidR="00A21AD9" w:rsidRPr="00B448B4" w:rsidP="00734A80" w14:paraId="1A7A4CCA" w14:textId="6E6C6414">
      <w:pPr>
        <w:pStyle w:val="ExhibitTitle"/>
      </w:pPr>
      <w:bookmarkStart w:id="18" w:name="_Toc217324958"/>
      <w:r w:rsidRPr="00B448B4">
        <w:t>Exhibit 1.</w:t>
      </w:r>
      <w:r w:rsidR="00B448B4">
        <w:t xml:space="preserve"> </w:t>
      </w:r>
      <w:r w:rsidRPr="00B448B4">
        <w:t>Expected number of responding LEAs and expected number of students receiving special education in responding LEAs, overall and by student disability category</w:t>
      </w:r>
      <w:bookmarkEnd w:id="18"/>
      <w:r w:rsidRPr="00B448B4">
        <w:t xml:space="preserve"> </w:t>
      </w:r>
    </w:p>
    <w:tbl>
      <w:tblPr>
        <w:tblStyle w:val="TableStyle-AIR2021"/>
        <w:tblW w:w="5000" w:type="pct"/>
        <w:tblCellMar>
          <w:left w:w="58" w:type="dxa"/>
          <w:right w:w="58" w:type="dxa"/>
        </w:tblCellMar>
        <w:tblLook w:val="0420"/>
      </w:tblPr>
      <w:tblGrid>
        <w:gridCol w:w="5429"/>
        <w:gridCol w:w="1874"/>
        <w:gridCol w:w="2057"/>
      </w:tblGrid>
      <w:tr w14:paraId="20C7AA0A" w14:textId="77777777" w:rsidTr="005341CB">
        <w:tblPrEx>
          <w:tblW w:w="5000" w:type="pct"/>
          <w:tblCellMar>
            <w:left w:w="58" w:type="dxa"/>
            <w:right w:w="58" w:type="dxa"/>
          </w:tblCellMar>
          <w:tblLook w:val="0420"/>
        </w:tblPrEx>
        <w:tc>
          <w:tcPr>
            <w:tcW w:w="5480" w:type="dxa"/>
            <w:vAlign w:val="bottom"/>
            <w:hideMark/>
          </w:tcPr>
          <w:p w:rsidR="00A21AD9" w:rsidRPr="00AB05B1" w:rsidP="00734A80" w14:paraId="60E0A8DD" w14:textId="77777777">
            <w:pPr>
              <w:pStyle w:val="Table11ColumnHeading"/>
              <w:spacing w:before="20" w:after="20"/>
            </w:pPr>
            <w:r w:rsidRPr="00AB05B1">
              <w:t>Category</w:t>
            </w:r>
          </w:p>
        </w:tc>
        <w:tc>
          <w:tcPr>
            <w:tcW w:w="1890" w:type="dxa"/>
            <w:vAlign w:val="bottom"/>
            <w:hideMark/>
          </w:tcPr>
          <w:p w:rsidR="00A21AD9" w:rsidRPr="00AB05B1" w:rsidP="00734A80" w14:paraId="25BB0B11" w14:textId="77777777">
            <w:pPr>
              <w:pStyle w:val="Table11ColumnHeading"/>
              <w:spacing w:before="20" w:after="20"/>
            </w:pPr>
            <w:r w:rsidRPr="00AB05B1">
              <w:t># of LEAs</w:t>
            </w:r>
            <w:r w:rsidRPr="00AB05B1">
              <w:br/>
            </w:r>
            <w:r>
              <w:t>w</w:t>
            </w:r>
            <w:r w:rsidRPr="00AB05B1">
              <w:t>ith SWDs</w:t>
            </w:r>
          </w:p>
        </w:tc>
        <w:tc>
          <w:tcPr>
            <w:tcW w:w="2070" w:type="dxa"/>
            <w:vAlign w:val="bottom"/>
            <w:hideMark/>
          </w:tcPr>
          <w:p w:rsidR="00A21AD9" w:rsidRPr="00AB05B1" w:rsidP="00734A80" w14:paraId="13A44A6B" w14:textId="21B9A7B8">
            <w:pPr>
              <w:pStyle w:val="Table11ColumnHeading"/>
              <w:spacing w:before="20" w:after="20"/>
            </w:pPr>
            <w:r w:rsidRPr="00AB05B1">
              <w:t>Expected # of SWDs</w:t>
            </w:r>
            <w:r w:rsidR="003322E9">
              <w:t xml:space="preserve"> </w:t>
            </w:r>
            <w:r w:rsidRPr="00AB05B1">
              <w:t>in sampled LEAs</w:t>
            </w:r>
          </w:p>
        </w:tc>
      </w:tr>
      <w:tr w14:paraId="0DA5A1ED" w14:textId="77777777" w:rsidTr="005341CB">
        <w:tblPrEx>
          <w:tblW w:w="5000" w:type="pct"/>
          <w:tblCellMar>
            <w:left w:w="58" w:type="dxa"/>
            <w:right w:w="58" w:type="dxa"/>
          </w:tblCellMar>
          <w:tblLook w:val="0420"/>
        </w:tblPrEx>
        <w:tc>
          <w:tcPr>
            <w:tcW w:w="0" w:type="dxa"/>
            <w:tcBorders>
              <w:top w:val="single" w:sz="24" w:space="0" w:color="009DD7" w:themeColor="accent2"/>
            </w:tcBorders>
            <w:shd w:val="clear" w:color="auto" w:fill="FFFFFF" w:themeFill="background1"/>
            <w:vAlign w:val="bottom"/>
            <w:hideMark/>
          </w:tcPr>
          <w:p w:rsidR="00A21AD9" w:rsidRPr="00660ADE" w:rsidP="008238D9" w14:paraId="26D2F9D5" w14:textId="77777777">
            <w:pPr>
              <w:pStyle w:val="Table11Basic"/>
              <w:spacing w:before="20" w:after="20"/>
              <w:rPr>
                <w:b/>
                <w:bCs/>
              </w:rPr>
            </w:pPr>
            <w:r w:rsidRPr="00660ADE">
              <w:rPr>
                <w:b/>
                <w:bCs/>
              </w:rPr>
              <w:t>Overall (for all SWD)</w:t>
            </w:r>
          </w:p>
        </w:tc>
        <w:tc>
          <w:tcPr>
            <w:tcW w:w="0" w:type="dxa"/>
            <w:tcBorders>
              <w:top w:val="single" w:sz="24" w:space="0" w:color="009DD7" w:themeColor="accent2"/>
            </w:tcBorders>
            <w:shd w:val="clear" w:color="auto" w:fill="FFFFFF" w:themeFill="background1"/>
            <w:vAlign w:val="bottom"/>
          </w:tcPr>
          <w:p w:rsidR="00A21AD9" w:rsidRPr="00A4342C" w:rsidP="008238D9" w14:paraId="06C71CB3" w14:textId="77777777">
            <w:pPr>
              <w:pStyle w:val="Table11Basic"/>
              <w:spacing w:before="20" w:after="20"/>
              <w:jc w:val="center"/>
              <w:rPr>
                <w:b/>
                <w:bCs/>
              </w:rPr>
            </w:pPr>
            <w:r w:rsidRPr="00A4342C">
              <w:rPr>
                <w:b/>
                <w:bCs/>
              </w:rPr>
              <w:t>1,000</w:t>
            </w:r>
          </w:p>
        </w:tc>
        <w:tc>
          <w:tcPr>
            <w:tcW w:w="0" w:type="dxa"/>
            <w:tcBorders>
              <w:top w:val="single" w:sz="24" w:space="0" w:color="009DD7" w:themeColor="accent2"/>
            </w:tcBorders>
            <w:shd w:val="clear" w:color="auto" w:fill="FFFFFF" w:themeFill="background1"/>
            <w:vAlign w:val="bottom"/>
          </w:tcPr>
          <w:p w:rsidR="00A21AD9" w:rsidRPr="00A4342C" w:rsidP="008238D9" w14:paraId="1FA4BAF9" w14:textId="77777777">
            <w:pPr>
              <w:pStyle w:val="Table11Basic"/>
              <w:spacing w:before="20" w:after="20"/>
              <w:jc w:val="center"/>
              <w:rPr>
                <w:b/>
                <w:bCs/>
              </w:rPr>
            </w:pPr>
            <w:r w:rsidRPr="00A4342C">
              <w:rPr>
                <w:b/>
                <w:bCs/>
              </w:rPr>
              <w:t>1,660,055</w:t>
            </w:r>
          </w:p>
        </w:tc>
      </w:tr>
      <w:tr w14:paraId="40DBE708" w14:textId="77777777" w:rsidTr="005341CB">
        <w:tblPrEx>
          <w:tblW w:w="5000" w:type="pct"/>
          <w:tblCellMar>
            <w:left w:w="58" w:type="dxa"/>
            <w:right w:w="58" w:type="dxa"/>
          </w:tblCellMar>
          <w:tblLook w:val="0420"/>
        </w:tblPrEx>
        <w:tc>
          <w:tcPr>
            <w:tcW w:w="0" w:type="dxa"/>
            <w:gridSpan w:val="3"/>
            <w:shd w:val="clear" w:color="auto" w:fill="D1EEFC" w:themeFill="background2"/>
            <w:vAlign w:val="bottom"/>
          </w:tcPr>
          <w:p w:rsidR="00A21AD9" w:rsidRPr="00660ADE" w:rsidP="008238D9" w14:paraId="2641AECE" w14:textId="77777777">
            <w:pPr>
              <w:pStyle w:val="Table11Basic"/>
              <w:spacing w:before="20" w:after="20"/>
              <w:rPr>
                <w:b/>
                <w:bCs/>
              </w:rPr>
            </w:pPr>
            <w:r w:rsidRPr="00660ADE">
              <w:rPr>
                <w:b/>
                <w:bCs/>
              </w:rPr>
              <w:t>Disability category</w:t>
            </w:r>
          </w:p>
        </w:tc>
      </w:tr>
      <w:tr w14:paraId="50F3F54C" w14:textId="77777777" w:rsidTr="005341CB">
        <w:tblPrEx>
          <w:tblW w:w="5000" w:type="pct"/>
          <w:tblCellMar>
            <w:left w:w="58" w:type="dxa"/>
            <w:right w:w="58" w:type="dxa"/>
          </w:tblCellMar>
          <w:tblLook w:val="0420"/>
        </w:tblPrEx>
        <w:tc>
          <w:tcPr>
            <w:tcW w:w="0" w:type="dxa"/>
            <w:shd w:val="clear" w:color="auto" w:fill="FFFFFF" w:themeFill="background1"/>
            <w:vAlign w:val="bottom"/>
            <w:hideMark/>
          </w:tcPr>
          <w:p w:rsidR="00A21AD9" w:rsidRPr="009C5B16" w:rsidP="008238D9" w14:paraId="4F3B01B6" w14:textId="77777777">
            <w:pPr>
              <w:pStyle w:val="Table11Basic"/>
              <w:spacing w:before="20" w:after="20"/>
            </w:pPr>
            <w:r w:rsidRPr="009C5B16">
              <w:t>Autism spectrum disorder (ASD)</w:t>
            </w:r>
          </w:p>
        </w:tc>
        <w:tc>
          <w:tcPr>
            <w:tcW w:w="0" w:type="dxa"/>
            <w:shd w:val="clear" w:color="auto" w:fill="FFFFFF" w:themeFill="background1"/>
            <w:vAlign w:val="bottom"/>
          </w:tcPr>
          <w:p w:rsidR="00A21AD9" w:rsidRPr="009C5B16" w:rsidP="008238D9" w14:paraId="25BD7ADC" w14:textId="77777777">
            <w:pPr>
              <w:pStyle w:val="Table11Basic"/>
              <w:spacing w:before="20" w:after="20"/>
              <w:jc w:val="center"/>
              <w:rPr>
                <w:rFonts w:ascii="Calibri" w:eastAsia="Calibri" w:hAnsi="Calibri" w:cs="Calibri"/>
              </w:rPr>
            </w:pPr>
            <w:r>
              <w:t>977</w:t>
            </w:r>
          </w:p>
        </w:tc>
        <w:tc>
          <w:tcPr>
            <w:tcW w:w="0" w:type="dxa"/>
            <w:shd w:val="clear" w:color="auto" w:fill="FFFFFF" w:themeFill="background1"/>
            <w:vAlign w:val="bottom"/>
          </w:tcPr>
          <w:p w:rsidR="00A21AD9" w:rsidRPr="009C5B16" w:rsidP="008238D9" w14:paraId="711F184B" w14:textId="77777777">
            <w:pPr>
              <w:pStyle w:val="Table11Basic"/>
              <w:spacing w:before="20" w:after="20"/>
              <w:jc w:val="center"/>
              <w:rPr>
                <w:rFonts w:ascii="Calibri" w:eastAsia="Calibri" w:hAnsi="Calibri" w:cs="Calibri"/>
              </w:rPr>
            </w:pPr>
            <w:r>
              <w:t>197,248</w:t>
            </w:r>
          </w:p>
        </w:tc>
      </w:tr>
      <w:tr w14:paraId="052B980E" w14:textId="77777777" w:rsidTr="005341CB">
        <w:tblPrEx>
          <w:tblW w:w="5000" w:type="pct"/>
          <w:tblCellMar>
            <w:left w:w="58" w:type="dxa"/>
            <w:right w:w="58" w:type="dxa"/>
          </w:tblCellMar>
          <w:tblLook w:val="0420"/>
        </w:tblPrEx>
        <w:tc>
          <w:tcPr>
            <w:tcW w:w="0" w:type="dxa"/>
            <w:vAlign w:val="bottom"/>
            <w:hideMark/>
          </w:tcPr>
          <w:p w:rsidR="00A21AD9" w:rsidRPr="009C5B16" w:rsidP="008238D9" w14:paraId="3A164EC9" w14:textId="77777777">
            <w:pPr>
              <w:pStyle w:val="Table11Basic"/>
              <w:spacing w:before="20" w:after="20"/>
            </w:pPr>
            <w:r w:rsidRPr="009C5B16">
              <w:t>Deaf-blindness (DB)</w:t>
            </w:r>
          </w:p>
        </w:tc>
        <w:tc>
          <w:tcPr>
            <w:tcW w:w="0" w:type="dxa"/>
            <w:vAlign w:val="bottom"/>
          </w:tcPr>
          <w:p w:rsidR="00A21AD9" w:rsidRPr="009C5B16" w:rsidP="008238D9" w14:paraId="04D93743" w14:textId="77777777">
            <w:pPr>
              <w:pStyle w:val="Table11Basic"/>
              <w:spacing w:before="20" w:after="20"/>
              <w:jc w:val="center"/>
              <w:rPr>
                <w:rFonts w:ascii="Calibri" w:eastAsia="Calibri" w:hAnsi="Calibri" w:cs="Calibri"/>
              </w:rPr>
            </w:pPr>
            <w:r>
              <w:t>143</w:t>
            </w:r>
          </w:p>
        </w:tc>
        <w:tc>
          <w:tcPr>
            <w:tcW w:w="0" w:type="dxa"/>
            <w:vAlign w:val="bottom"/>
          </w:tcPr>
          <w:p w:rsidR="00A21AD9" w:rsidRPr="009C5B16" w:rsidP="008238D9" w14:paraId="1C29A855" w14:textId="77777777">
            <w:pPr>
              <w:pStyle w:val="Table11Basic"/>
              <w:spacing w:before="20" w:after="20"/>
              <w:jc w:val="center"/>
              <w:rPr>
                <w:rFonts w:ascii="Calibri" w:eastAsia="Calibri" w:hAnsi="Calibri" w:cs="Calibri"/>
              </w:rPr>
            </w:pPr>
            <w:r>
              <w:t>272</w:t>
            </w:r>
          </w:p>
        </w:tc>
      </w:tr>
      <w:tr w14:paraId="0AE20B14" w14:textId="77777777" w:rsidTr="005341CB">
        <w:tblPrEx>
          <w:tblW w:w="5000" w:type="pct"/>
          <w:tblCellMar>
            <w:left w:w="58" w:type="dxa"/>
            <w:right w:w="58" w:type="dxa"/>
          </w:tblCellMar>
          <w:tblLook w:val="0420"/>
        </w:tblPrEx>
        <w:tc>
          <w:tcPr>
            <w:tcW w:w="0" w:type="dxa"/>
            <w:shd w:val="clear" w:color="auto" w:fill="FFFFFF" w:themeFill="background1"/>
            <w:vAlign w:val="bottom"/>
            <w:hideMark/>
          </w:tcPr>
          <w:p w:rsidR="00A21AD9" w:rsidRPr="009C5B16" w:rsidP="008238D9" w14:paraId="7474F606" w14:textId="77777777">
            <w:pPr>
              <w:pStyle w:val="Table11Basic"/>
              <w:spacing w:before="20" w:after="20"/>
            </w:pPr>
            <w:r w:rsidRPr="009C5B16">
              <w:t>Developmental delay (DD)</w:t>
            </w:r>
          </w:p>
        </w:tc>
        <w:tc>
          <w:tcPr>
            <w:tcW w:w="0" w:type="dxa"/>
            <w:shd w:val="clear" w:color="auto" w:fill="FFFFFF" w:themeFill="background1"/>
            <w:vAlign w:val="bottom"/>
          </w:tcPr>
          <w:p w:rsidR="00A21AD9" w:rsidRPr="009C5B16" w:rsidP="008238D9" w14:paraId="460F3313" w14:textId="77777777">
            <w:pPr>
              <w:pStyle w:val="Table11Basic"/>
              <w:spacing w:before="20" w:after="20"/>
              <w:jc w:val="center"/>
              <w:rPr>
                <w:rFonts w:ascii="Calibri" w:eastAsia="Calibri" w:hAnsi="Calibri" w:cs="Calibri"/>
              </w:rPr>
            </w:pPr>
            <w:r>
              <w:t>570</w:t>
            </w:r>
          </w:p>
        </w:tc>
        <w:tc>
          <w:tcPr>
            <w:tcW w:w="0" w:type="dxa"/>
            <w:shd w:val="clear" w:color="auto" w:fill="FFFFFF" w:themeFill="background1"/>
            <w:vAlign w:val="bottom"/>
          </w:tcPr>
          <w:p w:rsidR="00A21AD9" w:rsidRPr="009C5B16" w:rsidP="008238D9" w14:paraId="50273326" w14:textId="77777777">
            <w:pPr>
              <w:pStyle w:val="Table11Basic"/>
              <w:spacing w:before="20" w:after="20"/>
              <w:jc w:val="center"/>
              <w:rPr>
                <w:rFonts w:ascii="Calibri" w:eastAsia="Calibri" w:hAnsi="Calibri" w:cs="Calibri"/>
              </w:rPr>
            </w:pPr>
            <w:r>
              <w:t>58,881</w:t>
            </w:r>
          </w:p>
        </w:tc>
      </w:tr>
      <w:tr w14:paraId="7A10F222" w14:textId="77777777" w:rsidTr="005341CB">
        <w:tblPrEx>
          <w:tblW w:w="5000" w:type="pct"/>
          <w:tblCellMar>
            <w:left w:w="58" w:type="dxa"/>
            <w:right w:w="58" w:type="dxa"/>
          </w:tblCellMar>
          <w:tblLook w:val="0420"/>
        </w:tblPrEx>
        <w:tc>
          <w:tcPr>
            <w:tcW w:w="0" w:type="dxa"/>
            <w:vAlign w:val="bottom"/>
            <w:hideMark/>
          </w:tcPr>
          <w:p w:rsidR="00A21AD9" w:rsidRPr="009C5B16" w:rsidP="008238D9" w14:paraId="1CCFC2AD" w14:textId="77777777">
            <w:pPr>
              <w:pStyle w:val="Table11Basic"/>
              <w:spacing w:before="20" w:after="20"/>
            </w:pPr>
            <w:r w:rsidRPr="009C5B16">
              <w:t>Emotional disturbance (ED)</w:t>
            </w:r>
          </w:p>
        </w:tc>
        <w:tc>
          <w:tcPr>
            <w:tcW w:w="0" w:type="dxa"/>
            <w:vAlign w:val="bottom"/>
          </w:tcPr>
          <w:p w:rsidR="00A21AD9" w:rsidRPr="009C5B16" w:rsidP="008238D9" w14:paraId="696C3A77" w14:textId="77777777">
            <w:pPr>
              <w:pStyle w:val="Table11Basic"/>
              <w:spacing w:before="20" w:after="20"/>
              <w:jc w:val="center"/>
              <w:rPr>
                <w:rFonts w:ascii="Calibri" w:eastAsia="Calibri" w:hAnsi="Calibri" w:cs="Calibri"/>
              </w:rPr>
            </w:pPr>
            <w:r>
              <w:t>926</w:t>
            </w:r>
          </w:p>
        </w:tc>
        <w:tc>
          <w:tcPr>
            <w:tcW w:w="0" w:type="dxa"/>
            <w:vAlign w:val="bottom"/>
          </w:tcPr>
          <w:p w:rsidR="00A21AD9" w:rsidRPr="009C5B16" w:rsidP="008238D9" w14:paraId="780BDC57" w14:textId="77777777">
            <w:pPr>
              <w:pStyle w:val="Table11Basic"/>
              <w:spacing w:before="20" w:after="20"/>
              <w:jc w:val="center"/>
              <w:rPr>
                <w:rFonts w:ascii="Calibri" w:eastAsia="Calibri" w:hAnsi="Calibri" w:cs="Calibri"/>
              </w:rPr>
            </w:pPr>
            <w:r>
              <w:t>74,483</w:t>
            </w:r>
          </w:p>
        </w:tc>
      </w:tr>
      <w:tr w14:paraId="548BF6C7" w14:textId="77777777" w:rsidTr="005341CB">
        <w:tblPrEx>
          <w:tblW w:w="5000" w:type="pct"/>
          <w:tblCellMar>
            <w:left w:w="58" w:type="dxa"/>
            <w:right w:w="58" w:type="dxa"/>
          </w:tblCellMar>
          <w:tblLook w:val="0420"/>
        </w:tblPrEx>
        <w:tc>
          <w:tcPr>
            <w:tcW w:w="0" w:type="dxa"/>
            <w:shd w:val="clear" w:color="auto" w:fill="FFFFFF" w:themeFill="background1"/>
            <w:vAlign w:val="bottom"/>
            <w:hideMark/>
          </w:tcPr>
          <w:p w:rsidR="00A21AD9" w:rsidRPr="009C5B16" w:rsidP="008238D9" w14:paraId="7725FE5B" w14:textId="77777777">
            <w:pPr>
              <w:pStyle w:val="Table11Basic"/>
              <w:spacing w:before="20" w:after="20"/>
            </w:pPr>
            <w:r w:rsidRPr="009C5B16">
              <w:t>Hearing impairment (HI)</w:t>
            </w:r>
          </w:p>
        </w:tc>
        <w:tc>
          <w:tcPr>
            <w:tcW w:w="0" w:type="dxa"/>
            <w:shd w:val="clear" w:color="auto" w:fill="FFFFFF" w:themeFill="background1"/>
            <w:vAlign w:val="bottom"/>
          </w:tcPr>
          <w:p w:rsidR="00A21AD9" w:rsidRPr="009C5B16" w:rsidP="008238D9" w14:paraId="079BDA94" w14:textId="77777777">
            <w:pPr>
              <w:pStyle w:val="Table11Basic"/>
              <w:spacing w:before="20" w:after="20"/>
              <w:jc w:val="center"/>
              <w:rPr>
                <w:rFonts w:ascii="Calibri" w:eastAsia="Calibri" w:hAnsi="Calibri" w:cs="Calibri"/>
              </w:rPr>
            </w:pPr>
            <w:r>
              <w:t>794</w:t>
            </w:r>
          </w:p>
        </w:tc>
        <w:tc>
          <w:tcPr>
            <w:tcW w:w="0" w:type="dxa"/>
            <w:shd w:val="clear" w:color="auto" w:fill="FFFFFF" w:themeFill="background1"/>
            <w:vAlign w:val="bottom"/>
          </w:tcPr>
          <w:p w:rsidR="00A21AD9" w:rsidRPr="009C5B16" w:rsidP="008238D9" w14:paraId="011D1A70" w14:textId="77777777">
            <w:pPr>
              <w:pStyle w:val="Table11Basic"/>
              <w:spacing w:before="20" w:after="20"/>
              <w:jc w:val="center"/>
              <w:rPr>
                <w:rFonts w:ascii="Calibri" w:eastAsia="Calibri" w:hAnsi="Calibri" w:cs="Calibri"/>
              </w:rPr>
            </w:pPr>
            <w:r>
              <w:t>16,295</w:t>
            </w:r>
          </w:p>
        </w:tc>
      </w:tr>
      <w:tr w14:paraId="1FFAADB2" w14:textId="77777777" w:rsidTr="005341CB">
        <w:tblPrEx>
          <w:tblW w:w="5000" w:type="pct"/>
          <w:tblCellMar>
            <w:left w:w="58" w:type="dxa"/>
            <w:right w:w="58" w:type="dxa"/>
          </w:tblCellMar>
          <w:tblLook w:val="0420"/>
        </w:tblPrEx>
        <w:tc>
          <w:tcPr>
            <w:tcW w:w="0" w:type="dxa"/>
            <w:vAlign w:val="bottom"/>
            <w:hideMark/>
          </w:tcPr>
          <w:p w:rsidR="00A21AD9" w:rsidRPr="009C5B16" w:rsidP="008238D9" w14:paraId="18872410" w14:textId="77777777">
            <w:pPr>
              <w:pStyle w:val="Table11Basic"/>
              <w:spacing w:before="20" w:after="20"/>
            </w:pPr>
            <w:r w:rsidRPr="009C5B16">
              <w:t>Intellectual disability (ID)</w:t>
            </w:r>
          </w:p>
        </w:tc>
        <w:tc>
          <w:tcPr>
            <w:tcW w:w="0" w:type="dxa"/>
            <w:vAlign w:val="bottom"/>
          </w:tcPr>
          <w:p w:rsidR="00A21AD9" w:rsidRPr="009C5B16" w:rsidP="008238D9" w14:paraId="137F2ABE" w14:textId="77777777">
            <w:pPr>
              <w:pStyle w:val="Table11Basic"/>
              <w:spacing w:before="20" w:after="20"/>
              <w:jc w:val="center"/>
              <w:rPr>
                <w:rFonts w:ascii="Calibri" w:eastAsia="Calibri" w:hAnsi="Calibri" w:cs="Calibri"/>
              </w:rPr>
            </w:pPr>
            <w:r>
              <w:t>881</w:t>
            </w:r>
          </w:p>
        </w:tc>
        <w:tc>
          <w:tcPr>
            <w:tcW w:w="0" w:type="dxa"/>
            <w:vAlign w:val="bottom"/>
          </w:tcPr>
          <w:p w:rsidR="00A21AD9" w:rsidRPr="009C5B16" w:rsidP="008238D9" w14:paraId="109785F4" w14:textId="77777777">
            <w:pPr>
              <w:pStyle w:val="Table11Basic"/>
              <w:spacing w:before="20" w:after="20"/>
              <w:jc w:val="center"/>
              <w:rPr>
                <w:rFonts w:ascii="Calibri" w:eastAsia="Calibri" w:hAnsi="Calibri" w:cs="Calibri"/>
              </w:rPr>
            </w:pPr>
            <w:r>
              <w:t>99,213</w:t>
            </w:r>
          </w:p>
        </w:tc>
      </w:tr>
      <w:tr w14:paraId="0EBDEF18" w14:textId="77777777" w:rsidTr="005341CB">
        <w:tblPrEx>
          <w:tblW w:w="5000" w:type="pct"/>
          <w:tblCellMar>
            <w:left w:w="58" w:type="dxa"/>
            <w:right w:w="58" w:type="dxa"/>
          </w:tblCellMar>
          <w:tblLook w:val="0420"/>
        </w:tblPrEx>
        <w:tc>
          <w:tcPr>
            <w:tcW w:w="0" w:type="dxa"/>
            <w:shd w:val="clear" w:color="auto" w:fill="FFFFFF" w:themeFill="background1"/>
            <w:vAlign w:val="bottom"/>
            <w:hideMark/>
          </w:tcPr>
          <w:p w:rsidR="00A21AD9" w:rsidRPr="009C5B16" w:rsidP="008238D9" w14:paraId="6EE64726" w14:textId="77777777">
            <w:pPr>
              <w:pStyle w:val="Table11Basic"/>
              <w:spacing w:before="20" w:after="20"/>
            </w:pPr>
            <w:r w:rsidRPr="009C5B16">
              <w:t>Multiple disabilities (MD)</w:t>
            </w:r>
          </w:p>
        </w:tc>
        <w:tc>
          <w:tcPr>
            <w:tcW w:w="0" w:type="dxa"/>
            <w:shd w:val="clear" w:color="auto" w:fill="FFFFFF" w:themeFill="background1"/>
            <w:vAlign w:val="bottom"/>
          </w:tcPr>
          <w:p w:rsidR="00A21AD9" w:rsidRPr="009C5B16" w:rsidP="008238D9" w14:paraId="13447392" w14:textId="77777777">
            <w:pPr>
              <w:pStyle w:val="Table11Basic"/>
              <w:spacing w:before="20" w:after="20"/>
              <w:jc w:val="center"/>
              <w:rPr>
                <w:rFonts w:ascii="Calibri" w:eastAsia="Calibri" w:hAnsi="Calibri" w:cs="Calibri"/>
              </w:rPr>
            </w:pPr>
            <w:r>
              <w:t>706</w:t>
            </w:r>
          </w:p>
        </w:tc>
        <w:tc>
          <w:tcPr>
            <w:tcW w:w="0" w:type="dxa"/>
            <w:shd w:val="clear" w:color="auto" w:fill="FFFFFF" w:themeFill="background1"/>
            <w:vAlign w:val="bottom"/>
          </w:tcPr>
          <w:p w:rsidR="00A21AD9" w:rsidRPr="009C5B16" w:rsidP="008238D9" w14:paraId="441257C5" w14:textId="77777777">
            <w:pPr>
              <w:pStyle w:val="Table11Basic"/>
              <w:spacing w:before="20" w:after="20"/>
              <w:jc w:val="center"/>
              <w:rPr>
                <w:rFonts w:ascii="Calibri" w:eastAsia="Calibri" w:hAnsi="Calibri" w:cs="Calibri"/>
              </w:rPr>
            </w:pPr>
            <w:r>
              <w:t>22,994</w:t>
            </w:r>
          </w:p>
        </w:tc>
      </w:tr>
      <w:tr w14:paraId="714E8CF5" w14:textId="77777777" w:rsidTr="005341CB">
        <w:tblPrEx>
          <w:tblW w:w="5000" w:type="pct"/>
          <w:tblCellMar>
            <w:left w:w="58" w:type="dxa"/>
            <w:right w:w="58" w:type="dxa"/>
          </w:tblCellMar>
          <w:tblLook w:val="0420"/>
        </w:tblPrEx>
        <w:tc>
          <w:tcPr>
            <w:tcW w:w="0" w:type="dxa"/>
            <w:vAlign w:val="bottom"/>
            <w:hideMark/>
          </w:tcPr>
          <w:p w:rsidR="00A21AD9" w:rsidRPr="009C5B16" w:rsidP="008238D9" w14:paraId="278A2CFC" w14:textId="77777777">
            <w:pPr>
              <w:pStyle w:val="Table11Basic"/>
              <w:spacing w:before="20" w:after="20"/>
            </w:pPr>
            <w:r w:rsidRPr="009C5B16">
              <w:t>Orthopedic impairment (OI)</w:t>
            </w:r>
          </w:p>
        </w:tc>
        <w:tc>
          <w:tcPr>
            <w:tcW w:w="0" w:type="dxa"/>
            <w:vAlign w:val="bottom"/>
          </w:tcPr>
          <w:p w:rsidR="00A21AD9" w:rsidRPr="009C5B16" w:rsidP="008238D9" w14:paraId="7AEC7B09" w14:textId="77777777">
            <w:pPr>
              <w:pStyle w:val="Table11Basic"/>
              <w:spacing w:before="20" w:after="20"/>
              <w:jc w:val="center"/>
              <w:rPr>
                <w:rFonts w:ascii="Calibri" w:eastAsia="Calibri" w:hAnsi="Calibri" w:cs="Calibri"/>
              </w:rPr>
            </w:pPr>
            <w:r>
              <w:t>658</w:t>
            </w:r>
          </w:p>
        </w:tc>
        <w:tc>
          <w:tcPr>
            <w:tcW w:w="0" w:type="dxa"/>
            <w:vAlign w:val="bottom"/>
          </w:tcPr>
          <w:p w:rsidR="00A21AD9" w:rsidRPr="009C5B16" w:rsidP="008238D9" w14:paraId="5D391103" w14:textId="77777777">
            <w:pPr>
              <w:pStyle w:val="Table11Basic"/>
              <w:spacing w:before="20" w:after="20"/>
              <w:jc w:val="center"/>
              <w:rPr>
                <w:rFonts w:ascii="Calibri" w:eastAsia="Calibri" w:hAnsi="Calibri" w:cs="Calibri"/>
              </w:rPr>
            </w:pPr>
            <w:r>
              <w:t>8,120</w:t>
            </w:r>
          </w:p>
        </w:tc>
      </w:tr>
      <w:tr w14:paraId="4CCD2B99" w14:textId="77777777" w:rsidTr="005341CB">
        <w:tblPrEx>
          <w:tblW w:w="5000" w:type="pct"/>
          <w:tblCellMar>
            <w:left w:w="58" w:type="dxa"/>
            <w:right w:w="58" w:type="dxa"/>
          </w:tblCellMar>
          <w:tblLook w:val="0420"/>
        </w:tblPrEx>
        <w:tc>
          <w:tcPr>
            <w:tcW w:w="0" w:type="dxa"/>
            <w:shd w:val="clear" w:color="auto" w:fill="FFFFFF" w:themeFill="background1"/>
            <w:vAlign w:val="bottom"/>
            <w:hideMark/>
          </w:tcPr>
          <w:p w:rsidR="00A21AD9" w:rsidRPr="009C5B16" w:rsidP="008238D9" w14:paraId="6D829048" w14:textId="77777777">
            <w:pPr>
              <w:pStyle w:val="Table11Basic"/>
              <w:spacing w:before="20" w:after="20"/>
            </w:pPr>
            <w:r w:rsidRPr="009C5B16">
              <w:t>Specific learning disability (SLD)</w:t>
            </w:r>
          </w:p>
        </w:tc>
        <w:tc>
          <w:tcPr>
            <w:tcW w:w="0" w:type="dxa"/>
            <w:shd w:val="clear" w:color="auto" w:fill="FFFFFF" w:themeFill="background1"/>
            <w:vAlign w:val="bottom"/>
          </w:tcPr>
          <w:p w:rsidR="00A21AD9" w:rsidRPr="009C5B16" w:rsidP="008238D9" w14:paraId="44E60EF8" w14:textId="77777777">
            <w:pPr>
              <w:pStyle w:val="Table11Basic"/>
              <w:spacing w:before="20" w:after="20"/>
              <w:jc w:val="center"/>
              <w:rPr>
                <w:rFonts w:ascii="Calibri" w:eastAsia="Calibri" w:hAnsi="Calibri" w:cs="Calibri"/>
              </w:rPr>
            </w:pPr>
            <w:r>
              <w:t>996</w:t>
            </w:r>
          </w:p>
        </w:tc>
        <w:tc>
          <w:tcPr>
            <w:tcW w:w="0" w:type="dxa"/>
            <w:shd w:val="clear" w:color="auto" w:fill="FFFFFF" w:themeFill="background1"/>
            <w:vAlign w:val="bottom"/>
          </w:tcPr>
          <w:p w:rsidR="00A21AD9" w:rsidRPr="009C5B16" w:rsidP="008238D9" w14:paraId="48D920D3" w14:textId="77777777">
            <w:pPr>
              <w:pStyle w:val="Table11Basic"/>
              <w:spacing w:before="20" w:after="20"/>
              <w:jc w:val="center"/>
              <w:rPr>
                <w:rFonts w:ascii="Calibri" w:eastAsia="Calibri" w:hAnsi="Calibri" w:cs="Calibri"/>
              </w:rPr>
            </w:pPr>
            <w:r>
              <w:t>615,193</w:t>
            </w:r>
          </w:p>
        </w:tc>
      </w:tr>
      <w:tr w14:paraId="119686A9" w14:textId="77777777" w:rsidTr="005341CB">
        <w:tblPrEx>
          <w:tblW w:w="5000" w:type="pct"/>
          <w:tblCellMar>
            <w:left w:w="58" w:type="dxa"/>
            <w:right w:w="58" w:type="dxa"/>
          </w:tblCellMar>
          <w:tblLook w:val="0420"/>
        </w:tblPrEx>
        <w:tc>
          <w:tcPr>
            <w:tcW w:w="0" w:type="dxa"/>
            <w:vAlign w:val="bottom"/>
            <w:hideMark/>
          </w:tcPr>
          <w:p w:rsidR="00A21AD9" w:rsidRPr="009C5B16" w:rsidP="008238D9" w14:paraId="760E6A77" w14:textId="77777777">
            <w:pPr>
              <w:pStyle w:val="Table11Basic"/>
              <w:spacing w:before="20" w:after="20"/>
            </w:pPr>
            <w:r w:rsidRPr="009C5B16">
              <w:t>Speech or language impairment (SLI)</w:t>
            </w:r>
          </w:p>
        </w:tc>
        <w:tc>
          <w:tcPr>
            <w:tcW w:w="0" w:type="dxa"/>
            <w:vAlign w:val="bottom"/>
          </w:tcPr>
          <w:p w:rsidR="00A21AD9" w:rsidRPr="009C5B16" w:rsidP="008238D9" w14:paraId="221747ED" w14:textId="77777777">
            <w:pPr>
              <w:pStyle w:val="Table11Basic"/>
              <w:spacing w:before="20" w:after="20"/>
              <w:jc w:val="center"/>
              <w:rPr>
                <w:rFonts w:ascii="Calibri" w:eastAsia="Calibri" w:hAnsi="Calibri" w:cs="Calibri"/>
              </w:rPr>
            </w:pPr>
            <w:r>
              <w:t>979</w:t>
            </w:r>
          </w:p>
        </w:tc>
        <w:tc>
          <w:tcPr>
            <w:tcW w:w="0" w:type="dxa"/>
            <w:vAlign w:val="bottom"/>
          </w:tcPr>
          <w:p w:rsidR="00A21AD9" w:rsidRPr="009C5B16" w:rsidP="008238D9" w14:paraId="722F09C4" w14:textId="77777777">
            <w:pPr>
              <w:pStyle w:val="Table11Basic"/>
              <w:spacing w:before="20" w:after="20"/>
              <w:jc w:val="center"/>
              <w:rPr>
                <w:rFonts w:ascii="Calibri" w:eastAsia="Calibri" w:hAnsi="Calibri" w:cs="Calibri"/>
              </w:rPr>
            </w:pPr>
            <w:r>
              <w:t>306,469</w:t>
            </w:r>
          </w:p>
        </w:tc>
      </w:tr>
      <w:tr w14:paraId="58A10284" w14:textId="77777777" w:rsidTr="005341CB">
        <w:tblPrEx>
          <w:tblW w:w="5000" w:type="pct"/>
          <w:tblCellMar>
            <w:left w:w="58" w:type="dxa"/>
            <w:right w:w="58" w:type="dxa"/>
          </w:tblCellMar>
          <w:tblLook w:val="0420"/>
        </w:tblPrEx>
        <w:tc>
          <w:tcPr>
            <w:tcW w:w="0" w:type="dxa"/>
            <w:shd w:val="clear" w:color="auto" w:fill="FFFFFF" w:themeFill="background1"/>
            <w:vAlign w:val="bottom"/>
            <w:hideMark/>
          </w:tcPr>
          <w:p w:rsidR="00A21AD9" w:rsidRPr="009C5B16" w:rsidP="008238D9" w14:paraId="56B8CEF2" w14:textId="77777777">
            <w:pPr>
              <w:pStyle w:val="Table11Basic"/>
              <w:spacing w:before="20" w:after="20"/>
            </w:pPr>
            <w:r w:rsidRPr="009C5B16">
              <w:t>Traumatic brain injury (TBI)</w:t>
            </w:r>
          </w:p>
        </w:tc>
        <w:tc>
          <w:tcPr>
            <w:tcW w:w="0" w:type="dxa"/>
            <w:shd w:val="clear" w:color="auto" w:fill="FFFFFF" w:themeFill="background1"/>
            <w:vAlign w:val="bottom"/>
          </w:tcPr>
          <w:p w:rsidR="00A21AD9" w:rsidRPr="009C5B16" w:rsidP="008238D9" w14:paraId="0AE7F3AF" w14:textId="77777777">
            <w:pPr>
              <w:pStyle w:val="Table11Basic"/>
              <w:spacing w:before="20" w:after="20"/>
              <w:jc w:val="center"/>
              <w:rPr>
                <w:rFonts w:ascii="Calibri" w:eastAsia="Calibri" w:hAnsi="Calibri" w:cs="Calibri"/>
              </w:rPr>
            </w:pPr>
            <w:r>
              <w:t>601</w:t>
            </w:r>
          </w:p>
        </w:tc>
        <w:tc>
          <w:tcPr>
            <w:tcW w:w="0" w:type="dxa"/>
            <w:shd w:val="clear" w:color="auto" w:fill="FFFFFF" w:themeFill="background1"/>
            <w:vAlign w:val="bottom"/>
          </w:tcPr>
          <w:p w:rsidR="00A21AD9" w:rsidRPr="009C5B16" w:rsidP="008238D9" w14:paraId="7F7C24E9" w14:textId="77777777">
            <w:pPr>
              <w:pStyle w:val="Table11Basic"/>
              <w:spacing w:before="20" w:after="20"/>
              <w:jc w:val="center"/>
              <w:rPr>
                <w:rFonts w:ascii="Calibri" w:eastAsia="Calibri" w:hAnsi="Calibri" w:cs="Calibri"/>
              </w:rPr>
            </w:pPr>
            <w:r>
              <w:t>4,029</w:t>
            </w:r>
          </w:p>
        </w:tc>
      </w:tr>
      <w:tr w14:paraId="26B6E5F1" w14:textId="77777777" w:rsidTr="005341CB">
        <w:tblPrEx>
          <w:tblW w:w="5000" w:type="pct"/>
          <w:tblCellMar>
            <w:left w:w="58" w:type="dxa"/>
            <w:right w:w="58" w:type="dxa"/>
          </w:tblCellMar>
          <w:tblLook w:val="0420"/>
        </w:tblPrEx>
        <w:tc>
          <w:tcPr>
            <w:tcW w:w="0" w:type="dxa"/>
            <w:vAlign w:val="bottom"/>
            <w:hideMark/>
          </w:tcPr>
          <w:p w:rsidR="00A21AD9" w:rsidRPr="009C5B16" w:rsidP="008238D9" w14:paraId="33EA762B" w14:textId="77777777">
            <w:pPr>
              <w:pStyle w:val="Table11Basic"/>
              <w:spacing w:before="20" w:after="20"/>
            </w:pPr>
            <w:r w:rsidRPr="009C5B16">
              <w:t>Visual impairment (VI)</w:t>
            </w:r>
          </w:p>
        </w:tc>
        <w:tc>
          <w:tcPr>
            <w:tcW w:w="0" w:type="dxa"/>
            <w:vAlign w:val="bottom"/>
          </w:tcPr>
          <w:p w:rsidR="00A21AD9" w:rsidRPr="009C5B16" w:rsidP="008238D9" w14:paraId="44C41EE5" w14:textId="77777777">
            <w:pPr>
              <w:pStyle w:val="Table11Basic"/>
              <w:spacing w:before="20" w:after="20"/>
              <w:jc w:val="center"/>
              <w:rPr>
                <w:rFonts w:ascii="Calibri" w:eastAsia="Calibri" w:hAnsi="Calibri" w:cs="Calibri"/>
              </w:rPr>
            </w:pPr>
            <w:r>
              <w:t>636</w:t>
            </w:r>
          </w:p>
        </w:tc>
        <w:tc>
          <w:tcPr>
            <w:tcW w:w="0" w:type="dxa"/>
            <w:vAlign w:val="bottom"/>
          </w:tcPr>
          <w:p w:rsidR="00A21AD9" w:rsidRPr="009C5B16" w:rsidP="008238D9" w14:paraId="32E217C6" w14:textId="77777777">
            <w:pPr>
              <w:pStyle w:val="Table11Basic"/>
              <w:spacing w:before="20" w:after="20"/>
              <w:jc w:val="center"/>
              <w:rPr>
                <w:rFonts w:ascii="Calibri" w:eastAsia="Calibri" w:hAnsi="Calibri" w:cs="Calibri"/>
              </w:rPr>
            </w:pPr>
            <w:r>
              <w:t>5,254</w:t>
            </w:r>
          </w:p>
        </w:tc>
      </w:tr>
      <w:tr w14:paraId="0C8B1EFE" w14:textId="77777777" w:rsidTr="005341CB">
        <w:tblPrEx>
          <w:tblW w:w="5000" w:type="pct"/>
          <w:tblCellMar>
            <w:left w:w="58" w:type="dxa"/>
            <w:right w:w="58" w:type="dxa"/>
          </w:tblCellMar>
          <w:tblLook w:val="0420"/>
        </w:tblPrEx>
        <w:tc>
          <w:tcPr>
            <w:tcW w:w="0" w:type="dxa"/>
            <w:shd w:val="clear" w:color="auto" w:fill="FFFFFF" w:themeFill="background1"/>
            <w:vAlign w:val="bottom"/>
            <w:hideMark/>
          </w:tcPr>
          <w:p w:rsidR="00A21AD9" w:rsidRPr="009C5B16" w:rsidP="008238D9" w14:paraId="51A00E50" w14:textId="77777777">
            <w:pPr>
              <w:pStyle w:val="Table11Basic"/>
              <w:spacing w:before="20" w:after="20"/>
            </w:pPr>
            <w:r w:rsidRPr="009C5B16">
              <w:t>Other health impairment (OHI)</w:t>
            </w:r>
          </w:p>
        </w:tc>
        <w:tc>
          <w:tcPr>
            <w:tcW w:w="0" w:type="dxa"/>
            <w:shd w:val="clear" w:color="auto" w:fill="FFFFFF" w:themeFill="background1"/>
            <w:vAlign w:val="bottom"/>
          </w:tcPr>
          <w:p w:rsidR="00A21AD9" w:rsidRPr="009C5B16" w:rsidP="008238D9" w14:paraId="04520302" w14:textId="77777777">
            <w:pPr>
              <w:pStyle w:val="Table11Basic"/>
              <w:spacing w:before="20" w:after="20"/>
              <w:jc w:val="center"/>
              <w:rPr>
                <w:rFonts w:ascii="Calibri" w:eastAsia="Calibri" w:hAnsi="Calibri" w:cs="Calibri"/>
              </w:rPr>
            </w:pPr>
            <w:r>
              <w:t>988</w:t>
            </w:r>
          </w:p>
        </w:tc>
        <w:tc>
          <w:tcPr>
            <w:tcW w:w="0" w:type="dxa"/>
            <w:shd w:val="clear" w:color="auto" w:fill="FFFFFF" w:themeFill="background1"/>
            <w:vAlign w:val="bottom"/>
          </w:tcPr>
          <w:p w:rsidR="00A21AD9" w:rsidRPr="009C5B16" w:rsidP="008238D9" w14:paraId="594A2570" w14:textId="77777777">
            <w:pPr>
              <w:pStyle w:val="Table11Basic"/>
              <w:spacing w:before="20" w:after="20"/>
              <w:jc w:val="center"/>
              <w:rPr>
                <w:rFonts w:ascii="Calibri" w:eastAsia="Calibri" w:hAnsi="Calibri" w:cs="Calibri"/>
              </w:rPr>
            </w:pPr>
            <w:r>
              <w:t>251,604</w:t>
            </w:r>
          </w:p>
        </w:tc>
      </w:tr>
    </w:tbl>
    <w:p w:rsidR="00A21AD9" w:rsidP="008238D9" w14:paraId="793FD623" w14:textId="21E5BBB0">
      <w:pPr>
        <w:pStyle w:val="ExhibitNote"/>
        <w:rPr>
          <w:sz w:val="24"/>
        </w:rPr>
      </w:pPr>
      <w:r w:rsidRPr="00BF3D2C">
        <w:rPr>
          <w:i/>
          <w:iCs/>
        </w:rPr>
        <w:t>Source</w:t>
      </w:r>
      <w:r>
        <w:rPr>
          <w:i/>
          <w:iCs/>
        </w:rPr>
        <w:t>.</w:t>
      </w:r>
      <w:r w:rsidRPr="008233F6">
        <w:t xml:space="preserve"> </w:t>
      </w:r>
      <w:r w:rsidRPr="009C5B16">
        <w:t>U.S. Department of Education Civil Rights Data Collection (2020</w:t>
      </w:r>
      <w:r>
        <w:t>–</w:t>
      </w:r>
      <w:r w:rsidRPr="009C5B16">
        <w:t>21 school year)</w:t>
      </w:r>
    </w:p>
    <w:p w:rsidR="00A21AD9" w:rsidRPr="00CB3180" w:rsidP="000E0945" w14:paraId="21070443" w14:textId="1FFC4D33">
      <w:pPr>
        <w:pStyle w:val="Heading3"/>
      </w:pPr>
      <w:bookmarkStart w:id="19" w:name="_Toc217324945"/>
      <w:r w:rsidRPr="00CB3180">
        <w:t>B.1.4</w:t>
      </w:r>
      <w:r w:rsidR="00EB1580">
        <w:t>.</w:t>
      </w:r>
      <w:r w:rsidRPr="00CB3180">
        <w:t xml:space="preserve"> Sampling Schools</w:t>
      </w:r>
      <w:bookmarkEnd w:id="19"/>
    </w:p>
    <w:p w:rsidR="00A21AD9" w:rsidP="008238D9" w14:paraId="253B4872" w14:textId="207C10B4">
      <w:pPr>
        <w:pStyle w:val="BodyTextPostHeading"/>
      </w:pPr>
      <w:r w:rsidRPr="00F36618">
        <w:t xml:space="preserve">In the second stage, </w:t>
      </w:r>
      <w:r>
        <w:t xml:space="preserve">3,750 </w:t>
      </w:r>
      <w:r w:rsidRPr="00F36618">
        <w:t>schools that enroll</w:t>
      </w:r>
      <w:r>
        <w:t>ed</w:t>
      </w:r>
      <w:r w:rsidRPr="00F36618">
        <w:t xml:space="preserve"> at least one SWD </w:t>
      </w:r>
      <w:r w:rsidR="00266A27">
        <w:t>will be</w:t>
      </w:r>
      <w:r w:rsidRPr="00F36618">
        <w:t xml:space="preserve"> </w:t>
      </w:r>
      <w:r>
        <w:t xml:space="preserve">randomly </w:t>
      </w:r>
      <w:r w:rsidRPr="00F36618">
        <w:t xml:space="preserve">sampled </w:t>
      </w:r>
      <w:r>
        <w:t>from</w:t>
      </w:r>
      <w:r w:rsidRPr="00F36618">
        <w:t xml:space="preserve"> participating LEAs. </w:t>
      </w:r>
      <w:r>
        <w:t xml:space="preserve">Schools with at least one enrolled SWD, per information reported on the 2020–21 CRDC, </w:t>
      </w:r>
      <w:r w:rsidR="00266A27">
        <w:t>are</w:t>
      </w:r>
      <w:r>
        <w:t xml:space="preserve"> eligible for sampling. </w:t>
      </w:r>
      <w:r w:rsidRPr="003863E6">
        <w:t xml:space="preserve">This approach </w:t>
      </w:r>
      <w:r w:rsidR="00FE37CD">
        <w:t>ensures</w:t>
      </w:r>
      <w:r>
        <w:t xml:space="preserve"> </w:t>
      </w:r>
      <w:r w:rsidRPr="003863E6">
        <w:t xml:space="preserve">representation at both the LEA and school levels while improving operational efficiency by excluding schools </w:t>
      </w:r>
      <w:r w:rsidR="0022188C">
        <w:t xml:space="preserve">that had no eligible students in the 2020-21 </w:t>
      </w:r>
      <w:r w:rsidR="008C6494">
        <w:t>CRDC and</w:t>
      </w:r>
      <w:r w:rsidR="0022188C">
        <w:t xml:space="preserve"> thus would be expected to have few</w:t>
      </w:r>
      <w:r w:rsidR="00012D77">
        <w:t xml:space="preserve"> if </w:t>
      </w:r>
      <w:r w:rsidR="0022188C">
        <w:t>any in the study year</w:t>
      </w:r>
      <w:r w:rsidRPr="003863E6">
        <w:t>.</w:t>
      </w:r>
      <w:r>
        <w:t xml:space="preserve"> </w:t>
      </w:r>
      <w:r w:rsidRPr="009335D0">
        <w:t xml:space="preserve">If, during fieldwork, a sampled school is found to no longer </w:t>
      </w:r>
      <w:r w:rsidR="0006591A">
        <w:t>enroll</w:t>
      </w:r>
      <w:r w:rsidRPr="009335D0">
        <w:t xml:space="preserve"> </w:t>
      </w:r>
      <w:r w:rsidR="00CA1120">
        <w:t>at least one SWD,</w:t>
      </w:r>
      <w:r w:rsidRPr="009335D0">
        <w:t xml:space="preserve"> the school will be excluded from the sample</w:t>
      </w:r>
      <w:r>
        <w:t xml:space="preserve">. As was noted above, this sample size is intended to generate a responding sample of about </w:t>
      </w:r>
      <w:r w:rsidRPr="00883642">
        <w:t xml:space="preserve">3,000 schools </w:t>
      </w:r>
      <w:r>
        <w:t xml:space="preserve">in approximately 1,000 responding LEAs. </w:t>
      </w:r>
    </w:p>
    <w:p w:rsidR="00A21AD9" w:rsidRPr="00486876" w:rsidP="008238D9" w14:paraId="6E57098A" w14:textId="77777777">
      <w:pPr>
        <w:pStyle w:val="BodyText"/>
        <w:spacing w:before="120"/>
      </w:pPr>
      <w:r w:rsidRPr="00486876">
        <w:t>To address the very low incidence of students with DB, schools with at least one SWD experiencing DB will be selected with certainty in sampled LEAs. The remaining school sample size will be allocated to each LEA proportionally based on the square root of the LEA’s SWD enrollment as a measure of size. Schools within LEAs will be systematically sampled from a list sorted by school level, student enrollment, and school identification number.</w:t>
      </w:r>
    </w:p>
    <w:p w:rsidR="00A21AD9" w:rsidRPr="00CB3180" w:rsidP="000E0945" w14:paraId="1C15E1F4" w14:textId="2D2A507B">
      <w:pPr>
        <w:pStyle w:val="Heading3"/>
        <w:spacing w:before="120"/>
      </w:pPr>
      <w:bookmarkStart w:id="20" w:name="_Toc217324946"/>
      <w:r w:rsidRPr="00CB3180">
        <w:t>B.1.5</w:t>
      </w:r>
      <w:r w:rsidR="00EB1580">
        <w:t>.</w:t>
      </w:r>
      <w:r w:rsidRPr="00CB3180">
        <w:t xml:space="preserve"> Sampling SWDs</w:t>
      </w:r>
      <w:bookmarkEnd w:id="20"/>
    </w:p>
    <w:p w:rsidR="00A21AD9" w:rsidP="008238D9" w14:paraId="0E8A19FF" w14:textId="717548B6">
      <w:pPr>
        <w:pStyle w:val="BodyTextPostHeading"/>
      </w:pPr>
      <w:r w:rsidRPr="000C1A01">
        <w:t xml:space="preserve">In the third stage, </w:t>
      </w:r>
      <w:r>
        <w:t>SWDs</w:t>
      </w:r>
      <w:r w:rsidRPr="000C1A01">
        <w:t xml:space="preserve"> will be sampled </w:t>
      </w:r>
      <w:r>
        <w:t>from participating</w:t>
      </w:r>
      <w:r w:rsidRPr="000C1A01">
        <w:t xml:space="preserve"> schools</w:t>
      </w:r>
      <w:r>
        <w:t xml:space="preserve"> within sampled LEAs, using information from the student</w:t>
      </w:r>
      <w:r w:rsidRPr="003D00FB">
        <w:t xml:space="preserve"> rosters </w:t>
      </w:r>
      <w:r>
        <w:t>provided by the LEA and</w:t>
      </w:r>
      <w:r w:rsidRPr="003D00FB">
        <w:t xml:space="preserve"> sampling probabilities based on the </w:t>
      </w:r>
      <w:r>
        <w:t xml:space="preserve">distribution of SWDs across disability categories that were reported by schools in the 2020–21 </w:t>
      </w:r>
      <w:r w:rsidRPr="003D00FB">
        <w:t xml:space="preserve">CRDC data. </w:t>
      </w:r>
    </w:p>
    <w:p w:rsidR="009850F7" w:rsidP="008238D9" w14:paraId="2A0826D7" w14:textId="6B6381FC">
      <w:pPr>
        <w:pStyle w:val="BodyText"/>
        <w:spacing w:before="120"/>
        <w:rPr>
          <w:spacing w:val="-4"/>
        </w:rPr>
      </w:pPr>
      <w:r>
        <w:rPr>
          <w:spacing w:val="-4"/>
        </w:rPr>
        <w:t>To determine the SWD sample size, a</w:t>
      </w:r>
      <w:r w:rsidRPr="00B82B27" w:rsidR="00A21AD9">
        <w:rPr>
          <w:spacing w:val="-4"/>
        </w:rPr>
        <w:t xml:space="preserve"> simulated student data file was built for the sampled LEAs and schools using information about the SWD counts for IDEA’s 13 disability categories (from the 2020–21 CRDC) and other LEA and school characteristics (from the CCD). The simulated SWD sample also used information from the Special Education Expenditure Project (SEEP), the previous national study of special education spending conducted by the U.S. Department of Education (1999–2000), including average total spending for a SWD, the standard deviation for average total spending for a SWD, and the intraclass correlation coefficient (ICC) for spending to estimate the </w:t>
      </w:r>
      <w:r w:rsidRPr="00B82B27" w:rsidR="00A21AD9">
        <w:rPr>
          <w:spacing w:val="-4"/>
        </w:rPr>
        <w:t>standard error for a national estimate of average total spending for an SWD, overall and for each disability category.</w:t>
      </w:r>
      <w:r>
        <w:rPr>
          <w:spacing w:val="-4"/>
          <w:vertAlign w:val="superscript"/>
        </w:rPr>
        <w:footnoteReference w:id="14"/>
      </w:r>
      <w:r w:rsidRPr="00B82B27" w:rsidR="00A21AD9">
        <w:rPr>
          <w:spacing w:val="-4"/>
        </w:rPr>
        <w:t xml:space="preserve"> </w:t>
      </w:r>
      <w:r w:rsidRPr="00B82B27" w:rsidR="00125961">
        <w:rPr>
          <w:spacing w:val="-4"/>
        </w:rPr>
        <w:t>A variance inflation factor (VIF) was also applied because of unequal weights,</w:t>
      </w:r>
      <w:r>
        <w:rPr>
          <w:spacing w:val="-4"/>
          <w:vertAlign w:val="superscript"/>
        </w:rPr>
        <w:footnoteReference w:id="15"/>
      </w:r>
      <w:r w:rsidRPr="00B82B27" w:rsidR="00125961">
        <w:rPr>
          <w:spacing w:val="-4"/>
        </w:rPr>
        <w:t xml:space="preserve"> and a student design effect was calculated as the clustering effect (for LEAs) multiplied by the VIF.</w:t>
      </w:r>
      <w:r>
        <w:rPr>
          <w:spacing w:val="-4"/>
          <w:vertAlign w:val="superscript"/>
        </w:rPr>
        <w:footnoteReference w:id="16"/>
      </w:r>
      <w:r w:rsidRPr="00B82B27" w:rsidR="00125961">
        <w:rPr>
          <w:spacing w:val="-4"/>
        </w:rPr>
        <w:t xml:space="preserve"> </w:t>
      </w:r>
    </w:p>
    <w:p w:rsidR="00A21AD9" w:rsidRPr="00B82B27" w:rsidP="008238D9" w14:paraId="11B5E722" w14:textId="15C6CDE4">
      <w:pPr>
        <w:pStyle w:val="BodyText"/>
        <w:spacing w:before="120"/>
        <w:rPr>
          <w:rFonts w:ascii="Calibri" w:eastAsia="Times New Roman" w:hAnsi="Calibri" w:cs="Times"/>
          <w:b/>
          <w:iCs/>
          <w:color w:val="00507F"/>
          <w:spacing w:val="-4"/>
        </w:rPr>
      </w:pPr>
      <w:r w:rsidRPr="00B82B27">
        <w:rPr>
          <w:spacing w:val="-4"/>
        </w:rPr>
        <w:t xml:space="preserve">Exhibit 2 shows the summary statistics for mean total spending </w:t>
      </w:r>
      <w:r w:rsidR="0029255B">
        <w:rPr>
          <w:spacing w:val="-4"/>
        </w:rPr>
        <w:t>per</w:t>
      </w:r>
      <w:r w:rsidRPr="00B82B27">
        <w:rPr>
          <w:spacing w:val="-4"/>
        </w:rPr>
        <w:t xml:space="preserve"> SWD from the SEEP that informed the sample design. </w:t>
      </w:r>
    </w:p>
    <w:p w:rsidR="00A21AD9" w:rsidRPr="009C5B16" w:rsidP="00734A80" w14:paraId="0A70B482" w14:textId="195AD1F2">
      <w:pPr>
        <w:pStyle w:val="ExhibitTitle"/>
      </w:pPr>
      <w:bookmarkStart w:id="21" w:name="_Toc217324959"/>
      <w:r w:rsidRPr="009C5B16">
        <w:t xml:space="preserve">Exhibit </w:t>
      </w:r>
      <w:r w:rsidRPr="00734A80">
        <w:t>2.</w:t>
      </w:r>
      <w:r w:rsidR="00BF41E4">
        <w:t xml:space="preserve"> </w:t>
      </w:r>
      <w:r w:rsidRPr="009C5B16">
        <w:t xml:space="preserve">Key statistics for </w:t>
      </w:r>
      <w:r>
        <w:t xml:space="preserve">the total </w:t>
      </w:r>
      <w:r w:rsidRPr="009C5B16">
        <w:t>special education spending estimates</w:t>
      </w:r>
      <w:r>
        <w:t xml:space="preserve"> from the SEEP that were</w:t>
      </w:r>
      <w:r w:rsidRPr="009C5B16">
        <w:t xml:space="preserve"> used to develop </w:t>
      </w:r>
      <w:r>
        <w:t>the SWD sample design</w:t>
      </w:r>
      <w:bookmarkEnd w:id="21"/>
      <w:r>
        <w:t xml:space="preserve"> </w:t>
      </w:r>
    </w:p>
    <w:tbl>
      <w:tblPr>
        <w:tblStyle w:val="TableStyle-AIR20211"/>
        <w:tblW w:w="4956" w:type="pct"/>
        <w:tblLayout w:type="fixed"/>
        <w:tblLook w:val="04A0"/>
      </w:tblPr>
      <w:tblGrid>
        <w:gridCol w:w="3274"/>
        <w:gridCol w:w="1200"/>
        <w:gridCol w:w="1201"/>
        <w:gridCol w:w="1201"/>
        <w:gridCol w:w="1201"/>
        <w:gridCol w:w="1193"/>
        <w:gridCol w:w="8"/>
      </w:tblGrid>
      <w:tr w14:paraId="4800F862" w14:textId="77777777" w:rsidTr="00EA6349">
        <w:tblPrEx>
          <w:tblW w:w="4956" w:type="pct"/>
          <w:tblLayout w:type="fixed"/>
          <w:tblLook w:val="04A0"/>
        </w:tblPrEx>
        <w:trPr>
          <w:gridAfter w:val="1"/>
          <w:wAfter w:w="8" w:type="dxa"/>
          <w:tblHeader/>
        </w:trPr>
        <w:tc>
          <w:tcPr>
            <w:tcW w:w="3274" w:type="dxa"/>
            <w:vAlign w:val="bottom"/>
            <w:hideMark/>
          </w:tcPr>
          <w:p w:rsidR="00A21AD9" w:rsidRPr="006B33E3" w:rsidP="00734A80" w14:paraId="20C998B3" w14:textId="77777777">
            <w:pPr>
              <w:pStyle w:val="Table11ColumnHeading"/>
            </w:pPr>
            <w:r w:rsidRPr="006B33E3">
              <w:t>Category</w:t>
            </w:r>
          </w:p>
        </w:tc>
        <w:tc>
          <w:tcPr>
            <w:tcW w:w="1200" w:type="dxa"/>
            <w:vAlign w:val="bottom"/>
            <w:hideMark/>
          </w:tcPr>
          <w:p w:rsidR="00A21AD9" w:rsidRPr="006B33E3" w:rsidP="00734A80" w14:paraId="70F3CAB7" w14:textId="77777777">
            <w:pPr>
              <w:pStyle w:val="Table11ColumnHeading"/>
            </w:pPr>
            <w:r w:rsidRPr="006B33E3">
              <w:t>Mean</w:t>
            </w:r>
            <w:r>
              <w:t xml:space="preserve"> total spending</w:t>
            </w:r>
          </w:p>
        </w:tc>
        <w:tc>
          <w:tcPr>
            <w:tcW w:w="1201" w:type="dxa"/>
            <w:vAlign w:val="bottom"/>
            <w:hideMark/>
          </w:tcPr>
          <w:p w:rsidR="00A21AD9" w:rsidRPr="006B33E3" w:rsidP="00734A80" w14:paraId="53B4B774" w14:textId="77777777">
            <w:pPr>
              <w:pStyle w:val="Table11ColumnHeading"/>
            </w:pPr>
            <w:r w:rsidRPr="006B33E3">
              <w:t>SD</w:t>
            </w:r>
          </w:p>
        </w:tc>
        <w:tc>
          <w:tcPr>
            <w:tcW w:w="1201" w:type="dxa"/>
            <w:vAlign w:val="bottom"/>
            <w:hideMark/>
          </w:tcPr>
          <w:p w:rsidR="00A21AD9" w:rsidRPr="006B33E3" w:rsidP="00734A80" w14:paraId="56EEC969" w14:textId="77777777">
            <w:pPr>
              <w:pStyle w:val="Table11ColumnHeading"/>
            </w:pPr>
            <w:r w:rsidRPr="006B33E3">
              <w:rPr>
                <w:bCs/>
              </w:rPr>
              <w:t>Min</w:t>
            </w:r>
            <w:r>
              <w:rPr>
                <w:bCs/>
              </w:rPr>
              <w:t>imum</w:t>
            </w:r>
          </w:p>
        </w:tc>
        <w:tc>
          <w:tcPr>
            <w:tcW w:w="1201" w:type="dxa"/>
            <w:vAlign w:val="bottom"/>
            <w:hideMark/>
          </w:tcPr>
          <w:p w:rsidR="00A21AD9" w:rsidRPr="006B33E3" w:rsidP="00734A80" w14:paraId="21B1AD0B" w14:textId="77777777">
            <w:pPr>
              <w:pStyle w:val="Table11ColumnHeading"/>
            </w:pPr>
            <w:r w:rsidRPr="006B33E3">
              <w:t>Max</w:t>
            </w:r>
            <w:r>
              <w:t>imum</w:t>
            </w:r>
          </w:p>
        </w:tc>
        <w:tc>
          <w:tcPr>
            <w:tcW w:w="1193" w:type="dxa"/>
            <w:vAlign w:val="bottom"/>
          </w:tcPr>
          <w:p w:rsidR="00A21AD9" w:rsidRPr="006B33E3" w:rsidP="00734A80" w14:paraId="3848480D" w14:textId="77777777">
            <w:pPr>
              <w:pStyle w:val="Table11ColumnHeading"/>
              <w:rPr>
                <w:bCs/>
              </w:rPr>
            </w:pPr>
            <w:r w:rsidRPr="006B33E3">
              <w:t>ICC</w:t>
            </w:r>
          </w:p>
        </w:tc>
      </w:tr>
      <w:tr w14:paraId="362BD406" w14:textId="77777777" w:rsidTr="00EA6349">
        <w:tblPrEx>
          <w:tblW w:w="4956" w:type="pct"/>
          <w:tblLayout w:type="fixed"/>
          <w:tblLook w:val="04A0"/>
        </w:tblPrEx>
        <w:tc>
          <w:tcPr>
            <w:tcW w:w="3274" w:type="dxa"/>
            <w:hideMark/>
          </w:tcPr>
          <w:p w:rsidR="00A21AD9" w:rsidRPr="00147014" w:rsidP="00147014" w14:paraId="6845A363" w14:textId="77777777">
            <w:pPr>
              <w:pStyle w:val="Table11Basic"/>
              <w:rPr>
                <w:b/>
                <w:bCs/>
              </w:rPr>
            </w:pPr>
            <w:r w:rsidRPr="00147014">
              <w:rPr>
                <w:b/>
                <w:bCs/>
              </w:rPr>
              <w:t>Overall (for all SWD)</w:t>
            </w:r>
          </w:p>
        </w:tc>
        <w:tc>
          <w:tcPr>
            <w:tcW w:w="1200" w:type="dxa"/>
            <w:vAlign w:val="center"/>
            <w:hideMark/>
          </w:tcPr>
          <w:p w:rsidR="00A21AD9" w:rsidRPr="00787C4E" w:rsidP="008E4F12" w14:paraId="5299FA5C" w14:textId="77777777">
            <w:pPr>
              <w:pStyle w:val="Table11Basic"/>
              <w:jc w:val="center"/>
              <w:rPr>
                <w:b/>
                <w:bCs/>
              </w:rPr>
            </w:pPr>
            <w:r w:rsidRPr="00787C4E">
              <w:rPr>
                <w:b/>
                <w:bCs/>
              </w:rPr>
              <w:t>19,005</w:t>
            </w:r>
          </w:p>
        </w:tc>
        <w:tc>
          <w:tcPr>
            <w:tcW w:w="1201" w:type="dxa"/>
            <w:vAlign w:val="center"/>
            <w:hideMark/>
          </w:tcPr>
          <w:p w:rsidR="00A21AD9" w:rsidRPr="00787C4E" w:rsidP="008E4F12" w14:paraId="78267CC0" w14:textId="77777777">
            <w:pPr>
              <w:pStyle w:val="Table11Basic"/>
              <w:jc w:val="center"/>
              <w:rPr>
                <w:b/>
                <w:bCs/>
              </w:rPr>
            </w:pPr>
            <w:r w:rsidRPr="00787C4E">
              <w:rPr>
                <w:b/>
                <w:bCs/>
              </w:rPr>
              <w:t>12,837</w:t>
            </w:r>
          </w:p>
        </w:tc>
        <w:tc>
          <w:tcPr>
            <w:tcW w:w="1201" w:type="dxa"/>
            <w:vAlign w:val="center"/>
            <w:hideMark/>
          </w:tcPr>
          <w:p w:rsidR="00A21AD9" w:rsidRPr="00787C4E" w:rsidP="008E4F12" w14:paraId="778CD013" w14:textId="77777777">
            <w:pPr>
              <w:pStyle w:val="Table11Basic"/>
              <w:jc w:val="center"/>
              <w:rPr>
                <w:b/>
                <w:bCs/>
              </w:rPr>
            </w:pPr>
            <w:r w:rsidRPr="00787C4E">
              <w:rPr>
                <w:b/>
                <w:bCs/>
              </w:rPr>
              <w:t>3,584</w:t>
            </w:r>
          </w:p>
        </w:tc>
        <w:tc>
          <w:tcPr>
            <w:tcW w:w="1201" w:type="dxa"/>
            <w:vAlign w:val="center"/>
            <w:hideMark/>
          </w:tcPr>
          <w:p w:rsidR="00A21AD9" w:rsidRPr="00787C4E" w:rsidP="008E4F12" w14:paraId="701772B1" w14:textId="77777777">
            <w:pPr>
              <w:pStyle w:val="Table11Basic"/>
              <w:jc w:val="center"/>
              <w:rPr>
                <w:b/>
                <w:bCs/>
              </w:rPr>
            </w:pPr>
            <w:r w:rsidRPr="00787C4E">
              <w:rPr>
                <w:b/>
                <w:bCs/>
              </w:rPr>
              <w:t>475,858</w:t>
            </w:r>
          </w:p>
        </w:tc>
        <w:tc>
          <w:tcPr>
            <w:tcW w:w="1201" w:type="dxa"/>
            <w:gridSpan w:val="2"/>
            <w:vAlign w:val="center"/>
          </w:tcPr>
          <w:p w:rsidR="00A21AD9" w:rsidRPr="00787C4E" w:rsidP="008E4F12" w14:paraId="4E97F200" w14:textId="77777777">
            <w:pPr>
              <w:pStyle w:val="Table11Basic"/>
              <w:jc w:val="center"/>
              <w:rPr>
                <w:b/>
                <w:bCs/>
              </w:rPr>
            </w:pPr>
            <w:r w:rsidRPr="00787C4E">
              <w:rPr>
                <w:b/>
                <w:bCs/>
              </w:rPr>
              <w:t>0.346</w:t>
            </w:r>
          </w:p>
        </w:tc>
      </w:tr>
      <w:tr w14:paraId="7CB07E81" w14:textId="77777777" w:rsidTr="00EA6349">
        <w:tblPrEx>
          <w:tblW w:w="4956" w:type="pct"/>
          <w:tblLayout w:type="fixed"/>
          <w:tblLook w:val="04A0"/>
        </w:tblPrEx>
        <w:tc>
          <w:tcPr>
            <w:tcW w:w="3274" w:type="dxa"/>
            <w:hideMark/>
          </w:tcPr>
          <w:p w:rsidR="00A21AD9" w:rsidRPr="006B33E3" w:rsidP="00147014" w14:paraId="4A71C4D8" w14:textId="77777777">
            <w:pPr>
              <w:pStyle w:val="Table11Basic"/>
            </w:pPr>
            <w:r w:rsidRPr="006B33E3">
              <w:t>Autism spectrum disorder (ASD)</w:t>
            </w:r>
          </w:p>
        </w:tc>
        <w:tc>
          <w:tcPr>
            <w:tcW w:w="1200" w:type="dxa"/>
            <w:vAlign w:val="center"/>
            <w:hideMark/>
          </w:tcPr>
          <w:p w:rsidR="00A21AD9" w:rsidRPr="002D336E" w:rsidP="008E4F12" w14:paraId="09996412" w14:textId="77777777">
            <w:pPr>
              <w:pStyle w:val="Table11Basic"/>
              <w:jc w:val="center"/>
            </w:pPr>
            <w:r w:rsidRPr="002D336E">
              <w:t>30,064</w:t>
            </w:r>
          </w:p>
        </w:tc>
        <w:tc>
          <w:tcPr>
            <w:tcW w:w="1201" w:type="dxa"/>
            <w:vAlign w:val="center"/>
            <w:hideMark/>
          </w:tcPr>
          <w:p w:rsidR="00A21AD9" w:rsidRPr="002D336E" w:rsidP="008E4F12" w14:paraId="5CA0B298" w14:textId="77777777">
            <w:pPr>
              <w:pStyle w:val="Table11Basic"/>
              <w:jc w:val="center"/>
            </w:pPr>
            <w:r w:rsidRPr="002D336E">
              <w:t>65,547</w:t>
            </w:r>
          </w:p>
        </w:tc>
        <w:tc>
          <w:tcPr>
            <w:tcW w:w="1201" w:type="dxa"/>
            <w:vAlign w:val="center"/>
            <w:hideMark/>
          </w:tcPr>
          <w:p w:rsidR="00A21AD9" w:rsidRPr="002D336E" w:rsidP="008E4F12" w14:paraId="1BF069EE" w14:textId="77777777">
            <w:pPr>
              <w:pStyle w:val="Table11Basic"/>
              <w:jc w:val="center"/>
            </w:pPr>
            <w:r w:rsidRPr="002D336E">
              <w:t>5,740</w:t>
            </w:r>
          </w:p>
        </w:tc>
        <w:tc>
          <w:tcPr>
            <w:tcW w:w="1201" w:type="dxa"/>
            <w:vAlign w:val="center"/>
            <w:hideMark/>
          </w:tcPr>
          <w:p w:rsidR="00A21AD9" w:rsidRPr="002D336E" w:rsidP="008E4F12" w14:paraId="711C9AD6" w14:textId="77777777">
            <w:pPr>
              <w:pStyle w:val="Table11Basic"/>
              <w:jc w:val="center"/>
            </w:pPr>
            <w:r w:rsidRPr="002D336E">
              <w:t>280,121</w:t>
            </w:r>
          </w:p>
        </w:tc>
        <w:tc>
          <w:tcPr>
            <w:tcW w:w="1201" w:type="dxa"/>
            <w:gridSpan w:val="2"/>
            <w:vAlign w:val="center"/>
          </w:tcPr>
          <w:p w:rsidR="00A21AD9" w:rsidRPr="002D336E" w:rsidP="008E4F12" w14:paraId="716CF99A" w14:textId="77777777">
            <w:pPr>
              <w:pStyle w:val="Table11Basic"/>
              <w:jc w:val="center"/>
            </w:pPr>
            <w:r w:rsidRPr="002D336E">
              <w:rPr>
                <w:color w:val="000000"/>
              </w:rPr>
              <w:t>0.351</w:t>
            </w:r>
          </w:p>
        </w:tc>
      </w:tr>
      <w:tr w14:paraId="588CFF3E" w14:textId="77777777" w:rsidTr="00EA6349">
        <w:tblPrEx>
          <w:tblW w:w="4956" w:type="pct"/>
          <w:tblLayout w:type="fixed"/>
          <w:tblLook w:val="04A0"/>
        </w:tblPrEx>
        <w:tc>
          <w:tcPr>
            <w:tcW w:w="3274" w:type="dxa"/>
            <w:hideMark/>
          </w:tcPr>
          <w:p w:rsidR="00A21AD9" w:rsidRPr="006B33E3" w:rsidP="00147014" w14:paraId="19F21AEB" w14:textId="64E31E5A">
            <w:pPr>
              <w:pStyle w:val="Table11Basic"/>
            </w:pPr>
            <w:r w:rsidRPr="006B33E3">
              <w:t>Deaf</w:t>
            </w:r>
            <w:r>
              <w:t>-</w:t>
            </w:r>
            <w:r w:rsidRPr="006B33E3">
              <w:t>blindness (DB)</w:t>
            </w:r>
          </w:p>
        </w:tc>
        <w:tc>
          <w:tcPr>
            <w:tcW w:w="1200" w:type="dxa"/>
            <w:vAlign w:val="center"/>
            <w:hideMark/>
          </w:tcPr>
          <w:p w:rsidR="00A21AD9" w:rsidRPr="002D336E" w:rsidP="008E4F12" w14:paraId="77FF6D2E" w14:textId="77777777">
            <w:pPr>
              <w:pStyle w:val="Table11Basic"/>
              <w:jc w:val="center"/>
            </w:pPr>
            <w:r w:rsidRPr="002D336E">
              <w:t>23,785</w:t>
            </w:r>
          </w:p>
        </w:tc>
        <w:tc>
          <w:tcPr>
            <w:tcW w:w="1201" w:type="dxa"/>
            <w:vAlign w:val="center"/>
            <w:hideMark/>
          </w:tcPr>
          <w:p w:rsidR="00A21AD9" w:rsidRPr="002D336E" w:rsidP="008E4F12" w14:paraId="1D0C6650" w14:textId="77777777">
            <w:pPr>
              <w:pStyle w:val="Table11Basic"/>
              <w:jc w:val="center"/>
            </w:pPr>
            <w:r w:rsidRPr="002D336E">
              <w:t>67,470</w:t>
            </w:r>
          </w:p>
        </w:tc>
        <w:tc>
          <w:tcPr>
            <w:tcW w:w="1201" w:type="dxa"/>
            <w:vAlign w:val="center"/>
            <w:hideMark/>
          </w:tcPr>
          <w:p w:rsidR="00A21AD9" w:rsidRPr="002D336E" w:rsidP="008E4F12" w14:paraId="7FBDD46A" w14:textId="77777777">
            <w:pPr>
              <w:pStyle w:val="Table11Basic"/>
              <w:jc w:val="center"/>
            </w:pPr>
            <w:r w:rsidRPr="002D336E">
              <w:t>7,739</w:t>
            </w:r>
          </w:p>
        </w:tc>
        <w:tc>
          <w:tcPr>
            <w:tcW w:w="1201" w:type="dxa"/>
            <w:vAlign w:val="center"/>
            <w:hideMark/>
          </w:tcPr>
          <w:p w:rsidR="00A21AD9" w:rsidRPr="002D336E" w:rsidP="008E4F12" w14:paraId="308AE00B" w14:textId="77777777">
            <w:pPr>
              <w:pStyle w:val="Table11Basic"/>
              <w:jc w:val="center"/>
            </w:pPr>
            <w:r w:rsidRPr="002D336E">
              <w:t>82,410</w:t>
            </w:r>
          </w:p>
        </w:tc>
        <w:tc>
          <w:tcPr>
            <w:tcW w:w="1201" w:type="dxa"/>
            <w:gridSpan w:val="2"/>
            <w:vAlign w:val="center"/>
          </w:tcPr>
          <w:p w:rsidR="00A21AD9" w:rsidRPr="002D336E" w:rsidP="008E4F12" w14:paraId="5AC1D173" w14:textId="77777777">
            <w:pPr>
              <w:pStyle w:val="Table11Basic"/>
              <w:jc w:val="center"/>
            </w:pPr>
            <w:r w:rsidRPr="002D336E">
              <w:rPr>
                <w:color w:val="000000"/>
              </w:rPr>
              <w:t>0.308</w:t>
            </w:r>
          </w:p>
        </w:tc>
      </w:tr>
      <w:tr w14:paraId="0C91A0B4" w14:textId="77777777" w:rsidTr="00EA6349">
        <w:tblPrEx>
          <w:tblW w:w="4956" w:type="pct"/>
          <w:tblLayout w:type="fixed"/>
          <w:tblLook w:val="04A0"/>
        </w:tblPrEx>
        <w:tc>
          <w:tcPr>
            <w:tcW w:w="3274" w:type="dxa"/>
            <w:hideMark/>
          </w:tcPr>
          <w:p w:rsidR="00A21AD9" w:rsidRPr="006B33E3" w:rsidP="00147014" w14:paraId="3428DEE4" w14:textId="77777777">
            <w:pPr>
              <w:pStyle w:val="Table11Basic"/>
            </w:pPr>
            <w:r w:rsidRPr="006B33E3">
              <w:t>Developmental delay (DD)</w:t>
            </w:r>
          </w:p>
        </w:tc>
        <w:tc>
          <w:tcPr>
            <w:tcW w:w="1200" w:type="dxa"/>
            <w:vAlign w:val="center"/>
            <w:hideMark/>
          </w:tcPr>
          <w:p w:rsidR="00A21AD9" w:rsidRPr="002D336E" w:rsidP="008E4F12" w14:paraId="1EFBA3DA" w14:textId="77777777">
            <w:pPr>
              <w:pStyle w:val="Table11Basic"/>
              <w:jc w:val="center"/>
            </w:pPr>
            <w:r w:rsidRPr="002D336E">
              <w:t>21,215</w:t>
            </w:r>
          </w:p>
        </w:tc>
        <w:tc>
          <w:tcPr>
            <w:tcW w:w="1201" w:type="dxa"/>
            <w:vAlign w:val="center"/>
            <w:hideMark/>
          </w:tcPr>
          <w:p w:rsidR="00A21AD9" w:rsidRPr="002D336E" w:rsidP="008E4F12" w14:paraId="36C99F90" w14:textId="77777777">
            <w:pPr>
              <w:pStyle w:val="Table11Basic"/>
              <w:jc w:val="center"/>
            </w:pPr>
            <w:r w:rsidRPr="002D336E">
              <w:t>11,157</w:t>
            </w:r>
          </w:p>
        </w:tc>
        <w:tc>
          <w:tcPr>
            <w:tcW w:w="1201" w:type="dxa"/>
            <w:vAlign w:val="center"/>
            <w:hideMark/>
          </w:tcPr>
          <w:p w:rsidR="00A21AD9" w:rsidRPr="002D336E" w:rsidP="008E4F12" w14:paraId="6FFB2815" w14:textId="77777777">
            <w:pPr>
              <w:pStyle w:val="Table11Basic"/>
              <w:jc w:val="center"/>
            </w:pPr>
            <w:r w:rsidRPr="002D336E">
              <w:t>8,634</w:t>
            </w:r>
          </w:p>
        </w:tc>
        <w:tc>
          <w:tcPr>
            <w:tcW w:w="1201" w:type="dxa"/>
            <w:vAlign w:val="center"/>
            <w:hideMark/>
          </w:tcPr>
          <w:p w:rsidR="00A21AD9" w:rsidRPr="002D336E" w:rsidP="008E4F12" w14:paraId="113DA67E" w14:textId="77777777">
            <w:pPr>
              <w:pStyle w:val="Table11Basic"/>
              <w:jc w:val="center"/>
            </w:pPr>
            <w:r w:rsidRPr="002D336E">
              <w:t>52,848</w:t>
            </w:r>
          </w:p>
        </w:tc>
        <w:tc>
          <w:tcPr>
            <w:tcW w:w="1201" w:type="dxa"/>
            <w:gridSpan w:val="2"/>
            <w:vAlign w:val="center"/>
          </w:tcPr>
          <w:p w:rsidR="00A21AD9" w:rsidRPr="002D336E" w:rsidP="008E4F12" w14:paraId="0528E2CE" w14:textId="77777777">
            <w:pPr>
              <w:pStyle w:val="Table11Basic"/>
              <w:jc w:val="center"/>
            </w:pPr>
            <w:r w:rsidRPr="002D336E">
              <w:rPr>
                <w:color w:val="000000"/>
              </w:rPr>
              <w:t>0.338</w:t>
            </w:r>
          </w:p>
        </w:tc>
      </w:tr>
      <w:tr w14:paraId="5B924CE3" w14:textId="77777777" w:rsidTr="00EA6349">
        <w:tblPrEx>
          <w:tblW w:w="4956" w:type="pct"/>
          <w:tblLayout w:type="fixed"/>
          <w:tblLook w:val="04A0"/>
        </w:tblPrEx>
        <w:tc>
          <w:tcPr>
            <w:tcW w:w="3274" w:type="dxa"/>
            <w:hideMark/>
          </w:tcPr>
          <w:p w:rsidR="00A21AD9" w:rsidRPr="006B33E3" w:rsidP="00147014" w14:paraId="49CEBEC8" w14:textId="77777777">
            <w:pPr>
              <w:pStyle w:val="Table11Basic"/>
            </w:pPr>
            <w:r w:rsidRPr="006B33E3">
              <w:t>Emotional disturbance (ED)</w:t>
            </w:r>
          </w:p>
        </w:tc>
        <w:tc>
          <w:tcPr>
            <w:tcW w:w="1200" w:type="dxa"/>
            <w:vAlign w:val="center"/>
            <w:hideMark/>
          </w:tcPr>
          <w:p w:rsidR="00A21AD9" w:rsidRPr="002D336E" w:rsidP="008E4F12" w14:paraId="1B79CAA3" w14:textId="77777777">
            <w:pPr>
              <w:pStyle w:val="Table11Basic"/>
              <w:jc w:val="center"/>
            </w:pPr>
            <w:r w:rsidRPr="002D336E">
              <w:t>22,634</w:t>
            </w:r>
          </w:p>
        </w:tc>
        <w:tc>
          <w:tcPr>
            <w:tcW w:w="1201" w:type="dxa"/>
            <w:vAlign w:val="center"/>
            <w:hideMark/>
          </w:tcPr>
          <w:p w:rsidR="00A21AD9" w:rsidRPr="002D336E" w:rsidP="008E4F12" w14:paraId="2A5F89BC" w14:textId="77777777">
            <w:pPr>
              <w:pStyle w:val="Table11Basic"/>
              <w:jc w:val="center"/>
            </w:pPr>
            <w:r w:rsidRPr="002D336E">
              <w:t>19,424</w:t>
            </w:r>
          </w:p>
        </w:tc>
        <w:tc>
          <w:tcPr>
            <w:tcW w:w="1201" w:type="dxa"/>
            <w:vAlign w:val="center"/>
            <w:hideMark/>
          </w:tcPr>
          <w:p w:rsidR="00A21AD9" w:rsidRPr="002D336E" w:rsidP="008E4F12" w14:paraId="2E33C5D1" w14:textId="77777777">
            <w:pPr>
              <w:pStyle w:val="Table11Basic"/>
              <w:jc w:val="center"/>
            </w:pPr>
            <w:r w:rsidRPr="002D336E">
              <w:t>5,135</w:t>
            </w:r>
          </w:p>
        </w:tc>
        <w:tc>
          <w:tcPr>
            <w:tcW w:w="1201" w:type="dxa"/>
            <w:vAlign w:val="center"/>
            <w:hideMark/>
          </w:tcPr>
          <w:p w:rsidR="00A21AD9" w:rsidRPr="002D336E" w:rsidP="008E4F12" w14:paraId="1338B892" w14:textId="77777777">
            <w:pPr>
              <w:pStyle w:val="Table11Basic"/>
              <w:jc w:val="center"/>
            </w:pPr>
            <w:r w:rsidRPr="002D336E">
              <w:t>114,790</w:t>
            </w:r>
          </w:p>
        </w:tc>
        <w:tc>
          <w:tcPr>
            <w:tcW w:w="1201" w:type="dxa"/>
            <w:gridSpan w:val="2"/>
            <w:vAlign w:val="center"/>
          </w:tcPr>
          <w:p w:rsidR="00A21AD9" w:rsidRPr="002D336E" w:rsidP="008E4F12" w14:paraId="020D841F" w14:textId="77777777">
            <w:pPr>
              <w:pStyle w:val="Table11Basic"/>
              <w:jc w:val="center"/>
            </w:pPr>
            <w:r w:rsidRPr="002D336E">
              <w:rPr>
                <w:color w:val="000000"/>
              </w:rPr>
              <w:t>0.281</w:t>
            </w:r>
          </w:p>
        </w:tc>
      </w:tr>
      <w:tr w14:paraId="0EE06209" w14:textId="77777777" w:rsidTr="00EA6349">
        <w:tblPrEx>
          <w:tblW w:w="4956" w:type="pct"/>
          <w:tblLayout w:type="fixed"/>
          <w:tblLook w:val="04A0"/>
        </w:tblPrEx>
        <w:tc>
          <w:tcPr>
            <w:tcW w:w="3274" w:type="dxa"/>
            <w:hideMark/>
          </w:tcPr>
          <w:p w:rsidR="00A21AD9" w:rsidRPr="006B33E3" w:rsidP="00147014" w14:paraId="169C8014" w14:textId="77777777">
            <w:pPr>
              <w:pStyle w:val="Table11Basic"/>
            </w:pPr>
            <w:r w:rsidRPr="006B33E3">
              <w:t>Hearing impairment (HI)</w:t>
            </w:r>
          </w:p>
        </w:tc>
        <w:tc>
          <w:tcPr>
            <w:tcW w:w="1200" w:type="dxa"/>
            <w:vAlign w:val="center"/>
            <w:hideMark/>
          </w:tcPr>
          <w:p w:rsidR="00A21AD9" w:rsidRPr="002D336E" w:rsidP="008E4F12" w14:paraId="0CEA410E" w14:textId="77777777">
            <w:pPr>
              <w:pStyle w:val="Table11Basic"/>
              <w:jc w:val="center"/>
            </w:pPr>
            <w:r w:rsidRPr="002D336E">
              <w:t>25,588</w:t>
            </w:r>
          </w:p>
        </w:tc>
        <w:tc>
          <w:tcPr>
            <w:tcW w:w="1201" w:type="dxa"/>
            <w:vAlign w:val="center"/>
            <w:hideMark/>
          </w:tcPr>
          <w:p w:rsidR="00A21AD9" w:rsidRPr="002D336E" w:rsidP="008E4F12" w14:paraId="11CE7BFF" w14:textId="77777777">
            <w:pPr>
              <w:pStyle w:val="Table11Basic"/>
              <w:jc w:val="center"/>
            </w:pPr>
            <w:r w:rsidRPr="002D336E">
              <w:t>36,286</w:t>
            </w:r>
          </w:p>
        </w:tc>
        <w:tc>
          <w:tcPr>
            <w:tcW w:w="1201" w:type="dxa"/>
            <w:vAlign w:val="center"/>
            <w:hideMark/>
          </w:tcPr>
          <w:p w:rsidR="00A21AD9" w:rsidRPr="002D336E" w:rsidP="008E4F12" w14:paraId="3977AB2C" w14:textId="77777777">
            <w:pPr>
              <w:pStyle w:val="Table11Basic"/>
              <w:jc w:val="center"/>
            </w:pPr>
            <w:r w:rsidRPr="002D336E">
              <w:t>6,858</w:t>
            </w:r>
          </w:p>
        </w:tc>
        <w:tc>
          <w:tcPr>
            <w:tcW w:w="1201" w:type="dxa"/>
            <w:vAlign w:val="center"/>
            <w:hideMark/>
          </w:tcPr>
          <w:p w:rsidR="00A21AD9" w:rsidRPr="002D336E" w:rsidP="008E4F12" w14:paraId="3EEE800A" w14:textId="77777777">
            <w:pPr>
              <w:pStyle w:val="Table11Basic"/>
              <w:jc w:val="center"/>
            </w:pPr>
            <w:r w:rsidRPr="002D336E">
              <w:t>212,146</w:t>
            </w:r>
          </w:p>
        </w:tc>
        <w:tc>
          <w:tcPr>
            <w:tcW w:w="1201" w:type="dxa"/>
            <w:gridSpan w:val="2"/>
            <w:vAlign w:val="center"/>
          </w:tcPr>
          <w:p w:rsidR="00A21AD9" w:rsidRPr="002D336E" w:rsidP="008E4F12" w14:paraId="5EB2DD4B" w14:textId="77777777">
            <w:pPr>
              <w:pStyle w:val="Table11Basic"/>
              <w:jc w:val="center"/>
            </w:pPr>
            <w:r w:rsidRPr="002D336E">
              <w:rPr>
                <w:color w:val="000000"/>
              </w:rPr>
              <w:t>0.356</w:t>
            </w:r>
          </w:p>
        </w:tc>
      </w:tr>
      <w:tr w14:paraId="75757381" w14:textId="77777777" w:rsidTr="00EA6349">
        <w:tblPrEx>
          <w:tblW w:w="4956" w:type="pct"/>
          <w:tblLayout w:type="fixed"/>
          <w:tblLook w:val="04A0"/>
        </w:tblPrEx>
        <w:tc>
          <w:tcPr>
            <w:tcW w:w="3274" w:type="dxa"/>
            <w:hideMark/>
          </w:tcPr>
          <w:p w:rsidR="00A21AD9" w:rsidRPr="006B33E3" w:rsidP="00147014" w14:paraId="511DBA4D" w14:textId="77777777">
            <w:pPr>
              <w:pStyle w:val="Table11Basic"/>
            </w:pPr>
            <w:r w:rsidRPr="006B33E3">
              <w:t>Intellectual disability (ID)</w:t>
            </w:r>
          </w:p>
        </w:tc>
        <w:tc>
          <w:tcPr>
            <w:tcW w:w="1200" w:type="dxa"/>
            <w:vAlign w:val="center"/>
            <w:hideMark/>
          </w:tcPr>
          <w:p w:rsidR="00A21AD9" w:rsidRPr="002D336E" w:rsidP="008E4F12" w14:paraId="7C80FD4D" w14:textId="77777777">
            <w:pPr>
              <w:pStyle w:val="Table11Basic"/>
              <w:jc w:val="center"/>
            </w:pPr>
            <w:r w:rsidRPr="002D336E">
              <w:t>24,063</w:t>
            </w:r>
          </w:p>
        </w:tc>
        <w:tc>
          <w:tcPr>
            <w:tcW w:w="1201" w:type="dxa"/>
            <w:vAlign w:val="center"/>
            <w:hideMark/>
          </w:tcPr>
          <w:p w:rsidR="00A21AD9" w:rsidRPr="002D336E" w:rsidP="008E4F12" w14:paraId="7B82714C" w14:textId="77777777">
            <w:pPr>
              <w:pStyle w:val="Table11Basic"/>
              <w:jc w:val="center"/>
            </w:pPr>
            <w:r w:rsidRPr="002D336E">
              <w:t>13,957</w:t>
            </w:r>
          </w:p>
        </w:tc>
        <w:tc>
          <w:tcPr>
            <w:tcW w:w="1201" w:type="dxa"/>
            <w:vAlign w:val="center"/>
            <w:hideMark/>
          </w:tcPr>
          <w:p w:rsidR="00A21AD9" w:rsidRPr="002D336E" w:rsidP="008E4F12" w14:paraId="56417A67" w14:textId="77777777">
            <w:pPr>
              <w:pStyle w:val="Table11Basic"/>
              <w:jc w:val="center"/>
            </w:pPr>
            <w:r w:rsidRPr="002D336E">
              <w:t>3,584</w:t>
            </w:r>
          </w:p>
        </w:tc>
        <w:tc>
          <w:tcPr>
            <w:tcW w:w="1201" w:type="dxa"/>
            <w:vAlign w:val="center"/>
            <w:hideMark/>
          </w:tcPr>
          <w:p w:rsidR="00A21AD9" w:rsidRPr="002D336E" w:rsidP="008E4F12" w14:paraId="29019CC2" w14:textId="77777777">
            <w:pPr>
              <w:pStyle w:val="Table11Basic"/>
              <w:jc w:val="center"/>
            </w:pPr>
            <w:r w:rsidRPr="002D336E">
              <w:t>131,460</w:t>
            </w:r>
          </w:p>
        </w:tc>
        <w:tc>
          <w:tcPr>
            <w:tcW w:w="1201" w:type="dxa"/>
            <w:gridSpan w:val="2"/>
            <w:vAlign w:val="center"/>
          </w:tcPr>
          <w:p w:rsidR="00A21AD9" w:rsidRPr="002D336E" w:rsidP="008E4F12" w14:paraId="3DE78210" w14:textId="77777777">
            <w:pPr>
              <w:pStyle w:val="Table11Basic"/>
              <w:jc w:val="center"/>
            </w:pPr>
            <w:r w:rsidRPr="002D336E">
              <w:rPr>
                <w:color w:val="000000"/>
              </w:rPr>
              <w:t>0.361</w:t>
            </w:r>
          </w:p>
        </w:tc>
      </w:tr>
      <w:tr w14:paraId="397757B5" w14:textId="77777777" w:rsidTr="00EA6349">
        <w:tblPrEx>
          <w:tblW w:w="4956" w:type="pct"/>
          <w:tblLayout w:type="fixed"/>
          <w:tblLook w:val="04A0"/>
        </w:tblPrEx>
        <w:tc>
          <w:tcPr>
            <w:tcW w:w="3274" w:type="dxa"/>
            <w:hideMark/>
          </w:tcPr>
          <w:p w:rsidR="00A21AD9" w:rsidRPr="006B33E3" w:rsidP="00147014" w14:paraId="35DD17F2" w14:textId="77777777">
            <w:pPr>
              <w:pStyle w:val="Table11Basic"/>
            </w:pPr>
            <w:r w:rsidRPr="006B33E3">
              <w:t>Multiple disabilities (MD)</w:t>
            </w:r>
          </w:p>
        </w:tc>
        <w:tc>
          <w:tcPr>
            <w:tcW w:w="1200" w:type="dxa"/>
            <w:vAlign w:val="center"/>
            <w:hideMark/>
          </w:tcPr>
          <w:p w:rsidR="00A21AD9" w:rsidRPr="002D336E" w:rsidP="008E4F12" w14:paraId="7DEC70F5" w14:textId="77777777">
            <w:pPr>
              <w:pStyle w:val="Table11Basic"/>
              <w:jc w:val="center"/>
            </w:pPr>
            <w:r w:rsidRPr="002D336E">
              <w:t>32,152</w:t>
            </w:r>
          </w:p>
        </w:tc>
        <w:tc>
          <w:tcPr>
            <w:tcW w:w="1201" w:type="dxa"/>
            <w:vAlign w:val="center"/>
            <w:hideMark/>
          </w:tcPr>
          <w:p w:rsidR="00A21AD9" w:rsidRPr="002D336E" w:rsidP="008E4F12" w14:paraId="72B6633B" w14:textId="77777777">
            <w:pPr>
              <w:pStyle w:val="Table11Basic"/>
              <w:jc w:val="center"/>
            </w:pPr>
            <w:r w:rsidRPr="002D336E">
              <w:t>42,092</w:t>
            </w:r>
          </w:p>
        </w:tc>
        <w:tc>
          <w:tcPr>
            <w:tcW w:w="1201" w:type="dxa"/>
            <w:vAlign w:val="center"/>
            <w:hideMark/>
          </w:tcPr>
          <w:p w:rsidR="00A21AD9" w:rsidRPr="002D336E" w:rsidP="008E4F12" w14:paraId="5A09D4EE" w14:textId="77777777">
            <w:pPr>
              <w:pStyle w:val="Table11Basic"/>
              <w:jc w:val="center"/>
            </w:pPr>
            <w:r w:rsidRPr="002D336E">
              <w:t>6,348</w:t>
            </w:r>
          </w:p>
        </w:tc>
        <w:tc>
          <w:tcPr>
            <w:tcW w:w="1201" w:type="dxa"/>
            <w:vAlign w:val="center"/>
            <w:hideMark/>
          </w:tcPr>
          <w:p w:rsidR="00A21AD9" w:rsidRPr="002D336E" w:rsidP="008E4F12" w14:paraId="463A8A19" w14:textId="77777777">
            <w:pPr>
              <w:pStyle w:val="Table11Basic"/>
              <w:jc w:val="center"/>
            </w:pPr>
            <w:r w:rsidRPr="002D336E">
              <w:t>295,533</w:t>
            </w:r>
          </w:p>
        </w:tc>
        <w:tc>
          <w:tcPr>
            <w:tcW w:w="1201" w:type="dxa"/>
            <w:gridSpan w:val="2"/>
            <w:vAlign w:val="center"/>
          </w:tcPr>
          <w:p w:rsidR="00A21AD9" w:rsidRPr="002D336E" w:rsidP="008E4F12" w14:paraId="4ED0C08A" w14:textId="77777777">
            <w:pPr>
              <w:pStyle w:val="Table11Basic"/>
              <w:jc w:val="center"/>
            </w:pPr>
            <w:r w:rsidRPr="002D336E">
              <w:rPr>
                <w:color w:val="000000"/>
              </w:rPr>
              <w:t>0.321</w:t>
            </w:r>
          </w:p>
        </w:tc>
      </w:tr>
      <w:tr w14:paraId="504AC5AF" w14:textId="77777777" w:rsidTr="00EA6349">
        <w:tblPrEx>
          <w:tblW w:w="4956" w:type="pct"/>
          <w:tblLayout w:type="fixed"/>
          <w:tblLook w:val="04A0"/>
        </w:tblPrEx>
        <w:tc>
          <w:tcPr>
            <w:tcW w:w="3274" w:type="dxa"/>
            <w:hideMark/>
          </w:tcPr>
          <w:p w:rsidR="00A21AD9" w:rsidRPr="006B33E3" w:rsidP="00147014" w14:paraId="326C91F9" w14:textId="77777777">
            <w:pPr>
              <w:pStyle w:val="Table11Basic"/>
            </w:pPr>
            <w:r w:rsidRPr="006B33E3">
              <w:t>Orthopedic impairment (OI)</w:t>
            </w:r>
          </w:p>
        </w:tc>
        <w:tc>
          <w:tcPr>
            <w:tcW w:w="1200" w:type="dxa"/>
            <w:vAlign w:val="center"/>
            <w:hideMark/>
          </w:tcPr>
          <w:p w:rsidR="00A21AD9" w:rsidRPr="002D336E" w:rsidP="008E4F12" w14:paraId="0A28C16C" w14:textId="77777777">
            <w:pPr>
              <w:pStyle w:val="Table11Basic"/>
              <w:jc w:val="center"/>
            </w:pPr>
            <w:r w:rsidRPr="002D336E">
              <w:t>23,989</w:t>
            </w:r>
          </w:p>
        </w:tc>
        <w:tc>
          <w:tcPr>
            <w:tcW w:w="1201" w:type="dxa"/>
            <w:vAlign w:val="center"/>
            <w:hideMark/>
          </w:tcPr>
          <w:p w:rsidR="00A21AD9" w:rsidRPr="002D336E" w:rsidP="008E4F12" w14:paraId="5890F60B" w14:textId="77777777">
            <w:pPr>
              <w:pStyle w:val="Table11Basic"/>
              <w:jc w:val="center"/>
            </w:pPr>
            <w:r w:rsidRPr="002D336E">
              <w:t>21,735</w:t>
            </w:r>
          </w:p>
        </w:tc>
        <w:tc>
          <w:tcPr>
            <w:tcW w:w="1201" w:type="dxa"/>
            <w:vAlign w:val="center"/>
            <w:hideMark/>
          </w:tcPr>
          <w:p w:rsidR="00A21AD9" w:rsidRPr="002D336E" w:rsidP="008E4F12" w14:paraId="4C3BEB79" w14:textId="77777777">
            <w:pPr>
              <w:pStyle w:val="Table11Basic"/>
              <w:jc w:val="center"/>
            </w:pPr>
            <w:r w:rsidRPr="002D336E">
              <w:t>6,273</w:t>
            </w:r>
          </w:p>
        </w:tc>
        <w:tc>
          <w:tcPr>
            <w:tcW w:w="1201" w:type="dxa"/>
            <w:vAlign w:val="center"/>
            <w:hideMark/>
          </w:tcPr>
          <w:p w:rsidR="00A21AD9" w:rsidRPr="002D336E" w:rsidP="008E4F12" w14:paraId="31C554E1" w14:textId="77777777">
            <w:pPr>
              <w:pStyle w:val="Table11Basic"/>
              <w:jc w:val="center"/>
            </w:pPr>
            <w:r w:rsidRPr="002D336E">
              <w:t>205,213</w:t>
            </w:r>
          </w:p>
        </w:tc>
        <w:tc>
          <w:tcPr>
            <w:tcW w:w="1201" w:type="dxa"/>
            <w:gridSpan w:val="2"/>
            <w:vAlign w:val="center"/>
          </w:tcPr>
          <w:p w:rsidR="00A21AD9" w:rsidRPr="002D336E" w:rsidP="008E4F12" w14:paraId="7A55FFFF" w14:textId="77777777">
            <w:pPr>
              <w:pStyle w:val="Table11Basic"/>
              <w:jc w:val="center"/>
            </w:pPr>
            <w:r w:rsidRPr="002D336E">
              <w:rPr>
                <w:color w:val="000000"/>
              </w:rPr>
              <w:t>0.557</w:t>
            </w:r>
          </w:p>
        </w:tc>
      </w:tr>
      <w:tr w14:paraId="7DCA813C" w14:textId="77777777" w:rsidTr="00EA6349">
        <w:tblPrEx>
          <w:tblW w:w="4956" w:type="pct"/>
          <w:tblLayout w:type="fixed"/>
          <w:tblLook w:val="04A0"/>
        </w:tblPrEx>
        <w:tc>
          <w:tcPr>
            <w:tcW w:w="3274" w:type="dxa"/>
            <w:hideMark/>
          </w:tcPr>
          <w:p w:rsidR="00A21AD9" w:rsidRPr="006B33E3" w:rsidP="00147014" w14:paraId="5F8EA1B7" w14:textId="77777777">
            <w:pPr>
              <w:pStyle w:val="Table11Basic"/>
            </w:pPr>
            <w:r w:rsidRPr="006B33E3">
              <w:t>Specific learning disability (SLD)</w:t>
            </w:r>
          </w:p>
        </w:tc>
        <w:tc>
          <w:tcPr>
            <w:tcW w:w="1200" w:type="dxa"/>
            <w:vAlign w:val="center"/>
            <w:hideMark/>
          </w:tcPr>
          <w:p w:rsidR="00A21AD9" w:rsidRPr="002D336E" w:rsidP="008E4F12" w14:paraId="7DDECCD5" w14:textId="77777777">
            <w:pPr>
              <w:pStyle w:val="Table11Basic"/>
              <w:jc w:val="center"/>
            </w:pPr>
            <w:r w:rsidRPr="002D336E">
              <w:t>16,893</w:t>
            </w:r>
          </w:p>
        </w:tc>
        <w:tc>
          <w:tcPr>
            <w:tcW w:w="1201" w:type="dxa"/>
            <w:vAlign w:val="center"/>
            <w:hideMark/>
          </w:tcPr>
          <w:p w:rsidR="00A21AD9" w:rsidRPr="002D336E" w:rsidP="008E4F12" w14:paraId="67650209" w14:textId="77777777">
            <w:pPr>
              <w:pStyle w:val="Table11Basic"/>
              <w:jc w:val="center"/>
            </w:pPr>
            <w:r w:rsidRPr="002D336E">
              <w:t>8,108</w:t>
            </w:r>
          </w:p>
        </w:tc>
        <w:tc>
          <w:tcPr>
            <w:tcW w:w="1201" w:type="dxa"/>
            <w:vAlign w:val="center"/>
            <w:hideMark/>
          </w:tcPr>
          <w:p w:rsidR="00A21AD9" w:rsidRPr="002D336E" w:rsidP="008E4F12" w14:paraId="290BFA73" w14:textId="77777777">
            <w:pPr>
              <w:pStyle w:val="Table11Basic"/>
              <w:jc w:val="center"/>
            </w:pPr>
            <w:r w:rsidRPr="002D336E">
              <w:t>4,126</w:t>
            </w:r>
          </w:p>
        </w:tc>
        <w:tc>
          <w:tcPr>
            <w:tcW w:w="1201" w:type="dxa"/>
            <w:vAlign w:val="center"/>
            <w:hideMark/>
          </w:tcPr>
          <w:p w:rsidR="00A21AD9" w:rsidRPr="002D336E" w:rsidP="008E4F12" w14:paraId="4B93C5D3" w14:textId="77777777">
            <w:pPr>
              <w:pStyle w:val="Table11Basic"/>
              <w:jc w:val="center"/>
            </w:pPr>
            <w:r w:rsidRPr="002D336E">
              <w:t>179,077</w:t>
            </w:r>
          </w:p>
        </w:tc>
        <w:tc>
          <w:tcPr>
            <w:tcW w:w="1201" w:type="dxa"/>
            <w:gridSpan w:val="2"/>
            <w:vAlign w:val="center"/>
          </w:tcPr>
          <w:p w:rsidR="00A21AD9" w:rsidRPr="002D336E" w:rsidP="008E4F12" w14:paraId="7F190465" w14:textId="77777777">
            <w:pPr>
              <w:pStyle w:val="Table11Basic"/>
              <w:jc w:val="center"/>
            </w:pPr>
            <w:r w:rsidRPr="002D336E">
              <w:rPr>
                <w:color w:val="000000"/>
              </w:rPr>
              <w:t>0.165</w:t>
            </w:r>
          </w:p>
        </w:tc>
      </w:tr>
      <w:tr w14:paraId="517CC5A1" w14:textId="77777777" w:rsidTr="00EA6349">
        <w:tblPrEx>
          <w:tblW w:w="4956" w:type="pct"/>
          <w:tblLayout w:type="fixed"/>
          <w:tblLook w:val="04A0"/>
        </w:tblPrEx>
        <w:tc>
          <w:tcPr>
            <w:tcW w:w="3274" w:type="dxa"/>
            <w:hideMark/>
          </w:tcPr>
          <w:p w:rsidR="00A21AD9" w:rsidRPr="006B33E3" w:rsidP="00147014" w14:paraId="5CCCE663" w14:textId="77777777">
            <w:pPr>
              <w:pStyle w:val="Table11Basic"/>
            </w:pPr>
            <w:r w:rsidRPr="006B33E3">
              <w:t>Speech or language impairment (SLI)</w:t>
            </w:r>
          </w:p>
        </w:tc>
        <w:tc>
          <w:tcPr>
            <w:tcW w:w="1200" w:type="dxa"/>
            <w:vAlign w:val="center"/>
            <w:hideMark/>
          </w:tcPr>
          <w:p w:rsidR="00A21AD9" w:rsidRPr="002D336E" w:rsidP="008E4F12" w14:paraId="3BAF4D17" w14:textId="77777777">
            <w:pPr>
              <w:pStyle w:val="Table11Basic"/>
              <w:jc w:val="center"/>
            </w:pPr>
            <w:r w:rsidRPr="002D336E">
              <w:t>17,533</w:t>
            </w:r>
          </w:p>
        </w:tc>
        <w:tc>
          <w:tcPr>
            <w:tcW w:w="1201" w:type="dxa"/>
            <w:vAlign w:val="center"/>
            <w:hideMark/>
          </w:tcPr>
          <w:p w:rsidR="00A21AD9" w:rsidRPr="002D336E" w:rsidP="008E4F12" w14:paraId="4F2D3F20" w14:textId="77777777">
            <w:pPr>
              <w:pStyle w:val="Table11Basic"/>
              <w:jc w:val="center"/>
            </w:pPr>
            <w:r w:rsidRPr="002D336E">
              <w:t>7,105</w:t>
            </w:r>
          </w:p>
        </w:tc>
        <w:tc>
          <w:tcPr>
            <w:tcW w:w="1201" w:type="dxa"/>
            <w:vAlign w:val="center"/>
            <w:hideMark/>
          </w:tcPr>
          <w:p w:rsidR="00A21AD9" w:rsidRPr="002D336E" w:rsidP="008E4F12" w14:paraId="15DB8B50" w14:textId="77777777">
            <w:pPr>
              <w:pStyle w:val="Table11Basic"/>
              <w:jc w:val="center"/>
            </w:pPr>
            <w:r w:rsidRPr="002D336E">
              <w:t>4,608</w:t>
            </w:r>
          </w:p>
        </w:tc>
        <w:tc>
          <w:tcPr>
            <w:tcW w:w="1201" w:type="dxa"/>
            <w:vAlign w:val="center"/>
            <w:hideMark/>
          </w:tcPr>
          <w:p w:rsidR="00A21AD9" w:rsidRPr="002D336E" w:rsidP="008E4F12" w14:paraId="227C49FD" w14:textId="77777777">
            <w:pPr>
              <w:pStyle w:val="Table11Basic"/>
              <w:jc w:val="center"/>
            </w:pPr>
            <w:r w:rsidRPr="002D336E">
              <w:t>166,094</w:t>
            </w:r>
          </w:p>
        </w:tc>
        <w:tc>
          <w:tcPr>
            <w:tcW w:w="1201" w:type="dxa"/>
            <w:gridSpan w:val="2"/>
            <w:vAlign w:val="center"/>
          </w:tcPr>
          <w:p w:rsidR="00A21AD9" w:rsidRPr="002D336E" w:rsidP="008E4F12" w14:paraId="152F4528" w14:textId="77777777">
            <w:pPr>
              <w:pStyle w:val="Table11Basic"/>
              <w:jc w:val="center"/>
            </w:pPr>
            <w:r w:rsidRPr="002D336E">
              <w:rPr>
                <w:color w:val="000000"/>
              </w:rPr>
              <w:t>0.226</w:t>
            </w:r>
          </w:p>
        </w:tc>
      </w:tr>
      <w:tr w14:paraId="1F7E6EE1" w14:textId="77777777" w:rsidTr="00EA6349">
        <w:tblPrEx>
          <w:tblW w:w="4956" w:type="pct"/>
          <w:tblLayout w:type="fixed"/>
          <w:tblLook w:val="04A0"/>
        </w:tblPrEx>
        <w:tc>
          <w:tcPr>
            <w:tcW w:w="3274" w:type="dxa"/>
            <w:hideMark/>
          </w:tcPr>
          <w:p w:rsidR="00A21AD9" w:rsidRPr="006B33E3" w:rsidP="00147014" w14:paraId="3AB690DF" w14:textId="77777777">
            <w:pPr>
              <w:pStyle w:val="Table11Basic"/>
            </w:pPr>
            <w:r w:rsidRPr="006B33E3">
              <w:t>Traumatic brain injury (TBI)</w:t>
            </w:r>
          </w:p>
        </w:tc>
        <w:tc>
          <w:tcPr>
            <w:tcW w:w="1200" w:type="dxa"/>
            <w:vAlign w:val="center"/>
            <w:hideMark/>
          </w:tcPr>
          <w:p w:rsidR="00A21AD9" w:rsidRPr="002D336E" w:rsidP="008E4F12" w14:paraId="08E09D9F" w14:textId="77777777">
            <w:pPr>
              <w:pStyle w:val="Table11Basic"/>
              <w:jc w:val="center"/>
            </w:pPr>
            <w:r w:rsidRPr="002D336E">
              <w:t>26,468</w:t>
            </w:r>
          </w:p>
        </w:tc>
        <w:tc>
          <w:tcPr>
            <w:tcW w:w="1201" w:type="dxa"/>
            <w:vAlign w:val="center"/>
            <w:hideMark/>
          </w:tcPr>
          <w:p w:rsidR="00A21AD9" w:rsidRPr="002D336E" w:rsidP="008E4F12" w14:paraId="2C0B91BD" w14:textId="77777777">
            <w:pPr>
              <w:pStyle w:val="Table11Basic"/>
              <w:jc w:val="center"/>
            </w:pPr>
            <w:r w:rsidRPr="002D336E">
              <w:t>55,101</w:t>
            </w:r>
          </w:p>
        </w:tc>
        <w:tc>
          <w:tcPr>
            <w:tcW w:w="1201" w:type="dxa"/>
            <w:vAlign w:val="center"/>
            <w:hideMark/>
          </w:tcPr>
          <w:p w:rsidR="00A21AD9" w:rsidRPr="002D336E" w:rsidP="008E4F12" w14:paraId="52E2C33F" w14:textId="77777777">
            <w:pPr>
              <w:pStyle w:val="Table11Basic"/>
              <w:jc w:val="center"/>
            </w:pPr>
            <w:r w:rsidRPr="002D336E">
              <w:t>3,962</w:t>
            </w:r>
          </w:p>
        </w:tc>
        <w:tc>
          <w:tcPr>
            <w:tcW w:w="1201" w:type="dxa"/>
            <w:vAlign w:val="center"/>
            <w:hideMark/>
          </w:tcPr>
          <w:p w:rsidR="00A21AD9" w:rsidRPr="002D336E" w:rsidP="008E4F12" w14:paraId="60691B94" w14:textId="77777777">
            <w:pPr>
              <w:pStyle w:val="Table11Basic"/>
              <w:jc w:val="center"/>
            </w:pPr>
            <w:r w:rsidRPr="002D336E">
              <w:t>124,957</w:t>
            </w:r>
          </w:p>
        </w:tc>
        <w:tc>
          <w:tcPr>
            <w:tcW w:w="1201" w:type="dxa"/>
            <w:gridSpan w:val="2"/>
            <w:vAlign w:val="center"/>
          </w:tcPr>
          <w:p w:rsidR="00A21AD9" w:rsidRPr="002D336E" w:rsidP="008E4F12" w14:paraId="3B53F8D9" w14:textId="77777777">
            <w:pPr>
              <w:pStyle w:val="Table11Basic"/>
              <w:jc w:val="center"/>
            </w:pPr>
            <w:r w:rsidRPr="002D336E">
              <w:rPr>
                <w:color w:val="000000"/>
              </w:rPr>
              <w:t>0.063</w:t>
            </w:r>
          </w:p>
        </w:tc>
      </w:tr>
      <w:tr w14:paraId="5990BD83" w14:textId="77777777" w:rsidTr="00EA6349">
        <w:tblPrEx>
          <w:tblW w:w="4956" w:type="pct"/>
          <w:tblLayout w:type="fixed"/>
          <w:tblLook w:val="04A0"/>
        </w:tblPrEx>
        <w:tc>
          <w:tcPr>
            <w:tcW w:w="3274" w:type="dxa"/>
            <w:hideMark/>
          </w:tcPr>
          <w:p w:rsidR="00A21AD9" w:rsidRPr="006B33E3" w:rsidP="00147014" w14:paraId="5070839B" w14:textId="77777777">
            <w:pPr>
              <w:pStyle w:val="Table11Basic"/>
            </w:pPr>
            <w:r w:rsidRPr="006B33E3">
              <w:t>Visual impairment (VI)</w:t>
            </w:r>
          </w:p>
        </w:tc>
        <w:tc>
          <w:tcPr>
            <w:tcW w:w="1200" w:type="dxa"/>
            <w:vAlign w:val="center"/>
            <w:hideMark/>
          </w:tcPr>
          <w:p w:rsidR="00A21AD9" w:rsidRPr="002D336E" w:rsidP="008E4F12" w14:paraId="0775B14C" w14:textId="77777777">
            <w:pPr>
              <w:pStyle w:val="Table11Basic"/>
              <w:jc w:val="center"/>
            </w:pPr>
            <w:r w:rsidRPr="002D336E">
              <w:t>30,098</w:t>
            </w:r>
          </w:p>
        </w:tc>
        <w:tc>
          <w:tcPr>
            <w:tcW w:w="1201" w:type="dxa"/>
            <w:vAlign w:val="center"/>
            <w:hideMark/>
          </w:tcPr>
          <w:p w:rsidR="00A21AD9" w:rsidRPr="002D336E" w:rsidP="008E4F12" w14:paraId="491F57DF" w14:textId="77777777">
            <w:pPr>
              <w:pStyle w:val="Table11Basic"/>
              <w:jc w:val="center"/>
            </w:pPr>
            <w:r w:rsidRPr="002D336E">
              <w:t>47,169</w:t>
            </w:r>
          </w:p>
        </w:tc>
        <w:tc>
          <w:tcPr>
            <w:tcW w:w="1201" w:type="dxa"/>
            <w:vAlign w:val="center"/>
            <w:hideMark/>
          </w:tcPr>
          <w:p w:rsidR="00A21AD9" w:rsidRPr="002D336E" w:rsidP="008E4F12" w14:paraId="527AE6BE" w14:textId="77777777">
            <w:pPr>
              <w:pStyle w:val="Table11Basic"/>
              <w:jc w:val="center"/>
            </w:pPr>
            <w:r w:rsidRPr="002D336E">
              <w:t>5,460</w:t>
            </w:r>
          </w:p>
        </w:tc>
        <w:tc>
          <w:tcPr>
            <w:tcW w:w="1201" w:type="dxa"/>
            <w:vAlign w:val="center"/>
            <w:hideMark/>
          </w:tcPr>
          <w:p w:rsidR="00A21AD9" w:rsidRPr="002D336E" w:rsidP="008E4F12" w14:paraId="4FF2F3F8" w14:textId="77777777">
            <w:pPr>
              <w:pStyle w:val="Table11Basic"/>
              <w:jc w:val="center"/>
            </w:pPr>
            <w:r w:rsidRPr="002D336E">
              <w:t>92,521</w:t>
            </w:r>
          </w:p>
        </w:tc>
        <w:tc>
          <w:tcPr>
            <w:tcW w:w="1201" w:type="dxa"/>
            <w:gridSpan w:val="2"/>
            <w:vAlign w:val="center"/>
          </w:tcPr>
          <w:p w:rsidR="00A21AD9" w:rsidRPr="002D336E" w:rsidP="008E4F12" w14:paraId="36864EFB" w14:textId="77777777">
            <w:pPr>
              <w:pStyle w:val="Table11Basic"/>
              <w:jc w:val="center"/>
            </w:pPr>
            <w:r w:rsidRPr="002D336E">
              <w:rPr>
                <w:color w:val="000000"/>
              </w:rPr>
              <w:t>0.436</w:t>
            </w:r>
          </w:p>
        </w:tc>
      </w:tr>
      <w:tr w14:paraId="2CB55618" w14:textId="77777777" w:rsidTr="00EA6349">
        <w:tblPrEx>
          <w:tblW w:w="4956" w:type="pct"/>
          <w:tblLayout w:type="fixed"/>
          <w:tblLook w:val="04A0"/>
        </w:tblPrEx>
        <w:tc>
          <w:tcPr>
            <w:tcW w:w="3274" w:type="dxa"/>
            <w:hideMark/>
          </w:tcPr>
          <w:p w:rsidR="00A21AD9" w:rsidRPr="006B33E3" w:rsidP="00147014" w14:paraId="20C32BA0" w14:textId="77777777">
            <w:pPr>
              <w:pStyle w:val="Table11Basic"/>
            </w:pPr>
            <w:r w:rsidRPr="006B33E3">
              <w:t>Other health impairment (OHI)</w:t>
            </w:r>
          </w:p>
        </w:tc>
        <w:tc>
          <w:tcPr>
            <w:tcW w:w="1200" w:type="dxa"/>
            <w:vAlign w:val="center"/>
            <w:hideMark/>
          </w:tcPr>
          <w:p w:rsidR="00A21AD9" w:rsidRPr="002D336E" w:rsidP="008E4F12" w14:paraId="7A6D5537" w14:textId="77777777">
            <w:pPr>
              <w:pStyle w:val="Table11Basic"/>
              <w:jc w:val="center"/>
            </w:pPr>
            <w:r w:rsidRPr="002D336E">
              <w:t>21,159</w:t>
            </w:r>
          </w:p>
        </w:tc>
        <w:tc>
          <w:tcPr>
            <w:tcW w:w="1201" w:type="dxa"/>
            <w:vAlign w:val="center"/>
            <w:hideMark/>
          </w:tcPr>
          <w:p w:rsidR="00A21AD9" w:rsidRPr="002D336E" w:rsidP="008E4F12" w14:paraId="4F6B12BE" w14:textId="77777777">
            <w:pPr>
              <w:pStyle w:val="Table11Basic"/>
              <w:jc w:val="center"/>
            </w:pPr>
            <w:r w:rsidRPr="002D336E">
              <w:t>25,086</w:t>
            </w:r>
          </w:p>
        </w:tc>
        <w:tc>
          <w:tcPr>
            <w:tcW w:w="1201" w:type="dxa"/>
            <w:vAlign w:val="center"/>
            <w:hideMark/>
          </w:tcPr>
          <w:p w:rsidR="00A21AD9" w:rsidRPr="002D336E" w:rsidP="008E4F12" w14:paraId="59BAF54A" w14:textId="77777777">
            <w:pPr>
              <w:pStyle w:val="Table11Basic"/>
              <w:jc w:val="center"/>
            </w:pPr>
            <w:r w:rsidRPr="002D336E">
              <w:t>6,031</w:t>
            </w:r>
          </w:p>
        </w:tc>
        <w:tc>
          <w:tcPr>
            <w:tcW w:w="1201" w:type="dxa"/>
            <w:vAlign w:val="center"/>
            <w:hideMark/>
          </w:tcPr>
          <w:p w:rsidR="00A21AD9" w:rsidRPr="002D336E" w:rsidP="008E4F12" w14:paraId="7460F1CB" w14:textId="77777777">
            <w:pPr>
              <w:pStyle w:val="Table11Basic"/>
              <w:jc w:val="center"/>
            </w:pPr>
            <w:r w:rsidRPr="002D336E">
              <w:t>475,858</w:t>
            </w:r>
          </w:p>
        </w:tc>
        <w:tc>
          <w:tcPr>
            <w:tcW w:w="1201" w:type="dxa"/>
            <w:gridSpan w:val="2"/>
            <w:vAlign w:val="center"/>
          </w:tcPr>
          <w:p w:rsidR="00A21AD9" w:rsidRPr="002D336E" w:rsidP="008E4F12" w14:paraId="4628F7C0" w14:textId="77777777">
            <w:pPr>
              <w:pStyle w:val="Table11Basic"/>
              <w:jc w:val="center"/>
            </w:pPr>
            <w:r w:rsidRPr="002D336E">
              <w:rPr>
                <w:color w:val="000000"/>
              </w:rPr>
              <w:t>0.866</w:t>
            </w:r>
          </w:p>
        </w:tc>
      </w:tr>
    </w:tbl>
    <w:p w:rsidR="00A21AD9" w:rsidRPr="00F36618" w:rsidP="00BF41E4" w14:paraId="43B4AC49" w14:textId="749C1A7D">
      <w:pPr>
        <w:pStyle w:val="ExhibitNote"/>
      </w:pPr>
      <w:r w:rsidRPr="00BF3D2C">
        <w:rPr>
          <w:i/>
          <w:iCs/>
        </w:rPr>
        <w:t>Note</w:t>
      </w:r>
      <w:r>
        <w:t>.</w:t>
      </w:r>
      <w:r w:rsidRPr="00F36618">
        <w:t xml:space="preserve"> </w:t>
      </w:r>
      <w:r w:rsidR="003F5D5C">
        <w:t>D</w:t>
      </w:r>
      <w:r w:rsidRPr="00F36618">
        <w:t xml:space="preserve">ata from the 1999–2000 SEEP </w:t>
      </w:r>
      <w:r w:rsidR="003F5D5C">
        <w:t xml:space="preserve">were used </w:t>
      </w:r>
      <w:r w:rsidRPr="00F36618">
        <w:t xml:space="preserve">to calculate descriptive statistics (adjusted for inflation since </w:t>
      </w:r>
      <w:r>
        <w:t>fiscal year</w:t>
      </w:r>
      <w:r w:rsidRPr="00F36618">
        <w:t xml:space="preserve"> 2000</w:t>
      </w:r>
      <w:r>
        <w:t>,</w:t>
      </w:r>
      <w:r w:rsidRPr="00F36618">
        <w:t xml:space="preserve"> using the Consumer Price Index</w:t>
      </w:r>
      <w:r w:rsidR="00E509C1">
        <w:t>)</w:t>
      </w:r>
      <w:r w:rsidRPr="00F36618">
        <w:t xml:space="preserve"> and the intraclass correlation coefficients (ICCs) presented in this table.</w:t>
      </w:r>
    </w:p>
    <w:p w:rsidR="00A21AD9" w:rsidRPr="00857BBB" w:rsidP="008238D9" w14:paraId="5D102C62" w14:textId="4307DABE">
      <w:pPr>
        <w:pStyle w:val="BodyText"/>
      </w:pPr>
      <w:r w:rsidRPr="005340D0">
        <w:t xml:space="preserve">Exhibit </w:t>
      </w:r>
      <w:r>
        <w:t>3</w:t>
      </w:r>
      <w:r w:rsidRPr="005340D0">
        <w:t xml:space="preserve"> shows the expected number of responding schools</w:t>
      </w:r>
      <w:r>
        <w:t xml:space="preserve"> and student counts, and </w:t>
      </w:r>
      <w:r w:rsidRPr="00E75903">
        <w:t xml:space="preserve">the </w:t>
      </w:r>
      <w:r>
        <w:t xml:space="preserve">expected </w:t>
      </w:r>
      <w:r w:rsidRPr="00E75903">
        <w:t>RMOEs for disability-category spending estimates</w:t>
      </w:r>
      <w:r>
        <w:t xml:space="preserve"> using the assumption about the standard deviation for total special education spending from the SEEP, overall and by student disability category</w:t>
      </w:r>
      <w:r w:rsidRPr="00E75903">
        <w:t>.</w:t>
      </w:r>
      <w:r>
        <w:rPr>
          <w:rStyle w:val="FootnoteReference"/>
        </w:rPr>
        <w:footnoteReference w:id="17"/>
      </w:r>
      <w:r w:rsidRPr="00E75903">
        <w:t xml:space="preserve"> </w:t>
      </w:r>
      <w:r w:rsidR="00D84BBA">
        <w:t>On average, five SWDs will be sampled in each school; however, to</w:t>
      </w:r>
      <w:r>
        <w:t xml:space="preserve"> minimize respondent burden at the school level, </w:t>
      </w:r>
      <w:r w:rsidR="004E0B9D">
        <w:t xml:space="preserve">the sample design sets a limit of </w:t>
      </w:r>
      <w:r w:rsidR="00CF12E6">
        <w:t>no</w:t>
      </w:r>
      <w:r>
        <w:t xml:space="preserve"> more than 20 SWDs sampled in a responding school. </w:t>
      </w:r>
    </w:p>
    <w:p w:rsidR="00A21AD9" w:rsidP="008238D9" w14:paraId="50838AD6" w14:textId="729A04E9">
      <w:pPr>
        <w:pStyle w:val="BodyText"/>
      </w:pPr>
      <w:r>
        <w:t>A different approach will be used</w:t>
      </w:r>
      <w:r>
        <w:t xml:space="preserve"> </w:t>
      </w:r>
      <w:r w:rsidRPr="007E2F09">
        <w:t xml:space="preserve">to sample SWDs with DB, DD, </w:t>
      </w:r>
      <w:r>
        <w:t xml:space="preserve">TBI, </w:t>
      </w:r>
      <w:r w:rsidRPr="007E2F09">
        <w:t xml:space="preserve">and VI. </w:t>
      </w:r>
    </w:p>
    <w:p w:rsidR="00A21AD9" w:rsidP="008238D9" w14:paraId="61720869" w14:textId="5F9A895A">
      <w:pPr>
        <w:pStyle w:val="Bullet1"/>
        <w:rPr>
          <w:rStyle w:val="CommentReference"/>
          <w:sz w:val="22"/>
          <w:szCs w:val="22"/>
        </w:rPr>
      </w:pPr>
      <w:r>
        <w:t xml:space="preserve">Students </w:t>
      </w:r>
      <w:r w:rsidRPr="00524C9F">
        <w:t xml:space="preserve">with DB </w:t>
      </w:r>
      <w:r>
        <w:t>receiving special education</w:t>
      </w:r>
      <w:r w:rsidRPr="007E2F09">
        <w:t xml:space="preserve"> will be included in the overall student sample to ensure that these students are represented in the national estimates. Nationwide, there are fewer than 10,000 SWDs with DB,</w:t>
      </w:r>
      <w:r>
        <w:rPr>
          <w:rStyle w:val="FootnoteReference"/>
          <w:rFonts w:ascii="Calibri" w:hAnsi="Calibri"/>
          <w:color w:val="1C252D"/>
          <w:sz w:val="22"/>
          <w:szCs w:val="22"/>
        </w:rPr>
        <w:footnoteReference w:id="18"/>
      </w:r>
      <w:r w:rsidRPr="007E2F09">
        <w:t xml:space="preserve"> and </w:t>
      </w:r>
      <w:r>
        <w:t>fewer</w:t>
      </w:r>
      <w:r w:rsidRPr="007E2F09">
        <w:t xml:space="preserve"> than 150 responding LEAs </w:t>
      </w:r>
      <w:r w:rsidRPr="000A66CF">
        <w:t>are expected to</w:t>
      </w:r>
      <w:r w:rsidRPr="007E2F09">
        <w:t xml:space="preserve"> enroll at least one student with DB. For this reason, </w:t>
      </w:r>
      <w:r>
        <w:t>students</w:t>
      </w:r>
      <w:r w:rsidRPr="007E2F09">
        <w:t xml:space="preserve"> with DB </w:t>
      </w:r>
      <w:r>
        <w:t>will be sampled with certainty</w:t>
      </w:r>
      <w:r w:rsidRPr="007E2F09">
        <w:t>.</w:t>
      </w:r>
      <w:r w:rsidRPr="007E2F09">
        <w:rPr>
          <w:rStyle w:val="CommentReference"/>
          <w:sz w:val="22"/>
          <w:szCs w:val="22"/>
        </w:rPr>
        <w:t xml:space="preserve"> </w:t>
      </w:r>
      <w:r>
        <w:t>Because of the</w:t>
      </w:r>
      <w:r w:rsidRPr="007E2F09">
        <w:t xml:space="preserve"> very low incidence</w:t>
      </w:r>
      <w:r>
        <w:t xml:space="preserve"> of DB, sampling with certainty is not expected to yield a sufficiently large sample to </w:t>
      </w:r>
      <w:r w:rsidRPr="007E2F09">
        <w:t xml:space="preserve">report spending estimates </w:t>
      </w:r>
      <w:r>
        <w:t>specifically for this</w:t>
      </w:r>
      <w:r w:rsidRPr="007E2F09">
        <w:t xml:space="preserve"> disability category.</w:t>
      </w:r>
      <w:r>
        <w:rPr>
          <w:rStyle w:val="FootnoteReference"/>
          <w:sz w:val="22"/>
          <w:szCs w:val="22"/>
        </w:rPr>
        <w:footnoteReference w:id="19"/>
      </w:r>
      <w:r w:rsidRPr="007E2F09">
        <w:t xml:space="preserve"> </w:t>
      </w:r>
    </w:p>
    <w:p w:rsidR="00A21AD9" w:rsidRPr="00F31D9C" w:rsidP="008238D9" w14:paraId="6EB987B9" w14:textId="77777777">
      <w:pPr>
        <w:pStyle w:val="Bullet1"/>
      </w:pPr>
      <w:r>
        <w:t>Students with DD receiving special education will be included in the overall student sample to ensure that these students are represented in the national estimate; however, the study</w:t>
      </w:r>
      <w:r w:rsidRPr="007E2F09">
        <w:t xml:space="preserve"> will not develop </w:t>
      </w:r>
      <w:r>
        <w:t xml:space="preserve">disability-specific </w:t>
      </w:r>
      <w:r w:rsidRPr="007E2F09">
        <w:t xml:space="preserve">spending estimates for SWDs with DD. </w:t>
      </w:r>
      <w:r>
        <w:t>N</w:t>
      </w:r>
      <w:r w:rsidRPr="00524C9F">
        <w:t>ot</w:t>
      </w:r>
      <w:r w:rsidRPr="007E2F09">
        <w:t xml:space="preserve"> all states use the DD category, and </w:t>
      </w:r>
      <w:r>
        <w:t>states that use this category to determine IDEA Part B eligibility</w:t>
      </w:r>
      <w:r w:rsidRPr="00524C9F">
        <w:t xml:space="preserve"> apply </w:t>
      </w:r>
      <w:r>
        <w:t>the category</w:t>
      </w:r>
      <w:r w:rsidRPr="00524C9F">
        <w:t xml:space="preserve"> to different age ranges</w:t>
      </w:r>
      <w:r w:rsidRPr="007E2F09">
        <w:t>.</w:t>
      </w:r>
      <w:r>
        <w:rPr>
          <w:vertAlign w:val="superscript"/>
        </w:rPr>
        <w:footnoteReference w:id="20"/>
      </w:r>
      <w:r>
        <w:t xml:space="preserve"> Instead, the sample design includes students with DD in the overall spending estimate; for this category, one student with DD will be sampled from each LEA that enrolls students with this disability. </w:t>
      </w:r>
    </w:p>
    <w:p w:rsidR="00A21AD9" w:rsidRPr="00F31D9C" w:rsidP="008238D9" w14:paraId="5E98AD68" w14:textId="3E827D23">
      <w:pPr>
        <w:pStyle w:val="Bullet1"/>
      </w:pPr>
      <w:r>
        <w:t>Students with TBI receiving special education will be sampled and included in the overall student sample to ensure that these students are represented in the national estimate. However,</w:t>
      </w:r>
      <w:r w:rsidRPr="001B0951">
        <w:t xml:space="preserve"> </w:t>
      </w:r>
      <w:r>
        <w:t>data from the SEEP suggests that</w:t>
      </w:r>
      <w:r w:rsidRPr="001B0951">
        <w:t xml:space="preserve"> the </w:t>
      </w:r>
      <w:r>
        <w:t>TBI</w:t>
      </w:r>
      <w:r w:rsidRPr="001B0951">
        <w:t xml:space="preserve"> category </w:t>
      </w:r>
      <w:r>
        <w:t>has</w:t>
      </w:r>
      <w:r w:rsidRPr="001B0951">
        <w:t xml:space="preserve"> larger variation in </w:t>
      </w:r>
      <w:r>
        <w:t xml:space="preserve">special education </w:t>
      </w:r>
      <w:r w:rsidRPr="001B0951">
        <w:t xml:space="preserve">spending </w:t>
      </w:r>
      <w:r>
        <w:t xml:space="preserve">and </w:t>
      </w:r>
      <w:r w:rsidRPr="00D22ACB">
        <w:t xml:space="preserve">the spending estimate for the TBI category </w:t>
      </w:r>
      <w:r>
        <w:t xml:space="preserve">is not expected to </w:t>
      </w:r>
      <w:r w:rsidRPr="00D22ACB">
        <w:t>meet the 8</w:t>
      </w:r>
      <w:r>
        <w:t xml:space="preserve"> percent</w:t>
      </w:r>
      <w:r w:rsidRPr="00D22ACB">
        <w:t xml:space="preserve"> RMOE target</w:t>
      </w:r>
      <w:r>
        <w:t xml:space="preserve">. </w:t>
      </w:r>
    </w:p>
    <w:p w:rsidR="00A21AD9" w:rsidRPr="001B0951" w:rsidP="008238D9" w14:paraId="22414986" w14:textId="556E0806">
      <w:pPr>
        <w:pStyle w:val="Bullet1"/>
      </w:pPr>
      <w:r>
        <w:t xml:space="preserve">Students with VI receiving special education will be included in the overall student sample to ensure that they are represented in the national estimate; however, the study may be unable </w:t>
      </w:r>
      <w:r w:rsidR="00E61F87">
        <w:t xml:space="preserve">to </w:t>
      </w:r>
      <w:r>
        <w:t xml:space="preserve">generate national spending estimates for students with VI. </w:t>
      </w:r>
      <w:r w:rsidRPr="008B4B8F">
        <w:t>Like students with DB, students with VI will be sampled with certainty</w:t>
      </w:r>
      <w:r>
        <w:t>,</w:t>
      </w:r>
      <w:r w:rsidRPr="008B4B8F">
        <w:t xml:space="preserve"> given the expected limited number of students in the sampled schools</w:t>
      </w:r>
      <w:r w:rsidRPr="002909FB">
        <w:t xml:space="preserve">. </w:t>
      </w:r>
      <w:r>
        <w:t>Data from the SEEP suggests that</w:t>
      </w:r>
      <w:r w:rsidRPr="001B0951">
        <w:t xml:space="preserve"> the VI category </w:t>
      </w:r>
      <w:r>
        <w:t>has</w:t>
      </w:r>
      <w:r w:rsidRPr="001B0951">
        <w:t xml:space="preserve"> larger variation in </w:t>
      </w:r>
      <w:r>
        <w:t xml:space="preserve">special education </w:t>
      </w:r>
      <w:r w:rsidRPr="001B0951">
        <w:t>spending than other disability categories.</w:t>
      </w:r>
      <w:r>
        <w:rPr>
          <w:rStyle w:val="FootnoteReference"/>
          <w:sz w:val="22"/>
          <w:szCs w:val="22"/>
        </w:rPr>
        <w:footnoteReference w:id="21"/>
      </w:r>
      <w:r w:rsidRPr="001B0951">
        <w:t xml:space="preserve"> </w:t>
      </w:r>
      <w:r w:rsidRPr="00FF0875">
        <w:t>If this</w:t>
      </w:r>
      <w:r w:rsidRPr="001B0951">
        <w:t xml:space="preserve"> larger spending </w:t>
      </w:r>
      <w:r>
        <w:t>variation</w:t>
      </w:r>
      <w:r w:rsidRPr="001B0951">
        <w:t xml:space="preserve"> </w:t>
      </w:r>
      <w:r>
        <w:t xml:space="preserve">is still true, it will pose a challenge for </w:t>
      </w:r>
      <w:r w:rsidRPr="001B0951">
        <w:t>obtain</w:t>
      </w:r>
      <w:r>
        <w:t>ing</w:t>
      </w:r>
      <w:r w:rsidRPr="001B0951">
        <w:t xml:space="preserve"> an 8</w:t>
      </w:r>
      <w:r>
        <w:t xml:space="preserve"> percent</w:t>
      </w:r>
      <w:r w:rsidRPr="001B0951">
        <w:t xml:space="preserve"> RMOE for this category without sampling a very large number of students with VI.</w:t>
      </w:r>
    </w:p>
    <w:p w:rsidR="00A21AD9" w:rsidRPr="00BF41E4" w:rsidP="00734A80" w14:paraId="62A1EB66" w14:textId="48AB5F55">
      <w:pPr>
        <w:pStyle w:val="ExhibitTitle"/>
      </w:pPr>
      <w:bookmarkStart w:id="22" w:name="_Toc217324960"/>
      <w:r w:rsidRPr="00BF41E4">
        <w:t>Exhibit 3.</w:t>
      </w:r>
      <w:r w:rsidR="00BF41E4">
        <w:t xml:space="preserve"> </w:t>
      </w:r>
      <w:r w:rsidRPr="00BF41E4">
        <w:t>Population of SWDs, expected number of responding SWDs, and RMOE, by disability category</w:t>
      </w:r>
      <w:bookmarkEnd w:id="22"/>
    </w:p>
    <w:tbl>
      <w:tblPr>
        <w:tblStyle w:val="TableStyle-AIR20212"/>
        <w:tblW w:w="5000" w:type="pct"/>
        <w:tblLayout w:type="fixed"/>
        <w:tblLook w:val="0420"/>
      </w:tblPr>
      <w:tblGrid>
        <w:gridCol w:w="3254"/>
        <w:gridCol w:w="1952"/>
        <w:gridCol w:w="2047"/>
        <w:gridCol w:w="2107"/>
      </w:tblGrid>
      <w:tr w14:paraId="606CEF96" w14:textId="77777777" w:rsidTr="005341CB">
        <w:tblPrEx>
          <w:tblW w:w="5000" w:type="pct"/>
          <w:tblLayout w:type="fixed"/>
          <w:tblLook w:val="0420"/>
        </w:tblPrEx>
        <w:trPr>
          <w:trHeight w:val="884"/>
        </w:trPr>
        <w:tc>
          <w:tcPr>
            <w:tcW w:w="3254" w:type="dxa"/>
            <w:vAlign w:val="bottom"/>
          </w:tcPr>
          <w:p w:rsidR="00A21AD9" w:rsidRPr="00903C8A" w:rsidP="009021B5" w14:paraId="24FE1728" w14:textId="5D60C299">
            <w:pPr>
              <w:pStyle w:val="Table11ColumnHeading"/>
              <w:spacing w:before="40" w:after="40"/>
            </w:pPr>
            <w:r>
              <w:t>Disability category</w:t>
            </w:r>
            <w:r w:rsidRPr="00722D38">
              <w:rPr>
                <w:szCs w:val="20"/>
                <w:vertAlign w:val="superscript"/>
              </w:rPr>
              <w:t>1</w:t>
            </w:r>
          </w:p>
        </w:tc>
        <w:tc>
          <w:tcPr>
            <w:tcW w:w="1952" w:type="dxa"/>
            <w:vAlign w:val="bottom"/>
          </w:tcPr>
          <w:p w:rsidR="00A21AD9" w:rsidRPr="00903C8A" w:rsidP="00734A80" w14:paraId="42CB3192" w14:textId="77777777">
            <w:pPr>
              <w:pStyle w:val="Table11ColumnHeading"/>
              <w:spacing w:before="40" w:after="40"/>
            </w:pPr>
            <w:r>
              <w:t>Population of SWDs</w:t>
            </w:r>
          </w:p>
        </w:tc>
        <w:tc>
          <w:tcPr>
            <w:tcW w:w="2047" w:type="dxa"/>
            <w:vAlign w:val="bottom"/>
          </w:tcPr>
          <w:p w:rsidR="00A21AD9" w:rsidRPr="00903C8A" w:rsidP="00734A80" w14:paraId="0839984B" w14:textId="45FAF0D8">
            <w:pPr>
              <w:pStyle w:val="Table11ColumnHeading"/>
              <w:spacing w:before="40" w:after="40"/>
            </w:pPr>
            <w:r>
              <w:t>Expected number of responding SWDs</w:t>
            </w:r>
          </w:p>
        </w:tc>
        <w:tc>
          <w:tcPr>
            <w:tcW w:w="2107" w:type="dxa"/>
            <w:vAlign w:val="bottom"/>
          </w:tcPr>
          <w:p w:rsidR="00A21AD9" w:rsidRPr="00903C8A" w:rsidP="00734A80" w14:paraId="24941817" w14:textId="77777777">
            <w:pPr>
              <w:pStyle w:val="Table11ColumnHeading"/>
              <w:spacing w:before="40" w:after="40"/>
            </w:pPr>
            <w:r w:rsidRPr="00903C8A">
              <w:t>RMOE</w:t>
            </w:r>
          </w:p>
        </w:tc>
      </w:tr>
      <w:tr w14:paraId="777FB005" w14:textId="77777777" w:rsidTr="004E4E63">
        <w:tblPrEx>
          <w:tblW w:w="5000" w:type="pct"/>
          <w:tblLayout w:type="fixed"/>
          <w:tblLook w:val="0420"/>
        </w:tblPrEx>
        <w:trPr>
          <w:trHeight w:val="305"/>
        </w:trPr>
        <w:tc>
          <w:tcPr>
            <w:tcW w:w="3254" w:type="dxa"/>
          </w:tcPr>
          <w:p w:rsidR="00A21AD9" w:rsidRPr="00670F78" w:rsidP="009021B5" w14:paraId="4E304766" w14:textId="77777777">
            <w:pPr>
              <w:pStyle w:val="Table11Basic"/>
              <w:spacing w:before="40" w:after="40"/>
              <w:rPr>
                <w:b/>
                <w:bCs/>
                <w:i/>
                <w:iCs/>
              </w:rPr>
            </w:pPr>
            <w:r w:rsidRPr="00670F78">
              <w:rPr>
                <w:b/>
                <w:bCs/>
              </w:rPr>
              <w:t>Total</w:t>
            </w:r>
          </w:p>
        </w:tc>
        <w:tc>
          <w:tcPr>
            <w:tcW w:w="1952" w:type="dxa"/>
            <w:vAlign w:val="center"/>
          </w:tcPr>
          <w:p w:rsidR="00A21AD9" w:rsidRPr="00A441AA" w:rsidP="00734A80" w14:paraId="2D300233" w14:textId="77777777">
            <w:pPr>
              <w:pStyle w:val="Table11Basic"/>
              <w:spacing w:before="40" w:after="40"/>
              <w:jc w:val="center"/>
              <w:rPr>
                <w:b/>
                <w:bCs/>
              </w:rPr>
            </w:pPr>
            <w:r w:rsidRPr="00A441AA">
              <w:rPr>
                <w:b/>
                <w:bCs/>
              </w:rPr>
              <w:t>6,233,821</w:t>
            </w:r>
          </w:p>
        </w:tc>
        <w:tc>
          <w:tcPr>
            <w:tcW w:w="2047" w:type="dxa"/>
            <w:vAlign w:val="center"/>
          </w:tcPr>
          <w:p w:rsidR="00A21AD9" w:rsidRPr="00A441AA" w:rsidP="00734A80" w14:paraId="25D138D1" w14:textId="77777777">
            <w:pPr>
              <w:pStyle w:val="Table11Basic"/>
              <w:spacing w:before="40" w:after="40"/>
              <w:jc w:val="center"/>
              <w:rPr>
                <w:b/>
                <w:bCs/>
              </w:rPr>
            </w:pPr>
            <w:r w:rsidRPr="00A441AA">
              <w:rPr>
                <w:b/>
                <w:bCs/>
              </w:rPr>
              <w:t>9,854</w:t>
            </w:r>
          </w:p>
        </w:tc>
        <w:tc>
          <w:tcPr>
            <w:tcW w:w="2107" w:type="dxa"/>
            <w:vAlign w:val="center"/>
          </w:tcPr>
          <w:p w:rsidR="00A21AD9" w:rsidRPr="00A441AA" w:rsidP="00734A80" w14:paraId="667D7F0B" w14:textId="277EC712">
            <w:pPr>
              <w:pStyle w:val="Table11Basic"/>
              <w:spacing w:before="40" w:after="40"/>
              <w:jc w:val="center"/>
              <w:rPr>
                <w:b/>
                <w:bCs/>
              </w:rPr>
            </w:pPr>
            <w:r w:rsidRPr="00A441AA">
              <w:rPr>
                <w:b/>
                <w:bCs/>
              </w:rPr>
              <w:t>2.7%</w:t>
            </w:r>
          </w:p>
        </w:tc>
      </w:tr>
      <w:tr w14:paraId="78BBE6F3" w14:textId="77777777" w:rsidTr="004E4E63">
        <w:tblPrEx>
          <w:tblW w:w="5000" w:type="pct"/>
          <w:tblLayout w:type="fixed"/>
          <w:tblLook w:val="0420"/>
        </w:tblPrEx>
        <w:trPr>
          <w:trHeight w:val="286"/>
        </w:trPr>
        <w:tc>
          <w:tcPr>
            <w:tcW w:w="3254" w:type="dxa"/>
          </w:tcPr>
          <w:p w:rsidR="00A21AD9" w:rsidRPr="005340D0" w:rsidP="009021B5" w14:paraId="7890A6A6" w14:textId="77777777">
            <w:pPr>
              <w:pStyle w:val="Table11Basic"/>
              <w:spacing w:before="40" w:after="40"/>
              <w:rPr>
                <w:rFonts w:ascii="Calibri" w:eastAsia="Calibri" w:hAnsi="Calibri" w:cs="Times New Roman"/>
              </w:rPr>
            </w:pPr>
            <w:r w:rsidRPr="005340D0">
              <w:t>Autism spectrum disorder (ASD)</w:t>
            </w:r>
          </w:p>
        </w:tc>
        <w:tc>
          <w:tcPr>
            <w:tcW w:w="1952" w:type="dxa"/>
            <w:vAlign w:val="center"/>
          </w:tcPr>
          <w:p w:rsidR="00A21AD9" w:rsidRPr="005340D0" w:rsidP="00734A80" w14:paraId="605631CD" w14:textId="45A7C206">
            <w:pPr>
              <w:pStyle w:val="Table11Basic"/>
              <w:spacing w:before="40" w:after="40"/>
              <w:jc w:val="center"/>
            </w:pPr>
            <w:r w:rsidRPr="009762E7">
              <w:t>700,100</w:t>
            </w:r>
          </w:p>
        </w:tc>
        <w:tc>
          <w:tcPr>
            <w:tcW w:w="2047" w:type="dxa"/>
            <w:vAlign w:val="center"/>
          </w:tcPr>
          <w:p w:rsidR="00A21AD9" w:rsidRPr="005340D0" w:rsidP="00734A80" w14:paraId="65C17D48" w14:textId="77777777">
            <w:pPr>
              <w:pStyle w:val="Table11Basic"/>
              <w:spacing w:before="40" w:after="40"/>
              <w:jc w:val="center"/>
            </w:pPr>
            <w:r w:rsidRPr="005340D0">
              <w:t>1,500</w:t>
            </w:r>
          </w:p>
        </w:tc>
        <w:tc>
          <w:tcPr>
            <w:tcW w:w="2107" w:type="dxa"/>
            <w:vAlign w:val="center"/>
          </w:tcPr>
          <w:p w:rsidR="00A21AD9" w:rsidRPr="005340D0" w:rsidP="00734A80" w14:paraId="4AF01E01" w14:textId="4FCB3AC4">
            <w:pPr>
              <w:pStyle w:val="Table11Basic"/>
              <w:spacing w:before="40" w:after="40"/>
              <w:jc w:val="center"/>
            </w:pPr>
            <w:r w:rsidRPr="005340D0">
              <w:t>7.9%</w:t>
            </w:r>
          </w:p>
        </w:tc>
      </w:tr>
      <w:tr w14:paraId="1FBA9FF4" w14:textId="77777777" w:rsidTr="004E4E63">
        <w:tblPrEx>
          <w:tblW w:w="5000" w:type="pct"/>
          <w:tblLayout w:type="fixed"/>
          <w:tblLook w:val="0420"/>
        </w:tblPrEx>
        <w:trPr>
          <w:trHeight w:val="305"/>
        </w:trPr>
        <w:tc>
          <w:tcPr>
            <w:tcW w:w="3254" w:type="dxa"/>
          </w:tcPr>
          <w:p w:rsidR="00A21AD9" w:rsidRPr="005340D0" w:rsidP="009021B5" w14:paraId="5B97E945" w14:textId="77777777">
            <w:pPr>
              <w:pStyle w:val="Table11Basic"/>
              <w:spacing w:before="40" w:after="40"/>
              <w:rPr>
                <w:rFonts w:ascii="Calibri" w:eastAsia="Calibri" w:hAnsi="Calibri" w:cs="Times New Roman"/>
              </w:rPr>
            </w:pPr>
            <w:r w:rsidRPr="005340D0">
              <w:t>Deaf</w:t>
            </w:r>
            <w:r>
              <w:t>-</w:t>
            </w:r>
            <w:r w:rsidRPr="005340D0">
              <w:t>blindness (DB)</w:t>
            </w:r>
          </w:p>
        </w:tc>
        <w:tc>
          <w:tcPr>
            <w:tcW w:w="1952" w:type="dxa"/>
            <w:vAlign w:val="center"/>
          </w:tcPr>
          <w:p w:rsidR="00A21AD9" w:rsidP="00734A80" w14:paraId="6DDCD29B" w14:textId="429A6232">
            <w:pPr>
              <w:pStyle w:val="Table11Basic"/>
              <w:spacing w:before="40" w:after="40"/>
              <w:jc w:val="center"/>
            </w:pPr>
            <w:r w:rsidRPr="009762E7">
              <w:t>1,370</w:t>
            </w:r>
          </w:p>
        </w:tc>
        <w:tc>
          <w:tcPr>
            <w:tcW w:w="2047" w:type="dxa"/>
            <w:vAlign w:val="center"/>
          </w:tcPr>
          <w:p w:rsidR="00A21AD9" w:rsidRPr="005340D0" w:rsidP="00734A80" w14:paraId="4B887CA5" w14:textId="37B5EEB5">
            <w:pPr>
              <w:pStyle w:val="Table11Basic"/>
              <w:spacing w:before="40" w:after="40"/>
              <w:jc w:val="center"/>
            </w:pPr>
            <w:r w:rsidRPr="005340D0">
              <w:t>272</w:t>
            </w:r>
          </w:p>
        </w:tc>
        <w:tc>
          <w:tcPr>
            <w:tcW w:w="2107" w:type="dxa"/>
            <w:vAlign w:val="center"/>
          </w:tcPr>
          <w:p w:rsidR="00A21AD9" w:rsidRPr="005340D0" w:rsidP="00734A80" w14:paraId="4E2294FD" w14:textId="77777777">
            <w:pPr>
              <w:pStyle w:val="Table11Basic"/>
              <w:spacing w:before="40" w:after="40"/>
              <w:jc w:val="center"/>
            </w:pPr>
            <w:r w:rsidRPr="005340D0">
              <w:t>46.4%</w:t>
            </w:r>
          </w:p>
        </w:tc>
      </w:tr>
      <w:tr w14:paraId="16430C8A" w14:textId="77777777" w:rsidTr="004E4E63">
        <w:tblPrEx>
          <w:tblW w:w="5000" w:type="pct"/>
          <w:tblLayout w:type="fixed"/>
          <w:tblLook w:val="0420"/>
        </w:tblPrEx>
        <w:trPr>
          <w:trHeight w:val="315"/>
        </w:trPr>
        <w:tc>
          <w:tcPr>
            <w:tcW w:w="3254" w:type="dxa"/>
          </w:tcPr>
          <w:p w:rsidR="00A21AD9" w:rsidRPr="005340D0" w:rsidP="009021B5" w14:paraId="559718A6" w14:textId="77777777">
            <w:pPr>
              <w:pStyle w:val="Table11Basic"/>
              <w:spacing w:before="40" w:after="40"/>
              <w:rPr>
                <w:rFonts w:ascii="Calibri" w:eastAsia="Calibri" w:hAnsi="Calibri" w:cs="Times New Roman"/>
              </w:rPr>
            </w:pPr>
            <w:r w:rsidRPr="005340D0">
              <w:t>Developmental delay (DD)</w:t>
            </w:r>
          </w:p>
        </w:tc>
        <w:tc>
          <w:tcPr>
            <w:tcW w:w="1952" w:type="dxa"/>
            <w:vAlign w:val="center"/>
          </w:tcPr>
          <w:p w:rsidR="00A21AD9" w:rsidP="00734A80" w14:paraId="20997D4F" w14:textId="599367B9">
            <w:pPr>
              <w:pStyle w:val="Table11Basic"/>
              <w:spacing w:before="40" w:after="40"/>
              <w:jc w:val="center"/>
            </w:pPr>
            <w:r w:rsidRPr="009762E7">
              <w:t>251,528</w:t>
            </w:r>
          </w:p>
        </w:tc>
        <w:tc>
          <w:tcPr>
            <w:tcW w:w="2047" w:type="dxa"/>
            <w:vAlign w:val="center"/>
          </w:tcPr>
          <w:p w:rsidR="00A21AD9" w:rsidRPr="005340D0" w:rsidP="00734A80" w14:paraId="3B6913D8" w14:textId="06FF1979">
            <w:pPr>
              <w:pStyle w:val="Table11Basic"/>
              <w:spacing w:before="40" w:after="40"/>
              <w:jc w:val="center"/>
            </w:pPr>
            <w:r w:rsidRPr="005340D0">
              <w:t>470</w:t>
            </w:r>
          </w:p>
        </w:tc>
        <w:tc>
          <w:tcPr>
            <w:tcW w:w="2107" w:type="dxa"/>
            <w:vAlign w:val="center"/>
          </w:tcPr>
          <w:p w:rsidR="00A21AD9" w:rsidRPr="005340D0" w:rsidP="00734A80" w14:paraId="492B1EA2" w14:textId="0380F4B4">
            <w:pPr>
              <w:pStyle w:val="Table11Basic"/>
              <w:spacing w:before="40" w:after="40"/>
              <w:jc w:val="center"/>
            </w:pPr>
            <w:r w:rsidRPr="005340D0">
              <w:t>6.0%</w:t>
            </w:r>
          </w:p>
        </w:tc>
      </w:tr>
      <w:tr w14:paraId="3EC985A5" w14:textId="77777777" w:rsidTr="004E4E63">
        <w:tblPrEx>
          <w:tblW w:w="5000" w:type="pct"/>
          <w:tblLayout w:type="fixed"/>
          <w:tblLook w:val="0420"/>
        </w:tblPrEx>
        <w:trPr>
          <w:trHeight w:val="305"/>
        </w:trPr>
        <w:tc>
          <w:tcPr>
            <w:tcW w:w="3254" w:type="dxa"/>
          </w:tcPr>
          <w:p w:rsidR="00A21AD9" w:rsidRPr="005340D0" w:rsidP="009021B5" w14:paraId="2544BBE3" w14:textId="77777777">
            <w:pPr>
              <w:pStyle w:val="Table11Basic"/>
              <w:spacing w:before="40" w:after="40"/>
              <w:rPr>
                <w:rFonts w:ascii="Calibri" w:eastAsia="Calibri" w:hAnsi="Calibri" w:cs="Times New Roman"/>
              </w:rPr>
            </w:pPr>
            <w:r w:rsidRPr="005340D0">
              <w:t>Emotional disturbance (ED)</w:t>
            </w:r>
          </w:p>
        </w:tc>
        <w:tc>
          <w:tcPr>
            <w:tcW w:w="1952" w:type="dxa"/>
            <w:vAlign w:val="center"/>
          </w:tcPr>
          <w:p w:rsidR="00A21AD9" w:rsidP="00734A80" w14:paraId="58E8BE51" w14:textId="05384448">
            <w:pPr>
              <w:pStyle w:val="Table11Basic"/>
              <w:spacing w:before="40" w:after="40"/>
              <w:jc w:val="center"/>
            </w:pPr>
            <w:r w:rsidRPr="009762E7">
              <w:t>306,743</w:t>
            </w:r>
          </w:p>
        </w:tc>
        <w:tc>
          <w:tcPr>
            <w:tcW w:w="2047" w:type="dxa"/>
            <w:vAlign w:val="center"/>
          </w:tcPr>
          <w:p w:rsidR="00A21AD9" w:rsidRPr="005340D0" w:rsidP="00734A80" w14:paraId="73DA14DF" w14:textId="5AA03C0C">
            <w:pPr>
              <w:pStyle w:val="Table11Basic"/>
              <w:spacing w:before="40" w:after="40"/>
              <w:jc w:val="center"/>
            </w:pPr>
            <w:r w:rsidRPr="005340D0">
              <w:t>600</w:t>
            </w:r>
          </w:p>
        </w:tc>
        <w:tc>
          <w:tcPr>
            <w:tcW w:w="2107" w:type="dxa"/>
            <w:vAlign w:val="center"/>
          </w:tcPr>
          <w:p w:rsidR="00A21AD9" w:rsidRPr="005340D0" w:rsidP="00734A80" w14:paraId="105F9AFD" w14:textId="502C738C">
            <w:pPr>
              <w:pStyle w:val="Table11Basic"/>
              <w:spacing w:before="40" w:after="40"/>
              <w:jc w:val="center"/>
            </w:pPr>
            <w:r w:rsidRPr="005340D0">
              <w:t>5.3%</w:t>
            </w:r>
          </w:p>
        </w:tc>
      </w:tr>
      <w:tr w14:paraId="579E6DD2" w14:textId="77777777" w:rsidTr="004E4E63">
        <w:tblPrEx>
          <w:tblW w:w="5000" w:type="pct"/>
          <w:tblLayout w:type="fixed"/>
          <w:tblLook w:val="0420"/>
        </w:tblPrEx>
        <w:trPr>
          <w:trHeight w:val="315"/>
        </w:trPr>
        <w:tc>
          <w:tcPr>
            <w:tcW w:w="3254" w:type="dxa"/>
          </w:tcPr>
          <w:p w:rsidR="00A21AD9" w:rsidRPr="005340D0" w:rsidP="009021B5" w14:paraId="5418EB73" w14:textId="77777777">
            <w:pPr>
              <w:pStyle w:val="Table11Basic"/>
              <w:spacing w:before="40" w:after="40"/>
              <w:rPr>
                <w:rFonts w:ascii="Calibri" w:eastAsia="Calibri" w:hAnsi="Calibri" w:cs="Times New Roman"/>
              </w:rPr>
            </w:pPr>
            <w:r w:rsidRPr="005340D0">
              <w:t>Hearing impairment (HI)</w:t>
            </w:r>
          </w:p>
        </w:tc>
        <w:tc>
          <w:tcPr>
            <w:tcW w:w="1952" w:type="dxa"/>
            <w:vAlign w:val="center"/>
          </w:tcPr>
          <w:p w:rsidR="00A21AD9" w:rsidP="00734A80" w14:paraId="5B0D72D1" w14:textId="54599DDF">
            <w:pPr>
              <w:pStyle w:val="Table11Basic"/>
              <w:spacing w:before="40" w:after="40"/>
              <w:jc w:val="center"/>
            </w:pPr>
            <w:r w:rsidRPr="009762E7">
              <w:t>59,827</w:t>
            </w:r>
          </w:p>
        </w:tc>
        <w:tc>
          <w:tcPr>
            <w:tcW w:w="2047" w:type="dxa"/>
            <w:vAlign w:val="center"/>
          </w:tcPr>
          <w:p w:rsidR="00A21AD9" w:rsidRPr="005340D0" w:rsidP="00734A80" w14:paraId="2DFAA62D" w14:textId="77777777">
            <w:pPr>
              <w:pStyle w:val="Table11Basic"/>
              <w:spacing w:before="40" w:after="40"/>
              <w:jc w:val="center"/>
            </w:pPr>
            <w:r w:rsidRPr="005340D0">
              <w:t>2,000</w:t>
            </w:r>
          </w:p>
        </w:tc>
        <w:tc>
          <w:tcPr>
            <w:tcW w:w="2107" w:type="dxa"/>
            <w:vAlign w:val="center"/>
          </w:tcPr>
          <w:p w:rsidR="00A21AD9" w:rsidRPr="005340D0" w:rsidP="00734A80" w14:paraId="03C5D58E" w14:textId="0D0A4FF4">
            <w:pPr>
              <w:pStyle w:val="Table11Basic"/>
              <w:spacing w:before="40" w:after="40"/>
              <w:jc w:val="center"/>
            </w:pPr>
            <w:r w:rsidRPr="005340D0">
              <w:t>7.6%</w:t>
            </w:r>
          </w:p>
        </w:tc>
      </w:tr>
      <w:tr w14:paraId="4CABB493" w14:textId="77777777" w:rsidTr="004E4E63">
        <w:tblPrEx>
          <w:tblW w:w="5000" w:type="pct"/>
          <w:tblLayout w:type="fixed"/>
          <w:tblLook w:val="0420"/>
        </w:tblPrEx>
        <w:trPr>
          <w:trHeight w:val="305"/>
        </w:trPr>
        <w:tc>
          <w:tcPr>
            <w:tcW w:w="3254" w:type="dxa"/>
          </w:tcPr>
          <w:p w:rsidR="00A21AD9" w:rsidRPr="005340D0" w:rsidP="009021B5" w14:paraId="73E7E4D5" w14:textId="77777777">
            <w:pPr>
              <w:pStyle w:val="Table11Basic"/>
              <w:spacing w:before="40" w:after="40"/>
              <w:rPr>
                <w:rFonts w:ascii="Calibri" w:eastAsia="Calibri" w:hAnsi="Calibri" w:cs="Times New Roman"/>
              </w:rPr>
            </w:pPr>
            <w:r w:rsidRPr="005340D0">
              <w:t>Intellectual disability (ID)</w:t>
            </w:r>
          </w:p>
        </w:tc>
        <w:tc>
          <w:tcPr>
            <w:tcW w:w="1952" w:type="dxa"/>
            <w:vAlign w:val="center"/>
          </w:tcPr>
          <w:p w:rsidR="00A21AD9" w:rsidP="00734A80" w14:paraId="2242AD87" w14:textId="5FA9F23F">
            <w:pPr>
              <w:pStyle w:val="Table11Basic"/>
              <w:spacing w:before="40" w:after="40"/>
              <w:jc w:val="center"/>
            </w:pPr>
            <w:r w:rsidRPr="009762E7">
              <w:t>374,666</w:t>
            </w:r>
          </w:p>
        </w:tc>
        <w:tc>
          <w:tcPr>
            <w:tcW w:w="2047" w:type="dxa"/>
            <w:vAlign w:val="center"/>
          </w:tcPr>
          <w:p w:rsidR="00A21AD9" w:rsidRPr="005340D0" w:rsidP="00734A80" w14:paraId="7307C81E" w14:textId="15BF33FB">
            <w:pPr>
              <w:pStyle w:val="Table11Basic"/>
              <w:spacing w:before="40" w:after="40"/>
              <w:jc w:val="center"/>
            </w:pPr>
            <w:r w:rsidRPr="005340D0">
              <w:t>600</w:t>
            </w:r>
          </w:p>
        </w:tc>
        <w:tc>
          <w:tcPr>
            <w:tcW w:w="2107" w:type="dxa"/>
            <w:vAlign w:val="center"/>
          </w:tcPr>
          <w:p w:rsidR="00A21AD9" w:rsidRPr="005340D0" w:rsidP="00734A80" w14:paraId="0C9509F5" w14:textId="6339D689">
            <w:pPr>
              <w:pStyle w:val="Table11Basic"/>
              <w:spacing w:before="40" w:after="40"/>
              <w:jc w:val="center"/>
            </w:pPr>
            <w:r w:rsidRPr="005340D0">
              <w:t>4.3%</w:t>
            </w:r>
          </w:p>
        </w:tc>
      </w:tr>
      <w:tr w14:paraId="1735ED68" w14:textId="77777777" w:rsidTr="004E4E63">
        <w:tblPrEx>
          <w:tblW w:w="5000" w:type="pct"/>
          <w:tblLayout w:type="fixed"/>
          <w:tblLook w:val="0420"/>
        </w:tblPrEx>
        <w:trPr>
          <w:trHeight w:val="305"/>
        </w:trPr>
        <w:tc>
          <w:tcPr>
            <w:tcW w:w="3254" w:type="dxa"/>
          </w:tcPr>
          <w:p w:rsidR="00A21AD9" w:rsidRPr="005340D0" w:rsidP="009021B5" w14:paraId="723B4A8F" w14:textId="77777777">
            <w:pPr>
              <w:pStyle w:val="Table11Basic"/>
              <w:spacing w:before="40" w:after="40"/>
              <w:rPr>
                <w:rFonts w:ascii="Calibri" w:eastAsia="Calibri" w:hAnsi="Calibri" w:cs="Times New Roman"/>
              </w:rPr>
            </w:pPr>
            <w:r w:rsidRPr="005340D0">
              <w:t>Multiple disabilities (MD)</w:t>
            </w:r>
          </w:p>
        </w:tc>
        <w:tc>
          <w:tcPr>
            <w:tcW w:w="1952" w:type="dxa"/>
            <w:vAlign w:val="center"/>
          </w:tcPr>
          <w:p w:rsidR="00A21AD9" w:rsidP="00734A80" w14:paraId="67A84403" w14:textId="3CE82202">
            <w:pPr>
              <w:pStyle w:val="Table11Basic"/>
              <w:spacing w:before="40" w:after="40"/>
              <w:jc w:val="center"/>
            </w:pPr>
            <w:r w:rsidRPr="009762E7">
              <w:t>101,307</w:t>
            </w:r>
          </w:p>
        </w:tc>
        <w:tc>
          <w:tcPr>
            <w:tcW w:w="2047" w:type="dxa"/>
            <w:vAlign w:val="center"/>
          </w:tcPr>
          <w:p w:rsidR="00A21AD9" w:rsidRPr="005340D0" w:rsidP="00734A80" w14:paraId="3D460EDE" w14:textId="306D7135">
            <w:pPr>
              <w:pStyle w:val="Table11Basic"/>
              <w:spacing w:before="40" w:after="40"/>
              <w:jc w:val="center"/>
            </w:pPr>
            <w:r w:rsidRPr="005340D0">
              <w:t>900</w:t>
            </w:r>
          </w:p>
        </w:tc>
        <w:tc>
          <w:tcPr>
            <w:tcW w:w="2107" w:type="dxa"/>
            <w:vAlign w:val="center"/>
          </w:tcPr>
          <w:p w:rsidR="00A21AD9" w:rsidRPr="005340D0" w:rsidP="00734A80" w14:paraId="43B52414" w14:textId="719CC6DB">
            <w:pPr>
              <w:pStyle w:val="Table11Basic"/>
              <w:spacing w:before="40" w:after="40"/>
              <w:jc w:val="center"/>
            </w:pPr>
            <w:r w:rsidRPr="005340D0">
              <w:t>7.4%</w:t>
            </w:r>
          </w:p>
        </w:tc>
      </w:tr>
      <w:tr w14:paraId="195B56A1" w14:textId="77777777" w:rsidTr="004E4E63">
        <w:tblPrEx>
          <w:tblW w:w="5000" w:type="pct"/>
          <w:tblLayout w:type="fixed"/>
          <w:tblLook w:val="0420"/>
        </w:tblPrEx>
        <w:trPr>
          <w:trHeight w:val="315"/>
        </w:trPr>
        <w:tc>
          <w:tcPr>
            <w:tcW w:w="3254" w:type="dxa"/>
          </w:tcPr>
          <w:p w:rsidR="00A21AD9" w:rsidRPr="005340D0" w:rsidP="009021B5" w14:paraId="0AE175F7" w14:textId="77777777">
            <w:pPr>
              <w:pStyle w:val="Table11Basic"/>
              <w:spacing w:before="40" w:after="40"/>
              <w:rPr>
                <w:rFonts w:ascii="Calibri" w:eastAsia="Calibri" w:hAnsi="Calibri" w:cs="Times New Roman"/>
              </w:rPr>
            </w:pPr>
            <w:r w:rsidRPr="005340D0">
              <w:t>Orthopedic impairment (OI)</w:t>
            </w:r>
          </w:p>
        </w:tc>
        <w:tc>
          <w:tcPr>
            <w:tcW w:w="1952" w:type="dxa"/>
            <w:vAlign w:val="center"/>
          </w:tcPr>
          <w:p w:rsidR="00A21AD9" w:rsidP="00734A80" w14:paraId="06774DA4" w14:textId="2685C023">
            <w:pPr>
              <w:pStyle w:val="Table11Basic"/>
              <w:spacing w:before="40" w:after="40"/>
              <w:jc w:val="center"/>
            </w:pPr>
            <w:r w:rsidRPr="009762E7">
              <w:t>29,220</w:t>
            </w:r>
          </w:p>
        </w:tc>
        <w:tc>
          <w:tcPr>
            <w:tcW w:w="2047" w:type="dxa"/>
            <w:vAlign w:val="center"/>
          </w:tcPr>
          <w:p w:rsidR="00A21AD9" w:rsidRPr="005340D0" w:rsidP="00734A80" w14:paraId="29EA35F1" w14:textId="7428CCDD">
            <w:pPr>
              <w:pStyle w:val="Table11Basic"/>
              <w:spacing w:before="40" w:after="40"/>
              <w:jc w:val="center"/>
            </w:pPr>
            <w:r w:rsidRPr="005340D0">
              <w:t>600</w:t>
            </w:r>
          </w:p>
        </w:tc>
        <w:tc>
          <w:tcPr>
            <w:tcW w:w="2107" w:type="dxa"/>
            <w:vAlign w:val="center"/>
          </w:tcPr>
          <w:p w:rsidR="00A21AD9" w:rsidRPr="005340D0" w:rsidP="00734A80" w14:paraId="19241C38" w14:textId="5C48256E">
            <w:pPr>
              <w:pStyle w:val="Table11Basic"/>
              <w:spacing w:before="40" w:after="40"/>
              <w:jc w:val="center"/>
            </w:pPr>
            <w:r w:rsidRPr="005340D0">
              <w:t>7.6%</w:t>
            </w:r>
          </w:p>
        </w:tc>
      </w:tr>
      <w:tr w14:paraId="43AA6FCE" w14:textId="77777777" w:rsidTr="004E4E63">
        <w:tblPrEx>
          <w:tblW w:w="5000" w:type="pct"/>
          <w:tblLayout w:type="fixed"/>
          <w:tblLook w:val="0420"/>
        </w:tblPrEx>
        <w:trPr>
          <w:trHeight w:val="305"/>
        </w:trPr>
        <w:tc>
          <w:tcPr>
            <w:tcW w:w="3254" w:type="dxa"/>
          </w:tcPr>
          <w:p w:rsidR="00A21AD9" w:rsidRPr="005340D0" w:rsidP="009021B5" w14:paraId="60172080" w14:textId="77777777">
            <w:pPr>
              <w:pStyle w:val="Table11Basic"/>
              <w:spacing w:before="40" w:after="40"/>
              <w:rPr>
                <w:rFonts w:ascii="Calibri" w:eastAsia="Calibri" w:hAnsi="Calibri" w:cs="Times New Roman"/>
              </w:rPr>
            </w:pPr>
            <w:r w:rsidRPr="005340D0">
              <w:t>Specific learning disability (SLD)</w:t>
            </w:r>
          </w:p>
        </w:tc>
        <w:tc>
          <w:tcPr>
            <w:tcW w:w="1952" w:type="dxa"/>
            <w:vAlign w:val="center"/>
          </w:tcPr>
          <w:p w:rsidR="00A21AD9" w:rsidP="00734A80" w14:paraId="7246A94F" w14:textId="56D0E392">
            <w:pPr>
              <w:pStyle w:val="Table11Basic"/>
              <w:spacing w:before="40" w:after="40"/>
              <w:jc w:val="center"/>
            </w:pPr>
            <w:r w:rsidRPr="009762E7">
              <w:t>2,233,666</w:t>
            </w:r>
          </w:p>
        </w:tc>
        <w:tc>
          <w:tcPr>
            <w:tcW w:w="2047" w:type="dxa"/>
            <w:vAlign w:val="center"/>
          </w:tcPr>
          <w:p w:rsidR="00A21AD9" w:rsidRPr="005340D0" w:rsidP="00734A80" w14:paraId="1BDA4199" w14:textId="26B7467C">
            <w:pPr>
              <w:pStyle w:val="Table11Basic"/>
              <w:spacing w:before="40" w:after="40"/>
              <w:jc w:val="center"/>
            </w:pPr>
            <w:r w:rsidRPr="005340D0">
              <w:t>600</w:t>
            </w:r>
          </w:p>
        </w:tc>
        <w:tc>
          <w:tcPr>
            <w:tcW w:w="2107" w:type="dxa"/>
            <w:vAlign w:val="center"/>
          </w:tcPr>
          <w:p w:rsidR="00A21AD9" w:rsidRPr="005340D0" w:rsidP="00734A80" w14:paraId="1F1354D7" w14:textId="6017D2D8">
            <w:pPr>
              <w:pStyle w:val="Table11Basic"/>
              <w:spacing w:before="40" w:after="40"/>
              <w:jc w:val="center"/>
            </w:pPr>
            <w:r w:rsidRPr="005340D0">
              <w:t>2.7%</w:t>
            </w:r>
          </w:p>
        </w:tc>
      </w:tr>
      <w:tr w14:paraId="318F76AB" w14:textId="77777777" w:rsidTr="004E4E63">
        <w:tblPrEx>
          <w:tblW w:w="5000" w:type="pct"/>
          <w:tblLayout w:type="fixed"/>
          <w:tblLook w:val="0420"/>
        </w:tblPrEx>
        <w:trPr>
          <w:trHeight w:val="314"/>
        </w:trPr>
        <w:tc>
          <w:tcPr>
            <w:tcW w:w="3254" w:type="dxa"/>
          </w:tcPr>
          <w:p w:rsidR="00A21AD9" w:rsidRPr="005340D0" w:rsidP="009021B5" w14:paraId="7C901869" w14:textId="77777777">
            <w:pPr>
              <w:pStyle w:val="Table11Basic"/>
              <w:spacing w:before="40" w:after="40"/>
              <w:rPr>
                <w:rFonts w:ascii="Calibri" w:eastAsia="Calibri" w:hAnsi="Calibri" w:cs="Times New Roman"/>
              </w:rPr>
            </w:pPr>
            <w:r w:rsidRPr="005340D0">
              <w:t>Speech or language impairment (SLI)</w:t>
            </w:r>
          </w:p>
        </w:tc>
        <w:tc>
          <w:tcPr>
            <w:tcW w:w="1952" w:type="dxa"/>
            <w:vAlign w:val="center"/>
          </w:tcPr>
          <w:p w:rsidR="00A21AD9" w:rsidP="00734A80" w14:paraId="3F056789" w14:textId="0D009378">
            <w:pPr>
              <w:pStyle w:val="Table11Basic"/>
              <w:spacing w:before="40" w:after="40"/>
              <w:jc w:val="center"/>
            </w:pPr>
            <w:r w:rsidRPr="009762E7">
              <w:t>1,101,694</w:t>
            </w:r>
          </w:p>
        </w:tc>
        <w:tc>
          <w:tcPr>
            <w:tcW w:w="2047" w:type="dxa"/>
            <w:vAlign w:val="center"/>
          </w:tcPr>
          <w:p w:rsidR="00A21AD9" w:rsidRPr="005340D0" w:rsidP="00734A80" w14:paraId="4D61C21E" w14:textId="6A2624C1">
            <w:pPr>
              <w:pStyle w:val="Table11Basic"/>
              <w:spacing w:before="40" w:after="40"/>
              <w:jc w:val="center"/>
            </w:pPr>
            <w:r w:rsidRPr="005340D0">
              <w:t>600</w:t>
            </w:r>
          </w:p>
        </w:tc>
        <w:tc>
          <w:tcPr>
            <w:tcW w:w="2107" w:type="dxa"/>
            <w:vAlign w:val="center"/>
          </w:tcPr>
          <w:p w:rsidR="00A21AD9" w:rsidRPr="005340D0" w:rsidP="00734A80" w14:paraId="3A60E073" w14:textId="545CE8DD">
            <w:pPr>
              <w:pStyle w:val="Table11Basic"/>
              <w:spacing w:before="40" w:after="40"/>
              <w:jc w:val="center"/>
            </w:pPr>
            <w:r w:rsidRPr="005340D0">
              <w:t>1.9%</w:t>
            </w:r>
          </w:p>
        </w:tc>
      </w:tr>
      <w:tr w14:paraId="1E8788F8" w14:textId="77777777" w:rsidTr="004E4E63">
        <w:tblPrEx>
          <w:tblW w:w="5000" w:type="pct"/>
          <w:tblLayout w:type="fixed"/>
          <w:tblLook w:val="0420"/>
        </w:tblPrEx>
        <w:trPr>
          <w:trHeight w:val="315"/>
        </w:trPr>
        <w:tc>
          <w:tcPr>
            <w:tcW w:w="3254" w:type="dxa"/>
          </w:tcPr>
          <w:p w:rsidR="00A21AD9" w:rsidRPr="005340D0" w:rsidP="009021B5" w14:paraId="67C83E42" w14:textId="77777777">
            <w:pPr>
              <w:pStyle w:val="Table11Basic"/>
              <w:spacing w:before="40" w:after="40"/>
              <w:rPr>
                <w:rFonts w:ascii="Calibri" w:eastAsia="Calibri" w:hAnsi="Calibri" w:cs="Times New Roman"/>
              </w:rPr>
            </w:pPr>
            <w:r w:rsidRPr="005340D0">
              <w:t>Traumatic brain injury (TBI)</w:t>
            </w:r>
          </w:p>
        </w:tc>
        <w:tc>
          <w:tcPr>
            <w:tcW w:w="1952" w:type="dxa"/>
            <w:vAlign w:val="center"/>
          </w:tcPr>
          <w:p w:rsidR="00A21AD9" w:rsidP="00734A80" w14:paraId="08095667" w14:textId="0B5E3D95">
            <w:pPr>
              <w:pStyle w:val="Table11Basic"/>
              <w:spacing w:before="40" w:after="40"/>
              <w:jc w:val="center"/>
            </w:pPr>
            <w:r w:rsidRPr="009762E7">
              <w:t>22,735</w:t>
            </w:r>
          </w:p>
        </w:tc>
        <w:tc>
          <w:tcPr>
            <w:tcW w:w="2047" w:type="dxa"/>
            <w:vAlign w:val="center"/>
          </w:tcPr>
          <w:p w:rsidR="00A21AD9" w:rsidRPr="005340D0" w:rsidP="00734A80" w14:paraId="69445A86" w14:textId="396D21B2">
            <w:pPr>
              <w:pStyle w:val="Table11Basic"/>
              <w:spacing w:before="40" w:after="40"/>
              <w:jc w:val="center"/>
            </w:pPr>
            <w:r w:rsidRPr="005340D0">
              <w:t>700</w:t>
            </w:r>
          </w:p>
        </w:tc>
        <w:tc>
          <w:tcPr>
            <w:tcW w:w="2107" w:type="dxa"/>
            <w:vAlign w:val="center"/>
          </w:tcPr>
          <w:p w:rsidR="00A21AD9" w:rsidRPr="005340D0" w:rsidP="00734A80" w14:paraId="7E51ADDA" w14:textId="2AB275B8">
            <w:pPr>
              <w:pStyle w:val="Table11Basic"/>
              <w:spacing w:before="40" w:after="40"/>
              <w:jc w:val="center"/>
            </w:pPr>
            <w:r w:rsidRPr="005340D0">
              <w:t>14.0%</w:t>
            </w:r>
          </w:p>
        </w:tc>
      </w:tr>
      <w:tr w14:paraId="49BE60BA" w14:textId="77777777" w:rsidTr="004E4E63">
        <w:tblPrEx>
          <w:tblW w:w="5000" w:type="pct"/>
          <w:tblLayout w:type="fixed"/>
          <w:tblLook w:val="0420"/>
        </w:tblPrEx>
        <w:trPr>
          <w:trHeight w:val="305"/>
        </w:trPr>
        <w:tc>
          <w:tcPr>
            <w:tcW w:w="3254" w:type="dxa"/>
          </w:tcPr>
          <w:p w:rsidR="00A21AD9" w:rsidRPr="005340D0" w:rsidP="009021B5" w14:paraId="509E66D6" w14:textId="77777777">
            <w:pPr>
              <w:pStyle w:val="Table11Basic"/>
              <w:spacing w:before="40" w:after="40"/>
              <w:rPr>
                <w:rFonts w:ascii="Calibri" w:eastAsia="Calibri" w:hAnsi="Calibri" w:cs="Times New Roman"/>
              </w:rPr>
            </w:pPr>
            <w:r w:rsidRPr="005340D0">
              <w:t>Visual impairment (VI)</w:t>
            </w:r>
          </w:p>
        </w:tc>
        <w:tc>
          <w:tcPr>
            <w:tcW w:w="1952" w:type="dxa"/>
            <w:vAlign w:val="center"/>
          </w:tcPr>
          <w:p w:rsidR="00A21AD9" w:rsidP="00734A80" w14:paraId="67DC0A4A" w14:textId="1B5AD555">
            <w:pPr>
              <w:pStyle w:val="Table11Basic"/>
              <w:spacing w:before="40" w:after="40"/>
              <w:jc w:val="center"/>
            </w:pPr>
            <w:r w:rsidRPr="009762E7">
              <w:t>22,302</w:t>
            </w:r>
          </w:p>
        </w:tc>
        <w:tc>
          <w:tcPr>
            <w:tcW w:w="2047" w:type="dxa"/>
            <w:vAlign w:val="center"/>
          </w:tcPr>
          <w:p w:rsidR="00A21AD9" w:rsidRPr="005340D0" w:rsidP="00734A80" w14:paraId="7F839DF5" w14:textId="06B6EE48">
            <w:pPr>
              <w:pStyle w:val="Table11Basic"/>
              <w:spacing w:before="40" w:after="40"/>
              <w:jc w:val="center"/>
            </w:pPr>
            <w:r w:rsidRPr="005340D0">
              <w:t>412</w:t>
            </w:r>
          </w:p>
        </w:tc>
        <w:tc>
          <w:tcPr>
            <w:tcW w:w="2107" w:type="dxa"/>
            <w:vAlign w:val="center"/>
          </w:tcPr>
          <w:p w:rsidR="00A21AD9" w:rsidRPr="005340D0" w:rsidP="00734A80" w14:paraId="774FC17A" w14:textId="32DFEFD0">
            <w:pPr>
              <w:pStyle w:val="Table11Basic"/>
              <w:spacing w:before="40" w:after="40"/>
              <w:jc w:val="center"/>
            </w:pPr>
            <w:r w:rsidRPr="005340D0">
              <w:t>23.8%</w:t>
            </w:r>
          </w:p>
        </w:tc>
      </w:tr>
      <w:tr w14:paraId="6952776A" w14:textId="77777777" w:rsidTr="004E4E63">
        <w:tblPrEx>
          <w:tblW w:w="5000" w:type="pct"/>
          <w:tblLayout w:type="fixed"/>
          <w:tblLook w:val="0420"/>
        </w:tblPrEx>
        <w:trPr>
          <w:trHeight w:val="305"/>
        </w:trPr>
        <w:tc>
          <w:tcPr>
            <w:tcW w:w="3254" w:type="dxa"/>
          </w:tcPr>
          <w:p w:rsidR="00A21AD9" w:rsidRPr="005340D0" w:rsidP="009021B5" w14:paraId="27919FB5" w14:textId="77777777">
            <w:pPr>
              <w:pStyle w:val="Table11Basic"/>
              <w:spacing w:before="40" w:after="40"/>
              <w:rPr>
                <w:rFonts w:ascii="Calibri" w:eastAsia="Calibri" w:hAnsi="Calibri" w:cs="Times New Roman"/>
              </w:rPr>
            </w:pPr>
            <w:r w:rsidRPr="005340D0">
              <w:t>Other health impairment (OHI)</w:t>
            </w:r>
          </w:p>
        </w:tc>
        <w:tc>
          <w:tcPr>
            <w:tcW w:w="1952" w:type="dxa"/>
            <w:vAlign w:val="center"/>
          </w:tcPr>
          <w:p w:rsidR="00A21AD9" w:rsidP="00734A80" w14:paraId="18A897F5" w14:textId="53FFC61E">
            <w:pPr>
              <w:pStyle w:val="Table11Basic"/>
              <w:spacing w:before="40" w:after="40"/>
              <w:jc w:val="center"/>
            </w:pPr>
            <w:r w:rsidRPr="009762E7">
              <w:t>1,028,663</w:t>
            </w:r>
          </w:p>
        </w:tc>
        <w:tc>
          <w:tcPr>
            <w:tcW w:w="2047" w:type="dxa"/>
            <w:vAlign w:val="center"/>
          </w:tcPr>
          <w:p w:rsidR="00A21AD9" w:rsidRPr="005340D0" w:rsidP="00734A80" w14:paraId="16DA4422" w14:textId="166058A6">
            <w:pPr>
              <w:pStyle w:val="Table11Basic"/>
              <w:spacing w:before="40" w:after="40"/>
              <w:jc w:val="center"/>
            </w:pPr>
            <w:r w:rsidRPr="005340D0">
              <w:t>600</w:t>
            </w:r>
          </w:p>
        </w:tc>
        <w:tc>
          <w:tcPr>
            <w:tcW w:w="2107" w:type="dxa"/>
            <w:vAlign w:val="center"/>
          </w:tcPr>
          <w:p w:rsidR="00A21AD9" w:rsidRPr="005340D0" w:rsidP="00734A80" w14:paraId="4E7493AF" w14:textId="0935936D">
            <w:pPr>
              <w:pStyle w:val="Table11Basic"/>
              <w:spacing w:before="40" w:after="40"/>
              <w:jc w:val="center"/>
            </w:pPr>
            <w:r w:rsidRPr="005340D0">
              <w:t>6.1%</w:t>
            </w:r>
          </w:p>
        </w:tc>
      </w:tr>
    </w:tbl>
    <w:p w:rsidR="00A21AD9" w:rsidRPr="002F53E6" w:rsidP="00BF41E4" w14:paraId="1BBC0B5B" w14:textId="141C31C9">
      <w:pPr>
        <w:pStyle w:val="ExhibitNote"/>
      </w:pPr>
      <w:r w:rsidRPr="00722D38">
        <w:rPr>
          <w:rFonts w:eastAsia="Calibri"/>
          <w:vertAlign w:val="superscript"/>
        </w:rPr>
        <w:t xml:space="preserve">1 </w:t>
      </w:r>
      <w:r>
        <w:rPr>
          <w:rFonts w:eastAsia="Calibri"/>
        </w:rPr>
        <w:t>Disability category is the</w:t>
      </w:r>
      <w:r w:rsidRPr="005D2AAD">
        <w:rPr>
          <w:rFonts w:eastAsia="Calibri"/>
        </w:rPr>
        <w:t xml:space="preserve"> primary disability identified </w:t>
      </w:r>
      <w:r w:rsidR="00321E91">
        <w:rPr>
          <w:rFonts w:eastAsia="Calibri"/>
        </w:rPr>
        <w:t>on</w:t>
      </w:r>
      <w:r w:rsidRPr="005D2AAD">
        <w:rPr>
          <w:rFonts w:eastAsia="Calibri"/>
        </w:rPr>
        <w:t xml:space="preserve"> a student’s </w:t>
      </w:r>
      <w:r>
        <w:rPr>
          <w:rFonts w:eastAsia="Calibri"/>
        </w:rPr>
        <w:t>individualized educational program</w:t>
      </w:r>
      <w:r w:rsidRPr="005D2AAD">
        <w:rPr>
          <w:rFonts w:eastAsia="Calibri"/>
        </w:rPr>
        <w:t>.</w:t>
      </w:r>
    </w:p>
    <w:p w:rsidR="00A21AD9" w:rsidRPr="00AB7ECC" w:rsidP="0028419A" w14:paraId="2DDDE790" w14:textId="4233E8EA">
      <w:pPr>
        <w:pStyle w:val="BodyText"/>
        <w:keepNext/>
        <w:keepLines/>
      </w:pPr>
      <w:r w:rsidRPr="00AB7ECC">
        <w:t xml:space="preserve">Exhibit </w:t>
      </w:r>
      <w:r>
        <w:t>4</w:t>
      </w:r>
      <w:r w:rsidRPr="00AB7ECC">
        <w:t xml:space="preserve"> </w:t>
      </w:r>
      <w:r>
        <w:t>presents test statistics for the NSSES sample design for</w:t>
      </w:r>
      <w:r w:rsidRPr="00AB7ECC">
        <w:t xml:space="preserve"> </w:t>
      </w:r>
      <w:r>
        <w:t>SWD</w:t>
      </w:r>
      <w:r w:rsidRPr="00AB7ECC">
        <w:t xml:space="preserve"> </w:t>
      </w:r>
      <w:r>
        <w:t xml:space="preserve">characteristics other than disability category, </w:t>
      </w:r>
      <w:r w:rsidRPr="00AB7ECC">
        <w:t xml:space="preserve">including </w:t>
      </w:r>
      <w:r w:rsidRPr="00B448B4" w:rsidR="00C10E16">
        <w:t xml:space="preserve">(a) </w:t>
      </w:r>
      <w:r w:rsidR="00C10E16">
        <w:t>student</w:t>
      </w:r>
      <w:r w:rsidR="00725E54">
        <w:t>s</w:t>
      </w:r>
      <w:r w:rsidR="00C10E16">
        <w:t xml:space="preserve"> </w:t>
      </w:r>
      <w:r w:rsidR="00725E54">
        <w:t>enrolled</w:t>
      </w:r>
      <w:r w:rsidR="00C10E16">
        <w:t xml:space="preserve"> in charter and non-charter schools</w:t>
      </w:r>
      <w:r w:rsidRPr="00B448B4" w:rsidR="00C10E16">
        <w:t xml:space="preserve">, (b) student grade-level band (elementary, middle, secondary), (c) </w:t>
      </w:r>
      <w:r w:rsidR="00C10E16">
        <w:t xml:space="preserve">a student’s placement in their </w:t>
      </w:r>
      <w:r w:rsidRPr="00B448B4" w:rsidR="00C10E16">
        <w:t>least restrictive environment (LRE) or outside an LEA,</w:t>
      </w:r>
      <w:r>
        <w:rPr>
          <w:rStyle w:val="FootnoteReference"/>
        </w:rPr>
        <w:footnoteReference w:id="22"/>
      </w:r>
      <w:r w:rsidRPr="00B448B4" w:rsidR="00C10E16">
        <w:t xml:space="preserve"> and (d) students’ race/ethnicity</w:t>
      </w:r>
      <w:r w:rsidRPr="00AB7ECC">
        <w:t>.</w:t>
      </w:r>
      <w:r>
        <w:rPr>
          <w:vertAlign w:val="superscript"/>
        </w:rPr>
        <w:footnoteReference w:id="23"/>
      </w:r>
      <w:r w:rsidRPr="00AB7ECC">
        <w:t xml:space="preserve"> </w:t>
      </w:r>
      <w:r w:rsidRPr="0032372B">
        <w:t xml:space="preserve">Although the sample design did not set an a priori target MOE for student groups, the </w:t>
      </w:r>
      <w:r>
        <w:t xml:space="preserve">expected </w:t>
      </w:r>
      <w:r w:rsidRPr="0032372B">
        <w:t>RMOEs for the design are no more than 8</w:t>
      </w:r>
      <w:r>
        <w:t xml:space="preserve"> percent </w:t>
      </w:r>
      <w:r w:rsidRPr="005340D0">
        <w:rPr>
          <w:color w:val="000000" w:themeColor="text1"/>
        </w:rPr>
        <w:t>autism spectrum disorder</w:t>
      </w:r>
      <w:r w:rsidRPr="0032372B">
        <w:t xml:space="preserve"> for each student group</w:t>
      </w:r>
      <w:r w:rsidRPr="00AB7ECC">
        <w:t>, except for students who attend charter schools (</w:t>
      </w:r>
      <w:r>
        <w:t>11</w:t>
      </w:r>
      <w:r w:rsidRPr="00AB7ECC">
        <w:t>.</w:t>
      </w:r>
      <w:r>
        <w:t>8</w:t>
      </w:r>
      <w:r w:rsidRPr="00A83BAA">
        <w:t xml:space="preserve"> </w:t>
      </w:r>
      <w:r>
        <w:t>percent</w:t>
      </w:r>
      <w:r w:rsidRPr="00AB7ECC">
        <w:t>) and students who attend a separate school, residential facility, or who are homebound or hospitalized (13.</w:t>
      </w:r>
      <w:r>
        <w:t>1</w:t>
      </w:r>
      <w:r w:rsidRPr="00A83BAA">
        <w:t xml:space="preserve"> </w:t>
      </w:r>
      <w:r>
        <w:t>percent</w:t>
      </w:r>
      <w:r w:rsidRPr="00AB7ECC">
        <w:t xml:space="preserve">). </w:t>
      </w:r>
    </w:p>
    <w:p w:rsidR="00A21AD9" w:rsidRPr="00AB7ECC" w:rsidP="008238D9" w14:paraId="35093E7A" w14:textId="3BAF45D8">
      <w:pPr>
        <w:pStyle w:val="BodyText"/>
      </w:pPr>
      <w:r>
        <w:t>Exhibit 4 also reports the minimal detectable differences (MDDs; at 80 percent power) for comparisons between student groups. Although not a stated goal for the sample design, most MDDs for the student group comparisons are about 10 percent except for comparisons in spending for students who do and do not attend charter schools and students who attend a separate school compared with other LRE categories. In both instances, the expected number of responding students in the sample is very small (about 620 SWDs who attend charter schools and 443 SWDs who are in a separate school).</w:t>
      </w:r>
    </w:p>
    <w:p w:rsidR="006069B2" w14:paraId="07DC3124" w14:textId="77777777">
      <w:pPr>
        <w:rPr>
          <w:rFonts w:eastAsia="Times New Roman" w:asciiTheme="majorHAnsi" w:hAnsiTheme="majorHAnsi" w:cs="Times"/>
          <w:b/>
          <w:iCs/>
          <w:color w:val="00507F" w:themeColor="accent1"/>
        </w:rPr>
      </w:pPr>
      <w:r>
        <w:br w:type="page"/>
      </w:r>
    </w:p>
    <w:p w:rsidR="00A21AD9" w:rsidRPr="00AB7ECC" w:rsidP="00BF41E4" w14:paraId="3EAEACE1" w14:textId="055E25C9">
      <w:pPr>
        <w:pStyle w:val="ExhibitTitle"/>
      </w:pPr>
      <w:bookmarkStart w:id="23" w:name="_Toc217324961"/>
      <w:r w:rsidRPr="00AB7ECC">
        <w:t xml:space="preserve">Exhibit </w:t>
      </w:r>
      <w:r>
        <w:t>4</w:t>
      </w:r>
      <w:r w:rsidRPr="00AB7ECC">
        <w:t xml:space="preserve">. Test statistics </w:t>
      </w:r>
      <w:bookmarkStart w:id="24" w:name="_Hlk164945331"/>
      <w:r>
        <w:t xml:space="preserve">key </w:t>
      </w:r>
      <w:r w:rsidRPr="00AB7ECC">
        <w:t>student gro</w:t>
      </w:r>
      <w:r>
        <w:t>ups</w:t>
      </w:r>
      <w:bookmarkEnd w:id="24"/>
      <w:r>
        <w:t xml:space="preserve"> </w:t>
      </w:r>
      <w:bookmarkEnd w:id="23"/>
    </w:p>
    <w:tbl>
      <w:tblPr>
        <w:tblStyle w:val="TableStyle-AIR20213"/>
        <w:tblW w:w="9360" w:type="dxa"/>
        <w:tblCellMar>
          <w:left w:w="58" w:type="dxa"/>
          <w:right w:w="58" w:type="dxa"/>
        </w:tblCellMar>
        <w:tblLook w:val="0420"/>
      </w:tblPr>
      <w:tblGrid>
        <w:gridCol w:w="1493"/>
        <w:gridCol w:w="2434"/>
        <w:gridCol w:w="1018"/>
        <w:gridCol w:w="810"/>
        <w:gridCol w:w="3595"/>
        <w:gridCol w:w="10"/>
      </w:tblGrid>
      <w:tr w14:paraId="5889492D" w14:textId="77777777" w:rsidTr="00221CD5">
        <w:tblPrEx>
          <w:tblW w:w="9360" w:type="dxa"/>
          <w:tblCellMar>
            <w:left w:w="58" w:type="dxa"/>
            <w:right w:w="58" w:type="dxa"/>
          </w:tblCellMar>
          <w:tblLook w:val="0420"/>
        </w:tblPrEx>
        <w:trPr>
          <w:gridAfter w:val="1"/>
          <w:wAfter w:w="10" w:type="dxa"/>
          <w:trHeight w:val="305"/>
          <w:tblHeader/>
        </w:trPr>
        <w:tc>
          <w:tcPr>
            <w:tcW w:w="3927" w:type="dxa"/>
            <w:gridSpan w:val="2"/>
            <w:vMerge w:val="restart"/>
            <w:tcBorders>
              <w:top w:val="nil"/>
              <w:left w:val="single" w:sz="2" w:space="0" w:color="006E9F" w:themeColor="accent3"/>
              <w:right w:val="single" w:sz="4" w:space="0" w:color="FFFFFF" w:themeColor="background1"/>
            </w:tcBorders>
            <w:shd w:val="clear" w:color="auto" w:fill="00507F" w:themeFill="accent1"/>
            <w:vAlign w:val="bottom"/>
          </w:tcPr>
          <w:p w:rsidR="00A21AD9" w:rsidRPr="00AB7ECC" w:rsidP="00221CD5" w14:paraId="4E2B166B" w14:textId="77777777">
            <w:pPr>
              <w:pStyle w:val="Table11ColumnHeading"/>
            </w:pPr>
            <w:r w:rsidRPr="00AB7ECC">
              <w:t>Student groups</w:t>
            </w:r>
          </w:p>
        </w:tc>
        <w:tc>
          <w:tcPr>
            <w:tcW w:w="5423" w:type="dxa"/>
            <w:gridSpan w:val="3"/>
            <w:tcBorders>
              <w:top w:val="nil"/>
              <w:left w:val="single" w:sz="4" w:space="0" w:color="FFFFFF" w:themeColor="background1"/>
              <w:bottom w:val="single" w:sz="4" w:space="0" w:color="FFFFFF" w:themeColor="background1"/>
            </w:tcBorders>
            <w:shd w:val="clear" w:color="auto" w:fill="00507F" w:themeFill="accent1"/>
            <w:vAlign w:val="bottom"/>
            <w:hideMark/>
          </w:tcPr>
          <w:p w:rsidR="00A21AD9" w:rsidRPr="00AB7ECC" w:rsidP="00734A80" w14:paraId="6607E92D" w14:textId="77777777">
            <w:pPr>
              <w:pStyle w:val="Table11ColumnHeading"/>
            </w:pPr>
            <w:r w:rsidRPr="00AB7ECC">
              <w:t>Sample design</w:t>
            </w:r>
          </w:p>
        </w:tc>
      </w:tr>
      <w:tr w14:paraId="23E2AB7A" w14:textId="77777777" w:rsidTr="00221CD5">
        <w:tblPrEx>
          <w:tblW w:w="9360" w:type="dxa"/>
          <w:tblCellMar>
            <w:left w:w="58" w:type="dxa"/>
            <w:right w:w="58" w:type="dxa"/>
          </w:tblCellMar>
          <w:tblLook w:val="0420"/>
        </w:tblPrEx>
        <w:trPr>
          <w:gridAfter w:val="1"/>
          <w:wAfter w:w="10" w:type="dxa"/>
          <w:trHeight w:val="294"/>
          <w:tblHeader/>
        </w:trPr>
        <w:tc>
          <w:tcPr>
            <w:tcW w:w="3927" w:type="dxa"/>
            <w:gridSpan w:val="2"/>
            <w:vMerge/>
            <w:tcBorders>
              <w:left w:val="single" w:sz="2" w:space="0" w:color="006E9F" w:themeColor="accent3"/>
              <w:bottom w:val="single" w:sz="24" w:space="0" w:color="009DD7" w:themeColor="accent2"/>
              <w:right w:val="single" w:sz="4" w:space="0" w:color="FFFFFF" w:themeColor="background1"/>
            </w:tcBorders>
            <w:shd w:val="clear" w:color="auto" w:fill="00507F" w:themeFill="accent1"/>
            <w:vAlign w:val="bottom"/>
            <w:hideMark/>
          </w:tcPr>
          <w:p w:rsidR="00A21AD9" w:rsidRPr="00AB7ECC" w:rsidP="004F06AC" w14:paraId="25C9176B" w14:textId="77777777">
            <w:pPr>
              <w:pStyle w:val="Table11ColumnHeading"/>
            </w:pPr>
          </w:p>
        </w:tc>
        <w:tc>
          <w:tcPr>
            <w:tcW w:w="1018" w:type="dxa"/>
            <w:tcBorders>
              <w:top w:val="single" w:sz="4" w:space="0" w:color="FFFFFF" w:themeColor="background1"/>
              <w:left w:val="single" w:sz="4" w:space="0" w:color="FFFFFF" w:themeColor="background1"/>
              <w:bottom w:val="single" w:sz="24" w:space="0" w:color="009DD7" w:themeColor="accent2"/>
              <w:right w:val="single" w:sz="4" w:space="0" w:color="FFFFFF" w:themeColor="background1"/>
            </w:tcBorders>
            <w:shd w:val="clear" w:color="auto" w:fill="00507F" w:themeFill="accent1"/>
            <w:vAlign w:val="bottom"/>
            <w:hideMark/>
          </w:tcPr>
          <w:p w:rsidR="00A21AD9" w:rsidRPr="00AB7ECC" w:rsidP="00734A80" w14:paraId="2E943612" w14:textId="76B0B677">
            <w:pPr>
              <w:pStyle w:val="Table11ColumnHeading"/>
            </w:pPr>
            <w:r w:rsidRPr="00AB7ECC">
              <w:t>#</w:t>
            </w:r>
            <w:r w:rsidR="003A01DE">
              <w:t xml:space="preserve"> </w:t>
            </w:r>
            <w:r w:rsidRPr="00AB7ECC" w:rsidR="003322E9">
              <w:t xml:space="preserve">sampled </w:t>
            </w:r>
            <w:r w:rsidRPr="00AB7ECC">
              <w:t>students</w:t>
            </w:r>
          </w:p>
        </w:tc>
        <w:tc>
          <w:tcPr>
            <w:tcW w:w="810" w:type="dxa"/>
            <w:tcBorders>
              <w:top w:val="single" w:sz="4" w:space="0" w:color="FFFFFF" w:themeColor="background1"/>
              <w:left w:val="single" w:sz="4" w:space="0" w:color="FFFFFF" w:themeColor="background1"/>
              <w:bottom w:val="single" w:sz="24" w:space="0" w:color="009DD7" w:themeColor="accent2"/>
              <w:right w:val="single" w:sz="4" w:space="0" w:color="FFFFFF" w:themeColor="background1"/>
            </w:tcBorders>
            <w:shd w:val="clear" w:color="auto" w:fill="00507F" w:themeFill="accent1"/>
            <w:vAlign w:val="bottom"/>
            <w:hideMark/>
          </w:tcPr>
          <w:p w:rsidR="00A21AD9" w:rsidRPr="00AB7ECC" w:rsidP="00734A80" w14:paraId="06EB0DFC" w14:textId="77777777">
            <w:pPr>
              <w:pStyle w:val="Table11ColumnHeading"/>
            </w:pPr>
            <w:r>
              <w:t>R</w:t>
            </w:r>
            <w:r w:rsidRPr="00AB7ECC">
              <w:t>MOE</w:t>
            </w:r>
          </w:p>
        </w:tc>
        <w:tc>
          <w:tcPr>
            <w:tcW w:w="3595" w:type="dxa"/>
            <w:tcBorders>
              <w:top w:val="single" w:sz="4" w:space="0" w:color="FFFFFF" w:themeColor="background1"/>
              <w:left w:val="single" w:sz="4" w:space="0" w:color="FFFFFF" w:themeColor="background1"/>
              <w:bottom w:val="single" w:sz="24" w:space="0" w:color="009DD7" w:themeColor="accent2"/>
            </w:tcBorders>
            <w:shd w:val="clear" w:color="auto" w:fill="00507F" w:themeFill="accent1"/>
            <w:vAlign w:val="bottom"/>
            <w:hideMark/>
          </w:tcPr>
          <w:p w:rsidR="00A21AD9" w:rsidRPr="00AB7ECC" w:rsidP="00734A80" w14:paraId="02842DEE" w14:textId="77777777">
            <w:pPr>
              <w:pStyle w:val="Table11ColumnHeading"/>
            </w:pPr>
            <w:r w:rsidRPr="00AB7ECC">
              <w:t>Relative MDD</w:t>
            </w:r>
          </w:p>
        </w:tc>
      </w:tr>
      <w:tr w14:paraId="0FC55456" w14:textId="77777777" w:rsidTr="00636531">
        <w:tblPrEx>
          <w:tblW w:w="9360" w:type="dxa"/>
          <w:tblCellMar>
            <w:left w:w="58" w:type="dxa"/>
            <w:right w:w="58" w:type="dxa"/>
          </w:tblCellMar>
          <w:tblLook w:val="0420"/>
        </w:tblPrEx>
        <w:trPr>
          <w:gridAfter w:val="1"/>
          <w:wAfter w:w="10" w:type="dxa"/>
          <w:trHeight w:val="383"/>
        </w:trPr>
        <w:tc>
          <w:tcPr>
            <w:tcW w:w="1493" w:type="dxa"/>
            <w:vMerge w:val="restart"/>
            <w:tcBorders>
              <w:top w:val="single" w:sz="8" w:space="0" w:color="D9D9D9"/>
              <w:bottom w:val="single" w:sz="4" w:space="0" w:color="D9D9D9" w:themeColor="background1" w:themeShade="D9"/>
              <w:right w:val="single" w:sz="4" w:space="0" w:color="D9D9D9" w:themeColor="background1" w:themeShade="D9"/>
            </w:tcBorders>
            <w:shd w:val="clear" w:color="auto" w:fill="FFFFFF" w:themeFill="background1"/>
            <w:hideMark/>
          </w:tcPr>
          <w:p w:rsidR="00A21AD9" w:rsidRPr="00AB7ECC" w:rsidP="004F06AC" w14:paraId="49D91AA6" w14:textId="7AE0717F">
            <w:pPr>
              <w:pStyle w:val="Table11Basic"/>
            </w:pPr>
            <w:r w:rsidRPr="00AB7ECC">
              <w:t>Charter v</w:t>
            </w:r>
            <w:r>
              <w:t>ersus</w:t>
            </w:r>
            <w:r w:rsidR="003322E9">
              <w:t xml:space="preserve"> </w:t>
            </w:r>
            <w:r w:rsidRPr="00AB7ECC">
              <w:t>non</w:t>
            </w:r>
            <w:r>
              <w:t>c</w:t>
            </w:r>
            <w:r w:rsidRPr="00AB7ECC">
              <w:t>harter student </w:t>
            </w:r>
          </w:p>
        </w:tc>
        <w:tc>
          <w:tcPr>
            <w:tcW w:w="2434" w:type="dxa"/>
            <w:tcBorders>
              <w:top w:val="single" w:sz="8"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hideMark/>
          </w:tcPr>
          <w:p w:rsidR="00A21AD9" w:rsidRPr="00AB7ECC" w:rsidP="004F06AC" w14:paraId="28E02D0B" w14:textId="77777777">
            <w:pPr>
              <w:pStyle w:val="Table11Basic"/>
            </w:pPr>
            <w:r w:rsidRPr="00AB7ECC">
              <w:t>Charter SWD</w:t>
            </w:r>
          </w:p>
        </w:tc>
        <w:tc>
          <w:tcPr>
            <w:tcW w:w="1018" w:type="dxa"/>
            <w:tcBorders>
              <w:top w:val="single" w:sz="8"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rsidR="00A21AD9" w:rsidRPr="00AB7ECC" w:rsidP="004F06AC" w14:paraId="3B2CD790" w14:textId="77777777">
            <w:pPr>
              <w:pStyle w:val="Table11Basic"/>
              <w:jc w:val="center"/>
            </w:pPr>
            <w:r w:rsidRPr="35AEC939">
              <w:t>620</w:t>
            </w:r>
          </w:p>
        </w:tc>
        <w:tc>
          <w:tcPr>
            <w:tcW w:w="810" w:type="dxa"/>
            <w:tcBorders>
              <w:top w:val="single" w:sz="8"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rsidR="00A21AD9" w:rsidRPr="00AB7ECC" w:rsidP="00636531" w14:paraId="42567D9D" w14:textId="77777777">
            <w:pPr>
              <w:pStyle w:val="Table11Basic"/>
              <w:jc w:val="center"/>
            </w:pPr>
            <w:r w:rsidRPr="35AEC939">
              <w:t>11.8%</w:t>
            </w:r>
          </w:p>
        </w:tc>
        <w:tc>
          <w:tcPr>
            <w:tcW w:w="3595" w:type="dxa"/>
            <w:tcBorders>
              <w:top w:val="single" w:sz="8" w:space="0" w:color="D9D9D9"/>
              <w:left w:val="single" w:sz="4" w:space="0" w:color="D9D9D9" w:themeColor="background1" w:themeShade="D9"/>
              <w:bottom w:val="single" w:sz="4" w:space="0" w:color="D9D9D9" w:themeColor="background1" w:themeShade="D9"/>
            </w:tcBorders>
            <w:shd w:val="clear" w:color="auto" w:fill="FFFFFF" w:themeFill="background1"/>
          </w:tcPr>
          <w:p w:rsidR="00A21AD9" w:rsidRPr="00AB7ECC" w:rsidP="004F06AC" w14:paraId="0B1DC2C2" w14:textId="0F6F1DE2">
            <w:pPr>
              <w:pStyle w:val="Table11Basic"/>
              <w:rPr>
                <w:rFonts w:cs="Calibri"/>
              </w:rPr>
            </w:pPr>
            <w:r w:rsidRPr="00AB7ECC">
              <w:rPr>
                <w:rFonts w:cs="Calibri"/>
              </w:rPr>
              <w:t>17.7% v</w:t>
            </w:r>
            <w:r>
              <w:rPr>
                <w:rFonts w:cs="Calibri"/>
              </w:rPr>
              <w:t>ersus</w:t>
            </w:r>
            <w:r w:rsidRPr="00AB7ECC">
              <w:rPr>
                <w:rFonts w:cs="Calibri"/>
              </w:rPr>
              <w:t xml:space="preserve"> non</w:t>
            </w:r>
            <w:r>
              <w:rPr>
                <w:rFonts w:cs="Calibri"/>
              </w:rPr>
              <w:t>c</w:t>
            </w:r>
            <w:r w:rsidRPr="00AB7ECC">
              <w:rPr>
                <w:rFonts w:cs="Calibri"/>
              </w:rPr>
              <w:t>harter SWD</w:t>
            </w:r>
          </w:p>
        </w:tc>
      </w:tr>
      <w:tr w14:paraId="69DCB115" w14:textId="77777777" w:rsidTr="00636531">
        <w:tblPrEx>
          <w:tblW w:w="9360" w:type="dxa"/>
          <w:tblCellMar>
            <w:left w:w="58" w:type="dxa"/>
            <w:right w:w="58" w:type="dxa"/>
          </w:tblCellMar>
          <w:tblLook w:val="0420"/>
        </w:tblPrEx>
        <w:trPr>
          <w:gridAfter w:val="1"/>
          <w:wAfter w:w="10" w:type="dxa"/>
          <w:trHeight w:val="383"/>
        </w:trPr>
        <w:tc>
          <w:tcPr>
            <w:tcW w:w="1493" w:type="dxa"/>
            <w:vMerge/>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hideMark/>
          </w:tcPr>
          <w:p w:rsidR="00A21AD9" w:rsidRPr="00AB7ECC" w:rsidP="004F06AC" w14:paraId="20412223" w14:textId="77777777">
            <w:pPr>
              <w:pStyle w:val="Table11Basic"/>
            </w:pPr>
          </w:p>
        </w:tc>
        <w:tc>
          <w:tcPr>
            <w:tcW w:w="24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hideMark/>
          </w:tcPr>
          <w:p w:rsidR="00A21AD9" w:rsidRPr="00AB7ECC" w:rsidP="004F06AC" w14:paraId="7DC769B5" w14:textId="34DA2D9C">
            <w:pPr>
              <w:pStyle w:val="Table11Basic"/>
            </w:pPr>
            <w:r w:rsidRPr="00AB7ECC">
              <w:t>Non</w:t>
            </w:r>
            <w:r>
              <w:t>c</w:t>
            </w:r>
            <w:r w:rsidRPr="00AB7ECC">
              <w:t>harter SWD</w:t>
            </w:r>
          </w:p>
        </w:tc>
        <w:tc>
          <w:tcPr>
            <w:tcW w:w="10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rsidR="00A21AD9" w:rsidRPr="00AB7ECC" w:rsidP="004F06AC" w14:paraId="662F5284" w14:textId="77777777">
            <w:pPr>
              <w:pStyle w:val="Table11Basic"/>
              <w:jc w:val="center"/>
            </w:pPr>
            <w:r w:rsidRPr="35AEC939">
              <w:t>9,234</w:t>
            </w:r>
          </w:p>
        </w:tc>
        <w:tc>
          <w:tcPr>
            <w:tcW w:w="8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rsidR="00A21AD9" w:rsidRPr="00AB7ECC" w:rsidP="00636531" w14:paraId="407D8545" w14:textId="77777777">
            <w:pPr>
              <w:pStyle w:val="Table11Basic"/>
              <w:jc w:val="center"/>
            </w:pPr>
            <w:r w:rsidRPr="35AEC939">
              <w:t>4.2%</w:t>
            </w:r>
          </w:p>
        </w:tc>
        <w:tc>
          <w:tcPr>
            <w:tcW w:w="3595"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rsidR="00A21AD9" w:rsidRPr="00AB7ECC" w:rsidP="004F06AC" w14:paraId="2A6E7073" w14:textId="77777777">
            <w:pPr>
              <w:pStyle w:val="Table11Basic"/>
              <w:rPr>
                <w:rFonts w:cs="Calibri"/>
              </w:rPr>
            </w:pPr>
            <w:r w:rsidRPr="00AB7ECC">
              <w:rPr>
                <w:rFonts w:cs="Calibri"/>
              </w:rPr>
              <w:t>17.7% versus charter SWD</w:t>
            </w:r>
          </w:p>
        </w:tc>
      </w:tr>
      <w:tr w14:paraId="165FDE23" w14:textId="77777777" w:rsidTr="00636531">
        <w:tblPrEx>
          <w:tblW w:w="9360" w:type="dxa"/>
          <w:tblCellMar>
            <w:left w:w="58" w:type="dxa"/>
            <w:right w:w="58" w:type="dxa"/>
          </w:tblCellMar>
          <w:tblLook w:val="0420"/>
        </w:tblPrEx>
        <w:trPr>
          <w:gridAfter w:val="1"/>
          <w:wAfter w:w="10" w:type="dxa"/>
          <w:trHeight w:val="383"/>
        </w:trPr>
        <w:tc>
          <w:tcPr>
            <w:tcW w:w="1493" w:type="dxa"/>
            <w:vMerge/>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hideMark/>
          </w:tcPr>
          <w:p w:rsidR="00A21AD9" w:rsidRPr="00AB7ECC" w:rsidP="004F06AC" w14:paraId="52827381" w14:textId="77777777">
            <w:pPr>
              <w:pStyle w:val="Table11Basic"/>
            </w:pPr>
          </w:p>
        </w:tc>
        <w:tc>
          <w:tcPr>
            <w:tcW w:w="24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hideMark/>
          </w:tcPr>
          <w:p w:rsidR="00A21AD9" w:rsidRPr="006069B2" w:rsidP="004F06AC" w14:paraId="719605E2" w14:textId="77777777">
            <w:pPr>
              <w:pStyle w:val="Table11Basic"/>
            </w:pPr>
            <w:r w:rsidRPr="006069B2">
              <w:t>Total</w:t>
            </w:r>
          </w:p>
        </w:tc>
        <w:tc>
          <w:tcPr>
            <w:tcW w:w="10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rsidR="00A21AD9" w:rsidRPr="006069B2" w:rsidP="004F06AC" w14:paraId="236CB021" w14:textId="77777777">
            <w:pPr>
              <w:pStyle w:val="Table11Basic"/>
              <w:jc w:val="center"/>
            </w:pPr>
            <w:r w:rsidRPr="006069B2">
              <w:t>9,854</w:t>
            </w:r>
          </w:p>
        </w:tc>
        <w:tc>
          <w:tcPr>
            <w:tcW w:w="8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rsidR="00A21AD9" w:rsidRPr="006069B2" w:rsidP="00636531" w14:paraId="1BADB3BD" w14:textId="77777777">
            <w:pPr>
              <w:pStyle w:val="Table11Basic"/>
              <w:jc w:val="center"/>
            </w:pPr>
            <w:r w:rsidRPr="006069B2">
              <w:t>2.7%</w:t>
            </w:r>
          </w:p>
        </w:tc>
        <w:tc>
          <w:tcPr>
            <w:tcW w:w="3595"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rsidR="00A21AD9" w:rsidRPr="00AB7ECC" w:rsidP="004F06AC" w14:paraId="71D513A7" w14:textId="77777777">
            <w:pPr>
              <w:pStyle w:val="Table11Basic"/>
              <w:rPr>
                <w:rFonts w:cs="Calibri"/>
              </w:rPr>
            </w:pPr>
            <w:r w:rsidRPr="00AB7ECC">
              <w:rPr>
                <w:rFonts w:cs="Calibri"/>
              </w:rPr>
              <w:t> </w:t>
            </w:r>
          </w:p>
        </w:tc>
      </w:tr>
      <w:tr w14:paraId="66B7D53C" w14:textId="77777777" w:rsidTr="00636531">
        <w:tblPrEx>
          <w:tblW w:w="9360" w:type="dxa"/>
          <w:tblCellMar>
            <w:left w:w="58" w:type="dxa"/>
            <w:right w:w="58" w:type="dxa"/>
          </w:tblCellMar>
          <w:tblLook w:val="0420"/>
        </w:tblPrEx>
        <w:trPr>
          <w:gridAfter w:val="1"/>
          <w:wAfter w:w="10" w:type="dxa"/>
          <w:trHeight w:val="383"/>
        </w:trPr>
        <w:tc>
          <w:tcPr>
            <w:tcW w:w="1493" w:type="dxa"/>
            <w:vMerge w:val="restart"/>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hideMark/>
          </w:tcPr>
          <w:p w:rsidR="00A21AD9" w:rsidRPr="00AB7ECC" w:rsidP="004F06AC" w14:paraId="76D9B0EA" w14:textId="77777777">
            <w:pPr>
              <w:pStyle w:val="Table11Basic"/>
            </w:pPr>
            <w:r w:rsidRPr="00AB7ECC">
              <w:t>Grade band</w:t>
            </w:r>
          </w:p>
        </w:tc>
        <w:tc>
          <w:tcPr>
            <w:tcW w:w="24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hideMark/>
          </w:tcPr>
          <w:p w:rsidR="00A21AD9" w:rsidRPr="00AB7ECC" w:rsidP="004F06AC" w14:paraId="1864F6CC" w14:textId="77777777">
            <w:pPr>
              <w:pStyle w:val="Table11Basic"/>
            </w:pPr>
            <w:r w:rsidRPr="00AB7ECC">
              <w:t>Elementary (K</w:t>
            </w:r>
            <w:r>
              <w:t>–</w:t>
            </w:r>
            <w:r w:rsidRPr="00AB7ECC">
              <w:t>5)</w:t>
            </w:r>
          </w:p>
        </w:tc>
        <w:tc>
          <w:tcPr>
            <w:tcW w:w="10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vAlign w:val="center"/>
          </w:tcPr>
          <w:p w:rsidR="00A21AD9" w:rsidRPr="00AB7ECC" w:rsidP="004F06AC" w14:paraId="745CB843" w14:textId="77777777">
            <w:pPr>
              <w:pStyle w:val="Table11Basic"/>
              <w:jc w:val="center"/>
            </w:pPr>
            <w:r w:rsidRPr="35AEC939">
              <w:t>5,170</w:t>
            </w:r>
          </w:p>
        </w:tc>
        <w:tc>
          <w:tcPr>
            <w:tcW w:w="8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vAlign w:val="center"/>
          </w:tcPr>
          <w:p w:rsidR="00A21AD9" w:rsidRPr="00AB7ECC" w:rsidP="00636531" w14:paraId="2415DF79" w14:textId="77777777">
            <w:pPr>
              <w:pStyle w:val="Table11Basic"/>
              <w:jc w:val="center"/>
            </w:pPr>
            <w:r w:rsidRPr="35AEC939">
              <w:t>4.3%</w:t>
            </w:r>
          </w:p>
        </w:tc>
        <w:tc>
          <w:tcPr>
            <w:tcW w:w="3595"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3FBFF"/>
          </w:tcPr>
          <w:p w:rsidR="00A21AD9" w:rsidRPr="00AB7ECC" w:rsidP="004F06AC" w14:paraId="762AE59E" w14:textId="77777777">
            <w:pPr>
              <w:pStyle w:val="Table11Basic"/>
              <w:rPr>
                <w:rFonts w:cs="Calibri"/>
              </w:rPr>
            </w:pPr>
            <w:r w:rsidRPr="00AB7ECC">
              <w:rPr>
                <w:rFonts w:cs="Calibri"/>
              </w:rPr>
              <w:t>11.5% v</w:t>
            </w:r>
            <w:r>
              <w:rPr>
                <w:rFonts w:cs="Calibri"/>
              </w:rPr>
              <w:t>ersus</w:t>
            </w:r>
            <w:r w:rsidRPr="00AB7ECC">
              <w:rPr>
                <w:rFonts w:cs="Calibri"/>
              </w:rPr>
              <w:t xml:space="preserve"> middle</w:t>
            </w:r>
          </w:p>
        </w:tc>
      </w:tr>
      <w:tr w14:paraId="5C9AE18D" w14:textId="77777777" w:rsidTr="00636531">
        <w:tblPrEx>
          <w:tblW w:w="9360" w:type="dxa"/>
          <w:tblCellMar>
            <w:left w:w="58" w:type="dxa"/>
            <w:right w:w="58" w:type="dxa"/>
          </w:tblCellMar>
          <w:tblLook w:val="0420"/>
        </w:tblPrEx>
        <w:trPr>
          <w:gridAfter w:val="1"/>
          <w:wAfter w:w="10" w:type="dxa"/>
          <w:trHeight w:val="383"/>
        </w:trPr>
        <w:tc>
          <w:tcPr>
            <w:tcW w:w="1493" w:type="dxa"/>
            <w:vMerge/>
            <w:tcBorders>
              <w:top w:val="single" w:sz="4" w:space="0" w:color="D9D9D9" w:themeColor="background1" w:themeShade="D9"/>
              <w:bottom w:val="single" w:sz="4" w:space="0" w:color="D9D9D9" w:themeColor="background1" w:themeShade="D9"/>
              <w:right w:val="single" w:sz="4" w:space="0" w:color="D9D9D9" w:themeColor="background1" w:themeShade="D9"/>
            </w:tcBorders>
            <w:hideMark/>
          </w:tcPr>
          <w:p w:rsidR="00A21AD9" w:rsidRPr="00AB7ECC" w:rsidP="004F06AC" w14:paraId="357C3BEF" w14:textId="77777777">
            <w:pPr>
              <w:pStyle w:val="Table11Basic"/>
            </w:pPr>
          </w:p>
        </w:tc>
        <w:tc>
          <w:tcPr>
            <w:tcW w:w="24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rsidR="00A21AD9" w:rsidRPr="00AB7ECC" w:rsidP="004F06AC" w14:paraId="7A141131" w14:textId="77777777">
            <w:pPr>
              <w:pStyle w:val="Table11Basic"/>
            </w:pPr>
            <w:r w:rsidRPr="00AB7ECC">
              <w:t>Middle (6</w:t>
            </w:r>
            <w:r>
              <w:t>–</w:t>
            </w:r>
            <w:r w:rsidRPr="00AB7ECC">
              <w:t>8)</w:t>
            </w:r>
          </w:p>
        </w:tc>
        <w:tc>
          <w:tcPr>
            <w:tcW w:w="10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A21AD9" w:rsidRPr="00AB7ECC" w:rsidP="004F06AC" w14:paraId="6EE48F0A" w14:textId="77777777">
            <w:pPr>
              <w:pStyle w:val="Table11Basic"/>
              <w:jc w:val="center"/>
            </w:pPr>
            <w:r w:rsidRPr="35AEC939">
              <w:t>1,813</w:t>
            </w:r>
          </w:p>
        </w:tc>
        <w:tc>
          <w:tcPr>
            <w:tcW w:w="8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A21AD9" w:rsidRPr="00AB7ECC" w:rsidP="00636531" w14:paraId="515077C8" w14:textId="77777777">
            <w:pPr>
              <w:pStyle w:val="Table11Basic"/>
              <w:jc w:val="center"/>
            </w:pPr>
            <w:r w:rsidRPr="35AEC939">
              <w:t>6.8%</w:t>
            </w:r>
          </w:p>
        </w:tc>
        <w:tc>
          <w:tcPr>
            <w:tcW w:w="359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rsidR="00A21AD9" w:rsidRPr="00AB7ECC" w:rsidP="004F06AC" w14:paraId="171004F5" w14:textId="77777777">
            <w:pPr>
              <w:pStyle w:val="Table11Basic"/>
              <w:rPr>
                <w:rFonts w:cs="Calibri"/>
              </w:rPr>
            </w:pPr>
            <w:r w:rsidRPr="00AB7ECC">
              <w:rPr>
                <w:rFonts w:cs="Calibri"/>
              </w:rPr>
              <w:t>14.1% v</w:t>
            </w:r>
            <w:r>
              <w:rPr>
                <w:rFonts w:cs="Calibri"/>
              </w:rPr>
              <w:t>ersus</w:t>
            </w:r>
            <w:r w:rsidRPr="00AB7ECC">
              <w:rPr>
                <w:rFonts w:cs="Calibri"/>
              </w:rPr>
              <w:t xml:space="preserve"> secondary</w:t>
            </w:r>
          </w:p>
        </w:tc>
      </w:tr>
      <w:tr w14:paraId="4A36E27B" w14:textId="77777777" w:rsidTr="00636531">
        <w:tblPrEx>
          <w:tblW w:w="9360" w:type="dxa"/>
          <w:tblCellMar>
            <w:left w:w="58" w:type="dxa"/>
            <w:right w:w="58" w:type="dxa"/>
          </w:tblCellMar>
          <w:tblLook w:val="0420"/>
        </w:tblPrEx>
        <w:trPr>
          <w:gridAfter w:val="1"/>
          <w:wAfter w:w="10" w:type="dxa"/>
          <w:trHeight w:val="383"/>
        </w:trPr>
        <w:tc>
          <w:tcPr>
            <w:tcW w:w="1493" w:type="dxa"/>
            <w:vMerge/>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hideMark/>
          </w:tcPr>
          <w:p w:rsidR="00A21AD9" w:rsidRPr="00AB7ECC" w:rsidP="004F06AC" w14:paraId="3CCBC10E" w14:textId="77777777">
            <w:pPr>
              <w:pStyle w:val="Table11Basic"/>
            </w:pPr>
          </w:p>
        </w:tc>
        <w:tc>
          <w:tcPr>
            <w:tcW w:w="24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hideMark/>
          </w:tcPr>
          <w:p w:rsidR="00A21AD9" w:rsidRPr="00AB7ECC" w:rsidP="004F06AC" w14:paraId="6FB9FFF6" w14:textId="77777777">
            <w:pPr>
              <w:pStyle w:val="Table11Basic"/>
            </w:pPr>
            <w:r w:rsidRPr="00AB7ECC">
              <w:t>Secondary (9</w:t>
            </w:r>
            <w:r>
              <w:t>–</w:t>
            </w:r>
            <w:r w:rsidRPr="00AB7ECC">
              <w:t>12)</w:t>
            </w:r>
          </w:p>
        </w:tc>
        <w:tc>
          <w:tcPr>
            <w:tcW w:w="10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vAlign w:val="center"/>
          </w:tcPr>
          <w:p w:rsidR="00A21AD9" w:rsidRPr="00AB7ECC" w:rsidP="004F06AC" w14:paraId="4D9D8451" w14:textId="77777777">
            <w:pPr>
              <w:pStyle w:val="Table11Basic"/>
              <w:jc w:val="center"/>
            </w:pPr>
            <w:r w:rsidRPr="35AEC939">
              <w:t>2,871</w:t>
            </w:r>
          </w:p>
        </w:tc>
        <w:tc>
          <w:tcPr>
            <w:tcW w:w="8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vAlign w:val="center"/>
          </w:tcPr>
          <w:p w:rsidR="00A21AD9" w:rsidRPr="00AB7ECC" w:rsidP="00636531" w14:paraId="2EE9EC52" w14:textId="77777777">
            <w:pPr>
              <w:pStyle w:val="Table11Basic"/>
              <w:jc w:val="center"/>
            </w:pPr>
            <w:r w:rsidRPr="35AEC939">
              <w:t>7.1%</w:t>
            </w:r>
          </w:p>
        </w:tc>
        <w:tc>
          <w:tcPr>
            <w:tcW w:w="3595"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3FBFF"/>
          </w:tcPr>
          <w:p w:rsidR="00A21AD9" w:rsidRPr="00AB7ECC" w:rsidP="004F06AC" w14:paraId="5F1BD7E9" w14:textId="77777777">
            <w:pPr>
              <w:pStyle w:val="Table11Basic"/>
              <w:rPr>
                <w:rFonts w:cs="Calibri"/>
              </w:rPr>
            </w:pPr>
            <w:r w:rsidRPr="00AB7ECC">
              <w:rPr>
                <w:rFonts w:cs="Calibri"/>
              </w:rPr>
              <w:t>11.9% v</w:t>
            </w:r>
            <w:r>
              <w:rPr>
                <w:rFonts w:cs="Calibri"/>
              </w:rPr>
              <w:t>ersus</w:t>
            </w:r>
            <w:r w:rsidRPr="00AB7ECC">
              <w:rPr>
                <w:rFonts w:cs="Calibri"/>
              </w:rPr>
              <w:t xml:space="preserve"> elementary</w:t>
            </w:r>
          </w:p>
        </w:tc>
      </w:tr>
      <w:tr w14:paraId="2AE019D5" w14:textId="77777777" w:rsidTr="00636531">
        <w:tblPrEx>
          <w:tblW w:w="9360" w:type="dxa"/>
          <w:tblCellMar>
            <w:left w:w="58" w:type="dxa"/>
            <w:right w:w="58" w:type="dxa"/>
          </w:tblCellMar>
          <w:tblLook w:val="0420"/>
        </w:tblPrEx>
        <w:trPr>
          <w:gridAfter w:val="1"/>
          <w:wAfter w:w="10" w:type="dxa"/>
          <w:trHeight w:val="383"/>
        </w:trPr>
        <w:tc>
          <w:tcPr>
            <w:tcW w:w="1493" w:type="dxa"/>
            <w:vMerge/>
            <w:tcBorders>
              <w:top w:val="single" w:sz="4" w:space="0" w:color="D9D9D9" w:themeColor="background1" w:themeShade="D9"/>
              <w:bottom w:val="single" w:sz="4" w:space="0" w:color="D9D9D9" w:themeColor="background1" w:themeShade="D9"/>
              <w:right w:val="single" w:sz="4" w:space="0" w:color="D9D9D9" w:themeColor="background1" w:themeShade="D9"/>
            </w:tcBorders>
            <w:hideMark/>
          </w:tcPr>
          <w:p w:rsidR="00A21AD9" w:rsidRPr="00AB7ECC" w14:paraId="369B648C" w14:textId="77777777">
            <w:pPr>
              <w:pStyle w:val="Table10Basic"/>
            </w:pPr>
          </w:p>
        </w:tc>
        <w:tc>
          <w:tcPr>
            <w:tcW w:w="24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rsidR="00A21AD9" w:rsidRPr="006069B2" w:rsidP="004F06AC" w14:paraId="026D1CDD" w14:textId="77777777">
            <w:pPr>
              <w:pStyle w:val="Table11Basic"/>
            </w:pPr>
            <w:r w:rsidRPr="006069B2">
              <w:t>Total</w:t>
            </w:r>
          </w:p>
        </w:tc>
        <w:tc>
          <w:tcPr>
            <w:tcW w:w="10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A21AD9" w:rsidRPr="006069B2" w:rsidP="004F06AC" w14:paraId="2EF90122" w14:textId="77777777">
            <w:pPr>
              <w:pStyle w:val="Table11Basic"/>
              <w:jc w:val="center"/>
            </w:pPr>
            <w:r w:rsidRPr="006069B2">
              <w:t>9,854</w:t>
            </w:r>
          </w:p>
        </w:tc>
        <w:tc>
          <w:tcPr>
            <w:tcW w:w="8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A21AD9" w:rsidRPr="006069B2" w:rsidP="00636531" w14:paraId="21AD4DB2" w14:textId="77777777">
            <w:pPr>
              <w:pStyle w:val="Table11Basic"/>
              <w:jc w:val="center"/>
            </w:pPr>
            <w:r w:rsidRPr="006069B2">
              <w:t>2.7%</w:t>
            </w:r>
          </w:p>
        </w:tc>
        <w:tc>
          <w:tcPr>
            <w:tcW w:w="359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rsidR="00A21AD9" w:rsidRPr="004F06AC" w:rsidP="004F06AC" w14:paraId="108A7611" w14:textId="77777777">
            <w:pPr>
              <w:pStyle w:val="Table11Basic"/>
              <w:rPr>
                <w:rFonts w:cs="Calibri"/>
                <w:b/>
                <w:bCs/>
              </w:rPr>
            </w:pPr>
            <w:r w:rsidRPr="004F06AC">
              <w:rPr>
                <w:rFonts w:cs="Calibri"/>
                <w:b/>
                <w:bCs/>
              </w:rPr>
              <w:t> </w:t>
            </w:r>
          </w:p>
        </w:tc>
      </w:tr>
      <w:tr w14:paraId="7106F614" w14:textId="77777777" w:rsidTr="00636531">
        <w:tblPrEx>
          <w:tblW w:w="9360" w:type="dxa"/>
          <w:tblCellMar>
            <w:left w:w="58" w:type="dxa"/>
            <w:right w:w="58" w:type="dxa"/>
          </w:tblCellMar>
          <w:tblLook w:val="0420"/>
        </w:tblPrEx>
        <w:trPr>
          <w:trHeight w:val="383"/>
        </w:trPr>
        <w:tc>
          <w:tcPr>
            <w:tcW w:w="1493" w:type="dxa"/>
            <w:vMerge w:val="restart"/>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hideMark/>
          </w:tcPr>
          <w:p w:rsidR="00A21AD9" w:rsidRPr="00AB7ECC" w:rsidP="00F60460" w14:paraId="724BC7EF" w14:textId="77777777">
            <w:pPr>
              <w:pStyle w:val="Table11Basic"/>
              <w:keepNext/>
              <w:keepLines/>
            </w:pPr>
            <w:r w:rsidRPr="00AB7ECC">
              <w:t>LRE</w:t>
            </w:r>
          </w:p>
        </w:tc>
        <w:tc>
          <w:tcPr>
            <w:tcW w:w="24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hideMark/>
          </w:tcPr>
          <w:p w:rsidR="00A21AD9" w:rsidRPr="00AB7ECC" w:rsidP="00F60460" w14:paraId="60420792" w14:textId="77777777">
            <w:pPr>
              <w:pStyle w:val="Table11Basic"/>
              <w:keepNext/>
              <w:keepLines/>
            </w:pPr>
            <w:r w:rsidRPr="00AB7ECC">
              <w:t>&gt;</w:t>
            </w:r>
            <w:r>
              <w:t xml:space="preserve"> </w:t>
            </w:r>
            <w:r w:rsidRPr="00AB7ECC">
              <w:t>80% general education class</w:t>
            </w:r>
          </w:p>
        </w:tc>
        <w:tc>
          <w:tcPr>
            <w:tcW w:w="10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rsidR="00A21AD9" w:rsidRPr="00AB7ECC" w:rsidP="00636531" w14:paraId="60294DAB" w14:textId="5175FFF7">
            <w:pPr>
              <w:pStyle w:val="Table11Basic"/>
              <w:keepNext/>
              <w:keepLines/>
              <w:jc w:val="center"/>
            </w:pPr>
            <w:r w:rsidRPr="35AEC939">
              <w:t>5</w:t>
            </w:r>
            <w:r w:rsidRPr="35AEC939" w:rsidR="003322E9">
              <w:t>,</w:t>
            </w:r>
            <w:r w:rsidRPr="35AEC939">
              <w:t>493</w:t>
            </w:r>
          </w:p>
        </w:tc>
        <w:tc>
          <w:tcPr>
            <w:tcW w:w="8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rsidR="00A21AD9" w:rsidRPr="00AB7ECC" w:rsidP="00636531" w14:paraId="2B958CF6" w14:textId="77777777">
            <w:pPr>
              <w:pStyle w:val="Table11Basic"/>
              <w:keepNext/>
              <w:keepLines/>
              <w:jc w:val="center"/>
            </w:pPr>
            <w:r w:rsidRPr="35AEC939">
              <w:t>4.0%</w:t>
            </w:r>
          </w:p>
        </w:tc>
        <w:tc>
          <w:tcPr>
            <w:tcW w:w="360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rsidR="00A21AD9" w:rsidRPr="00AB7ECC" w:rsidP="00636531" w14:paraId="234D8C2A" w14:textId="77777777">
            <w:pPr>
              <w:pStyle w:val="Table11Basic"/>
              <w:keepNext/>
              <w:keepLines/>
              <w:rPr>
                <w:rFonts w:cs="Calibri"/>
              </w:rPr>
            </w:pPr>
            <w:r w:rsidRPr="00AB7ECC">
              <w:rPr>
                <w:rFonts w:cs="Calibri"/>
              </w:rPr>
              <w:t>10.4% v</w:t>
            </w:r>
            <w:r>
              <w:rPr>
                <w:rFonts w:cs="Calibri"/>
              </w:rPr>
              <w:t>ersus</w:t>
            </w:r>
            <w:r w:rsidRPr="00AB7ECC">
              <w:rPr>
                <w:rFonts w:cs="Calibri"/>
              </w:rPr>
              <w:t xml:space="preserve"> 40</w:t>
            </w:r>
            <w:r>
              <w:rPr>
                <w:rFonts w:cs="Calibri"/>
              </w:rPr>
              <w:t>%–</w:t>
            </w:r>
            <w:r w:rsidRPr="00AB7ECC">
              <w:rPr>
                <w:rFonts w:cs="Calibri"/>
              </w:rPr>
              <w:t>79% general education class</w:t>
            </w:r>
          </w:p>
        </w:tc>
      </w:tr>
      <w:tr w14:paraId="3E19F45A" w14:textId="77777777" w:rsidTr="00636531">
        <w:tblPrEx>
          <w:tblW w:w="9360" w:type="dxa"/>
          <w:tblCellMar>
            <w:left w:w="58" w:type="dxa"/>
            <w:right w:w="58" w:type="dxa"/>
          </w:tblCellMar>
          <w:tblLook w:val="0420"/>
        </w:tblPrEx>
        <w:trPr>
          <w:trHeight w:val="383"/>
        </w:trPr>
        <w:tc>
          <w:tcPr>
            <w:tcW w:w="1493" w:type="dxa"/>
            <w:vMerge/>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hideMark/>
          </w:tcPr>
          <w:p w:rsidR="00A21AD9" w:rsidRPr="00AB7ECC" w:rsidP="00F60460" w14:paraId="331B60C4" w14:textId="77777777">
            <w:pPr>
              <w:pStyle w:val="Table11Basic"/>
              <w:keepNext/>
              <w:keepLines/>
            </w:pPr>
          </w:p>
        </w:tc>
        <w:tc>
          <w:tcPr>
            <w:tcW w:w="24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hideMark/>
          </w:tcPr>
          <w:p w:rsidR="00A21AD9" w:rsidRPr="00AB7ECC" w:rsidP="00F60460" w14:paraId="3C5C10A7" w14:textId="77777777">
            <w:pPr>
              <w:pStyle w:val="Table11Basic"/>
              <w:keepNext/>
              <w:keepLines/>
            </w:pPr>
            <w:r w:rsidRPr="00AB7ECC">
              <w:t>40</w:t>
            </w:r>
            <w:r>
              <w:t>%–</w:t>
            </w:r>
            <w:r w:rsidRPr="00AB7ECC">
              <w:t>79% general education class</w:t>
            </w:r>
          </w:p>
        </w:tc>
        <w:tc>
          <w:tcPr>
            <w:tcW w:w="10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rsidR="00A21AD9" w:rsidRPr="00AB7ECC" w:rsidP="00636531" w14:paraId="32F79B27" w14:textId="77777777">
            <w:pPr>
              <w:pStyle w:val="Table11Basic"/>
              <w:keepNext/>
              <w:keepLines/>
              <w:jc w:val="center"/>
            </w:pPr>
            <w:r w:rsidRPr="35AEC939">
              <w:t>1,739</w:t>
            </w:r>
          </w:p>
        </w:tc>
        <w:tc>
          <w:tcPr>
            <w:tcW w:w="8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rsidR="00A21AD9" w:rsidRPr="00AB7ECC" w:rsidP="00636531" w14:paraId="600801C1" w14:textId="77777777">
            <w:pPr>
              <w:pStyle w:val="Table11Basic"/>
              <w:keepNext/>
              <w:keepLines/>
              <w:jc w:val="center"/>
            </w:pPr>
            <w:r w:rsidRPr="35AEC939">
              <w:t>6.1%</w:t>
            </w:r>
          </w:p>
        </w:tc>
        <w:tc>
          <w:tcPr>
            <w:tcW w:w="360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rsidR="00A21AD9" w:rsidRPr="00AB7ECC" w:rsidP="00636531" w14:paraId="2E383A1B" w14:textId="77777777">
            <w:pPr>
              <w:pStyle w:val="Table11Basic"/>
              <w:keepNext/>
              <w:keepLines/>
              <w:rPr>
                <w:rFonts w:cs="Calibri"/>
              </w:rPr>
            </w:pPr>
            <w:r w:rsidRPr="00AB7ECC">
              <w:rPr>
                <w:rFonts w:cs="Calibri"/>
              </w:rPr>
              <w:t>11.7% v</w:t>
            </w:r>
            <w:r>
              <w:rPr>
                <w:rFonts w:cs="Calibri"/>
              </w:rPr>
              <w:t>ersus</w:t>
            </w:r>
            <w:r w:rsidRPr="00AB7ECC">
              <w:rPr>
                <w:rFonts w:cs="Calibri"/>
              </w:rPr>
              <w:t xml:space="preserve"> &lt;</w:t>
            </w:r>
            <w:r>
              <w:rPr>
                <w:rFonts w:cs="Calibri"/>
              </w:rPr>
              <w:t xml:space="preserve"> </w:t>
            </w:r>
            <w:r w:rsidRPr="00AB7ECC">
              <w:rPr>
                <w:rFonts w:cs="Calibri"/>
              </w:rPr>
              <w:t>40% general education class</w:t>
            </w:r>
          </w:p>
        </w:tc>
      </w:tr>
      <w:tr w14:paraId="1F4010D0" w14:textId="77777777" w:rsidTr="00636531">
        <w:tblPrEx>
          <w:tblW w:w="9360" w:type="dxa"/>
          <w:tblCellMar>
            <w:left w:w="58" w:type="dxa"/>
            <w:right w:w="58" w:type="dxa"/>
          </w:tblCellMar>
          <w:tblLook w:val="0420"/>
        </w:tblPrEx>
        <w:trPr>
          <w:trHeight w:val="383"/>
        </w:trPr>
        <w:tc>
          <w:tcPr>
            <w:tcW w:w="1493" w:type="dxa"/>
            <w:vMerge/>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hideMark/>
          </w:tcPr>
          <w:p w:rsidR="00A21AD9" w:rsidRPr="00AB7ECC" w:rsidP="00DA1736" w14:paraId="04BFF2AC" w14:textId="77777777">
            <w:pPr>
              <w:pStyle w:val="Table11Basic"/>
            </w:pPr>
          </w:p>
        </w:tc>
        <w:tc>
          <w:tcPr>
            <w:tcW w:w="24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hideMark/>
          </w:tcPr>
          <w:p w:rsidR="00A21AD9" w:rsidRPr="00AB7ECC" w:rsidP="00DA1736" w14:paraId="52CD5905" w14:textId="77777777">
            <w:pPr>
              <w:pStyle w:val="Table11Basic"/>
            </w:pPr>
            <w:r w:rsidRPr="00AB7ECC">
              <w:t>&lt;</w:t>
            </w:r>
            <w:r>
              <w:t xml:space="preserve"> </w:t>
            </w:r>
            <w:r w:rsidRPr="00AB7ECC">
              <w:t>40% general education class</w:t>
            </w:r>
          </w:p>
        </w:tc>
        <w:tc>
          <w:tcPr>
            <w:tcW w:w="10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rsidR="00A21AD9" w:rsidRPr="00AB7ECC" w:rsidP="00636531" w14:paraId="2ADCF8EC" w14:textId="77777777">
            <w:pPr>
              <w:pStyle w:val="Table11Basic"/>
              <w:jc w:val="center"/>
            </w:pPr>
            <w:r w:rsidRPr="35AEC939">
              <w:t>2,179</w:t>
            </w:r>
          </w:p>
        </w:tc>
        <w:tc>
          <w:tcPr>
            <w:tcW w:w="8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rsidR="00A21AD9" w:rsidRPr="00AB7ECC" w:rsidP="00636531" w14:paraId="7A4642FB" w14:textId="77777777">
            <w:pPr>
              <w:pStyle w:val="Table11Basic"/>
              <w:jc w:val="center"/>
            </w:pPr>
            <w:r w:rsidRPr="35AEC939">
              <w:t>5.5%</w:t>
            </w:r>
          </w:p>
        </w:tc>
        <w:tc>
          <w:tcPr>
            <w:tcW w:w="360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rsidR="00A21AD9" w:rsidRPr="00AB7ECC" w:rsidP="00636531" w14:paraId="7484A1CC" w14:textId="77777777">
            <w:pPr>
              <w:pStyle w:val="Table11Basic"/>
              <w:rPr>
                <w:rFonts w:cs="Calibri"/>
              </w:rPr>
            </w:pPr>
            <w:r w:rsidRPr="00AB7ECC">
              <w:rPr>
                <w:rFonts w:cs="Calibri"/>
              </w:rPr>
              <w:t>20.0% v</w:t>
            </w:r>
            <w:r>
              <w:rPr>
                <w:rFonts w:cs="Calibri"/>
              </w:rPr>
              <w:t>ersus</w:t>
            </w:r>
            <w:r w:rsidRPr="00AB7ECC">
              <w:rPr>
                <w:rFonts w:cs="Calibri"/>
              </w:rPr>
              <w:t xml:space="preserve"> separate school, residential facility, homebound</w:t>
            </w:r>
            <w:r>
              <w:rPr>
                <w:rFonts w:cs="Calibri"/>
              </w:rPr>
              <w:t>,</w:t>
            </w:r>
            <w:r w:rsidRPr="00AB7ECC">
              <w:rPr>
                <w:rFonts w:cs="Calibri"/>
              </w:rPr>
              <w:t xml:space="preserve"> or hospitalized</w:t>
            </w:r>
          </w:p>
        </w:tc>
      </w:tr>
      <w:tr w14:paraId="66B36D75" w14:textId="77777777" w:rsidTr="00636531">
        <w:tblPrEx>
          <w:tblW w:w="9360" w:type="dxa"/>
          <w:tblCellMar>
            <w:left w:w="58" w:type="dxa"/>
            <w:right w:w="58" w:type="dxa"/>
          </w:tblCellMar>
          <w:tblLook w:val="0420"/>
        </w:tblPrEx>
        <w:trPr>
          <w:trHeight w:val="383"/>
        </w:trPr>
        <w:tc>
          <w:tcPr>
            <w:tcW w:w="1493" w:type="dxa"/>
            <w:vMerge/>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A21AD9" w:rsidRPr="00AB7ECC" w:rsidP="00DA1736" w14:paraId="77D1BF38" w14:textId="77777777">
            <w:pPr>
              <w:pStyle w:val="Table11Basic"/>
            </w:pPr>
          </w:p>
        </w:tc>
        <w:tc>
          <w:tcPr>
            <w:tcW w:w="24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A21AD9" w:rsidRPr="00AB7ECC" w:rsidP="00DA1736" w14:paraId="44A1C85F" w14:textId="77777777">
            <w:pPr>
              <w:pStyle w:val="Table11Basic"/>
            </w:pPr>
            <w:r w:rsidRPr="00AB7ECC">
              <w:t>Separate school, residential facility, homebound</w:t>
            </w:r>
            <w:r>
              <w:t>,</w:t>
            </w:r>
            <w:r w:rsidRPr="00AB7ECC">
              <w:t xml:space="preserve"> or hospitalized </w:t>
            </w:r>
          </w:p>
        </w:tc>
        <w:tc>
          <w:tcPr>
            <w:tcW w:w="10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rsidR="00A21AD9" w:rsidRPr="00AB7ECC" w:rsidP="00636531" w14:paraId="0D90B643" w14:textId="77777777">
            <w:pPr>
              <w:pStyle w:val="Table11Basic"/>
              <w:jc w:val="center"/>
            </w:pPr>
            <w:r w:rsidRPr="35AEC939">
              <w:t>443</w:t>
            </w:r>
          </w:p>
        </w:tc>
        <w:tc>
          <w:tcPr>
            <w:tcW w:w="8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rsidR="00A21AD9" w:rsidRPr="00AB7ECC" w:rsidP="00636531" w14:paraId="03ACE257" w14:textId="77777777">
            <w:pPr>
              <w:pStyle w:val="Table11Basic"/>
              <w:jc w:val="center"/>
            </w:pPr>
            <w:r w:rsidRPr="35AEC939">
              <w:t>13.1%</w:t>
            </w:r>
          </w:p>
        </w:tc>
        <w:tc>
          <w:tcPr>
            <w:tcW w:w="360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rsidR="00A21AD9" w:rsidRPr="00AB7ECC" w:rsidP="00636531" w14:paraId="1A73C759" w14:textId="77777777">
            <w:pPr>
              <w:pStyle w:val="Table11Basic"/>
              <w:rPr>
                <w:rFonts w:cs="Calibri"/>
              </w:rPr>
            </w:pPr>
            <w:r w:rsidRPr="00AB7ECC">
              <w:rPr>
                <w:rFonts w:cs="Calibri"/>
              </w:rPr>
              <w:t>19.3% v</w:t>
            </w:r>
            <w:r>
              <w:rPr>
                <w:rFonts w:cs="Calibri"/>
              </w:rPr>
              <w:t>ersus</w:t>
            </w:r>
            <w:r w:rsidRPr="00AB7ECC">
              <w:rPr>
                <w:rFonts w:cs="Calibri"/>
              </w:rPr>
              <w:t xml:space="preserve"> &gt;</w:t>
            </w:r>
            <w:r>
              <w:rPr>
                <w:rFonts w:cs="Calibri"/>
              </w:rPr>
              <w:t xml:space="preserve"> </w:t>
            </w:r>
            <w:r w:rsidRPr="00AB7ECC">
              <w:rPr>
                <w:rFonts w:cs="Calibri"/>
              </w:rPr>
              <w:t>80% general education class</w:t>
            </w:r>
          </w:p>
        </w:tc>
      </w:tr>
      <w:tr w14:paraId="19747348" w14:textId="77777777" w:rsidTr="00636531">
        <w:tblPrEx>
          <w:tblW w:w="9360" w:type="dxa"/>
          <w:tblCellMar>
            <w:left w:w="58" w:type="dxa"/>
            <w:right w:w="58" w:type="dxa"/>
          </w:tblCellMar>
          <w:tblLook w:val="0420"/>
        </w:tblPrEx>
        <w:trPr>
          <w:trHeight w:val="383"/>
        </w:trPr>
        <w:tc>
          <w:tcPr>
            <w:tcW w:w="1493" w:type="dxa"/>
            <w:vMerge/>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hideMark/>
          </w:tcPr>
          <w:p w:rsidR="00A21AD9" w:rsidRPr="00AB7ECC" w:rsidP="00DA1736" w14:paraId="0C7B1054" w14:textId="77777777">
            <w:pPr>
              <w:pStyle w:val="Table11Basic"/>
            </w:pPr>
          </w:p>
        </w:tc>
        <w:tc>
          <w:tcPr>
            <w:tcW w:w="24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hideMark/>
          </w:tcPr>
          <w:p w:rsidR="00A21AD9" w:rsidRPr="006069B2" w:rsidP="00DA1736" w14:paraId="682E0C6D" w14:textId="77777777">
            <w:pPr>
              <w:pStyle w:val="Table11Basic"/>
            </w:pPr>
            <w:r w:rsidRPr="006069B2">
              <w:t>Total</w:t>
            </w:r>
          </w:p>
        </w:tc>
        <w:tc>
          <w:tcPr>
            <w:tcW w:w="10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rsidR="00A21AD9" w:rsidRPr="006069B2" w:rsidP="00636531" w14:paraId="499FAE5A" w14:textId="77777777">
            <w:pPr>
              <w:pStyle w:val="Table11Basic"/>
              <w:jc w:val="center"/>
            </w:pPr>
            <w:r w:rsidRPr="006069B2">
              <w:t>9,854</w:t>
            </w:r>
          </w:p>
        </w:tc>
        <w:tc>
          <w:tcPr>
            <w:tcW w:w="8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rsidR="00A21AD9" w:rsidRPr="006069B2" w:rsidP="00636531" w14:paraId="0DF09D19" w14:textId="77777777">
            <w:pPr>
              <w:pStyle w:val="Table11Basic"/>
              <w:jc w:val="center"/>
            </w:pPr>
            <w:r w:rsidRPr="006069B2">
              <w:t>2.7%</w:t>
            </w:r>
          </w:p>
        </w:tc>
        <w:tc>
          <w:tcPr>
            <w:tcW w:w="360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rsidR="00A21AD9" w:rsidRPr="00AB7ECC" w:rsidP="00636531" w14:paraId="62C778DC" w14:textId="77777777">
            <w:pPr>
              <w:pStyle w:val="Table11Basic"/>
              <w:rPr>
                <w:rFonts w:cs="Calibri"/>
              </w:rPr>
            </w:pPr>
          </w:p>
        </w:tc>
      </w:tr>
      <w:tr w14:paraId="23BA1FE8" w14:textId="77777777" w:rsidTr="00636531">
        <w:tblPrEx>
          <w:tblW w:w="9360" w:type="dxa"/>
          <w:tblCellMar>
            <w:left w:w="58" w:type="dxa"/>
            <w:right w:w="58" w:type="dxa"/>
          </w:tblCellMar>
          <w:tblLook w:val="0420"/>
        </w:tblPrEx>
        <w:trPr>
          <w:trHeight w:val="383"/>
        </w:trPr>
        <w:tc>
          <w:tcPr>
            <w:tcW w:w="1493" w:type="dxa"/>
            <w:vMerge w:val="restart"/>
            <w:tcBorders>
              <w:top w:val="single" w:sz="4" w:space="0" w:color="D9D9D9" w:themeColor="background1" w:themeShade="D9"/>
              <w:bottom w:val="single" w:sz="4" w:space="0" w:color="D9D9D9" w:themeColor="background1" w:themeShade="D9"/>
              <w:right w:val="single" w:sz="4" w:space="0" w:color="D9D9D9" w:themeColor="background1" w:themeShade="D9"/>
            </w:tcBorders>
            <w:hideMark/>
          </w:tcPr>
          <w:p w:rsidR="00A21AD9" w:rsidRPr="00AB7ECC" w:rsidP="00DA1736" w14:paraId="23773F17" w14:textId="53DC7F64">
            <w:pPr>
              <w:pStyle w:val="Table11Basic"/>
            </w:pPr>
            <w:r w:rsidRPr="00AB7ECC">
              <w:t>White v</w:t>
            </w:r>
            <w:r>
              <w:t>ersus</w:t>
            </w:r>
            <w:r w:rsidR="0080405F">
              <w:t xml:space="preserve"> </w:t>
            </w:r>
            <w:r w:rsidRPr="00AB7ECC">
              <w:t>non-White</w:t>
            </w:r>
          </w:p>
        </w:tc>
        <w:tc>
          <w:tcPr>
            <w:tcW w:w="24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rsidR="00A21AD9" w:rsidRPr="00AB7ECC" w:rsidP="00DA1736" w14:paraId="30BC1618" w14:textId="77777777">
            <w:pPr>
              <w:pStyle w:val="Table11Basic"/>
            </w:pPr>
            <w:r w:rsidRPr="00AB7ECC">
              <w:t>White</w:t>
            </w:r>
          </w:p>
        </w:tc>
        <w:tc>
          <w:tcPr>
            <w:tcW w:w="10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A21AD9" w:rsidRPr="00AB7ECC" w:rsidP="00636531" w14:paraId="3AA86E29" w14:textId="77777777">
            <w:pPr>
              <w:pStyle w:val="Table11Basic"/>
              <w:jc w:val="center"/>
            </w:pPr>
            <w:r w:rsidRPr="35AEC939">
              <w:t>4,496</w:t>
            </w:r>
          </w:p>
        </w:tc>
        <w:tc>
          <w:tcPr>
            <w:tcW w:w="8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A21AD9" w:rsidRPr="00AB7ECC" w:rsidP="00636531" w14:paraId="6A96F3C2" w14:textId="77777777">
            <w:pPr>
              <w:pStyle w:val="Table11Basic"/>
              <w:jc w:val="center"/>
            </w:pPr>
            <w:r w:rsidRPr="35AEC939">
              <w:t>4.5%</w:t>
            </w:r>
          </w:p>
        </w:tc>
        <w:tc>
          <w:tcPr>
            <w:tcW w:w="360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A21AD9" w:rsidRPr="00AB7ECC" w:rsidP="00636531" w14:paraId="3C1243A7" w14:textId="77777777">
            <w:pPr>
              <w:pStyle w:val="Table11Basic"/>
              <w:rPr>
                <w:rFonts w:cs="Calibri"/>
              </w:rPr>
            </w:pPr>
            <w:r w:rsidRPr="00AB7ECC">
              <w:rPr>
                <w:rFonts w:cs="Calibri"/>
              </w:rPr>
              <w:t>9.3% v</w:t>
            </w:r>
            <w:r>
              <w:rPr>
                <w:rFonts w:cs="Calibri"/>
              </w:rPr>
              <w:t>ersus</w:t>
            </w:r>
            <w:r w:rsidRPr="00AB7ECC">
              <w:rPr>
                <w:rFonts w:cs="Calibri"/>
              </w:rPr>
              <w:t xml:space="preserve"> non-White</w:t>
            </w:r>
          </w:p>
        </w:tc>
      </w:tr>
      <w:tr w14:paraId="721DA35C" w14:textId="77777777" w:rsidTr="00636531">
        <w:tblPrEx>
          <w:tblW w:w="9360" w:type="dxa"/>
          <w:tblCellMar>
            <w:left w:w="58" w:type="dxa"/>
            <w:right w:w="58" w:type="dxa"/>
          </w:tblCellMar>
          <w:tblLook w:val="0420"/>
        </w:tblPrEx>
        <w:trPr>
          <w:trHeight w:val="383"/>
        </w:trPr>
        <w:tc>
          <w:tcPr>
            <w:tcW w:w="1493" w:type="dxa"/>
            <w:vMerge/>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hideMark/>
          </w:tcPr>
          <w:p w:rsidR="00A21AD9" w:rsidRPr="00AB7ECC" w:rsidP="00DA1736" w14:paraId="3666D0A3" w14:textId="77777777">
            <w:pPr>
              <w:pStyle w:val="Table11Basic"/>
            </w:pPr>
          </w:p>
        </w:tc>
        <w:tc>
          <w:tcPr>
            <w:tcW w:w="24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hideMark/>
          </w:tcPr>
          <w:p w:rsidR="00A21AD9" w:rsidRPr="00AB7ECC" w:rsidP="00DA1736" w14:paraId="215ED063" w14:textId="77777777">
            <w:pPr>
              <w:pStyle w:val="Table11Basic"/>
            </w:pPr>
            <w:r w:rsidRPr="00AB7ECC">
              <w:t>Non-White</w:t>
            </w:r>
          </w:p>
        </w:tc>
        <w:tc>
          <w:tcPr>
            <w:tcW w:w="10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vAlign w:val="center"/>
          </w:tcPr>
          <w:p w:rsidR="00A21AD9" w:rsidRPr="00AB7ECC" w:rsidP="00636531" w14:paraId="4D6D3144" w14:textId="77777777">
            <w:pPr>
              <w:pStyle w:val="Table11Basic"/>
              <w:jc w:val="center"/>
            </w:pPr>
            <w:r w:rsidRPr="35AEC939">
              <w:t>5,358</w:t>
            </w:r>
          </w:p>
        </w:tc>
        <w:tc>
          <w:tcPr>
            <w:tcW w:w="8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vAlign w:val="center"/>
          </w:tcPr>
          <w:p w:rsidR="00A21AD9" w:rsidRPr="00AB7ECC" w:rsidP="00636531" w14:paraId="7107EC98" w14:textId="77777777">
            <w:pPr>
              <w:pStyle w:val="Table11Basic"/>
              <w:jc w:val="center"/>
            </w:pPr>
            <w:r w:rsidRPr="35AEC939">
              <w:t>4.7%</w:t>
            </w:r>
          </w:p>
        </w:tc>
        <w:tc>
          <w:tcPr>
            <w:tcW w:w="360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3FBFF"/>
            <w:vAlign w:val="center"/>
          </w:tcPr>
          <w:p w:rsidR="00A21AD9" w:rsidRPr="00AB7ECC" w:rsidP="00636531" w14:paraId="580C7CD4" w14:textId="77777777">
            <w:pPr>
              <w:pStyle w:val="Table11Basic"/>
              <w:rPr>
                <w:rFonts w:cs="Calibri"/>
              </w:rPr>
            </w:pPr>
            <w:r w:rsidRPr="00AB7ECC">
              <w:rPr>
                <w:rFonts w:cs="Calibri"/>
              </w:rPr>
              <w:t>9.3% v</w:t>
            </w:r>
            <w:r>
              <w:rPr>
                <w:rFonts w:cs="Calibri"/>
              </w:rPr>
              <w:t>ersus</w:t>
            </w:r>
            <w:r w:rsidRPr="00AB7ECC">
              <w:rPr>
                <w:rFonts w:cs="Calibri"/>
              </w:rPr>
              <w:t xml:space="preserve"> White</w:t>
            </w:r>
          </w:p>
        </w:tc>
      </w:tr>
      <w:tr w14:paraId="3336B36A" w14:textId="77777777" w:rsidTr="00636531">
        <w:tblPrEx>
          <w:tblW w:w="9360" w:type="dxa"/>
          <w:tblCellMar>
            <w:left w:w="58" w:type="dxa"/>
            <w:right w:w="58" w:type="dxa"/>
          </w:tblCellMar>
          <w:tblLook w:val="0420"/>
        </w:tblPrEx>
        <w:trPr>
          <w:trHeight w:val="383"/>
        </w:trPr>
        <w:tc>
          <w:tcPr>
            <w:tcW w:w="1493" w:type="dxa"/>
            <w:vMerge/>
            <w:tcBorders>
              <w:top w:val="single" w:sz="4" w:space="0" w:color="D9D9D9" w:themeColor="background1" w:themeShade="D9"/>
              <w:bottom w:val="single" w:sz="6" w:space="0" w:color="00507F"/>
              <w:right w:val="single" w:sz="4" w:space="0" w:color="D9D9D9" w:themeColor="background1" w:themeShade="D9"/>
            </w:tcBorders>
            <w:hideMark/>
          </w:tcPr>
          <w:p w:rsidR="00A21AD9" w:rsidRPr="00AB7ECC" w:rsidP="00DA1736" w14:paraId="7610F229" w14:textId="77777777">
            <w:pPr>
              <w:pStyle w:val="Table11Basic"/>
              <w:rPr>
                <w:rFonts w:ascii="Calibri" w:eastAsia="Calibri" w:hAnsi="Calibri" w:cs="Times New Roman"/>
                <w:color w:val="auto"/>
              </w:rPr>
            </w:pPr>
          </w:p>
        </w:tc>
        <w:tc>
          <w:tcPr>
            <w:tcW w:w="2434" w:type="dxa"/>
            <w:tcBorders>
              <w:top w:val="single" w:sz="4" w:space="0" w:color="D9D9D9" w:themeColor="background1" w:themeShade="D9"/>
              <w:left w:val="single" w:sz="4" w:space="0" w:color="D9D9D9" w:themeColor="background1" w:themeShade="D9"/>
              <w:bottom w:val="single" w:sz="6" w:space="0" w:color="00507F"/>
              <w:right w:val="single" w:sz="4" w:space="0" w:color="D9D9D9" w:themeColor="background1" w:themeShade="D9"/>
            </w:tcBorders>
            <w:hideMark/>
          </w:tcPr>
          <w:p w:rsidR="00A21AD9" w:rsidRPr="006069B2" w:rsidP="00DA1736" w14:paraId="032704E9" w14:textId="77777777">
            <w:pPr>
              <w:pStyle w:val="Table11Basic"/>
            </w:pPr>
            <w:r w:rsidRPr="006069B2">
              <w:t>Total</w:t>
            </w:r>
          </w:p>
        </w:tc>
        <w:tc>
          <w:tcPr>
            <w:tcW w:w="1018" w:type="dxa"/>
            <w:tcBorders>
              <w:top w:val="single" w:sz="4" w:space="0" w:color="D9D9D9" w:themeColor="background1" w:themeShade="D9"/>
              <w:left w:val="single" w:sz="4" w:space="0" w:color="D9D9D9" w:themeColor="background1" w:themeShade="D9"/>
              <w:bottom w:val="single" w:sz="6" w:space="0" w:color="00507F"/>
              <w:right w:val="single" w:sz="4" w:space="0" w:color="D9D9D9" w:themeColor="background1" w:themeShade="D9"/>
            </w:tcBorders>
            <w:vAlign w:val="center"/>
          </w:tcPr>
          <w:p w:rsidR="00A21AD9" w:rsidRPr="006069B2" w:rsidP="00636531" w14:paraId="0AF4156C" w14:textId="77777777">
            <w:pPr>
              <w:pStyle w:val="Table11Basic"/>
              <w:jc w:val="center"/>
            </w:pPr>
            <w:r w:rsidRPr="006069B2">
              <w:t>9,854</w:t>
            </w:r>
          </w:p>
        </w:tc>
        <w:tc>
          <w:tcPr>
            <w:tcW w:w="810" w:type="dxa"/>
            <w:tcBorders>
              <w:top w:val="single" w:sz="4" w:space="0" w:color="D9D9D9" w:themeColor="background1" w:themeShade="D9"/>
              <w:left w:val="single" w:sz="4" w:space="0" w:color="D9D9D9" w:themeColor="background1" w:themeShade="D9"/>
              <w:bottom w:val="single" w:sz="6" w:space="0" w:color="00507F"/>
              <w:right w:val="single" w:sz="4" w:space="0" w:color="D9D9D9" w:themeColor="background1" w:themeShade="D9"/>
            </w:tcBorders>
            <w:vAlign w:val="center"/>
          </w:tcPr>
          <w:p w:rsidR="00A21AD9" w:rsidRPr="006069B2" w:rsidP="00636531" w14:paraId="50E67B3F" w14:textId="77777777">
            <w:pPr>
              <w:pStyle w:val="Table11Basic"/>
              <w:jc w:val="center"/>
            </w:pPr>
            <w:r w:rsidRPr="006069B2">
              <w:t>2.7%</w:t>
            </w:r>
          </w:p>
        </w:tc>
        <w:tc>
          <w:tcPr>
            <w:tcW w:w="3605" w:type="dxa"/>
            <w:gridSpan w:val="2"/>
            <w:tcBorders>
              <w:top w:val="single" w:sz="4" w:space="0" w:color="D9D9D9" w:themeColor="background1" w:themeShade="D9"/>
              <w:left w:val="single" w:sz="4" w:space="0" w:color="D9D9D9" w:themeColor="background1" w:themeShade="D9"/>
              <w:bottom w:val="single" w:sz="6" w:space="0" w:color="00507F"/>
            </w:tcBorders>
          </w:tcPr>
          <w:p w:rsidR="00A21AD9" w:rsidRPr="00AB7ECC" w:rsidP="00636531" w14:paraId="3512F466" w14:textId="3FAD3627">
            <w:pPr>
              <w:pStyle w:val="Table11Basic"/>
              <w:rPr>
                <w:rFonts w:cs="Calibri"/>
              </w:rPr>
            </w:pPr>
          </w:p>
        </w:tc>
      </w:tr>
    </w:tbl>
    <w:p w:rsidR="00A21AD9" w:rsidP="00A21AD9" w14:paraId="548DB27D" w14:textId="172B3D41">
      <w:pPr>
        <w:pStyle w:val="ExhibitNote"/>
        <w:spacing w:after="240"/>
        <w:rPr>
          <w:rFonts w:eastAsia="Calibri"/>
        </w:rPr>
      </w:pPr>
      <w:r w:rsidRPr="00BF3D2C">
        <w:rPr>
          <w:rFonts w:eastAsia="Calibri"/>
          <w:i/>
          <w:iCs/>
        </w:rPr>
        <w:t>Note</w:t>
      </w:r>
      <w:r>
        <w:rPr>
          <w:rFonts w:eastAsia="Calibri"/>
        </w:rPr>
        <w:t>.</w:t>
      </w:r>
      <w:r w:rsidRPr="00AB7ECC">
        <w:rPr>
          <w:rFonts w:eastAsia="Calibri"/>
        </w:rPr>
        <w:t xml:space="preserve"> The </w:t>
      </w:r>
      <w:r>
        <w:rPr>
          <w:rFonts w:eastAsia="Calibri"/>
        </w:rPr>
        <w:t xml:space="preserve">relative </w:t>
      </w:r>
      <w:r w:rsidRPr="00AB7ECC">
        <w:rPr>
          <w:rFonts w:eastAsia="Calibri"/>
        </w:rPr>
        <w:t>MDD is the threshold for identifying a statistically significant difference between specific student groups, for a test at the 5</w:t>
      </w:r>
      <w:r w:rsidRPr="006E4764">
        <w:t xml:space="preserve"> </w:t>
      </w:r>
      <w:r>
        <w:t>percent</w:t>
      </w:r>
      <w:r w:rsidRPr="00AB7ECC">
        <w:rPr>
          <w:rFonts w:eastAsia="Calibri"/>
        </w:rPr>
        <w:t xml:space="preserve"> </w:t>
      </w:r>
      <w:r w:rsidRPr="00AB7ECC">
        <w:rPr>
          <w:rFonts w:eastAsia="Calibri"/>
        </w:rPr>
        <w:t>level with 80</w:t>
      </w:r>
      <w:r w:rsidRPr="006E4764">
        <w:t xml:space="preserve"> </w:t>
      </w:r>
      <w:r>
        <w:t>percent</w:t>
      </w:r>
      <w:r w:rsidRPr="00AB7ECC">
        <w:rPr>
          <w:rFonts w:eastAsia="Calibri"/>
        </w:rPr>
        <w:t xml:space="preserve"> </w:t>
      </w:r>
      <w:r w:rsidRPr="00AB7ECC">
        <w:rPr>
          <w:rFonts w:eastAsia="Calibri"/>
        </w:rPr>
        <w:t>statistical power.</w:t>
      </w:r>
    </w:p>
    <w:p w:rsidR="006069B2" w14:paraId="6CF7F760" w14:textId="77777777">
      <w:pPr>
        <w:rPr>
          <w:rFonts w:eastAsia="Calibri" w:cs="Times New Roman"/>
        </w:rPr>
      </w:pPr>
      <w:r>
        <w:br w:type="page"/>
      </w:r>
    </w:p>
    <w:p w:rsidR="00A21AD9" w:rsidP="008238D9" w14:paraId="72DF915A" w14:textId="2555F07F">
      <w:pPr>
        <w:pStyle w:val="BodyText"/>
      </w:pPr>
      <w:r w:rsidRPr="00AB7ECC">
        <w:t xml:space="preserve">Exhibit </w:t>
      </w:r>
      <w:r>
        <w:t>5</w:t>
      </w:r>
      <w:r w:rsidRPr="00AB7ECC">
        <w:t xml:space="preserve"> reports </w:t>
      </w:r>
      <w:r>
        <w:t xml:space="preserve">test statistics for </w:t>
      </w:r>
      <w:r w:rsidRPr="00AB7ECC">
        <w:t>LEA</w:t>
      </w:r>
      <w:r>
        <w:t xml:space="preserve"> groups. It first shows LEAs grouped</w:t>
      </w:r>
      <w:r w:rsidRPr="00AB7ECC">
        <w:t xml:space="preserve"> </w:t>
      </w:r>
      <w:r>
        <w:t>by</w:t>
      </w:r>
      <w:r w:rsidRPr="00AB7ECC">
        <w:t xml:space="preserve"> terciles based on </w:t>
      </w:r>
      <w:r w:rsidRPr="00B448B4" w:rsidR="00C0485B">
        <w:t xml:space="preserve">(a) average state per student education spending, (b) percentage of students experiencing poverty, (c) LEA enrollment, (d) </w:t>
      </w:r>
      <w:r w:rsidR="00C0485B">
        <w:t xml:space="preserve">district </w:t>
      </w:r>
      <w:r w:rsidRPr="00B448B4" w:rsidR="00C0485B">
        <w:t xml:space="preserve">charter </w:t>
      </w:r>
      <w:r w:rsidR="00C0485B">
        <w:t>or</w:t>
      </w:r>
      <w:r w:rsidRPr="00B448B4" w:rsidR="00C0485B">
        <w:t xml:space="preserve"> noncharter status, and (e) locale (urbanicity). </w:t>
      </w:r>
      <w:r w:rsidRPr="00AB7ECC">
        <w:t xml:space="preserve">The sampling procedure resulted in varying levels of precision for different LEA groups. Although </w:t>
      </w:r>
      <w:r>
        <w:t>the sample design</w:t>
      </w:r>
      <w:r w:rsidRPr="00AB7ECC">
        <w:t xml:space="preserve"> did not set an </w:t>
      </w:r>
      <w:r w:rsidRPr="00734A80">
        <w:rPr>
          <w:iCs/>
        </w:rPr>
        <w:t>a priori</w:t>
      </w:r>
      <w:r w:rsidRPr="00AB7ECC">
        <w:t xml:space="preserve"> target </w:t>
      </w:r>
      <w:r>
        <w:t>R</w:t>
      </w:r>
      <w:r w:rsidRPr="00AB7ECC">
        <w:t xml:space="preserve">MOE for LEA groups, the </w:t>
      </w:r>
      <w:r>
        <w:t xml:space="preserve">expected </w:t>
      </w:r>
      <w:r w:rsidRPr="00DA0245">
        <w:t xml:space="preserve">RMOE </w:t>
      </w:r>
      <w:r>
        <w:rPr>
          <w:iCs/>
        </w:rPr>
        <w:t>is</w:t>
      </w:r>
      <w:r w:rsidRPr="00DA0245">
        <w:t xml:space="preserve"> no more than 10</w:t>
      </w:r>
      <w:r w:rsidRPr="006E4764">
        <w:t xml:space="preserve"> </w:t>
      </w:r>
      <w:r>
        <w:t>percent</w:t>
      </w:r>
      <w:r w:rsidRPr="00DA0245">
        <w:t xml:space="preserve"> </w:t>
      </w:r>
      <w:r w:rsidRPr="00DA0245">
        <w:t>for all groups</w:t>
      </w:r>
      <w:r w:rsidRPr="00AB7ECC">
        <w:t xml:space="preserve"> except for charter LEAs (1</w:t>
      </w:r>
      <w:r>
        <w:t>4</w:t>
      </w:r>
      <w:r w:rsidRPr="00AB7ECC">
        <w:t>.</w:t>
      </w:r>
      <w:r>
        <w:t>0</w:t>
      </w:r>
      <w:r w:rsidRPr="00874E02">
        <w:t xml:space="preserve"> </w:t>
      </w:r>
      <w:r>
        <w:t>percent</w:t>
      </w:r>
      <w:r w:rsidRPr="00AB7ECC">
        <w:t xml:space="preserve">), where the expected </w:t>
      </w:r>
      <w:r>
        <w:t xml:space="preserve">LEA </w:t>
      </w:r>
      <w:r w:rsidRPr="00AB7ECC">
        <w:t>sample size was small (</w:t>
      </w:r>
      <w:r w:rsidRPr="00734A80">
        <w:rPr>
          <w:i/>
          <w:iCs/>
        </w:rPr>
        <w:t>n</w:t>
      </w:r>
      <w:r w:rsidR="0080405F">
        <w:t> </w:t>
      </w:r>
      <w:r w:rsidRPr="00AB7ECC">
        <w:t>=</w:t>
      </w:r>
      <w:r w:rsidR="0080405F">
        <w:t> </w:t>
      </w:r>
      <w:r w:rsidRPr="008832EA">
        <w:t>100</w:t>
      </w:r>
      <w:r>
        <w:t>)</w:t>
      </w:r>
      <w:r w:rsidRPr="00AB7ECC">
        <w:t>.</w:t>
      </w:r>
      <w:r>
        <w:t xml:space="preserve"> </w:t>
      </w:r>
    </w:p>
    <w:p w:rsidR="00A21AD9" w:rsidP="004012B5" w14:paraId="05D816B8" w14:textId="73D92B7D">
      <w:r w:rsidRPr="00AB7ECC">
        <w:t>Exhibit</w:t>
      </w:r>
      <w:r>
        <w:t xml:space="preserve"> 5</w:t>
      </w:r>
      <w:r w:rsidRPr="00AB7ECC">
        <w:t xml:space="preserve"> also report</w:t>
      </w:r>
      <w:r>
        <w:t>s</w:t>
      </w:r>
      <w:r w:rsidRPr="00AB7ECC">
        <w:t xml:space="preserve"> the MDDs (at 80</w:t>
      </w:r>
      <w:r w:rsidRPr="006E4764">
        <w:t xml:space="preserve"> </w:t>
      </w:r>
      <w:r>
        <w:t>percent</w:t>
      </w:r>
      <w:r w:rsidRPr="00AB7ECC">
        <w:t xml:space="preserve"> </w:t>
      </w:r>
      <w:r w:rsidRPr="00AB7ECC">
        <w:t>power) for comparisons between LEA groups. For most comparisons, the MDD is about 15</w:t>
      </w:r>
      <w:r w:rsidRPr="006E4764">
        <w:t xml:space="preserve"> </w:t>
      </w:r>
      <w:r>
        <w:t>percent</w:t>
      </w:r>
      <w:r>
        <w:t xml:space="preserve"> </w:t>
      </w:r>
      <w:r>
        <w:t xml:space="preserve">to </w:t>
      </w:r>
      <w:r w:rsidRPr="00AB7ECC">
        <w:t>16</w:t>
      </w:r>
      <w:r w:rsidRPr="006E4764">
        <w:t xml:space="preserve"> </w:t>
      </w:r>
      <w:r>
        <w:t xml:space="preserve">percent. </w:t>
      </w:r>
    </w:p>
    <w:p w:rsidR="00A21AD9" w:rsidRPr="000A5FCE" w:rsidP="00C5094E" w14:paraId="4DEC4F69" w14:textId="4F953391">
      <w:pPr>
        <w:pStyle w:val="ExhibitTitle"/>
      </w:pPr>
      <w:bookmarkStart w:id="25" w:name="_Toc217324962"/>
      <w:r w:rsidRPr="00AB7ECC">
        <w:t xml:space="preserve">Exhibit </w:t>
      </w:r>
      <w:r>
        <w:t>5</w:t>
      </w:r>
      <w:r w:rsidRPr="00AB7ECC">
        <w:t>. Test statistics for three-</w:t>
      </w:r>
      <w:r>
        <w:t>s</w:t>
      </w:r>
      <w:r w:rsidRPr="00AB7ECC">
        <w:t xml:space="preserve">tage </w:t>
      </w:r>
      <w:r w:rsidRPr="002A282B">
        <w:t>sampling</w:t>
      </w:r>
      <w:r w:rsidRPr="00AB7ECC">
        <w:t xml:space="preserve"> </w:t>
      </w:r>
      <w:r>
        <w:t>design</w:t>
      </w:r>
      <w:r w:rsidRPr="00AB7ECC">
        <w:t>, by key LEA groups</w:t>
      </w:r>
      <w:bookmarkEnd w:id="25"/>
    </w:p>
    <w:tbl>
      <w:tblPr>
        <w:tblStyle w:val="TableStyle-AIR20213"/>
        <w:tblW w:w="9360" w:type="dxa"/>
        <w:tblCellMar>
          <w:left w:w="58" w:type="dxa"/>
          <w:right w:w="58" w:type="dxa"/>
        </w:tblCellMar>
        <w:tblLook w:val="0420"/>
      </w:tblPr>
      <w:tblGrid>
        <w:gridCol w:w="1261"/>
        <w:gridCol w:w="1799"/>
        <w:gridCol w:w="2021"/>
        <w:gridCol w:w="1049"/>
        <w:gridCol w:w="1058"/>
        <w:gridCol w:w="2172"/>
      </w:tblGrid>
      <w:tr w14:paraId="00DEFF4A" w14:textId="77777777" w:rsidTr="0003092D">
        <w:tblPrEx>
          <w:tblW w:w="9360" w:type="dxa"/>
          <w:tblCellMar>
            <w:left w:w="58" w:type="dxa"/>
            <w:right w:w="58" w:type="dxa"/>
          </w:tblCellMar>
          <w:tblLook w:val="0420"/>
        </w:tblPrEx>
        <w:trPr>
          <w:trHeight w:val="314"/>
          <w:tblHeader/>
        </w:trPr>
        <w:tc>
          <w:tcPr>
            <w:tcW w:w="5081" w:type="dxa"/>
            <w:gridSpan w:val="3"/>
            <w:vMerge w:val="restart"/>
            <w:tcBorders>
              <w:top w:val="nil"/>
              <w:left w:val="nil"/>
              <w:bottom w:val="single" w:sz="4" w:space="0" w:color="FFFFFF" w:themeColor="background1"/>
              <w:right w:val="single" w:sz="4" w:space="0" w:color="FFFFFF" w:themeColor="background1"/>
            </w:tcBorders>
            <w:shd w:val="clear" w:color="auto" w:fill="00507F" w:themeFill="accent1"/>
            <w:vAlign w:val="bottom"/>
            <w:hideMark/>
          </w:tcPr>
          <w:p w:rsidR="00A21AD9" w:rsidRPr="00AB7ECC" w:rsidP="001204C5" w14:paraId="7DAF3C51" w14:textId="27275D35">
            <w:pPr>
              <w:pStyle w:val="Table11ColumnHeading"/>
            </w:pPr>
            <w:r w:rsidRPr="00AB7ECC">
              <w:t xml:space="preserve">LEA </w:t>
            </w:r>
            <w:r w:rsidRPr="00AB7ECC" w:rsidR="003322E9">
              <w:t>groups</w:t>
            </w:r>
          </w:p>
        </w:tc>
        <w:tc>
          <w:tcPr>
            <w:tcW w:w="4279" w:type="dxa"/>
            <w:gridSpan w:val="3"/>
            <w:tcBorders>
              <w:top w:val="nil"/>
              <w:left w:val="single" w:sz="4" w:space="0" w:color="FFFFFF" w:themeColor="background1"/>
              <w:bottom w:val="single" w:sz="4" w:space="0" w:color="FFFFFF" w:themeColor="background1"/>
            </w:tcBorders>
            <w:shd w:val="clear" w:color="auto" w:fill="00507F" w:themeFill="accent1"/>
            <w:vAlign w:val="bottom"/>
            <w:hideMark/>
          </w:tcPr>
          <w:p w:rsidR="00A21AD9" w:rsidRPr="00AB7ECC" w:rsidP="00734A80" w14:paraId="46A9F313" w14:textId="4D9C85F1">
            <w:pPr>
              <w:pStyle w:val="Table11ColumnHeading"/>
            </w:pPr>
            <w:r w:rsidRPr="00AB7ECC">
              <w:t xml:space="preserve">Sample </w:t>
            </w:r>
            <w:r w:rsidRPr="00AB7ECC" w:rsidR="003322E9">
              <w:t>design</w:t>
            </w:r>
          </w:p>
        </w:tc>
      </w:tr>
      <w:tr w14:paraId="6E384E96" w14:textId="77777777" w:rsidTr="0003092D">
        <w:tblPrEx>
          <w:tblW w:w="9360" w:type="dxa"/>
          <w:tblCellMar>
            <w:left w:w="58" w:type="dxa"/>
            <w:right w:w="58" w:type="dxa"/>
          </w:tblCellMar>
          <w:tblLook w:val="0420"/>
        </w:tblPrEx>
        <w:trPr>
          <w:trHeight w:val="303"/>
          <w:tblHeader/>
        </w:trPr>
        <w:tc>
          <w:tcPr>
            <w:tcW w:w="5081" w:type="dxa"/>
            <w:gridSpan w:val="3"/>
            <w:vMerge/>
            <w:tcBorders>
              <w:top w:val="single" w:sz="4" w:space="0" w:color="FFFFFF" w:themeColor="background1"/>
              <w:bottom w:val="single" w:sz="24" w:space="0" w:color="009DD7" w:themeColor="accent2"/>
              <w:right w:val="single" w:sz="4" w:space="0" w:color="FFFFFF" w:themeColor="background1"/>
            </w:tcBorders>
            <w:shd w:val="clear" w:color="auto" w:fill="00507F" w:themeFill="accent1"/>
            <w:vAlign w:val="bottom"/>
            <w:hideMark/>
          </w:tcPr>
          <w:p w:rsidR="00A21AD9" w:rsidRPr="00AB7ECC" w:rsidP="001204C5" w14:paraId="05F47621" w14:textId="77777777">
            <w:pPr>
              <w:pStyle w:val="Table11ColumnHeading"/>
            </w:pPr>
          </w:p>
        </w:tc>
        <w:tc>
          <w:tcPr>
            <w:tcW w:w="1049" w:type="dxa"/>
            <w:tcBorders>
              <w:top w:val="single" w:sz="4" w:space="0" w:color="FFFFFF" w:themeColor="background1"/>
              <w:left w:val="single" w:sz="4" w:space="0" w:color="FFFFFF" w:themeColor="background1"/>
              <w:bottom w:val="single" w:sz="24" w:space="0" w:color="009DD7" w:themeColor="accent2"/>
              <w:right w:val="single" w:sz="4" w:space="0" w:color="FFFFFF" w:themeColor="background1"/>
            </w:tcBorders>
            <w:shd w:val="clear" w:color="auto" w:fill="00507F" w:themeFill="accent1"/>
            <w:vAlign w:val="bottom"/>
            <w:hideMark/>
          </w:tcPr>
          <w:p w:rsidR="00A21AD9" w:rsidRPr="00AB7ECC" w:rsidP="00734A80" w14:paraId="0E6484F8" w14:textId="77777777">
            <w:pPr>
              <w:pStyle w:val="Table11ColumnHeading"/>
            </w:pPr>
            <w:r w:rsidRPr="00AB7ECC">
              <w:t># LEAs</w:t>
            </w:r>
          </w:p>
        </w:tc>
        <w:tc>
          <w:tcPr>
            <w:tcW w:w="1058" w:type="dxa"/>
            <w:tcBorders>
              <w:top w:val="single" w:sz="4" w:space="0" w:color="FFFFFF" w:themeColor="background1"/>
              <w:left w:val="single" w:sz="4" w:space="0" w:color="FFFFFF" w:themeColor="background1"/>
              <w:bottom w:val="single" w:sz="24" w:space="0" w:color="009DD7" w:themeColor="accent2"/>
              <w:right w:val="single" w:sz="4" w:space="0" w:color="FFFFFF" w:themeColor="background1"/>
            </w:tcBorders>
            <w:shd w:val="clear" w:color="auto" w:fill="00507F" w:themeFill="accent1"/>
            <w:vAlign w:val="bottom"/>
            <w:hideMark/>
          </w:tcPr>
          <w:p w:rsidR="00A21AD9" w:rsidRPr="00AB7ECC" w:rsidP="00734A80" w14:paraId="414DC6D0" w14:textId="77777777">
            <w:pPr>
              <w:pStyle w:val="Table11ColumnHeading"/>
            </w:pPr>
            <w:r>
              <w:t>R</w:t>
            </w:r>
            <w:r w:rsidRPr="00AB7ECC">
              <w:t>MOE</w:t>
            </w:r>
          </w:p>
        </w:tc>
        <w:tc>
          <w:tcPr>
            <w:tcW w:w="2172" w:type="dxa"/>
            <w:tcBorders>
              <w:top w:val="single" w:sz="4" w:space="0" w:color="FFFFFF" w:themeColor="background1"/>
              <w:left w:val="single" w:sz="4" w:space="0" w:color="FFFFFF" w:themeColor="background1"/>
              <w:bottom w:val="single" w:sz="24" w:space="0" w:color="009DD7" w:themeColor="accent2"/>
            </w:tcBorders>
            <w:shd w:val="clear" w:color="auto" w:fill="00507F" w:themeFill="accent1"/>
            <w:vAlign w:val="bottom"/>
            <w:hideMark/>
          </w:tcPr>
          <w:p w:rsidR="00A21AD9" w:rsidRPr="00AB7ECC" w:rsidP="00734A80" w14:paraId="5FD0F448" w14:textId="77777777">
            <w:pPr>
              <w:pStyle w:val="Table11ColumnHeading"/>
            </w:pPr>
            <w:r w:rsidRPr="00AB7ECC">
              <w:t>Relative MDD</w:t>
            </w:r>
          </w:p>
        </w:tc>
      </w:tr>
      <w:tr w14:paraId="40E9EAA1" w14:textId="77777777" w:rsidTr="0003092D">
        <w:tblPrEx>
          <w:tblW w:w="9360" w:type="dxa"/>
          <w:tblCellMar>
            <w:left w:w="58" w:type="dxa"/>
            <w:right w:w="58" w:type="dxa"/>
          </w:tblCellMar>
          <w:tblLook w:val="0420"/>
        </w:tblPrEx>
        <w:trPr>
          <w:trHeight w:val="394"/>
        </w:trPr>
        <w:tc>
          <w:tcPr>
            <w:tcW w:w="1261" w:type="dxa"/>
            <w:vMerge w:val="restart"/>
            <w:tcBorders>
              <w:top w:val="single" w:sz="24" w:space="0" w:color="009DD7" w:themeColor="accent2"/>
            </w:tcBorders>
            <w:shd w:val="clear" w:color="auto" w:fill="FFFFFF" w:themeFill="background1"/>
            <w:hideMark/>
          </w:tcPr>
          <w:p w:rsidR="00A21AD9" w:rsidRPr="00AB7ECC" w:rsidP="001204C5" w14:paraId="012BC7EF" w14:textId="77777777">
            <w:pPr>
              <w:pStyle w:val="Table11Basic"/>
            </w:pPr>
            <w:r w:rsidRPr="00AB7ECC">
              <w:t xml:space="preserve">State per student </w:t>
            </w:r>
            <w:r w:rsidRPr="006B33E3">
              <w:t xml:space="preserve">education </w:t>
            </w:r>
            <w:r w:rsidRPr="00AB7ECC">
              <w:t>spending</w:t>
            </w:r>
          </w:p>
        </w:tc>
        <w:tc>
          <w:tcPr>
            <w:tcW w:w="1799" w:type="dxa"/>
            <w:tcBorders>
              <w:top w:val="single" w:sz="24" w:space="0" w:color="009DD7" w:themeColor="accent2"/>
            </w:tcBorders>
            <w:shd w:val="clear" w:color="auto" w:fill="FFFFFF" w:themeFill="background1"/>
            <w:vAlign w:val="bottom"/>
            <w:hideMark/>
          </w:tcPr>
          <w:p w:rsidR="00A21AD9" w:rsidRPr="00AB7ECC" w:rsidP="001204C5" w14:paraId="07A1BD9F" w14:textId="77777777">
            <w:pPr>
              <w:pStyle w:val="Table11Basic"/>
            </w:pPr>
            <w:r w:rsidRPr="00AB7ECC">
              <w:t>High</w:t>
            </w:r>
            <w:r>
              <w:t xml:space="preserve"> (3</w:t>
            </w:r>
            <w:r w:rsidRPr="00A63E4C">
              <w:t>rd</w:t>
            </w:r>
            <w:r>
              <w:t xml:space="preserve"> tercile)</w:t>
            </w:r>
          </w:p>
        </w:tc>
        <w:tc>
          <w:tcPr>
            <w:tcW w:w="2021" w:type="dxa"/>
            <w:tcBorders>
              <w:top w:val="single" w:sz="24" w:space="0" w:color="009DD7" w:themeColor="accent2"/>
            </w:tcBorders>
            <w:shd w:val="clear" w:color="auto" w:fill="FFFFFF" w:themeFill="background1"/>
            <w:vAlign w:val="center"/>
          </w:tcPr>
          <w:p w:rsidR="00A21AD9" w:rsidRPr="00AB7ECC" w:rsidP="002036F6" w14:paraId="62F42D2A" w14:textId="77777777">
            <w:pPr>
              <w:pStyle w:val="Table11Basic"/>
              <w:jc w:val="center"/>
              <w:rPr>
                <w:rFonts w:eastAsia="Yu Mincho"/>
                <w:kern w:val="2"/>
                <w14:ligatures w14:val="standardContextual"/>
              </w:rPr>
            </w:pPr>
            <w:r w:rsidRPr="00AB7ECC">
              <w:t>272</w:t>
            </w:r>
          </w:p>
        </w:tc>
        <w:tc>
          <w:tcPr>
            <w:tcW w:w="1049" w:type="dxa"/>
            <w:tcBorders>
              <w:top w:val="single" w:sz="24" w:space="0" w:color="009DD7" w:themeColor="accent2"/>
            </w:tcBorders>
            <w:shd w:val="clear" w:color="auto" w:fill="FFFFFF" w:themeFill="background1"/>
            <w:vAlign w:val="center"/>
          </w:tcPr>
          <w:p w:rsidR="00A21AD9" w:rsidRPr="00AB7ECC" w:rsidP="002036F6" w14:paraId="4C7596A3" w14:textId="77777777">
            <w:pPr>
              <w:pStyle w:val="Table11Basic"/>
              <w:jc w:val="center"/>
              <w:rPr>
                <w:rFonts w:eastAsia="Yu Mincho"/>
                <w:kern w:val="2"/>
                <w14:ligatures w14:val="standardContextual"/>
              </w:rPr>
            </w:pPr>
            <w:r w:rsidRPr="00AB7ECC">
              <w:t>7.5%</w:t>
            </w:r>
          </w:p>
        </w:tc>
        <w:tc>
          <w:tcPr>
            <w:tcW w:w="3230" w:type="dxa"/>
            <w:gridSpan w:val="2"/>
            <w:tcBorders>
              <w:top w:val="single" w:sz="24" w:space="0" w:color="009DD7" w:themeColor="accent2"/>
            </w:tcBorders>
            <w:shd w:val="clear" w:color="auto" w:fill="FFFFFF" w:themeFill="background1"/>
            <w:vAlign w:val="center"/>
          </w:tcPr>
          <w:p w:rsidR="00A21AD9" w:rsidRPr="00AB7ECC" w:rsidP="002036F6" w14:paraId="5620BC70" w14:textId="77777777">
            <w:pPr>
              <w:pStyle w:val="Table11Basic"/>
            </w:pPr>
            <w:r w:rsidRPr="00AB7ECC">
              <w:t>14.3% v</w:t>
            </w:r>
            <w:r>
              <w:t>ersus</w:t>
            </w:r>
            <w:r w:rsidRPr="00AB7ECC">
              <w:t xml:space="preserve"> medium</w:t>
            </w:r>
          </w:p>
        </w:tc>
      </w:tr>
      <w:tr w14:paraId="1464FB66" w14:textId="77777777" w:rsidTr="0003092D">
        <w:tblPrEx>
          <w:tblW w:w="9360" w:type="dxa"/>
          <w:tblCellMar>
            <w:left w:w="58" w:type="dxa"/>
            <w:right w:w="58" w:type="dxa"/>
          </w:tblCellMar>
          <w:tblLook w:val="0420"/>
        </w:tblPrEx>
        <w:trPr>
          <w:trHeight w:val="394"/>
        </w:trPr>
        <w:tc>
          <w:tcPr>
            <w:tcW w:w="1261" w:type="dxa"/>
            <w:vMerge/>
            <w:shd w:val="clear" w:color="auto" w:fill="FFFFFF" w:themeFill="background1"/>
            <w:hideMark/>
          </w:tcPr>
          <w:p w:rsidR="00A21AD9" w:rsidRPr="00AB7ECC" w:rsidP="001204C5" w14:paraId="68DB0970" w14:textId="77777777">
            <w:pPr>
              <w:pStyle w:val="Table11Basic"/>
            </w:pPr>
          </w:p>
        </w:tc>
        <w:tc>
          <w:tcPr>
            <w:tcW w:w="1799" w:type="dxa"/>
            <w:shd w:val="clear" w:color="auto" w:fill="FFFFFF" w:themeFill="background1"/>
            <w:vAlign w:val="bottom"/>
            <w:hideMark/>
          </w:tcPr>
          <w:p w:rsidR="00A21AD9" w:rsidRPr="00AB7ECC" w:rsidP="001204C5" w14:paraId="3605FD8E" w14:textId="77777777">
            <w:pPr>
              <w:pStyle w:val="Table11Basic"/>
            </w:pPr>
            <w:r w:rsidRPr="00AB7ECC">
              <w:t xml:space="preserve">Medium </w:t>
            </w:r>
            <w:r>
              <w:t>(2</w:t>
            </w:r>
            <w:r w:rsidRPr="00A63E4C">
              <w:t>nd</w:t>
            </w:r>
            <w:r>
              <w:t xml:space="preserve"> tercile)</w:t>
            </w:r>
          </w:p>
        </w:tc>
        <w:tc>
          <w:tcPr>
            <w:tcW w:w="2021" w:type="dxa"/>
            <w:shd w:val="clear" w:color="auto" w:fill="FFFFFF" w:themeFill="background1"/>
            <w:vAlign w:val="center"/>
          </w:tcPr>
          <w:p w:rsidR="00A21AD9" w:rsidRPr="00AB7ECC" w:rsidP="002036F6" w14:paraId="1EDD11B2" w14:textId="77777777">
            <w:pPr>
              <w:pStyle w:val="Table11Basic"/>
              <w:jc w:val="center"/>
              <w:rPr>
                <w:rFonts w:eastAsia="Yu Mincho"/>
                <w:kern w:val="2"/>
                <w14:ligatures w14:val="standardContextual"/>
              </w:rPr>
            </w:pPr>
            <w:r w:rsidRPr="00AB7ECC">
              <w:t>346</w:t>
            </w:r>
          </w:p>
        </w:tc>
        <w:tc>
          <w:tcPr>
            <w:tcW w:w="1049" w:type="dxa"/>
            <w:shd w:val="clear" w:color="auto" w:fill="FFFFFF" w:themeFill="background1"/>
            <w:vAlign w:val="center"/>
          </w:tcPr>
          <w:p w:rsidR="00A21AD9" w:rsidRPr="00AB7ECC" w:rsidP="002036F6" w14:paraId="21FC9CBA" w14:textId="77777777">
            <w:pPr>
              <w:pStyle w:val="Table11Basic"/>
              <w:jc w:val="center"/>
              <w:rPr>
                <w:rFonts w:eastAsia="Yu Mincho"/>
                <w:kern w:val="2"/>
                <w14:ligatures w14:val="standardContextual"/>
              </w:rPr>
            </w:pPr>
            <w:r w:rsidRPr="00AB7ECC">
              <w:t>6.7%</w:t>
            </w:r>
          </w:p>
        </w:tc>
        <w:tc>
          <w:tcPr>
            <w:tcW w:w="3230" w:type="dxa"/>
            <w:gridSpan w:val="2"/>
            <w:shd w:val="clear" w:color="auto" w:fill="FFFFFF" w:themeFill="background1"/>
            <w:vAlign w:val="center"/>
          </w:tcPr>
          <w:p w:rsidR="00A21AD9" w:rsidRPr="00AB7ECC" w:rsidP="002036F6" w14:paraId="731554D9" w14:textId="77777777">
            <w:pPr>
              <w:pStyle w:val="Table11Basic"/>
            </w:pPr>
            <w:r w:rsidRPr="00AB7ECC">
              <w:t>13.4% v</w:t>
            </w:r>
            <w:r>
              <w:t>ersus</w:t>
            </w:r>
            <w:r w:rsidRPr="00AB7ECC">
              <w:t xml:space="preserve"> low</w:t>
            </w:r>
          </w:p>
        </w:tc>
      </w:tr>
      <w:tr w14:paraId="2AFCFDF9" w14:textId="77777777" w:rsidTr="0003092D">
        <w:tblPrEx>
          <w:tblW w:w="9360" w:type="dxa"/>
          <w:tblCellMar>
            <w:left w:w="58" w:type="dxa"/>
            <w:right w:w="58" w:type="dxa"/>
          </w:tblCellMar>
          <w:tblLook w:val="0420"/>
        </w:tblPrEx>
        <w:trPr>
          <w:trHeight w:val="394"/>
        </w:trPr>
        <w:tc>
          <w:tcPr>
            <w:tcW w:w="1261" w:type="dxa"/>
            <w:vMerge/>
            <w:shd w:val="clear" w:color="auto" w:fill="FFFFFF" w:themeFill="background1"/>
            <w:hideMark/>
          </w:tcPr>
          <w:p w:rsidR="00A21AD9" w:rsidRPr="00AB7ECC" w:rsidP="001204C5" w14:paraId="010D478F" w14:textId="77777777">
            <w:pPr>
              <w:pStyle w:val="Table11Basic"/>
            </w:pPr>
          </w:p>
        </w:tc>
        <w:tc>
          <w:tcPr>
            <w:tcW w:w="1799" w:type="dxa"/>
            <w:shd w:val="clear" w:color="auto" w:fill="FFFFFF" w:themeFill="background1"/>
            <w:vAlign w:val="bottom"/>
            <w:hideMark/>
          </w:tcPr>
          <w:p w:rsidR="00A21AD9" w:rsidRPr="00AB7ECC" w:rsidP="001204C5" w14:paraId="757EE1B5" w14:textId="77777777">
            <w:pPr>
              <w:pStyle w:val="Table11Basic"/>
            </w:pPr>
            <w:r w:rsidRPr="00AB7ECC">
              <w:t>Low</w:t>
            </w:r>
            <w:r>
              <w:t xml:space="preserve"> (1</w:t>
            </w:r>
            <w:r w:rsidRPr="00A63E4C">
              <w:t>st</w:t>
            </w:r>
            <w:r>
              <w:t xml:space="preserve"> tercile)</w:t>
            </w:r>
          </w:p>
        </w:tc>
        <w:tc>
          <w:tcPr>
            <w:tcW w:w="2021" w:type="dxa"/>
            <w:shd w:val="clear" w:color="auto" w:fill="FFFFFF" w:themeFill="background1"/>
            <w:vAlign w:val="center"/>
          </w:tcPr>
          <w:p w:rsidR="00A21AD9" w:rsidRPr="00AB7ECC" w:rsidP="002036F6" w14:paraId="1FA5D5C4" w14:textId="77777777">
            <w:pPr>
              <w:pStyle w:val="Table11Basic"/>
              <w:jc w:val="center"/>
              <w:rPr>
                <w:rFonts w:eastAsia="Yu Mincho"/>
                <w:kern w:val="2"/>
                <w14:ligatures w14:val="standardContextual"/>
              </w:rPr>
            </w:pPr>
            <w:r w:rsidRPr="00AB7ECC">
              <w:t>345</w:t>
            </w:r>
          </w:p>
        </w:tc>
        <w:tc>
          <w:tcPr>
            <w:tcW w:w="1049" w:type="dxa"/>
            <w:shd w:val="clear" w:color="auto" w:fill="FFFFFF" w:themeFill="background1"/>
            <w:vAlign w:val="center"/>
          </w:tcPr>
          <w:p w:rsidR="00A21AD9" w:rsidRPr="00AB7ECC" w:rsidP="002036F6" w14:paraId="38068CB5" w14:textId="77777777">
            <w:pPr>
              <w:pStyle w:val="Table11Basic"/>
              <w:jc w:val="center"/>
              <w:rPr>
                <w:rFonts w:eastAsia="Yu Mincho"/>
                <w:kern w:val="2"/>
                <w14:ligatures w14:val="standardContextual"/>
              </w:rPr>
            </w:pPr>
            <w:r w:rsidRPr="00AB7ECC">
              <w:t>6.6%</w:t>
            </w:r>
          </w:p>
        </w:tc>
        <w:tc>
          <w:tcPr>
            <w:tcW w:w="3230" w:type="dxa"/>
            <w:gridSpan w:val="2"/>
            <w:shd w:val="clear" w:color="auto" w:fill="FFFFFF" w:themeFill="background1"/>
            <w:vAlign w:val="center"/>
          </w:tcPr>
          <w:p w:rsidR="00A21AD9" w:rsidRPr="00AB7ECC" w:rsidP="002036F6" w14:paraId="6E50C0AF" w14:textId="77777777">
            <w:pPr>
              <w:pStyle w:val="Table11Basic"/>
            </w:pPr>
            <w:r w:rsidRPr="00AB7ECC">
              <w:t>14.1% v</w:t>
            </w:r>
            <w:r>
              <w:t>ersus</w:t>
            </w:r>
            <w:r w:rsidRPr="00AB7ECC">
              <w:t xml:space="preserve"> high</w:t>
            </w:r>
          </w:p>
        </w:tc>
      </w:tr>
      <w:tr w14:paraId="76CC683B" w14:textId="77777777" w:rsidTr="0003092D">
        <w:tblPrEx>
          <w:tblW w:w="9360" w:type="dxa"/>
          <w:tblCellMar>
            <w:left w:w="58" w:type="dxa"/>
            <w:right w:w="58" w:type="dxa"/>
          </w:tblCellMar>
          <w:tblLook w:val="0420"/>
        </w:tblPrEx>
        <w:trPr>
          <w:trHeight w:val="394"/>
        </w:trPr>
        <w:tc>
          <w:tcPr>
            <w:tcW w:w="1261" w:type="dxa"/>
            <w:vMerge/>
            <w:shd w:val="clear" w:color="auto" w:fill="FFFFFF" w:themeFill="background1"/>
            <w:hideMark/>
          </w:tcPr>
          <w:p w:rsidR="00A21AD9" w:rsidRPr="00AB7ECC" w:rsidP="001204C5" w14:paraId="46A811CC" w14:textId="77777777">
            <w:pPr>
              <w:pStyle w:val="Table11Basic"/>
            </w:pPr>
          </w:p>
        </w:tc>
        <w:tc>
          <w:tcPr>
            <w:tcW w:w="1799" w:type="dxa"/>
            <w:shd w:val="clear" w:color="auto" w:fill="FFFFFF" w:themeFill="background1"/>
            <w:vAlign w:val="bottom"/>
            <w:hideMark/>
          </w:tcPr>
          <w:p w:rsidR="00A21AD9" w:rsidRPr="007C63F9" w:rsidP="001204C5" w14:paraId="38BF9EDE" w14:textId="77777777">
            <w:pPr>
              <w:pStyle w:val="Table11Basic"/>
            </w:pPr>
            <w:r w:rsidRPr="007C63F9">
              <w:t>Total</w:t>
            </w:r>
          </w:p>
        </w:tc>
        <w:tc>
          <w:tcPr>
            <w:tcW w:w="2021" w:type="dxa"/>
            <w:shd w:val="clear" w:color="auto" w:fill="FFFFFF" w:themeFill="background1"/>
            <w:vAlign w:val="center"/>
          </w:tcPr>
          <w:p w:rsidR="00A21AD9" w:rsidRPr="007C63F9" w:rsidP="002036F6" w14:paraId="2A3E89BC" w14:textId="77777777">
            <w:pPr>
              <w:pStyle w:val="Table11Basic"/>
              <w:jc w:val="center"/>
              <w:rPr>
                <w:rFonts w:eastAsia="Yu Mincho"/>
                <w:kern w:val="2"/>
                <w14:ligatures w14:val="standardContextual"/>
              </w:rPr>
            </w:pPr>
            <w:r w:rsidRPr="007C63F9">
              <w:t>963</w:t>
            </w:r>
          </w:p>
        </w:tc>
        <w:tc>
          <w:tcPr>
            <w:tcW w:w="1049" w:type="dxa"/>
            <w:shd w:val="clear" w:color="auto" w:fill="FFFFFF" w:themeFill="background1"/>
            <w:vAlign w:val="center"/>
          </w:tcPr>
          <w:p w:rsidR="00A21AD9" w:rsidRPr="007C63F9" w:rsidP="002036F6" w14:paraId="3C36B808" w14:textId="77777777">
            <w:pPr>
              <w:pStyle w:val="Table11Basic"/>
              <w:jc w:val="center"/>
              <w:rPr>
                <w:rFonts w:eastAsia="Yu Mincho"/>
                <w:kern w:val="2"/>
                <w14:ligatures w14:val="standardContextual"/>
              </w:rPr>
            </w:pPr>
            <w:r w:rsidRPr="007C63F9">
              <w:t>2.7%</w:t>
            </w:r>
          </w:p>
        </w:tc>
        <w:tc>
          <w:tcPr>
            <w:tcW w:w="3230" w:type="dxa"/>
            <w:gridSpan w:val="2"/>
            <w:shd w:val="clear" w:color="auto" w:fill="FFFFFF" w:themeFill="background1"/>
            <w:vAlign w:val="center"/>
          </w:tcPr>
          <w:p w:rsidR="00A21AD9" w:rsidRPr="00AB7ECC" w:rsidP="002036F6" w14:paraId="1A3ED05E" w14:textId="4158F0C8">
            <w:pPr>
              <w:pStyle w:val="Table11Basic"/>
            </w:pPr>
          </w:p>
        </w:tc>
      </w:tr>
      <w:tr w14:paraId="2628FE5C" w14:textId="77777777" w:rsidTr="0003092D">
        <w:tblPrEx>
          <w:tblW w:w="9360" w:type="dxa"/>
          <w:tblCellMar>
            <w:left w:w="58" w:type="dxa"/>
            <w:right w:w="58" w:type="dxa"/>
          </w:tblCellMar>
          <w:tblLook w:val="0420"/>
        </w:tblPrEx>
        <w:trPr>
          <w:trHeight w:val="394"/>
        </w:trPr>
        <w:tc>
          <w:tcPr>
            <w:tcW w:w="1261" w:type="dxa"/>
            <w:vMerge w:val="restart"/>
            <w:hideMark/>
          </w:tcPr>
          <w:p w:rsidR="00A21AD9" w:rsidRPr="00AB7ECC" w:rsidP="001204C5" w14:paraId="1AC7A795" w14:textId="77777777">
            <w:pPr>
              <w:pStyle w:val="Table11Basic"/>
            </w:pPr>
            <w:r w:rsidRPr="00AB7ECC">
              <w:t>LEA enrollment</w:t>
            </w:r>
          </w:p>
        </w:tc>
        <w:tc>
          <w:tcPr>
            <w:tcW w:w="1799" w:type="dxa"/>
            <w:vAlign w:val="bottom"/>
            <w:hideMark/>
          </w:tcPr>
          <w:p w:rsidR="00A21AD9" w:rsidRPr="00AB7ECC" w:rsidP="001204C5" w14:paraId="7874B440" w14:textId="5D2A7904">
            <w:pPr>
              <w:pStyle w:val="Table11Basic"/>
            </w:pPr>
            <w:r w:rsidRPr="00AB7ECC">
              <w:t>Large</w:t>
            </w:r>
            <w:r>
              <w:t xml:space="preserve"> (&gt; 2,500 students)</w:t>
            </w:r>
          </w:p>
        </w:tc>
        <w:tc>
          <w:tcPr>
            <w:tcW w:w="2021" w:type="dxa"/>
            <w:vAlign w:val="center"/>
          </w:tcPr>
          <w:p w:rsidR="00A21AD9" w:rsidRPr="00AB7ECC" w:rsidP="002036F6" w14:paraId="3033F323" w14:textId="77777777">
            <w:pPr>
              <w:pStyle w:val="Table11Basic"/>
              <w:jc w:val="center"/>
              <w:rPr>
                <w:rFonts w:eastAsia="Yu Mincho"/>
                <w:kern w:val="2"/>
                <w14:ligatures w14:val="standardContextual"/>
              </w:rPr>
            </w:pPr>
            <w:r w:rsidRPr="00AB7ECC">
              <w:t>542</w:t>
            </w:r>
          </w:p>
        </w:tc>
        <w:tc>
          <w:tcPr>
            <w:tcW w:w="1049" w:type="dxa"/>
            <w:vAlign w:val="center"/>
          </w:tcPr>
          <w:p w:rsidR="00A21AD9" w:rsidRPr="00AB7ECC" w:rsidP="002036F6" w14:paraId="5403512B" w14:textId="77777777">
            <w:pPr>
              <w:pStyle w:val="Table11Basic"/>
              <w:jc w:val="center"/>
              <w:rPr>
                <w:rFonts w:eastAsia="Yu Mincho"/>
                <w:kern w:val="2"/>
                <w14:ligatures w14:val="standardContextual"/>
              </w:rPr>
            </w:pPr>
            <w:r w:rsidRPr="00AB7ECC">
              <w:t>5.2%</w:t>
            </w:r>
          </w:p>
        </w:tc>
        <w:tc>
          <w:tcPr>
            <w:tcW w:w="3230" w:type="dxa"/>
            <w:gridSpan w:val="2"/>
            <w:vAlign w:val="center"/>
          </w:tcPr>
          <w:p w:rsidR="00A21AD9" w:rsidRPr="00AB7ECC" w:rsidP="002036F6" w14:paraId="1E4DB517" w14:textId="77777777">
            <w:pPr>
              <w:pStyle w:val="Table11Basic"/>
            </w:pPr>
            <w:r w:rsidRPr="00AB7ECC">
              <w:t>15.0% v</w:t>
            </w:r>
            <w:r>
              <w:t>ersus</w:t>
            </w:r>
            <w:r w:rsidRPr="00AB7ECC">
              <w:t xml:space="preserve"> medium</w:t>
            </w:r>
          </w:p>
        </w:tc>
      </w:tr>
      <w:tr w14:paraId="417B538C" w14:textId="77777777" w:rsidTr="0003092D">
        <w:tblPrEx>
          <w:tblW w:w="9360" w:type="dxa"/>
          <w:tblCellMar>
            <w:left w:w="58" w:type="dxa"/>
            <w:right w:w="58" w:type="dxa"/>
          </w:tblCellMar>
          <w:tblLook w:val="0420"/>
        </w:tblPrEx>
        <w:trPr>
          <w:trHeight w:val="394"/>
        </w:trPr>
        <w:tc>
          <w:tcPr>
            <w:tcW w:w="1261" w:type="dxa"/>
            <w:vMerge/>
            <w:shd w:val="clear" w:color="auto" w:fill="F3FBFF"/>
            <w:hideMark/>
          </w:tcPr>
          <w:p w:rsidR="00A21AD9" w:rsidRPr="00AB7ECC" w:rsidP="001204C5" w14:paraId="0DB2E272" w14:textId="77777777">
            <w:pPr>
              <w:pStyle w:val="Table11Basic"/>
            </w:pPr>
          </w:p>
        </w:tc>
        <w:tc>
          <w:tcPr>
            <w:tcW w:w="1799" w:type="dxa"/>
            <w:shd w:val="clear" w:color="auto" w:fill="F3FBFF"/>
            <w:vAlign w:val="bottom"/>
            <w:hideMark/>
          </w:tcPr>
          <w:p w:rsidR="00A21AD9" w:rsidRPr="00AB7ECC" w:rsidP="001204C5" w14:paraId="22A5ECC8" w14:textId="77777777">
            <w:pPr>
              <w:pStyle w:val="Table11Basic"/>
            </w:pPr>
            <w:r w:rsidRPr="00AB7ECC">
              <w:t>Medium</w:t>
            </w:r>
            <w:r>
              <w:t xml:space="preserve"> (1,000 students)</w:t>
            </w:r>
          </w:p>
        </w:tc>
        <w:tc>
          <w:tcPr>
            <w:tcW w:w="2021" w:type="dxa"/>
            <w:shd w:val="clear" w:color="auto" w:fill="F3FBFF"/>
            <w:vAlign w:val="center"/>
          </w:tcPr>
          <w:p w:rsidR="00A21AD9" w:rsidRPr="00AB7ECC" w:rsidP="002036F6" w14:paraId="5279856E" w14:textId="77777777">
            <w:pPr>
              <w:pStyle w:val="Table11Basic"/>
              <w:jc w:val="center"/>
              <w:rPr>
                <w:rFonts w:eastAsia="Yu Mincho"/>
                <w:kern w:val="2"/>
                <w14:ligatures w14:val="standardContextual"/>
              </w:rPr>
            </w:pPr>
            <w:r w:rsidRPr="00AB7ECC">
              <w:t>189</w:t>
            </w:r>
          </w:p>
        </w:tc>
        <w:tc>
          <w:tcPr>
            <w:tcW w:w="1049" w:type="dxa"/>
            <w:shd w:val="clear" w:color="auto" w:fill="F3FBFF"/>
            <w:vAlign w:val="center"/>
          </w:tcPr>
          <w:p w:rsidR="00A21AD9" w:rsidRPr="00AB7ECC" w:rsidP="002036F6" w14:paraId="1B009F76" w14:textId="77777777">
            <w:pPr>
              <w:pStyle w:val="Table11Basic"/>
              <w:jc w:val="center"/>
              <w:rPr>
                <w:rFonts w:eastAsia="Yu Mincho"/>
                <w:kern w:val="2"/>
                <w14:ligatures w14:val="standardContextual"/>
              </w:rPr>
            </w:pPr>
            <w:r w:rsidRPr="00AB7ECC">
              <w:t>9.1%</w:t>
            </w:r>
          </w:p>
        </w:tc>
        <w:tc>
          <w:tcPr>
            <w:tcW w:w="3230" w:type="dxa"/>
            <w:gridSpan w:val="2"/>
            <w:shd w:val="clear" w:color="auto" w:fill="F3FBFF"/>
            <w:vAlign w:val="center"/>
          </w:tcPr>
          <w:p w:rsidR="00A21AD9" w:rsidRPr="00AB7ECC" w:rsidP="002036F6" w14:paraId="01F224D3" w14:textId="77777777">
            <w:pPr>
              <w:pStyle w:val="Table11Basic"/>
            </w:pPr>
            <w:r w:rsidRPr="00AB7ECC">
              <w:t>18.1% v</w:t>
            </w:r>
            <w:r>
              <w:t>ersus</w:t>
            </w:r>
            <w:r w:rsidRPr="00AB7ECC">
              <w:t xml:space="preserve"> small</w:t>
            </w:r>
          </w:p>
        </w:tc>
      </w:tr>
      <w:tr w14:paraId="65C7F184" w14:textId="77777777" w:rsidTr="0003092D">
        <w:tblPrEx>
          <w:tblW w:w="9360" w:type="dxa"/>
          <w:tblCellMar>
            <w:left w:w="58" w:type="dxa"/>
            <w:right w:w="58" w:type="dxa"/>
          </w:tblCellMar>
          <w:tblLook w:val="0420"/>
        </w:tblPrEx>
        <w:trPr>
          <w:trHeight w:val="394"/>
        </w:trPr>
        <w:tc>
          <w:tcPr>
            <w:tcW w:w="1261" w:type="dxa"/>
            <w:vMerge/>
            <w:hideMark/>
          </w:tcPr>
          <w:p w:rsidR="00A21AD9" w:rsidRPr="00AB7ECC" w:rsidP="001204C5" w14:paraId="3340F1BD" w14:textId="77777777">
            <w:pPr>
              <w:pStyle w:val="Table11Basic"/>
            </w:pPr>
          </w:p>
        </w:tc>
        <w:tc>
          <w:tcPr>
            <w:tcW w:w="1799" w:type="dxa"/>
            <w:vAlign w:val="bottom"/>
            <w:hideMark/>
          </w:tcPr>
          <w:p w:rsidR="00A21AD9" w:rsidRPr="00AB7ECC" w:rsidP="001204C5" w14:paraId="5D869BE7" w14:textId="26B5A73E">
            <w:pPr>
              <w:pStyle w:val="Table11Basic"/>
            </w:pPr>
            <w:r w:rsidRPr="00AB7ECC">
              <w:t xml:space="preserve">Small </w:t>
            </w:r>
            <w:r>
              <w:t>(&lt; 1,000 students)</w:t>
            </w:r>
          </w:p>
        </w:tc>
        <w:tc>
          <w:tcPr>
            <w:tcW w:w="2021" w:type="dxa"/>
            <w:vAlign w:val="center"/>
          </w:tcPr>
          <w:p w:rsidR="00A21AD9" w:rsidRPr="00AB7ECC" w:rsidP="002036F6" w14:paraId="1017C842" w14:textId="77777777">
            <w:pPr>
              <w:pStyle w:val="Table11Basic"/>
              <w:jc w:val="center"/>
              <w:rPr>
                <w:rFonts w:eastAsia="Yu Mincho"/>
                <w:kern w:val="2"/>
                <w14:ligatures w14:val="standardContextual"/>
              </w:rPr>
            </w:pPr>
            <w:r w:rsidRPr="00AB7ECC">
              <w:t>232</w:t>
            </w:r>
          </w:p>
        </w:tc>
        <w:tc>
          <w:tcPr>
            <w:tcW w:w="1049" w:type="dxa"/>
            <w:vAlign w:val="center"/>
          </w:tcPr>
          <w:p w:rsidR="00A21AD9" w:rsidRPr="00AB7ECC" w:rsidP="002036F6" w14:paraId="7B6A4F8F" w14:textId="77777777">
            <w:pPr>
              <w:pStyle w:val="Table11Basic"/>
              <w:jc w:val="center"/>
              <w:rPr>
                <w:rFonts w:eastAsia="Yu Mincho"/>
                <w:kern w:val="2"/>
                <w14:ligatures w14:val="standardContextual"/>
              </w:rPr>
            </w:pPr>
            <w:r w:rsidRPr="00AB7ECC">
              <w:t>8.8%</w:t>
            </w:r>
          </w:p>
        </w:tc>
        <w:tc>
          <w:tcPr>
            <w:tcW w:w="3230" w:type="dxa"/>
            <w:gridSpan w:val="2"/>
            <w:vAlign w:val="center"/>
          </w:tcPr>
          <w:p w:rsidR="00A21AD9" w:rsidRPr="00AB7ECC" w:rsidP="002036F6" w14:paraId="387B1B02" w14:textId="77777777">
            <w:pPr>
              <w:pStyle w:val="Table11Basic"/>
            </w:pPr>
            <w:r w:rsidRPr="00AB7ECC">
              <w:t>14.6% v</w:t>
            </w:r>
            <w:r>
              <w:t>ersus</w:t>
            </w:r>
            <w:r w:rsidRPr="00AB7ECC">
              <w:t xml:space="preserve"> large</w:t>
            </w:r>
          </w:p>
        </w:tc>
      </w:tr>
      <w:tr w14:paraId="3DD44B11" w14:textId="77777777" w:rsidTr="0003092D">
        <w:tblPrEx>
          <w:tblW w:w="9360" w:type="dxa"/>
          <w:tblCellMar>
            <w:left w:w="58" w:type="dxa"/>
            <w:right w:w="58" w:type="dxa"/>
          </w:tblCellMar>
          <w:tblLook w:val="0420"/>
        </w:tblPrEx>
        <w:trPr>
          <w:trHeight w:val="394"/>
        </w:trPr>
        <w:tc>
          <w:tcPr>
            <w:tcW w:w="1261" w:type="dxa"/>
            <w:vMerge/>
            <w:shd w:val="clear" w:color="auto" w:fill="F3FBFF"/>
            <w:hideMark/>
          </w:tcPr>
          <w:p w:rsidR="00A21AD9" w:rsidRPr="00AB7ECC" w:rsidP="001204C5" w14:paraId="42895455" w14:textId="77777777">
            <w:pPr>
              <w:pStyle w:val="Table11Basic"/>
            </w:pPr>
          </w:p>
        </w:tc>
        <w:tc>
          <w:tcPr>
            <w:tcW w:w="1799" w:type="dxa"/>
            <w:shd w:val="clear" w:color="auto" w:fill="F3FBFF"/>
            <w:vAlign w:val="bottom"/>
            <w:hideMark/>
          </w:tcPr>
          <w:p w:rsidR="00A21AD9" w:rsidRPr="007C63F9" w:rsidP="001204C5" w14:paraId="297512A1" w14:textId="77777777">
            <w:pPr>
              <w:pStyle w:val="Table11Basic"/>
            </w:pPr>
            <w:r w:rsidRPr="007C63F9">
              <w:t>Total</w:t>
            </w:r>
          </w:p>
        </w:tc>
        <w:tc>
          <w:tcPr>
            <w:tcW w:w="2021" w:type="dxa"/>
            <w:shd w:val="clear" w:color="auto" w:fill="F3FBFF"/>
            <w:vAlign w:val="center"/>
          </w:tcPr>
          <w:p w:rsidR="00A21AD9" w:rsidRPr="007C63F9" w:rsidP="002036F6" w14:paraId="0B58647C" w14:textId="77777777">
            <w:pPr>
              <w:pStyle w:val="Table11Basic"/>
              <w:jc w:val="center"/>
              <w:rPr>
                <w:rFonts w:eastAsia="Yu Mincho"/>
                <w:kern w:val="2"/>
                <w14:ligatures w14:val="standardContextual"/>
              </w:rPr>
            </w:pPr>
            <w:r w:rsidRPr="007C63F9">
              <w:t>963</w:t>
            </w:r>
          </w:p>
        </w:tc>
        <w:tc>
          <w:tcPr>
            <w:tcW w:w="1049" w:type="dxa"/>
            <w:shd w:val="clear" w:color="auto" w:fill="F3FBFF"/>
            <w:vAlign w:val="center"/>
          </w:tcPr>
          <w:p w:rsidR="00A21AD9" w:rsidRPr="007C63F9" w:rsidP="002036F6" w14:paraId="5913B326" w14:textId="77777777">
            <w:pPr>
              <w:pStyle w:val="Table11Basic"/>
              <w:jc w:val="center"/>
              <w:rPr>
                <w:rFonts w:eastAsia="Yu Mincho"/>
                <w:kern w:val="2"/>
                <w14:ligatures w14:val="standardContextual"/>
              </w:rPr>
            </w:pPr>
            <w:r w:rsidRPr="007C63F9">
              <w:t>2.7%</w:t>
            </w:r>
          </w:p>
        </w:tc>
        <w:tc>
          <w:tcPr>
            <w:tcW w:w="3230" w:type="dxa"/>
            <w:gridSpan w:val="2"/>
            <w:shd w:val="clear" w:color="auto" w:fill="F3FBFF"/>
            <w:vAlign w:val="center"/>
          </w:tcPr>
          <w:p w:rsidR="00A21AD9" w:rsidRPr="00AB7ECC" w:rsidP="002036F6" w14:paraId="63CCAB4B" w14:textId="0C1A06EB">
            <w:pPr>
              <w:pStyle w:val="Table11Basic"/>
            </w:pPr>
          </w:p>
        </w:tc>
      </w:tr>
      <w:tr w14:paraId="619E5BA4" w14:textId="77777777" w:rsidTr="0003092D">
        <w:tblPrEx>
          <w:tblW w:w="9360" w:type="dxa"/>
          <w:tblCellMar>
            <w:left w:w="58" w:type="dxa"/>
            <w:right w:w="58" w:type="dxa"/>
          </w:tblCellMar>
          <w:tblLook w:val="0420"/>
        </w:tblPrEx>
        <w:trPr>
          <w:trHeight w:val="394"/>
        </w:trPr>
        <w:tc>
          <w:tcPr>
            <w:tcW w:w="1261" w:type="dxa"/>
            <w:vMerge w:val="restart"/>
            <w:shd w:val="clear" w:color="auto" w:fill="FFFFFF" w:themeFill="background1"/>
            <w:hideMark/>
          </w:tcPr>
          <w:p w:rsidR="00A21AD9" w:rsidRPr="00AB7ECC" w:rsidP="001204C5" w14:paraId="14509775" w14:textId="77777777">
            <w:pPr>
              <w:pStyle w:val="Table11Basic"/>
            </w:pPr>
            <w:r w:rsidRPr="00AB7ECC">
              <w:t>% of students experiencing poverty</w:t>
            </w:r>
          </w:p>
        </w:tc>
        <w:tc>
          <w:tcPr>
            <w:tcW w:w="1799" w:type="dxa"/>
            <w:shd w:val="clear" w:color="auto" w:fill="FFFFFF" w:themeFill="background1"/>
            <w:vAlign w:val="bottom"/>
            <w:hideMark/>
          </w:tcPr>
          <w:p w:rsidR="00A21AD9" w:rsidRPr="00AB7ECC" w:rsidP="001204C5" w14:paraId="72CF1388" w14:textId="2F9068C8">
            <w:pPr>
              <w:pStyle w:val="Table11Basic"/>
            </w:pPr>
            <w:r w:rsidRPr="00AB7ECC">
              <w:t>High</w:t>
            </w:r>
            <w:r>
              <w:t xml:space="preserve"> (&gt; 75% FRPL)</w:t>
            </w:r>
          </w:p>
        </w:tc>
        <w:tc>
          <w:tcPr>
            <w:tcW w:w="2021" w:type="dxa"/>
            <w:shd w:val="clear" w:color="auto" w:fill="FFFFFF" w:themeFill="background1"/>
            <w:vAlign w:val="center"/>
          </w:tcPr>
          <w:p w:rsidR="00A21AD9" w:rsidRPr="00AB7ECC" w:rsidP="002036F6" w14:paraId="0D2D32CF" w14:textId="77777777">
            <w:pPr>
              <w:pStyle w:val="Table11Basic"/>
              <w:jc w:val="center"/>
              <w:rPr>
                <w:rFonts w:eastAsia="Yu Mincho"/>
                <w:kern w:val="2"/>
                <w14:ligatures w14:val="standardContextual"/>
              </w:rPr>
            </w:pPr>
            <w:r w:rsidRPr="00AB7ECC">
              <w:t>159</w:t>
            </w:r>
          </w:p>
        </w:tc>
        <w:tc>
          <w:tcPr>
            <w:tcW w:w="1049" w:type="dxa"/>
            <w:shd w:val="clear" w:color="auto" w:fill="FFFFFF" w:themeFill="background1"/>
            <w:vAlign w:val="center"/>
          </w:tcPr>
          <w:p w:rsidR="00A21AD9" w:rsidRPr="00AB7ECC" w:rsidP="002036F6" w14:paraId="1A02DFFB" w14:textId="77777777">
            <w:pPr>
              <w:pStyle w:val="Table11Basic"/>
              <w:jc w:val="center"/>
              <w:rPr>
                <w:rFonts w:eastAsia="Yu Mincho"/>
                <w:kern w:val="2"/>
                <w14:ligatures w14:val="standardContextual"/>
              </w:rPr>
            </w:pPr>
            <w:r w:rsidRPr="00AB7ECC">
              <w:t>9.7%</w:t>
            </w:r>
          </w:p>
        </w:tc>
        <w:tc>
          <w:tcPr>
            <w:tcW w:w="3230" w:type="dxa"/>
            <w:gridSpan w:val="2"/>
            <w:shd w:val="clear" w:color="auto" w:fill="FFFFFF" w:themeFill="background1"/>
            <w:vAlign w:val="center"/>
          </w:tcPr>
          <w:p w:rsidR="00A21AD9" w:rsidRPr="00AB7ECC" w:rsidP="002036F6" w14:paraId="7B575D2C" w14:textId="77777777">
            <w:pPr>
              <w:pStyle w:val="Table11Basic"/>
            </w:pPr>
            <w:r w:rsidRPr="00AB7ECC">
              <w:t>15.4% v</w:t>
            </w:r>
            <w:r>
              <w:t>ersus</w:t>
            </w:r>
            <w:r w:rsidRPr="00AB7ECC">
              <w:t xml:space="preserve"> medium</w:t>
            </w:r>
          </w:p>
        </w:tc>
      </w:tr>
      <w:tr w14:paraId="43DEA74D" w14:textId="77777777" w:rsidTr="0003092D">
        <w:tblPrEx>
          <w:tblW w:w="9360" w:type="dxa"/>
          <w:tblCellMar>
            <w:left w:w="58" w:type="dxa"/>
            <w:right w:w="58" w:type="dxa"/>
          </w:tblCellMar>
          <w:tblLook w:val="0420"/>
        </w:tblPrEx>
        <w:trPr>
          <w:trHeight w:val="394"/>
        </w:trPr>
        <w:tc>
          <w:tcPr>
            <w:tcW w:w="1261" w:type="dxa"/>
            <w:vMerge/>
            <w:shd w:val="clear" w:color="auto" w:fill="FFFFFF" w:themeFill="background1"/>
            <w:hideMark/>
          </w:tcPr>
          <w:p w:rsidR="00A21AD9" w:rsidRPr="00AB7ECC" w:rsidP="001204C5" w14:paraId="132E89C2" w14:textId="77777777">
            <w:pPr>
              <w:pStyle w:val="Table11Basic"/>
            </w:pPr>
          </w:p>
        </w:tc>
        <w:tc>
          <w:tcPr>
            <w:tcW w:w="1799" w:type="dxa"/>
            <w:shd w:val="clear" w:color="auto" w:fill="FFFFFF" w:themeFill="background1"/>
            <w:vAlign w:val="bottom"/>
            <w:hideMark/>
          </w:tcPr>
          <w:p w:rsidR="00A21AD9" w:rsidRPr="00AB7ECC" w:rsidP="001204C5" w14:paraId="7B678F85" w14:textId="77777777">
            <w:pPr>
              <w:pStyle w:val="Table11Basic"/>
            </w:pPr>
            <w:r w:rsidRPr="00AB7ECC">
              <w:t>Medium</w:t>
            </w:r>
            <w:r>
              <w:t xml:space="preserve"> (25%–75% FRPL)</w:t>
            </w:r>
          </w:p>
        </w:tc>
        <w:tc>
          <w:tcPr>
            <w:tcW w:w="2021" w:type="dxa"/>
            <w:shd w:val="clear" w:color="auto" w:fill="FFFFFF" w:themeFill="background1"/>
            <w:vAlign w:val="center"/>
          </w:tcPr>
          <w:p w:rsidR="00A21AD9" w:rsidRPr="00AB7ECC" w:rsidP="002036F6" w14:paraId="4EF9DC6C" w14:textId="77777777">
            <w:pPr>
              <w:pStyle w:val="Table11Basic"/>
              <w:jc w:val="center"/>
              <w:rPr>
                <w:rFonts w:eastAsia="Yu Mincho"/>
                <w:kern w:val="2"/>
                <w14:ligatures w14:val="standardContextual"/>
              </w:rPr>
            </w:pPr>
            <w:r w:rsidRPr="00AB7ECC">
              <w:t>626</w:t>
            </w:r>
          </w:p>
        </w:tc>
        <w:tc>
          <w:tcPr>
            <w:tcW w:w="1049" w:type="dxa"/>
            <w:shd w:val="clear" w:color="auto" w:fill="FFFFFF" w:themeFill="background1"/>
            <w:vAlign w:val="center"/>
          </w:tcPr>
          <w:p w:rsidR="00A21AD9" w:rsidRPr="00AB7ECC" w:rsidP="002036F6" w14:paraId="628A05DB" w14:textId="77777777">
            <w:pPr>
              <w:pStyle w:val="Table11Basic"/>
              <w:jc w:val="center"/>
              <w:rPr>
                <w:rFonts w:eastAsia="Yu Mincho"/>
                <w:kern w:val="2"/>
                <w14:ligatures w14:val="standardContextual"/>
              </w:rPr>
            </w:pPr>
            <w:r w:rsidRPr="00AB7ECC">
              <w:t>4.9%</w:t>
            </w:r>
          </w:p>
        </w:tc>
        <w:tc>
          <w:tcPr>
            <w:tcW w:w="3230" w:type="dxa"/>
            <w:gridSpan w:val="2"/>
            <w:shd w:val="clear" w:color="auto" w:fill="FFFFFF" w:themeFill="background1"/>
            <w:vAlign w:val="center"/>
          </w:tcPr>
          <w:p w:rsidR="00A21AD9" w:rsidRPr="00AB7ECC" w:rsidP="002036F6" w14:paraId="640F8E9A" w14:textId="77777777">
            <w:pPr>
              <w:pStyle w:val="Table11Basic"/>
            </w:pPr>
            <w:r w:rsidRPr="00AB7ECC">
              <w:t>15.1% v</w:t>
            </w:r>
            <w:r>
              <w:t>ersus</w:t>
            </w:r>
            <w:r w:rsidRPr="00AB7ECC">
              <w:t xml:space="preserve"> low</w:t>
            </w:r>
          </w:p>
        </w:tc>
      </w:tr>
      <w:tr w14:paraId="1F7A0017" w14:textId="77777777" w:rsidTr="0003092D">
        <w:tblPrEx>
          <w:tblW w:w="9360" w:type="dxa"/>
          <w:tblCellMar>
            <w:left w:w="58" w:type="dxa"/>
            <w:right w:w="58" w:type="dxa"/>
          </w:tblCellMar>
          <w:tblLook w:val="0420"/>
        </w:tblPrEx>
        <w:trPr>
          <w:trHeight w:val="394"/>
        </w:trPr>
        <w:tc>
          <w:tcPr>
            <w:tcW w:w="1261" w:type="dxa"/>
            <w:vMerge/>
            <w:shd w:val="clear" w:color="auto" w:fill="FFFFFF" w:themeFill="background1"/>
            <w:hideMark/>
          </w:tcPr>
          <w:p w:rsidR="00A21AD9" w:rsidRPr="00AB7ECC" w:rsidP="001204C5" w14:paraId="4FC50A64" w14:textId="77777777">
            <w:pPr>
              <w:pStyle w:val="Table11Basic"/>
            </w:pPr>
          </w:p>
        </w:tc>
        <w:tc>
          <w:tcPr>
            <w:tcW w:w="1799" w:type="dxa"/>
            <w:shd w:val="clear" w:color="auto" w:fill="FFFFFF" w:themeFill="background1"/>
            <w:vAlign w:val="bottom"/>
            <w:hideMark/>
          </w:tcPr>
          <w:p w:rsidR="00A21AD9" w:rsidRPr="00AB7ECC" w:rsidP="001204C5" w14:paraId="552C7ADD" w14:textId="77777777">
            <w:pPr>
              <w:pStyle w:val="Table11Basic"/>
            </w:pPr>
            <w:r w:rsidRPr="00AB7ECC">
              <w:t>Low</w:t>
            </w:r>
            <w:r>
              <w:t xml:space="preserve"> (&lt;25% FRPL)</w:t>
            </w:r>
          </w:p>
        </w:tc>
        <w:tc>
          <w:tcPr>
            <w:tcW w:w="2021" w:type="dxa"/>
            <w:shd w:val="clear" w:color="auto" w:fill="FFFFFF" w:themeFill="background1"/>
            <w:vAlign w:val="center"/>
          </w:tcPr>
          <w:p w:rsidR="00A21AD9" w:rsidRPr="00AB7ECC" w:rsidP="002036F6" w14:paraId="267256A4" w14:textId="77777777">
            <w:pPr>
              <w:pStyle w:val="Table11Basic"/>
              <w:jc w:val="center"/>
              <w:rPr>
                <w:rFonts w:eastAsia="Yu Mincho"/>
                <w:kern w:val="2"/>
                <w14:ligatures w14:val="standardContextual"/>
              </w:rPr>
            </w:pPr>
            <w:r w:rsidRPr="00AB7ECC">
              <w:t>178</w:t>
            </w:r>
          </w:p>
        </w:tc>
        <w:tc>
          <w:tcPr>
            <w:tcW w:w="1049" w:type="dxa"/>
            <w:shd w:val="clear" w:color="auto" w:fill="FFFFFF" w:themeFill="background1"/>
            <w:vAlign w:val="center"/>
          </w:tcPr>
          <w:p w:rsidR="00A21AD9" w:rsidRPr="00AB7ECC" w:rsidP="002036F6" w14:paraId="0B7289B4" w14:textId="77777777">
            <w:pPr>
              <w:pStyle w:val="Table11Basic"/>
              <w:jc w:val="center"/>
              <w:rPr>
                <w:rFonts w:eastAsia="Yu Mincho"/>
                <w:kern w:val="2"/>
                <w14:ligatures w14:val="standardContextual"/>
              </w:rPr>
            </w:pPr>
            <w:r w:rsidRPr="00AB7ECC">
              <w:t>9.5%</w:t>
            </w:r>
          </w:p>
        </w:tc>
        <w:tc>
          <w:tcPr>
            <w:tcW w:w="3230" w:type="dxa"/>
            <w:gridSpan w:val="2"/>
            <w:shd w:val="clear" w:color="auto" w:fill="FFFFFF" w:themeFill="background1"/>
            <w:vAlign w:val="center"/>
          </w:tcPr>
          <w:p w:rsidR="00A21AD9" w:rsidRPr="00AB7ECC" w:rsidP="002036F6" w14:paraId="441973BD" w14:textId="77777777">
            <w:pPr>
              <w:pStyle w:val="Table11Basic"/>
            </w:pPr>
            <w:r w:rsidRPr="00AB7ECC">
              <w:t>19.3% v</w:t>
            </w:r>
            <w:r>
              <w:t>ersus</w:t>
            </w:r>
            <w:r w:rsidRPr="00AB7ECC">
              <w:t xml:space="preserve"> high</w:t>
            </w:r>
          </w:p>
        </w:tc>
      </w:tr>
      <w:tr w14:paraId="1BB1E9D9" w14:textId="77777777" w:rsidTr="0003092D">
        <w:tblPrEx>
          <w:tblW w:w="9360" w:type="dxa"/>
          <w:tblCellMar>
            <w:left w:w="58" w:type="dxa"/>
            <w:right w:w="58" w:type="dxa"/>
          </w:tblCellMar>
          <w:tblLook w:val="0420"/>
        </w:tblPrEx>
        <w:trPr>
          <w:trHeight w:val="394"/>
        </w:trPr>
        <w:tc>
          <w:tcPr>
            <w:tcW w:w="1261" w:type="dxa"/>
            <w:vMerge/>
            <w:shd w:val="clear" w:color="auto" w:fill="FFFFFF" w:themeFill="background1"/>
            <w:hideMark/>
          </w:tcPr>
          <w:p w:rsidR="00A21AD9" w:rsidRPr="00AB7ECC" w:rsidP="001204C5" w14:paraId="26623172" w14:textId="77777777">
            <w:pPr>
              <w:pStyle w:val="Table11Basic"/>
            </w:pPr>
          </w:p>
        </w:tc>
        <w:tc>
          <w:tcPr>
            <w:tcW w:w="1799" w:type="dxa"/>
            <w:shd w:val="clear" w:color="auto" w:fill="FFFFFF" w:themeFill="background1"/>
            <w:vAlign w:val="bottom"/>
            <w:hideMark/>
          </w:tcPr>
          <w:p w:rsidR="00A21AD9" w:rsidRPr="007C63F9" w:rsidP="001204C5" w14:paraId="200FBA02" w14:textId="77777777">
            <w:pPr>
              <w:pStyle w:val="Table11Basic"/>
            </w:pPr>
            <w:r w:rsidRPr="007C63F9">
              <w:t>Total</w:t>
            </w:r>
          </w:p>
        </w:tc>
        <w:tc>
          <w:tcPr>
            <w:tcW w:w="2021" w:type="dxa"/>
            <w:shd w:val="clear" w:color="auto" w:fill="FFFFFF" w:themeFill="background1"/>
            <w:vAlign w:val="center"/>
          </w:tcPr>
          <w:p w:rsidR="00A21AD9" w:rsidRPr="007C63F9" w:rsidP="002036F6" w14:paraId="165F9F2B" w14:textId="77777777">
            <w:pPr>
              <w:pStyle w:val="Table11Basic"/>
              <w:jc w:val="center"/>
              <w:rPr>
                <w:rFonts w:eastAsia="Yu Mincho"/>
                <w:kern w:val="2"/>
                <w14:ligatures w14:val="standardContextual"/>
              </w:rPr>
            </w:pPr>
            <w:r w:rsidRPr="007C63F9">
              <w:t>963</w:t>
            </w:r>
          </w:p>
        </w:tc>
        <w:tc>
          <w:tcPr>
            <w:tcW w:w="1049" w:type="dxa"/>
            <w:shd w:val="clear" w:color="auto" w:fill="FFFFFF" w:themeFill="background1"/>
            <w:vAlign w:val="center"/>
          </w:tcPr>
          <w:p w:rsidR="00A21AD9" w:rsidRPr="007C63F9" w:rsidP="002036F6" w14:paraId="6D69F030" w14:textId="77777777">
            <w:pPr>
              <w:pStyle w:val="Table11Basic"/>
              <w:jc w:val="center"/>
              <w:rPr>
                <w:rFonts w:eastAsia="Yu Mincho"/>
                <w:kern w:val="2"/>
                <w14:ligatures w14:val="standardContextual"/>
              </w:rPr>
            </w:pPr>
            <w:r w:rsidRPr="007C63F9">
              <w:t>2.7%</w:t>
            </w:r>
          </w:p>
        </w:tc>
        <w:tc>
          <w:tcPr>
            <w:tcW w:w="3230" w:type="dxa"/>
            <w:gridSpan w:val="2"/>
            <w:shd w:val="clear" w:color="auto" w:fill="FFFFFF" w:themeFill="background1"/>
            <w:vAlign w:val="center"/>
          </w:tcPr>
          <w:p w:rsidR="00A21AD9" w:rsidRPr="00AB7ECC" w:rsidP="002036F6" w14:paraId="14304ACA" w14:textId="5D882C2D">
            <w:pPr>
              <w:pStyle w:val="Table11Basic"/>
            </w:pPr>
          </w:p>
        </w:tc>
      </w:tr>
      <w:tr w14:paraId="0E8646A0" w14:textId="77777777" w:rsidTr="0003092D">
        <w:tblPrEx>
          <w:tblW w:w="9360" w:type="dxa"/>
          <w:tblCellMar>
            <w:left w:w="58" w:type="dxa"/>
            <w:right w:w="58" w:type="dxa"/>
          </w:tblCellMar>
          <w:tblLook w:val="0420"/>
        </w:tblPrEx>
        <w:trPr>
          <w:trHeight w:val="394"/>
        </w:trPr>
        <w:tc>
          <w:tcPr>
            <w:tcW w:w="1261" w:type="dxa"/>
            <w:vMerge w:val="restart"/>
            <w:hideMark/>
          </w:tcPr>
          <w:p w:rsidR="00A21AD9" w:rsidRPr="00AB7ECC" w:rsidP="001204C5" w14:paraId="1364E1BB" w14:textId="77777777">
            <w:pPr>
              <w:pStyle w:val="Table11Basic"/>
              <w:keepNext/>
              <w:keepLines/>
            </w:pPr>
            <w:r w:rsidRPr="00AB7ECC">
              <w:t>LEA locale</w:t>
            </w:r>
          </w:p>
        </w:tc>
        <w:tc>
          <w:tcPr>
            <w:tcW w:w="1799" w:type="dxa"/>
            <w:vAlign w:val="bottom"/>
            <w:hideMark/>
          </w:tcPr>
          <w:p w:rsidR="00A21AD9" w:rsidRPr="00AB7ECC" w:rsidP="001204C5" w14:paraId="203489BE" w14:textId="77777777">
            <w:pPr>
              <w:pStyle w:val="Table11Basic"/>
              <w:keepNext/>
              <w:keepLines/>
            </w:pPr>
            <w:r w:rsidRPr="00AB7ECC">
              <w:t>Urban</w:t>
            </w:r>
          </w:p>
        </w:tc>
        <w:tc>
          <w:tcPr>
            <w:tcW w:w="2021" w:type="dxa"/>
            <w:vAlign w:val="bottom"/>
          </w:tcPr>
          <w:p w:rsidR="00A21AD9" w:rsidRPr="00AB7ECC" w:rsidP="00A626EA" w14:paraId="1A950A74" w14:textId="77777777">
            <w:pPr>
              <w:pStyle w:val="Table11Basic"/>
              <w:keepNext/>
              <w:keepLines/>
              <w:jc w:val="center"/>
              <w:rPr>
                <w:rFonts w:eastAsia="Yu Mincho"/>
                <w:kern w:val="2"/>
                <w14:ligatures w14:val="standardContextual"/>
              </w:rPr>
            </w:pPr>
            <w:r w:rsidRPr="00AB7ECC">
              <w:t>197</w:t>
            </w:r>
          </w:p>
        </w:tc>
        <w:tc>
          <w:tcPr>
            <w:tcW w:w="1049" w:type="dxa"/>
            <w:vAlign w:val="bottom"/>
          </w:tcPr>
          <w:p w:rsidR="00A21AD9" w:rsidRPr="00AB7ECC" w:rsidP="00A626EA" w14:paraId="62BEC21B" w14:textId="77777777">
            <w:pPr>
              <w:pStyle w:val="Table11Basic"/>
              <w:keepNext/>
              <w:keepLines/>
              <w:jc w:val="center"/>
              <w:rPr>
                <w:rFonts w:eastAsia="Yu Mincho"/>
                <w:kern w:val="2"/>
                <w14:ligatures w14:val="standardContextual"/>
              </w:rPr>
            </w:pPr>
            <w:r w:rsidRPr="00AB7ECC">
              <w:t>8.7%</w:t>
            </w:r>
          </w:p>
        </w:tc>
        <w:tc>
          <w:tcPr>
            <w:tcW w:w="3230" w:type="dxa"/>
            <w:gridSpan w:val="2"/>
            <w:vAlign w:val="bottom"/>
          </w:tcPr>
          <w:p w:rsidR="00A21AD9" w:rsidRPr="00AB7ECC" w:rsidP="001204C5" w14:paraId="4B2967F7" w14:textId="77777777">
            <w:pPr>
              <w:pStyle w:val="Table11Basic"/>
              <w:keepNext/>
              <w:keepLines/>
            </w:pPr>
            <w:r w:rsidRPr="00AB7ECC">
              <w:t>15.7% v</w:t>
            </w:r>
            <w:r>
              <w:t>ersus</w:t>
            </w:r>
            <w:r w:rsidRPr="00AB7ECC">
              <w:t xml:space="preserve"> suburban</w:t>
            </w:r>
          </w:p>
        </w:tc>
      </w:tr>
      <w:tr w14:paraId="3DA53A7D" w14:textId="77777777" w:rsidTr="0003092D">
        <w:tblPrEx>
          <w:tblW w:w="9360" w:type="dxa"/>
          <w:tblCellMar>
            <w:left w:w="58" w:type="dxa"/>
            <w:right w:w="58" w:type="dxa"/>
          </w:tblCellMar>
          <w:tblLook w:val="0420"/>
        </w:tblPrEx>
        <w:trPr>
          <w:trHeight w:val="394"/>
        </w:trPr>
        <w:tc>
          <w:tcPr>
            <w:tcW w:w="1261" w:type="dxa"/>
            <w:vMerge/>
            <w:shd w:val="clear" w:color="auto" w:fill="F3FBFF"/>
            <w:hideMark/>
          </w:tcPr>
          <w:p w:rsidR="00A21AD9" w:rsidRPr="00AB7ECC" w:rsidP="001204C5" w14:paraId="50501E13" w14:textId="77777777">
            <w:pPr>
              <w:pStyle w:val="Table11Basic"/>
              <w:keepNext/>
              <w:keepLines/>
            </w:pPr>
          </w:p>
        </w:tc>
        <w:tc>
          <w:tcPr>
            <w:tcW w:w="1799" w:type="dxa"/>
            <w:shd w:val="clear" w:color="auto" w:fill="F3FBFF"/>
            <w:vAlign w:val="bottom"/>
            <w:hideMark/>
          </w:tcPr>
          <w:p w:rsidR="00A21AD9" w:rsidRPr="00AB7ECC" w:rsidP="001204C5" w14:paraId="2C9E905A" w14:textId="77777777">
            <w:pPr>
              <w:pStyle w:val="Table11Basic"/>
              <w:keepNext/>
              <w:keepLines/>
            </w:pPr>
            <w:r w:rsidRPr="00AB7ECC">
              <w:t>Suburban</w:t>
            </w:r>
          </w:p>
        </w:tc>
        <w:tc>
          <w:tcPr>
            <w:tcW w:w="2021" w:type="dxa"/>
            <w:shd w:val="clear" w:color="auto" w:fill="F3FBFF"/>
            <w:vAlign w:val="bottom"/>
          </w:tcPr>
          <w:p w:rsidR="00A21AD9" w:rsidRPr="00AB7ECC" w:rsidP="00A626EA" w14:paraId="5A14912E" w14:textId="77777777">
            <w:pPr>
              <w:pStyle w:val="Table11Basic"/>
              <w:keepNext/>
              <w:keepLines/>
              <w:jc w:val="center"/>
              <w:rPr>
                <w:rFonts w:eastAsia="Yu Mincho"/>
                <w:kern w:val="2"/>
                <w14:ligatures w14:val="standardContextual"/>
              </w:rPr>
            </w:pPr>
            <w:r w:rsidRPr="00AB7ECC">
              <w:t>341</w:t>
            </w:r>
          </w:p>
        </w:tc>
        <w:tc>
          <w:tcPr>
            <w:tcW w:w="1049" w:type="dxa"/>
            <w:shd w:val="clear" w:color="auto" w:fill="F3FBFF"/>
            <w:vAlign w:val="bottom"/>
          </w:tcPr>
          <w:p w:rsidR="00A21AD9" w:rsidRPr="00AB7ECC" w:rsidP="00A626EA" w14:paraId="62126C4C" w14:textId="77777777">
            <w:pPr>
              <w:pStyle w:val="Table11Basic"/>
              <w:keepNext/>
              <w:keepLines/>
              <w:jc w:val="center"/>
              <w:rPr>
                <w:rFonts w:eastAsia="Yu Mincho"/>
                <w:kern w:val="2"/>
                <w14:ligatures w14:val="standardContextual"/>
              </w:rPr>
            </w:pPr>
            <w:r w:rsidRPr="00AB7ECC">
              <w:t>6.8%</w:t>
            </w:r>
          </w:p>
        </w:tc>
        <w:tc>
          <w:tcPr>
            <w:tcW w:w="3230" w:type="dxa"/>
            <w:gridSpan w:val="2"/>
            <w:shd w:val="clear" w:color="auto" w:fill="F3FBFF"/>
            <w:vAlign w:val="bottom"/>
          </w:tcPr>
          <w:p w:rsidR="00A21AD9" w:rsidRPr="00AB7ECC" w:rsidP="001204C5" w14:paraId="77D19099" w14:textId="77777777">
            <w:pPr>
              <w:pStyle w:val="Table11Basic"/>
              <w:keepNext/>
              <w:keepLines/>
            </w:pPr>
            <w:r w:rsidRPr="00AB7ECC">
              <w:t>12.8% v</w:t>
            </w:r>
            <w:r>
              <w:t>ersus</w:t>
            </w:r>
            <w:r w:rsidRPr="00AB7ECC">
              <w:t xml:space="preserve"> rural/town</w:t>
            </w:r>
          </w:p>
        </w:tc>
      </w:tr>
      <w:tr w14:paraId="596B9CFC" w14:textId="77777777" w:rsidTr="0003092D">
        <w:tblPrEx>
          <w:tblW w:w="9360" w:type="dxa"/>
          <w:tblCellMar>
            <w:left w:w="58" w:type="dxa"/>
            <w:right w:w="58" w:type="dxa"/>
          </w:tblCellMar>
          <w:tblLook w:val="0420"/>
        </w:tblPrEx>
        <w:trPr>
          <w:trHeight w:val="394"/>
        </w:trPr>
        <w:tc>
          <w:tcPr>
            <w:tcW w:w="1261" w:type="dxa"/>
            <w:vMerge/>
            <w:hideMark/>
          </w:tcPr>
          <w:p w:rsidR="00A21AD9" w:rsidRPr="00AB7ECC" w:rsidP="001204C5" w14:paraId="06C19F76" w14:textId="77777777">
            <w:pPr>
              <w:pStyle w:val="Table11Basic"/>
              <w:keepNext/>
              <w:keepLines/>
            </w:pPr>
          </w:p>
        </w:tc>
        <w:tc>
          <w:tcPr>
            <w:tcW w:w="1799" w:type="dxa"/>
            <w:vAlign w:val="bottom"/>
            <w:hideMark/>
          </w:tcPr>
          <w:p w:rsidR="00A21AD9" w:rsidRPr="00AB7ECC" w:rsidP="001204C5" w14:paraId="4D0F215F" w14:textId="77777777">
            <w:pPr>
              <w:pStyle w:val="Table11Basic"/>
              <w:keepNext/>
              <w:keepLines/>
            </w:pPr>
            <w:r w:rsidRPr="00AB7ECC">
              <w:t>Rural/Town</w:t>
            </w:r>
          </w:p>
        </w:tc>
        <w:tc>
          <w:tcPr>
            <w:tcW w:w="2021" w:type="dxa"/>
            <w:vAlign w:val="bottom"/>
          </w:tcPr>
          <w:p w:rsidR="00A21AD9" w:rsidRPr="00AB7ECC" w:rsidP="00A626EA" w14:paraId="5880197E" w14:textId="77777777">
            <w:pPr>
              <w:pStyle w:val="Table11Basic"/>
              <w:keepNext/>
              <w:keepLines/>
              <w:jc w:val="center"/>
              <w:rPr>
                <w:rFonts w:eastAsia="Yu Mincho"/>
                <w:kern w:val="2"/>
                <w14:ligatures w14:val="standardContextual"/>
              </w:rPr>
            </w:pPr>
            <w:r w:rsidRPr="00AB7ECC">
              <w:t>425</w:t>
            </w:r>
          </w:p>
        </w:tc>
        <w:tc>
          <w:tcPr>
            <w:tcW w:w="1049" w:type="dxa"/>
            <w:vAlign w:val="bottom"/>
          </w:tcPr>
          <w:p w:rsidR="00A21AD9" w:rsidRPr="00AB7ECC" w:rsidP="00A626EA" w14:paraId="455EEAC3" w14:textId="77777777">
            <w:pPr>
              <w:pStyle w:val="Table11Basic"/>
              <w:keepNext/>
              <w:keepLines/>
              <w:jc w:val="center"/>
              <w:rPr>
                <w:rFonts w:eastAsia="Yu Mincho"/>
                <w:kern w:val="2"/>
                <w14:ligatures w14:val="standardContextual"/>
              </w:rPr>
            </w:pPr>
            <w:r w:rsidRPr="00AB7ECC">
              <w:t>5.9%</w:t>
            </w:r>
          </w:p>
        </w:tc>
        <w:tc>
          <w:tcPr>
            <w:tcW w:w="3230" w:type="dxa"/>
            <w:gridSpan w:val="2"/>
            <w:vAlign w:val="bottom"/>
          </w:tcPr>
          <w:p w:rsidR="00A21AD9" w:rsidRPr="00AB7ECC" w:rsidP="001204C5" w14:paraId="65611B92" w14:textId="77777777">
            <w:pPr>
              <w:pStyle w:val="Table11Basic"/>
              <w:keepNext/>
              <w:keepLines/>
            </w:pPr>
            <w:r w:rsidRPr="00AB7ECC">
              <w:t>15.0% v</w:t>
            </w:r>
            <w:r>
              <w:t>ersus</w:t>
            </w:r>
            <w:r w:rsidRPr="00AB7ECC">
              <w:t xml:space="preserve"> urban</w:t>
            </w:r>
          </w:p>
        </w:tc>
      </w:tr>
      <w:tr w14:paraId="4EEAB69B" w14:textId="77777777" w:rsidTr="0003092D">
        <w:tblPrEx>
          <w:tblW w:w="9360" w:type="dxa"/>
          <w:tblCellMar>
            <w:left w:w="58" w:type="dxa"/>
            <w:right w:w="58" w:type="dxa"/>
          </w:tblCellMar>
          <w:tblLook w:val="0420"/>
        </w:tblPrEx>
        <w:trPr>
          <w:trHeight w:val="394"/>
        </w:trPr>
        <w:tc>
          <w:tcPr>
            <w:tcW w:w="1261" w:type="dxa"/>
            <w:vMerge/>
            <w:shd w:val="clear" w:color="auto" w:fill="F3FBFF"/>
            <w:hideMark/>
          </w:tcPr>
          <w:p w:rsidR="00A21AD9" w:rsidRPr="00AB7ECC" w:rsidP="001204C5" w14:paraId="10724D6F" w14:textId="77777777">
            <w:pPr>
              <w:pStyle w:val="Table11Basic"/>
              <w:keepNext/>
              <w:keepLines/>
            </w:pPr>
          </w:p>
        </w:tc>
        <w:tc>
          <w:tcPr>
            <w:tcW w:w="1799" w:type="dxa"/>
            <w:shd w:val="clear" w:color="auto" w:fill="F3FBFF"/>
            <w:vAlign w:val="bottom"/>
            <w:hideMark/>
          </w:tcPr>
          <w:p w:rsidR="00A21AD9" w:rsidRPr="002036F6" w:rsidP="001204C5" w14:paraId="0C1165A8" w14:textId="77777777">
            <w:pPr>
              <w:pStyle w:val="Table11Basic"/>
              <w:keepNext/>
              <w:keepLines/>
              <w:rPr>
                <w:b/>
                <w:bCs/>
              </w:rPr>
            </w:pPr>
            <w:r w:rsidRPr="002036F6">
              <w:rPr>
                <w:b/>
                <w:bCs/>
              </w:rPr>
              <w:t>Total</w:t>
            </w:r>
          </w:p>
        </w:tc>
        <w:tc>
          <w:tcPr>
            <w:tcW w:w="2021" w:type="dxa"/>
            <w:shd w:val="clear" w:color="auto" w:fill="F3FBFF"/>
            <w:vAlign w:val="bottom"/>
          </w:tcPr>
          <w:p w:rsidR="00A21AD9" w:rsidRPr="0003092D" w:rsidP="00A626EA" w14:paraId="127598B4" w14:textId="77777777">
            <w:pPr>
              <w:pStyle w:val="Table11Basic"/>
              <w:keepNext/>
              <w:keepLines/>
              <w:jc w:val="center"/>
              <w:rPr>
                <w:rFonts w:eastAsia="Yu Mincho"/>
                <w:b/>
                <w:bCs/>
                <w:kern w:val="2"/>
                <w14:ligatures w14:val="standardContextual"/>
              </w:rPr>
            </w:pPr>
            <w:r w:rsidRPr="0003092D">
              <w:rPr>
                <w:b/>
                <w:bCs/>
              </w:rPr>
              <w:t>963</w:t>
            </w:r>
          </w:p>
        </w:tc>
        <w:tc>
          <w:tcPr>
            <w:tcW w:w="1049" w:type="dxa"/>
            <w:shd w:val="clear" w:color="auto" w:fill="F3FBFF"/>
            <w:vAlign w:val="bottom"/>
          </w:tcPr>
          <w:p w:rsidR="00A21AD9" w:rsidRPr="0003092D" w:rsidP="00A626EA" w14:paraId="446FED7C" w14:textId="77777777">
            <w:pPr>
              <w:pStyle w:val="Table11Basic"/>
              <w:keepNext/>
              <w:keepLines/>
              <w:jc w:val="center"/>
              <w:rPr>
                <w:rFonts w:eastAsia="Yu Mincho"/>
                <w:b/>
                <w:bCs/>
                <w:kern w:val="2"/>
                <w14:ligatures w14:val="standardContextual"/>
              </w:rPr>
            </w:pPr>
            <w:r w:rsidRPr="0003092D">
              <w:rPr>
                <w:b/>
                <w:bCs/>
              </w:rPr>
              <w:t>2.7%</w:t>
            </w:r>
          </w:p>
        </w:tc>
        <w:tc>
          <w:tcPr>
            <w:tcW w:w="3230" w:type="dxa"/>
            <w:gridSpan w:val="2"/>
            <w:shd w:val="clear" w:color="auto" w:fill="F3FBFF"/>
            <w:vAlign w:val="bottom"/>
          </w:tcPr>
          <w:p w:rsidR="00A21AD9" w:rsidRPr="00AB7ECC" w:rsidP="001204C5" w14:paraId="14F67B73" w14:textId="77777777">
            <w:pPr>
              <w:pStyle w:val="Table11Basic"/>
              <w:keepNext/>
              <w:keepLines/>
            </w:pPr>
            <w:r w:rsidRPr="00AB7ECC">
              <w:t> </w:t>
            </w:r>
          </w:p>
        </w:tc>
      </w:tr>
      <w:tr w14:paraId="466E3ECB" w14:textId="77777777" w:rsidTr="0003092D">
        <w:tblPrEx>
          <w:tblW w:w="9360" w:type="dxa"/>
          <w:tblCellMar>
            <w:left w:w="58" w:type="dxa"/>
            <w:right w:w="58" w:type="dxa"/>
          </w:tblCellMar>
          <w:tblLook w:val="0420"/>
        </w:tblPrEx>
        <w:trPr>
          <w:trHeight w:val="394"/>
        </w:trPr>
        <w:tc>
          <w:tcPr>
            <w:tcW w:w="1261" w:type="dxa"/>
            <w:vMerge w:val="restart"/>
            <w:shd w:val="clear" w:color="auto" w:fill="FFFFFF" w:themeFill="background1"/>
          </w:tcPr>
          <w:p w:rsidR="00A21AD9" w:rsidRPr="00AB7ECC" w:rsidP="001204C5" w14:paraId="1D6C2B42" w14:textId="79D9F9E5">
            <w:pPr>
              <w:pStyle w:val="Table11Basic"/>
              <w:keepNext/>
              <w:keepLines/>
            </w:pPr>
            <w:r w:rsidRPr="00AB7ECC">
              <w:t>Charter v</w:t>
            </w:r>
            <w:r>
              <w:t>ersus</w:t>
            </w:r>
            <w:r w:rsidRPr="00AB7ECC">
              <w:t xml:space="preserve"> noncharter LEA</w:t>
            </w:r>
          </w:p>
        </w:tc>
        <w:tc>
          <w:tcPr>
            <w:tcW w:w="1799" w:type="dxa"/>
            <w:shd w:val="clear" w:color="auto" w:fill="FFFFFF" w:themeFill="background1"/>
            <w:vAlign w:val="bottom"/>
          </w:tcPr>
          <w:p w:rsidR="00A21AD9" w:rsidRPr="00AB7ECC" w:rsidP="001204C5" w14:paraId="59C43960" w14:textId="77777777">
            <w:pPr>
              <w:pStyle w:val="Table11Basic"/>
              <w:keepNext/>
              <w:keepLines/>
            </w:pPr>
            <w:r w:rsidRPr="00AB7ECC">
              <w:t>Charter</w:t>
            </w:r>
          </w:p>
        </w:tc>
        <w:tc>
          <w:tcPr>
            <w:tcW w:w="2021" w:type="dxa"/>
            <w:shd w:val="clear" w:color="auto" w:fill="FFFFFF" w:themeFill="background1"/>
            <w:vAlign w:val="bottom"/>
          </w:tcPr>
          <w:p w:rsidR="00A21AD9" w:rsidRPr="00AB7ECC" w:rsidP="00A626EA" w14:paraId="57D9ECC5" w14:textId="77777777">
            <w:pPr>
              <w:pStyle w:val="Table11Basic"/>
              <w:keepNext/>
              <w:keepLines/>
              <w:jc w:val="center"/>
              <w:rPr>
                <w:rFonts w:eastAsia="Yu Mincho"/>
                <w:kern w:val="2"/>
                <w14:ligatures w14:val="standardContextual"/>
              </w:rPr>
            </w:pPr>
            <w:r w:rsidRPr="00AB7ECC">
              <w:t>100</w:t>
            </w:r>
          </w:p>
        </w:tc>
        <w:tc>
          <w:tcPr>
            <w:tcW w:w="1049" w:type="dxa"/>
            <w:shd w:val="clear" w:color="auto" w:fill="FFFFFF" w:themeFill="background1"/>
            <w:vAlign w:val="bottom"/>
          </w:tcPr>
          <w:p w:rsidR="00A21AD9" w:rsidRPr="00AB7ECC" w:rsidP="00A626EA" w14:paraId="5E5D13B0" w14:textId="77777777">
            <w:pPr>
              <w:pStyle w:val="Table11Basic"/>
              <w:keepNext/>
              <w:keepLines/>
              <w:jc w:val="center"/>
              <w:rPr>
                <w:rFonts w:eastAsia="Yu Mincho"/>
                <w:kern w:val="2"/>
                <w14:ligatures w14:val="standardContextual"/>
              </w:rPr>
            </w:pPr>
            <w:r w:rsidRPr="00AB7ECC">
              <w:t>14.0%</w:t>
            </w:r>
          </w:p>
        </w:tc>
        <w:tc>
          <w:tcPr>
            <w:tcW w:w="3230" w:type="dxa"/>
            <w:gridSpan w:val="2"/>
            <w:shd w:val="clear" w:color="auto" w:fill="FFFFFF" w:themeFill="background1"/>
            <w:vAlign w:val="bottom"/>
          </w:tcPr>
          <w:p w:rsidR="00A21AD9" w:rsidRPr="00AB7ECC" w:rsidP="001204C5" w14:paraId="33C923C6" w14:textId="3A54D202">
            <w:pPr>
              <w:pStyle w:val="Table11Basic"/>
              <w:keepNext/>
              <w:keepLines/>
            </w:pPr>
            <w:r w:rsidRPr="00AB7ECC">
              <w:t>20.5% v</w:t>
            </w:r>
            <w:r>
              <w:t>ersus</w:t>
            </w:r>
            <w:r w:rsidRPr="00AB7ECC">
              <w:t xml:space="preserve"> noncharter</w:t>
            </w:r>
          </w:p>
        </w:tc>
      </w:tr>
      <w:tr w14:paraId="27805728" w14:textId="77777777" w:rsidTr="0003092D">
        <w:tblPrEx>
          <w:tblW w:w="9360" w:type="dxa"/>
          <w:tblCellMar>
            <w:left w:w="58" w:type="dxa"/>
            <w:right w:w="58" w:type="dxa"/>
          </w:tblCellMar>
          <w:tblLook w:val="0420"/>
        </w:tblPrEx>
        <w:trPr>
          <w:trHeight w:val="394"/>
        </w:trPr>
        <w:tc>
          <w:tcPr>
            <w:tcW w:w="1261" w:type="dxa"/>
            <w:vMerge/>
            <w:shd w:val="clear" w:color="auto" w:fill="FFFFFF" w:themeFill="background1"/>
          </w:tcPr>
          <w:p w:rsidR="00A21AD9" w:rsidRPr="00AB7ECC" w:rsidP="001204C5" w14:paraId="0E6BBFC0" w14:textId="77777777">
            <w:pPr>
              <w:keepNext/>
              <w:keepLines/>
              <w:spacing w:before="30" w:after="30"/>
              <w:rPr>
                <w:rFonts w:ascii="Calibri" w:eastAsia="Yu Mincho" w:hAnsi="Calibri" w:cs="Calibri"/>
                <w:color w:val="auto"/>
                <w:kern w:val="2"/>
                <w:sz w:val="22"/>
                <w:szCs w:val="22"/>
                <w14:ligatures w14:val="standardContextual"/>
              </w:rPr>
            </w:pPr>
          </w:p>
        </w:tc>
        <w:tc>
          <w:tcPr>
            <w:tcW w:w="1799" w:type="dxa"/>
            <w:shd w:val="clear" w:color="auto" w:fill="FFFFFF" w:themeFill="background1"/>
            <w:vAlign w:val="bottom"/>
          </w:tcPr>
          <w:p w:rsidR="00A21AD9" w:rsidRPr="00AB7ECC" w:rsidP="001204C5" w14:paraId="56A7DF99" w14:textId="63096E51">
            <w:pPr>
              <w:pStyle w:val="Table11Basic"/>
              <w:keepNext/>
              <w:keepLines/>
            </w:pPr>
            <w:r w:rsidRPr="00AB7ECC">
              <w:t>Noncharter</w:t>
            </w:r>
          </w:p>
        </w:tc>
        <w:tc>
          <w:tcPr>
            <w:tcW w:w="2021" w:type="dxa"/>
            <w:shd w:val="clear" w:color="auto" w:fill="FFFFFF" w:themeFill="background1"/>
            <w:vAlign w:val="bottom"/>
          </w:tcPr>
          <w:p w:rsidR="00A21AD9" w:rsidRPr="00AB7ECC" w:rsidP="00A626EA" w14:paraId="0139C8ED" w14:textId="77777777">
            <w:pPr>
              <w:pStyle w:val="Table11Basic"/>
              <w:keepNext/>
              <w:keepLines/>
              <w:jc w:val="center"/>
              <w:rPr>
                <w:rFonts w:eastAsia="Yu Mincho"/>
                <w:kern w:val="2"/>
                <w14:ligatures w14:val="standardContextual"/>
              </w:rPr>
            </w:pPr>
            <w:r w:rsidRPr="00AB7ECC">
              <w:t>863</w:t>
            </w:r>
          </w:p>
        </w:tc>
        <w:tc>
          <w:tcPr>
            <w:tcW w:w="1049" w:type="dxa"/>
            <w:shd w:val="clear" w:color="auto" w:fill="FFFFFF" w:themeFill="background1"/>
            <w:vAlign w:val="bottom"/>
          </w:tcPr>
          <w:p w:rsidR="00A21AD9" w:rsidRPr="00AB7ECC" w:rsidP="00A626EA" w14:paraId="20DDE57F" w14:textId="77777777">
            <w:pPr>
              <w:pStyle w:val="Table11Basic"/>
              <w:keepNext/>
              <w:keepLines/>
              <w:jc w:val="center"/>
              <w:rPr>
                <w:rFonts w:eastAsia="Yu Mincho"/>
                <w:kern w:val="2"/>
                <w14:ligatures w14:val="standardContextual"/>
              </w:rPr>
            </w:pPr>
            <w:r w:rsidRPr="00AB7ECC">
              <w:t>4.1%</w:t>
            </w:r>
          </w:p>
        </w:tc>
        <w:tc>
          <w:tcPr>
            <w:tcW w:w="3230" w:type="dxa"/>
            <w:gridSpan w:val="2"/>
            <w:shd w:val="clear" w:color="auto" w:fill="FFFFFF" w:themeFill="background1"/>
            <w:vAlign w:val="bottom"/>
          </w:tcPr>
          <w:p w:rsidR="00A21AD9" w:rsidRPr="00AB7ECC" w:rsidP="001204C5" w14:paraId="7BB9F1DB" w14:textId="77777777">
            <w:pPr>
              <w:pStyle w:val="Table11Basic"/>
              <w:keepNext/>
              <w:keepLines/>
            </w:pPr>
            <w:r w:rsidRPr="00AB7ECC">
              <w:t>20.5% v</w:t>
            </w:r>
            <w:r>
              <w:t>ersus</w:t>
            </w:r>
            <w:r w:rsidRPr="00AB7ECC">
              <w:t xml:space="preserve"> charter</w:t>
            </w:r>
          </w:p>
        </w:tc>
      </w:tr>
      <w:tr w14:paraId="3337F456" w14:textId="77777777" w:rsidTr="0003092D">
        <w:tblPrEx>
          <w:tblW w:w="9360" w:type="dxa"/>
          <w:tblCellMar>
            <w:left w:w="58" w:type="dxa"/>
            <w:right w:w="58" w:type="dxa"/>
          </w:tblCellMar>
          <w:tblLook w:val="0420"/>
        </w:tblPrEx>
        <w:trPr>
          <w:trHeight w:val="394"/>
        </w:trPr>
        <w:tc>
          <w:tcPr>
            <w:tcW w:w="1261" w:type="dxa"/>
            <w:vMerge/>
            <w:shd w:val="clear" w:color="auto" w:fill="FFFFFF" w:themeFill="background1"/>
          </w:tcPr>
          <w:p w:rsidR="00A21AD9" w:rsidRPr="00AB7ECC" w:rsidP="001204C5" w14:paraId="019C6DAE" w14:textId="77777777">
            <w:pPr>
              <w:keepNext/>
              <w:keepLines/>
              <w:spacing w:before="30" w:after="30"/>
              <w:rPr>
                <w:rFonts w:ascii="Calibri" w:eastAsia="Yu Mincho" w:hAnsi="Calibri" w:cs="Calibri"/>
                <w:color w:val="auto"/>
                <w:kern w:val="2"/>
                <w:sz w:val="22"/>
                <w:szCs w:val="22"/>
                <w14:ligatures w14:val="standardContextual"/>
              </w:rPr>
            </w:pPr>
          </w:p>
        </w:tc>
        <w:tc>
          <w:tcPr>
            <w:tcW w:w="1799" w:type="dxa"/>
            <w:shd w:val="clear" w:color="auto" w:fill="FFFFFF" w:themeFill="background1"/>
            <w:vAlign w:val="bottom"/>
          </w:tcPr>
          <w:p w:rsidR="00A21AD9" w:rsidRPr="002036F6" w:rsidP="001204C5" w14:paraId="69285F03" w14:textId="77777777">
            <w:pPr>
              <w:pStyle w:val="Table11Basic"/>
              <w:keepNext/>
              <w:keepLines/>
              <w:rPr>
                <w:b/>
                <w:bCs/>
              </w:rPr>
            </w:pPr>
            <w:r w:rsidRPr="002036F6">
              <w:rPr>
                <w:b/>
                <w:bCs/>
              </w:rPr>
              <w:t>Total</w:t>
            </w:r>
          </w:p>
        </w:tc>
        <w:tc>
          <w:tcPr>
            <w:tcW w:w="2021" w:type="dxa"/>
            <w:shd w:val="clear" w:color="auto" w:fill="FFFFFF" w:themeFill="background1"/>
            <w:vAlign w:val="bottom"/>
          </w:tcPr>
          <w:p w:rsidR="00A21AD9" w:rsidRPr="0003092D" w:rsidP="00A626EA" w14:paraId="4CD1D5C6" w14:textId="77777777">
            <w:pPr>
              <w:pStyle w:val="Table11Basic"/>
              <w:keepNext/>
              <w:keepLines/>
              <w:jc w:val="center"/>
              <w:rPr>
                <w:rFonts w:eastAsia="Yu Mincho"/>
                <w:b/>
                <w:bCs/>
                <w:kern w:val="2"/>
                <w14:ligatures w14:val="standardContextual"/>
              </w:rPr>
            </w:pPr>
            <w:r w:rsidRPr="0003092D">
              <w:rPr>
                <w:b/>
                <w:bCs/>
              </w:rPr>
              <w:t>963</w:t>
            </w:r>
          </w:p>
        </w:tc>
        <w:tc>
          <w:tcPr>
            <w:tcW w:w="1049" w:type="dxa"/>
            <w:shd w:val="clear" w:color="auto" w:fill="FFFFFF" w:themeFill="background1"/>
            <w:vAlign w:val="bottom"/>
          </w:tcPr>
          <w:p w:rsidR="00A21AD9" w:rsidRPr="0003092D" w:rsidP="00A626EA" w14:paraId="2902F083" w14:textId="77777777">
            <w:pPr>
              <w:pStyle w:val="Table11Basic"/>
              <w:keepNext/>
              <w:keepLines/>
              <w:jc w:val="center"/>
              <w:rPr>
                <w:rFonts w:eastAsia="Yu Mincho"/>
                <w:b/>
                <w:bCs/>
                <w:kern w:val="2"/>
                <w14:ligatures w14:val="standardContextual"/>
              </w:rPr>
            </w:pPr>
            <w:r w:rsidRPr="0003092D">
              <w:rPr>
                <w:b/>
                <w:bCs/>
              </w:rPr>
              <w:t>2.7%</w:t>
            </w:r>
          </w:p>
        </w:tc>
        <w:tc>
          <w:tcPr>
            <w:tcW w:w="3230" w:type="dxa"/>
            <w:gridSpan w:val="2"/>
            <w:shd w:val="clear" w:color="auto" w:fill="FFFFFF" w:themeFill="background1"/>
          </w:tcPr>
          <w:p w:rsidR="00A21AD9" w:rsidRPr="00AB7ECC" w:rsidP="001204C5" w14:paraId="70D1946C" w14:textId="77777777">
            <w:pPr>
              <w:pStyle w:val="Table11Basic"/>
              <w:keepNext/>
              <w:keepLines/>
            </w:pPr>
            <w:r w:rsidRPr="00AB7ECC">
              <w:t> </w:t>
            </w:r>
          </w:p>
        </w:tc>
      </w:tr>
    </w:tbl>
    <w:p w:rsidR="00A21AD9" w:rsidRPr="00AB7ECC" w:rsidP="00A21AD9" w14:paraId="04A55FE3" w14:textId="75479300">
      <w:pPr>
        <w:pStyle w:val="ExhibitNote"/>
        <w:spacing w:before="60"/>
        <w:rPr>
          <w:rFonts w:eastAsia="Calibri"/>
        </w:rPr>
      </w:pPr>
      <w:r w:rsidRPr="00F54294">
        <w:rPr>
          <w:rFonts w:eastAsia="Calibri"/>
          <w:i/>
          <w:iCs/>
        </w:rPr>
        <w:t>Note.</w:t>
      </w:r>
      <w:r w:rsidRPr="00AB7ECC">
        <w:rPr>
          <w:rFonts w:eastAsia="Calibri"/>
        </w:rPr>
        <w:t xml:space="preserve"> </w:t>
      </w:r>
      <w:r w:rsidR="003322E9">
        <w:rPr>
          <w:rFonts w:eastAsia="Calibri"/>
        </w:rPr>
        <w:t xml:space="preserve">FRPL = free or reduced-price lunch. </w:t>
      </w:r>
      <w:r w:rsidRPr="00AB7ECC">
        <w:rPr>
          <w:rFonts w:eastAsia="Calibri"/>
        </w:rPr>
        <w:t>The minimum detectable difference (MDD) is the threshold for identifying a statistically significant difference between specific student groups, for a test at the 5</w:t>
      </w:r>
      <w:r w:rsidRPr="006E4764">
        <w:t xml:space="preserve"> </w:t>
      </w:r>
      <w:r>
        <w:t>percent</w:t>
      </w:r>
      <w:r w:rsidRPr="00AB7ECC">
        <w:rPr>
          <w:rFonts w:eastAsia="Calibri"/>
        </w:rPr>
        <w:t xml:space="preserve"> </w:t>
      </w:r>
      <w:r w:rsidRPr="00AB7ECC">
        <w:rPr>
          <w:rFonts w:eastAsia="Calibri"/>
        </w:rPr>
        <w:t>level with 80</w:t>
      </w:r>
      <w:r w:rsidRPr="006E4764">
        <w:t xml:space="preserve"> </w:t>
      </w:r>
      <w:r>
        <w:t>percent</w:t>
      </w:r>
      <w:r w:rsidRPr="00AB7ECC">
        <w:rPr>
          <w:rFonts w:eastAsia="Calibri"/>
        </w:rPr>
        <w:t xml:space="preserve"> </w:t>
      </w:r>
      <w:r w:rsidRPr="00AB7ECC">
        <w:rPr>
          <w:rFonts w:eastAsia="Calibri"/>
        </w:rPr>
        <w:t>statistical power.</w:t>
      </w:r>
    </w:p>
    <w:p w:rsidR="00A21AD9" w:rsidRPr="00CB3180" w:rsidP="00FB79F2" w14:paraId="079EA91E" w14:textId="4B5E45F1">
      <w:pPr>
        <w:pStyle w:val="Heading3"/>
      </w:pPr>
      <w:bookmarkStart w:id="26" w:name="_Toc217324947"/>
      <w:r w:rsidRPr="00CB3180">
        <w:t>B.1.6</w:t>
      </w:r>
      <w:r w:rsidR="00EB1580">
        <w:t>.</w:t>
      </w:r>
      <w:r w:rsidRPr="00CB3180">
        <w:t xml:space="preserve"> Sampling Students Who Do Not Receive Special Education</w:t>
      </w:r>
      <w:bookmarkEnd w:id="26"/>
    </w:p>
    <w:p w:rsidR="00A21AD9" w:rsidP="008238D9" w14:paraId="6CCA85C3" w14:textId="6EBD534F">
      <w:pPr>
        <w:pStyle w:val="BodyTextPostHeading"/>
      </w:pPr>
      <w:r>
        <w:t xml:space="preserve">A national sample of students who do not receive special education is also included in the study’s sample design. </w:t>
      </w:r>
      <w:r w:rsidR="00EE073C">
        <w:t>This</w:t>
      </w:r>
      <w:r>
        <w:t xml:space="preserve"> sample is needed to generate national average spending estimates for students who do not receive special education, for comparison with spending estimates for SWDs. </w:t>
      </w:r>
    </w:p>
    <w:p w:rsidR="00A21AD9" w:rsidRPr="00C43783" w:rsidP="008238D9" w14:paraId="307A8DF1" w14:textId="31B293F4">
      <w:pPr>
        <w:pStyle w:val="BodyText"/>
      </w:pPr>
      <w:r w:rsidRPr="00C43783">
        <w:t xml:space="preserve">A random sample of </w:t>
      </w:r>
      <w:r w:rsidR="00EE073C">
        <w:t>students who do not receive special education</w:t>
      </w:r>
      <w:r w:rsidRPr="00C43783">
        <w:t xml:space="preserve"> will be drawn from the sampled schools, using the student rosters provided by LEAs. </w:t>
      </w:r>
      <w:r w:rsidR="00EE073C">
        <w:t>The sample</w:t>
      </w:r>
      <w:r w:rsidRPr="00C43783">
        <w:t xml:space="preserve"> selection probabilities within schools will be determined using a probability-proportional-to-size approach, with the school sampling weight serving as the measure of size to equalize student selection probabilities across the sample. Eligible students on each school’s roster will be randomly sorted, and students whose cumulative selection probability reaches an integer value will be selected. Assuming the average spending ratio of SWDs to </w:t>
      </w:r>
      <w:r w:rsidR="004A3FB4">
        <w:t>students who do not receive special education</w:t>
      </w:r>
      <w:r w:rsidRPr="00C43783">
        <w:t xml:space="preserve"> is 1.91, based on the SEEP study, a maximum ICC (0.87) of SWD categories, and a minimum standard deviation to mean ratio (0.23) of SWD categories, a sample of </w:t>
      </w:r>
      <w:r w:rsidRPr="0033452F">
        <w:t xml:space="preserve">2,000 responding </w:t>
      </w:r>
      <w:r w:rsidR="004A3FB4">
        <w:t>s</w:t>
      </w:r>
      <w:r w:rsidRPr="0033452F">
        <w:t>tudents</w:t>
      </w:r>
      <w:r w:rsidR="004A3FB4">
        <w:t xml:space="preserve"> who do not receive special education</w:t>
      </w:r>
      <w:r w:rsidRPr="0033452F">
        <w:t xml:space="preserve"> (the maximum number of SWDs sampled in a disability category) will achieve an RMOE of less than 3 percent.</w:t>
      </w:r>
      <w:r w:rsidRPr="00C43783">
        <w:t xml:space="preserve"> </w:t>
      </w:r>
    </w:p>
    <w:p w:rsidR="00C5094E" w14:paraId="6C1CFB8B" w14:textId="77777777">
      <w:pPr>
        <w:rPr>
          <w:rFonts w:asciiTheme="majorHAnsi" w:eastAsiaTheme="majorEastAsia" w:hAnsiTheme="majorHAnsi" w:cstheme="majorBidi"/>
          <w:b/>
          <w:color w:val="00507F" w:themeColor="accent1"/>
          <w:sz w:val="32"/>
          <w:szCs w:val="32"/>
        </w:rPr>
      </w:pPr>
      <w:bookmarkStart w:id="27" w:name="_Toc185327029"/>
      <w:r>
        <w:br w:type="page"/>
      </w:r>
    </w:p>
    <w:p w:rsidR="00A21AD9" w:rsidP="00C43783" w14:paraId="68A41304" w14:textId="2EFE4800">
      <w:pPr>
        <w:pStyle w:val="Heading2Report"/>
        <w:keepLines/>
      </w:pPr>
      <w:bookmarkStart w:id="28" w:name="_Toc217324948"/>
      <w:r>
        <w:t>B</w:t>
      </w:r>
      <w:r w:rsidRPr="00C07360">
        <w:t xml:space="preserve">.2. </w:t>
      </w:r>
      <w:r>
        <w:t>Procedures for Collection of Information</w:t>
      </w:r>
      <w:bookmarkEnd w:id="27"/>
      <w:bookmarkEnd w:id="28"/>
    </w:p>
    <w:p w:rsidR="00A4597C" w:rsidRPr="00A4597C" w:rsidP="00C43783" w14:paraId="27A6CC90" w14:textId="77777777">
      <w:pPr>
        <w:pStyle w:val="H2Line075-12-6"/>
        <w:keepLines/>
        <w:framePr w:wrap="notBeside"/>
        <w:rPr>
          <w:lang w:eastAsia="en-US"/>
        </w:rPr>
      </w:pPr>
    </w:p>
    <w:p w:rsidR="00A21AD9" w:rsidP="008238D9" w14:paraId="797A70B1" w14:textId="77777777">
      <w:pPr>
        <w:pStyle w:val="BodyTextPostHeading"/>
        <w:rPr>
          <w:b/>
          <w:i/>
          <w:iCs/>
        </w:rPr>
      </w:pPr>
      <w:r w:rsidRPr="00487CB6">
        <w:t xml:space="preserve">The previous section addressed the </w:t>
      </w:r>
      <w:r>
        <w:t>study’</w:t>
      </w:r>
      <w:r w:rsidRPr="00487CB6">
        <w:t>s</w:t>
      </w:r>
      <w:r>
        <w:t xml:space="preserve"> sample design</w:t>
      </w:r>
      <w:r w:rsidRPr="00487CB6">
        <w:t>, including sample selection</w:t>
      </w:r>
      <w:r>
        <w:t xml:space="preserve"> </w:t>
      </w:r>
      <w:r w:rsidRPr="00487CB6">
        <w:t>and precision requirements. This section describes the state, LEA, and school recruitment procedures.</w:t>
      </w:r>
    </w:p>
    <w:p w:rsidR="00C43783" w:rsidP="18ADBCF9" w14:paraId="6CD711C3" w14:textId="720CB07C">
      <w:pPr>
        <w:pStyle w:val="BodyText"/>
        <w:rPr>
          <w:i/>
          <w:iCs/>
        </w:rPr>
      </w:pPr>
      <w:r w:rsidRPr="18ADBCF9">
        <w:rPr>
          <w:color w:val="1C252D"/>
        </w:rPr>
        <w:t>Study recruitment will begin in July 2026 and continue through June 2027.</w:t>
      </w:r>
      <w:r>
        <w:rPr>
          <w:color w:val="1C252D"/>
          <w:vertAlign w:val="superscript"/>
        </w:rPr>
        <w:footnoteReference w:id="24"/>
      </w:r>
      <w:r w:rsidRPr="18ADBCF9">
        <w:rPr>
          <w:color w:val="1C252D"/>
        </w:rPr>
        <w:t xml:space="preserve"> </w:t>
      </w:r>
      <w:r>
        <w:t>R</w:t>
      </w:r>
      <w:r w:rsidRPr="0090585A">
        <w:t xml:space="preserve">ecruitment activities for LEAs and schools include (a) </w:t>
      </w:r>
      <w:r>
        <w:t>updating</w:t>
      </w:r>
      <w:r w:rsidRPr="0090585A">
        <w:t xml:space="preserve"> contact information, (b) identifying appropriate contacts within LEAs and schools </w:t>
      </w:r>
      <w:r>
        <w:t>that</w:t>
      </w:r>
      <w:r w:rsidRPr="0090585A">
        <w:t xml:space="preserve"> can coordinate their response, and (c)</w:t>
      </w:r>
      <w:r w:rsidR="0080405F">
        <w:t> </w:t>
      </w:r>
      <w:r w:rsidRPr="0090585A">
        <w:t xml:space="preserve">preparing and submitting the student directory and enrollment data that are needed to sample students who do and do not receive special education. </w:t>
      </w:r>
      <w:r>
        <w:t xml:space="preserve">AIR’s partner organization, </w:t>
      </w:r>
      <w:r w:rsidRPr="0090585A">
        <w:t>NORC</w:t>
      </w:r>
      <w:r>
        <w:t>,</w:t>
      </w:r>
      <w:r w:rsidRPr="0090585A">
        <w:t xml:space="preserve"> will have primary responsibility for the study recruitment.</w:t>
      </w:r>
      <w:r w:rsidRPr="18ADBCF9">
        <w:rPr>
          <w:i/>
          <w:iCs/>
        </w:rPr>
        <w:t xml:space="preserve"> </w:t>
      </w:r>
    </w:p>
    <w:p w:rsidR="00A21AD9" w:rsidRPr="00C43783" w:rsidP="00FB79F2" w14:paraId="69423A3F" w14:textId="7AADFE6C">
      <w:pPr>
        <w:pStyle w:val="Heading3"/>
      </w:pPr>
      <w:bookmarkStart w:id="29" w:name="_Toc217324949"/>
      <w:r w:rsidRPr="00C43783">
        <w:t>B.2.1</w:t>
      </w:r>
      <w:r w:rsidR="00EB1580">
        <w:t>.</w:t>
      </w:r>
      <w:r w:rsidRPr="00C43783">
        <w:t xml:space="preserve"> State Education Agency Notification</w:t>
      </w:r>
      <w:bookmarkEnd w:id="29"/>
    </w:p>
    <w:p w:rsidR="00A21AD9" w:rsidRPr="00B230A3" w:rsidP="008238D9" w14:paraId="2CC17E25" w14:textId="213B7404">
      <w:pPr>
        <w:pStyle w:val="BodyTextPostHeading"/>
      </w:pPr>
      <w:r w:rsidRPr="00FA03BB">
        <w:t xml:space="preserve">In </w:t>
      </w:r>
      <w:r>
        <w:t>July 2026</w:t>
      </w:r>
      <w:r w:rsidRPr="00B230A3">
        <w:t xml:space="preserve">, NORC will send a notification letter and </w:t>
      </w:r>
      <w:r>
        <w:t>e-</w:t>
      </w:r>
      <w:r w:rsidRPr="00B230A3">
        <w:t>mail to each state’s chief education official</w:t>
      </w:r>
      <w:r>
        <w:t xml:space="preserve"> and the state special education official</w:t>
      </w:r>
      <w:r w:rsidRPr="00B230A3">
        <w:t xml:space="preserve"> that both </w:t>
      </w:r>
      <w:r w:rsidRPr="00CC15EF">
        <w:t xml:space="preserve">solicits the SEA’s support and identifies the LEAs that have been selected to participate in the study (see </w:t>
      </w:r>
      <w:r w:rsidRPr="006F236F">
        <w:t>Attachment</w:t>
      </w:r>
      <w:r>
        <w:t xml:space="preserve"> A</w:t>
      </w:r>
      <w:r w:rsidRPr="00CC15EF">
        <w:t xml:space="preserve">). The letter and email will notify </w:t>
      </w:r>
      <w:r>
        <w:t xml:space="preserve">the </w:t>
      </w:r>
      <w:r w:rsidRPr="00CC15EF">
        <w:t>SEA that (</w:t>
      </w:r>
      <w:r>
        <w:t>a</w:t>
      </w:r>
      <w:r w:rsidRPr="00CC15EF">
        <w:t>) the study is happening, (</w:t>
      </w:r>
      <w:r>
        <w:t>b</w:t>
      </w:r>
      <w:r w:rsidRPr="00CC15EF">
        <w:t>) it is important, and (</w:t>
      </w:r>
      <w:r>
        <w:t>c</w:t>
      </w:r>
      <w:r w:rsidRPr="00CC15EF">
        <w:t xml:space="preserve">) </w:t>
      </w:r>
      <w:r w:rsidR="00C12F07">
        <w:t>request</w:t>
      </w:r>
      <w:r w:rsidRPr="00CC15EF">
        <w:t xml:space="preserve"> support in recruiting LEAs as well as </w:t>
      </w:r>
      <w:r>
        <w:t>the SEA’s</w:t>
      </w:r>
      <w:r w:rsidRPr="00CC15EF">
        <w:t xml:space="preserve"> participation in the study’s </w:t>
      </w:r>
      <w:r w:rsidRPr="006F236F">
        <w:t>SEA Resources Survey</w:t>
      </w:r>
      <w:r w:rsidRPr="00CC15EF">
        <w:t>.</w:t>
      </w:r>
      <w:r w:rsidRPr="00FA03BB">
        <w:t xml:space="preserve"> </w:t>
      </w:r>
    </w:p>
    <w:p w:rsidR="00A21AD9" w:rsidRPr="004616BE" w:rsidP="008238D9" w14:paraId="16112391" w14:textId="200EBCB3">
      <w:pPr>
        <w:pStyle w:val="BodyText"/>
      </w:pPr>
      <w:r>
        <w:t>In a</w:t>
      </w:r>
      <w:r w:rsidRPr="004616BE">
        <w:t xml:space="preserve">ddition, </w:t>
      </w:r>
      <w:r w:rsidR="00EF18E7">
        <w:t>IES</w:t>
      </w:r>
      <w:r w:rsidRPr="004616BE">
        <w:t xml:space="preserve"> will identify ED-sponsored meetings or other gatherings </w:t>
      </w:r>
      <w:r>
        <w:t>at which</w:t>
      </w:r>
      <w:r w:rsidRPr="004616BE">
        <w:t xml:space="preserve"> </w:t>
      </w:r>
      <w:r>
        <w:t>SEA</w:t>
      </w:r>
      <w:r w:rsidRPr="004616BE">
        <w:t xml:space="preserve"> officials and state special education dir</w:t>
      </w:r>
      <w:r>
        <w:t>e</w:t>
      </w:r>
      <w:r w:rsidRPr="004616BE">
        <w:t>ctors will be in attendance and</w:t>
      </w:r>
      <w:r>
        <w:t xml:space="preserve"> will</w:t>
      </w:r>
      <w:r w:rsidRPr="004616BE">
        <w:t xml:space="preserve"> then use </w:t>
      </w:r>
      <w:r w:rsidR="00EF18E7">
        <w:t>the</w:t>
      </w:r>
      <w:r w:rsidR="00B266A2">
        <w:t xml:space="preserve"> </w:t>
      </w:r>
      <w:r w:rsidRPr="004616BE">
        <w:t>opportunities to announce the study</w:t>
      </w:r>
      <w:r>
        <w:t xml:space="preserve"> and field questions</w:t>
      </w:r>
      <w:r w:rsidRPr="004616BE">
        <w:t xml:space="preserve">. </w:t>
      </w:r>
    </w:p>
    <w:p w:rsidR="00A21AD9" w:rsidP="00FB79F2" w14:paraId="2A8E2826" w14:textId="00066734">
      <w:pPr>
        <w:pStyle w:val="Heading3"/>
        <w:rPr>
          <w:color w:val="auto"/>
        </w:rPr>
      </w:pPr>
      <w:bookmarkStart w:id="30" w:name="_Toc217324950"/>
      <w:r w:rsidRPr="00CB3180">
        <w:t>B.2.2</w:t>
      </w:r>
      <w:r w:rsidR="00EB1580">
        <w:t>.</w:t>
      </w:r>
      <w:r w:rsidRPr="00CB3180">
        <w:t xml:space="preserve"> Local Education Agency (LEA) Recruitment</w:t>
      </w:r>
      <w:bookmarkEnd w:id="30"/>
    </w:p>
    <w:p w:rsidR="00A21AD9" w:rsidRPr="003132AA" w:rsidP="008238D9" w14:paraId="2AA715AB" w14:textId="77777777">
      <w:pPr>
        <w:pStyle w:val="BodyTextPostHeading"/>
        <w:rPr>
          <w:b/>
          <w:bCs/>
        </w:rPr>
      </w:pPr>
      <w:r>
        <w:t xml:space="preserve">Before contacting LEAs, </w:t>
      </w:r>
      <w:r w:rsidRPr="003132AA">
        <w:t xml:space="preserve">NORC </w:t>
      </w:r>
      <w:r w:rsidRPr="00A72744">
        <w:t>will</w:t>
      </w:r>
      <w:r w:rsidRPr="003132AA">
        <w:t xml:space="preserve"> </w:t>
      </w:r>
      <w:r>
        <w:t>compile</w:t>
      </w:r>
      <w:r w:rsidRPr="003132AA">
        <w:t xml:space="preserve"> the ne</w:t>
      </w:r>
      <w:r>
        <w:t>c</w:t>
      </w:r>
      <w:r w:rsidRPr="003132AA">
        <w:t xml:space="preserve">essary contact information for each sampled LEA and school, including its location (address) and the name, title, and </w:t>
      </w:r>
      <w:r>
        <w:t>e-</w:t>
      </w:r>
      <w:r w:rsidRPr="003132AA">
        <w:t xml:space="preserve">mail address </w:t>
      </w:r>
      <w:r>
        <w:t>of</w:t>
      </w:r>
      <w:r w:rsidRPr="003132AA">
        <w:t xml:space="preserve"> the initial contact at the location. Verifying </w:t>
      </w:r>
      <w:r>
        <w:t xml:space="preserve">LEA and school names and contact </w:t>
      </w:r>
      <w:r w:rsidRPr="003132AA">
        <w:t xml:space="preserve">information prior to recruitment </w:t>
      </w:r>
      <w:r>
        <w:t xml:space="preserve">activities will </w:t>
      </w:r>
      <w:r w:rsidRPr="003132AA">
        <w:t xml:space="preserve">also provide a chance to confirm whether there have been LEA or school closures, mergers, or splits in the time between the </w:t>
      </w:r>
      <w:r>
        <w:t xml:space="preserve">creation of the </w:t>
      </w:r>
      <w:r w:rsidRPr="003132AA">
        <w:t xml:space="preserve">sample frame and </w:t>
      </w:r>
      <w:r w:rsidRPr="005F7379">
        <w:t>the recruitment phase</w:t>
      </w:r>
      <w:r w:rsidRPr="003132AA">
        <w:t xml:space="preserve">. </w:t>
      </w:r>
    </w:p>
    <w:p w:rsidR="00A21AD9" w:rsidP="008238D9" w14:paraId="66F70F1F" w14:textId="4FFE918F">
      <w:pPr>
        <w:pStyle w:val="BodyText"/>
      </w:pPr>
      <w:r w:rsidRPr="00D21C44">
        <w:t xml:space="preserve">LEA participation </w:t>
      </w:r>
      <w:r w:rsidR="00C12F07">
        <w:t xml:space="preserve">will be secured </w:t>
      </w:r>
      <w:r w:rsidRPr="00D21C44">
        <w:t>before approaching sampled schools</w:t>
      </w:r>
      <w:r>
        <w:t>. The timing for</w:t>
      </w:r>
      <w:r w:rsidRPr="00D21C44">
        <w:t xml:space="preserve"> specific activities may be dependent on </w:t>
      </w:r>
      <w:r>
        <w:t>an</w:t>
      </w:r>
      <w:r w:rsidRPr="00D21C44">
        <w:t xml:space="preserve"> LEA</w:t>
      </w:r>
      <w:r>
        <w:t>’s specific requirements for participation</w:t>
      </w:r>
      <w:r w:rsidRPr="00D21C44">
        <w:t xml:space="preserve">. </w:t>
      </w:r>
      <w:r>
        <w:t xml:space="preserve">Most LEAs are expected to be recruited by December 2026. </w:t>
      </w:r>
      <w:r w:rsidRPr="00D21C44">
        <w:t xml:space="preserve"> </w:t>
      </w:r>
    </w:p>
    <w:p w:rsidR="00A21AD9" w:rsidRPr="008566F1" w:rsidP="008238D9" w14:paraId="2F0BF579" w14:textId="0FB015C0">
      <w:pPr>
        <w:pStyle w:val="BodyText"/>
      </w:pPr>
      <w:r w:rsidRPr="008566F1">
        <w:t>NORC will begin LEA recruitment by sending a letter and study information materials via FedEx or priority mail and e</w:t>
      </w:r>
      <w:r>
        <w:t>-</w:t>
      </w:r>
      <w:r w:rsidRPr="008566F1">
        <w:t>mail to LEA superintendents and special education directors</w:t>
      </w:r>
      <w:r>
        <w:t xml:space="preserve"> (see Attachments A and C)</w:t>
      </w:r>
      <w:r w:rsidRPr="008566F1">
        <w:t>. Immediately after the initial contact, NORC will follow up</w:t>
      </w:r>
      <w:r>
        <w:t xml:space="preserve"> (see Attachment B)</w:t>
      </w:r>
      <w:r w:rsidRPr="008566F1">
        <w:t xml:space="preserve"> by e</w:t>
      </w:r>
      <w:r>
        <w:t>-</w:t>
      </w:r>
      <w:r w:rsidRPr="008566F1">
        <w:t xml:space="preserve">mail and </w:t>
      </w:r>
      <w:r>
        <w:t xml:space="preserve">then </w:t>
      </w:r>
      <w:r w:rsidRPr="008566F1">
        <w:t xml:space="preserve">phone to confirm receipt, answer questions, identify LEA-specific research approval protocols, and secure participation. </w:t>
      </w:r>
      <w:r>
        <w:t xml:space="preserve">NORC will send weekly e-mails until a response is received. If the response is a refusal, NORC recruitment managers will classify it as a soft or hard refusal. Soft refusals, such as refusals due to </w:t>
      </w:r>
      <w:r w:rsidR="00DC3169">
        <w:t>lack of staff</w:t>
      </w:r>
      <w:r>
        <w:t xml:space="preserve">, will </w:t>
      </w:r>
      <w:r w:rsidRPr="0064453B">
        <w:rPr>
          <w:spacing w:val="-4"/>
        </w:rPr>
        <w:t>receive additional follow-up from refusal conversion experts. Hard refusals, such as direction objections because of study requirements, will be considered nonrespondents and all contact ends.</w:t>
      </w:r>
    </w:p>
    <w:p w:rsidR="00A21AD9" w:rsidP="008238D9" w14:paraId="78D4FB4B" w14:textId="00BD67B4">
      <w:pPr>
        <w:pStyle w:val="BodyText"/>
      </w:pPr>
      <w:r>
        <w:t xml:space="preserve">Additional activities to support </w:t>
      </w:r>
      <w:r w:rsidRPr="00A72744">
        <w:t>LEA</w:t>
      </w:r>
      <w:r>
        <w:t xml:space="preserve"> recruitment include the following: </w:t>
      </w:r>
    </w:p>
    <w:p w:rsidR="00A21AD9" w:rsidRPr="008238D9" w:rsidP="00DC3169" w14:paraId="1DB9725F" w14:textId="2C9B922C">
      <w:pPr>
        <w:pStyle w:val="NumberedList"/>
        <w:numPr>
          <w:ilvl w:val="0"/>
          <w:numId w:val="59"/>
        </w:numPr>
      </w:pPr>
      <w:r w:rsidRPr="008238D9">
        <w:rPr>
          <w:rFonts w:eastAsia="Calibri"/>
        </w:rPr>
        <w:t>Send a Family Educational Rights and Privacy Act (FERPA) agreement to each LEA about the directory and enrollment data requested in the student rosters.</w:t>
      </w:r>
    </w:p>
    <w:p w:rsidR="00A21AD9" w:rsidP="00DC3169" w14:paraId="6E655F61" w14:textId="4757AC7F">
      <w:pPr>
        <w:pStyle w:val="NumberedList"/>
        <w:numPr>
          <w:ilvl w:val="0"/>
          <w:numId w:val="59"/>
        </w:numPr>
      </w:pPr>
      <w:r>
        <w:rPr>
          <w:rFonts w:eastAsia="Calibri"/>
        </w:rPr>
        <w:t xml:space="preserve">Provide </w:t>
      </w:r>
      <w:r w:rsidRPr="001A6390">
        <w:rPr>
          <w:rFonts w:eastAsia="Calibri"/>
        </w:rPr>
        <w:t>instructions for generat</w:t>
      </w:r>
      <w:r>
        <w:rPr>
          <w:rFonts w:eastAsia="Calibri"/>
        </w:rPr>
        <w:t>ing</w:t>
      </w:r>
      <w:r w:rsidRPr="001A6390">
        <w:rPr>
          <w:rFonts w:eastAsia="Calibri"/>
        </w:rPr>
        <w:t xml:space="preserve"> </w:t>
      </w:r>
      <w:r>
        <w:rPr>
          <w:rFonts w:eastAsia="Calibri"/>
        </w:rPr>
        <w:t>the student</w:t>
      </w:r>
      <w:r w:rsidRPr="001A6390">
        <w:rPr>
          <w:rFonts w:eastAsia="Calibri"/>
        </w:rPr>
        <w:t xml:space="preserve"> </w:t>
      </w:r>
      <w:r w:rsidRPr="00C476E0">
        <w:rPr>
          <w:rFonts w:eastAsia="Calibri"/>
        </w:rPr>
        <w:t xml:space="preserve">directory and enrollment data </w:t>
      </w:r>
      <w:r w:rsidRPr="001A6390">
        <w:rPr>
          <w:rFonts w:eastAsia="Calibri"/>
        </w:rPr>
        <w:t xml:space="preserve">rosters needed for sampling, </w:t>
      </w:r>
      <w:r>
        <w:rPr>
          <w:rFonts w:eastAsia="Calibri"/>
        </w:rPr>
        <w:t>with</w:t>
      </w:r>
      <w:r w:rsidRPr="001A6390">
        <w:rPr>
          <w:rFonts w:eastAsia="Calibri"/>
        </w:rPr>
        <w:t xml:space="preserve"> experts at </w:t>
      </w:r>
      <w:r w:rsidR="007D0D57">
        <w:rPr>
          <w:rFonts w:eastAsia="Calibri"/>
        </w:rPr>
        <w:t xml:space="preserve">NORC and </w:t>
      </w:r>
      <w:r w:rsidRPr="001A6390">
        <w:rPr>
          <w:rFonts w:eastAsia="Calibri"/>
        </w:rPr>
        <w:t xml:space="preserve">AIR available to </w:t>
      </w:r>
      <w:r>
        <w:rPr>
          <w:rFonts w:eastAsia="Calibri"/>
        </w:rPr>
        <w:t>offer</w:t>
      </w:r>
      <w:r w:rsidRPr="001A6390">
        <w:rPr>
          <w:rFonts w:eastAsia="Calibri"/>
        </w:rPr>
        <w:t xml:space="preserve"> technical assistance, including providing sample code for </w:t>
      </w:r>
      <w:r>
        <w:rPr>
          <w:rFonts w:eastAsia="Calibri"/>
        </w:rPr>
        <w:t>extracting</w:t>
      </w:r>
      <w:r w:rsidRPr="001A6390">
        <w:rPr>
          <w:rFonts w:eastAsia="Calibri"/>
        </w:rPr>
        <w:t xml:space="preserve"> data from administrative data systems. Rosters will be submitted via </w:t>
      </w:r>
      <w:r>
        <w:rPr>
          <w:rFonts w:eastAsia="Calibri"/>
        </w:rPr>
        <w:t>the government-hosted, secure IES data center.</w:t>
      </w:r>
    </w:p>
    <w:p w:rsidR="00A21AD9" w:rsidP="00DC3169" w14:paraId="42090745" w14:textId="000BE801">
      <w:pPr>
        <w:pStyle w:val="NumberedList"/>
        <w:numPr>
          <w:ilvl w:val="0"/>
          <w:numId w:val="59"/>
        </w:numPr>
      </w:pPr>
      <w:r>
        <w:rPr>
          <w:rFonts w:eastAsia="Calibri"/>
        </w:rPr>
        <w:t>P</w:t>
      </w:r>
      <w:r w:rsidRPr="00F25EEF">
        <w:rPr>
          <w:rFonts w:eastAsia="Calibri"/>
        </w:rPr>
        <w:t>repar</w:t>
      </w:r>
      <w:r>
        <w:rPr>
          <w:rFonts w:eastAsia="Calibri"/>
        </w:rPr>
        <w:t xml:space="preserve">e </w:t>
      </w:r>
      <w:r w:rsidRPr="00F25EEF">
        <w:rPr>
          <w:rFonts w:eastAsia="Calibri"/>
        </w:rPr>
        <w:t xml:space="preserve">and submit LEA-specific research request applications for LEAs </w:t>
      </w:r>
      <w:r>
        <w:rPr>
          <w:rFonts w:eastAsia="Calibri"/>
        </w:rPr>
        <w:t>that</w:t>
      </w:r>
      <w:r w:rsidRPr="00F25EEF">
        <w:rPr>
          <w:rFonts w:eastAsia="Calibri"/>
        </w:rPr>
        <w:t xml:space="preserve"> require </w:t>
      </w:r>
      <w:r>
        <w:rPr>
          <w:rFonts w:eastAsia="Calibri"/>
        </w:rPr>
        <w:t>them.</w:t>
      </w:r>
    </w:p>
    <w:p w:rsidR="00A21AD9" w:rsidP="00DC3169" w14:paraId="6F68C5CB" w14:textId="63D00FA1">
      <w:pPr>
        <w:pStyle w:val="NumberedList"/>
        <w:numPr>
          <w:ilvl w:val="0"/>
          <w:numId w:val="59"/>
        </w:numPr>
      </w:pPr>
      <w:r>
        <w:rPr>
          <w:rFonts w:eastAsia="Calibri"/>
        </w:rPr>
        <w:t>Offer</w:t>
      </w:r>
      <w:r w:rsidRPr="00F25EEF">
        <w:rPr>
          <w:rFonts w:eastAsia="Calibri"/>
        </w:rPr>
        <w:t xml:space="preserve"> </w:t>
      </w:r>
      <w:r>
        <w:rPr>
          <w:rFonts w:eastAsia="Calibri"/>
        </w:rPr>
        <w:t>an information session</w:t>
      </w:r>
      <w:r w:rsidRPr="00F25EEF">
        <w:rPr>
          <w:rFonts w:eastAsia="Calibri"/>
        </w:rPr>
        <w:t xml:space="preserve"> for LEA officials to learn more about the study.</w:t>
      </w:r>
    </w:p>
    <w:p w:rsidR="00A21AD9" w:rsidRPr="00CB3180" w:rsidP="00FB79F2" w14:paraId="2178F3E2" w14:textId="10B1F402">
      <w:pPr>
        <w:pStyle w:val="Heading3"/>
      </w:pPr>
      <w:bookmarkStart w:id="31" w:name="_Toc217324951"/>
      <w:r w:rsidRPr="00CB3180">
        <w:t>B.2.3</w:t>
      </w:r>
      <w:r w:rsidR="00EB1580">
        <w:t>.</w:t>
      </w:r>
      <w:r w:rsidRPr="00CB3180">
        <w:t xml:space="preserve"> School Recruitment</w:t>
      </w:r>
      <w:bookmarkEnd w:id="31"/>
    </w:p>
    <w:p w:rsidR="00A21AD9" w:rsidRPr="004C7966" w:rsidP="008238D9" w14:paraId="3830F7C0" w14:textId="77777777">
      <w:pPr>
        <w:pStyle w:val="BodyTextPostHeading"/>
      </w:pPr>
      <w:r w:rsidRPr="004C7966">
        <w:t xml:space="preserve">Generally, the </w:t>
      </w:r>
      <w:r w:rsidRPr="00744EB2">
        <w:t>approach</w:t>
      </w:r>
      <w:r w:rsidRPr="004C7966">
        <w:t xml:space="preserve"> to recruiting schools will mirror </w:t>
      </w:r>
      <w:r w:rsidRPr="0085725C">
        <w:t>the methods used for recruiting</w:t>
      </w:r>
      <w:r>
        <w:t xml:space="preserve"> </w:t>
      </w:r>
      <w:r w:rsidRPr="004C7966">
        <w:t>LEAs. Like LEAs, some schools will take longer to recruit than others</w:t>
      </w:r>
      <w:r>
        <w:t xml:space="preserve">, </w:t>
      </w:r>
      <w:r w:rsidRPr="004C7966">
        <w:t xml:space="preserve">and </w:t>
      </w:r>
      <w:r>
        <w:t xml:space="preserve">the timing of </w:t>
      </w:r>
      <w:r w:rsidRPr="004C7966">
        <w:t xml:space="preserve">recruitment activities will depend on </w:t>
      </w:r>
      <w:r w:rsidRPr="002916EA">
        <w:t>each school’s circumstances</w:t>
      </w:r>
      <w:r w:rsidRPr="004C7966">
        <w:t xml:space="preserve">. </w:t>
      </w:r>
    </w:p>
    <w:p w:rsidR="00A21AD9" w:rsidRPr="004C7966" w:rsidP="008238D9" w14:paraId="499D41A3" w14:textId="3FF48635">
      <w:pPr>
        <w:pStyle w:val="BodyText"/>
      </w:pPr>
      <w:r>
        <w:t>Once</w:t>
      </w:r>
      <w:r w:rsidRPr="004C7966">
        <w:t xml:space="preserve"> an LEA agree</w:t>
      </w:r>
      <w:r>
        <w:t>s</w:t>
      </w:r>
      <w:r w:rsidRPr="004C7966">
        <w:t xml:space="preserve"> to participate, NORC will</w:t>
      </w:r>
    </w:p>
    <w:p w:rsidR="00A21AD9" w:rsidRPr="004C7966" w:rsidP="00734A80" w14:paraId="30EBEF98" w14:textId="36A102EB">
      <w:pPr>
        <w:pStyle w:val="Bullet1"/>
      </w:pPr>
      <w:r w:rsidRPr="004C7966">
        <w:t xml:space="preserve">send initial notification to </w:t>
      </w:r>
      <w:r w:rsidR="007D0D57">
        <w:t xml:space="preserve">sampled </w:t>
      </w:r>
      <w:r w:rsidRPr="004C7966">
        <w:t>schools within 7</w:t>
      </w:r>
      <w:r>
        <w:t xml:space="preserve"> to </w:t>
      </w:r>
      <w:r w:rsidRPr="004C7966">
        <w:t xml:space="preserve">10 business days </w:t>
      </w:r>
      <w:r>
        <w:t>after</w:t>
      </w:r>
      <w:r w:rsidRPr="004C7966">
        <w:t xml:space="preserve"> receiving the LEA</w:t>
      </w:r>
      <w:r>
        <w:t>’s</w:t>
      </w:r>
      <w:r w:rsidRPr="004C7966">
        <w:t xml:space="preserve"> </w:t>
      </w:r>
      <w:r>
        <w:t>agreement</w:t>
      </w:r>
      <w:r w:rsidRPr="004C7966">
        <w:t xml:space="preserve"> to participate</w:t>
      </w:r>
      <w:r>
        <w:t>, with t</w:t>
      </w:r>
      <w:r w:rsidRPr="004C7966">
        <w:t>he communication referenc</w:t>
      </w:r>
      <w:r>
        <w:t>ing</w:t>
      </w:r>
      <w:r w:rsidRPr="004C7966">
        <w:t xml:space="preserve"> the LEA</w:t>
      </w:r>
      <w:r>
        <w:t>’s</w:t>
      </w:r>
      <w:r w:rsidRPr="004C7966">
        <w:t xml:space="preserve"> participation approval</w:t>
      </w:r>
      <w:r>
        <w:t>;</w:t>
      </w:r>
    </w:p>
    <w:p w:rsidR="00A21AD9" w:rsidRPr="004C7966" w:rsidP="00734A80" w14:paraId="66536AD7" w14:textId="539EC2D5">
      <w:pPr>
        <w:pStyle w:val="Bullet1"/>
      </w:pPr>
      <w:r w:rsidRPr="004C7966">
        <w:t>follow up with the school by e</w:t>
      </w:r>
      <w:r>
        <w:t>-</w:t>
      </w:r>
      <w:r w:rsidRPr="004C7966">
        <w:t xml:space="preserve">mail and phone within </w:t>
      </w:r>
      <w:r>
        <w:t>3</w:t>
      </w:r>
      <w:r w:rsidRPr="004C7966">
        <w:t xml:space="preserve"> days </w:t>
      </w:r>
      <w:r>
        <w:t>after</w:t>
      </w:r>
      <w:r w:rsidRPr="004C7966">
        <w:t xml:space="preserve"> the school receive</w:t>
      </w:r>
      <w:r>
        <w:t>s</w:t>
      </w:r>
      <w:r w:rsidRPr="004C7966">
        <w:t xml:space="preserve"> its mailing to confirm receipt, answer questions, and secure participation</w:t>
      </w:r>
      <w:r>
        <w:t>;</w:t>
      </w:r>
    </w:p>
    <w:p w:rsidR="00A21AD9" w:rsidRPr="004C7966" w:rsidP="00734A80" w14:paraId="2936A508" w14:textId="0CA5473D">
      <w:pPr>
        <w:pStyle w:val="Bullet1"/>
      </w:pPr>
      <w:r w:rsidRPr="004C7966">
        <w:t xml:space="preserve">send a weekly batch </w:t>
      </w:r>
      <w:r>
        <w:t>e-</w:t>
      </w:r>
      <w:r w:rsidRPr="004C7966">
        <w:t xml:space="preserve">mail until personal contact is made with the </w:t>
      </w:r>
      <w:r>
        <w:t xml:space="preserve">school’s </w:t>
      </w:r>
      <w:r w:rsidRPr="004C7966">
        <w:t>point of contact</w:t>
      </w:r>
      <w:r>
        <w:t>; and</w:t>
      </w:r>
    </w:p>
    <w:p w:rsidR="00A21AD9" w:rsidRPr="004C7966" w:rsidP="00734A80" w14:paraId="3065DF1A" w14:textId="4AD8BD64">
      <w:pPr>
        <w:pStyle w:val="Bullet1"/>
      </w:pPr>
      <w:r w:rsidRPr="004C7966">
        <w:t xml:space="preserve">request assistance from the LEA point of contact </w:t>
      </w:r>
      <w:r>
        <w:t>to connect</w:t>
      </w:r>
      <w:r w:rsidRPr="004C7966">
        <w:t xml:space="preserve"> with the school if contact (by phone or </w:t>
      </w:r>
      <w:r>
        <w:t>e-mail</w:t>
      </w:r>
      <w:r w:rsidRPr="004C7966">
        <w:t xml:space="preserve">) is not made within </w:t>
      </w:r>
      <w:r>
        <w:t>2</w:t>
      </w:r>
      <w:r w:rsidRPr="004C7966">
        <w:t xml:space="preserve"> weeks </w:t>
      </w:r>
      <w:r>
        <w:t>after</w:t>
      </w:r>
      <w:r w:rsidRPr="004C7966">
        <w:t xml:space="preserve"> the mailing</w:t>
      </w:r>
      <w:r>
        <w:t>’s</w:t>
      </w:r>
      <w:r w:rsidRPr="004C7966">
        <w:t xml:space="preserve"> </w:t>
      </w:r>
      <w:r>
        <w:t>being</w:t>
      </w:r>
      <w:r w:rsidRPr="004C7966">
        <w:t xml:space="preserve"> sent.</w:t>
      </w:r>
      <w:r>
        <w:t xml:space="preserve"> </w:t>
      </w:r>
    </w:p>
    <w:p w:rsidR="00A21AD9" w:rsidRPr="004C7966" w:rsidP="008238D9" w14:paraId="4F2CAEF4" w14:textId="1D1A2D5A">
      <w:pPr>
        <w:pStyle w:val="BodyText"/>
      </w:pPr>
      <w:r>
        <w:t>S</w:t>
      </w:r>
      <w:r w:rsidRPr="004C7966">
        <w:t>chool principal</w:t>
      </w:r>
      <w:r>
        <w:t>s</w:t>
      </w:r>
      <w:r w:rsidRPr="004C7966">
        <w:t xml:space="preserve"> or other school leader</w:t>
      </w:r>
      <w:r>
        <w:t>s</w:t>
      </w:r>
      <w:r w:rsidRPr="004C7966">
        <w:t xml:space="preserve"> </w:t>
      </w:r>
      <w:r>
        <w:t xml:space="preserve">will </w:t>
      </w:r>
      <w:r>
        <w:t>designate</w:t>
      </w:r>
      <w:r w:rsidRPr="004C7966">
        <w:t xml:space="preserve"> a “school coordinator” to </w:t>
      </w:r>
      <w:r>
        <w:t>manage</w:t>
      </w:r>
      <w:r w:rsidRPr="004C7966">
        <w:t xml:space="preserve"> data collection</w:t>
      </w:r>
      <w:r>
        <w:t xml:space="preserve"> efforts</w:t>
      </w:r>
      <w:r w:rsidRPr="004C7966">
        <w:t xml:space="preserve">, including prompting teachers and related service providers to respond to surveys. </w:t>
      </w:r>
    </w:p>
    <w:p w:rsidR="00A21AD9" w:rsidP="00A21AD9" w14:paraId="00409D90" w14:textId="77777777">
      <w:pPr>
        <w:spacing w:after="120"/>
        <w:rPr>
          <w:rFonts w:ascii="Calibri" w:eastAsia="Calibri" w:hAnsi="Calibri" w:cs="Times New Roman"/>
          <w:color w:val="1C252D"/>
          <w:szCs w:val="20"/>
        </w:rPr>
      </w:pPr>
      <w:r>
        <w:t>The same</w:t>
      </w:r>
      <w:r w:rsidRPr="004C7966">
        <w:t xml:space="preserve"> refusal </w:t>
      </w:r>
      <w:r>
        <w:t>conversion</w:t>
      </w:r>
      <w:r w:rsidRPr="004C7966">
        <w:t xml:space="preserve"> procedure described for LEAs</w:t>
      </w:r>
      <w:r w:rsidRPr="009837AA">
        <w:t xml:space="preserve"> will be applied to schools</w:t>
      </w:r>
      <w:r w:rsidRPr="004C7966">
        <w:t>.</w:t>
      </w:r>
    </w:p>
    <w:p w:rsidR="00A21AD9" w:rsidRPr="00CB3180" w:rsidP="00FB79F2" w14:paraId="49E94566" w14:textId="15EABA76">
      <w:pPr>
        <w:pStyle w:val="Heading3"/>
      </w:pPr>
      <w:bookmarkStart w:id="32" w:name="_Toc217324952"/>
      <w:r w:rsidRPr="00CB3180">
        <w:t>B.2.4</w:t>
      </w:r>
      <w:r w:rsidR="00EB1580">
        <w:t>.</w:t>
      </w:r>
      <w:r w:rsidRPr="00CB3180">
        <w:t xml:space="preserve"> Collecting Directory and Student Enrollment Rosters</w:t>
      </w:r>
      <w:bookmarkEnd w:id="32"/>
      <w:r w:rsidRPr="00CB3180">
        <w:t xml:space="preserve"> </w:t>
      </w:r>
    </w:p>
    <w:p w:rsidR="00A21AD9" w:rsidRPr="00051676" w:rsidP="008238D9" w14:paraId="15183AB7" w14:textId="276DBB21">
      <w:pPr>
        <w:pStyle w:val="BodyTextPostHeading"/>
      </w:pPr>
      <w:r w:rsidRPr="00B360A3">
        <w:rPr>
          <w:rFonts w:ascii="Calibri" w:hAnsi="Calibri"/>
        </w:rPr>
        <w:t xml:space="preserve">As </w:t>
      </w:r>
      <w:r>
        <w:rPr>
          <w:rFonts w:ascii="Calibri" w:hAnsi="Calibri"/>
        </w:rPr>
        <w:t xml:space="preserve">was </w:t>
      </w:r>
      <w:r w:rsidRPr="00B360A3">
        <w:rPr>
          <w:rFonts w:ascii="Calibri" w:hAnsi="Calibri"/>
        </w:rPr>
        <w:t xml:space="preserve">described in Part A, </w:t>
      </w:r>
      <w:r>
        <w:rPr>
          <w:rFonts w:ascii="Calibri" w:hAnsi="Calibri"/>
        </w:rPr>
        <w:t xml:space="preserve">section A.3, </w:t>
      </w:r>
      <w:r w:rsidR="005D6BB0">
        <w:rPr>
          <w:rFonts w:ascii="Calibri" w:hAnsi="Calibri"/>
        </w:rPr>
        <w:t>the study team</w:t>
      </w:r>
      <w:r w:rsidRPr="00B360A3">
        <w:t xml:space="preserve"> will </w:t>
      </w:r>
      <w:r w:rsidRPr="00051676">
        <w:t>request student directory information and enrollment rosters from LEAs as part of the study’s prefielding activities</w:t>
      </w:r>
      <w:r>
        <w:t>. S</w:t>
      </w:r>
      <w:r w:rsidRPr="00051676">
        <w:t xml:space="preserve">ee Attachment D for a list of the specific information </w:t>
      </w:r>
      <w:r>
        <w:t xml:space="preserve">that will be </w:t>
      </w:r>
      <w:r w:rsidRPr="00051676">
        <w:t>requested.</w:t>
      </w:r>
    </w:p>
    <w:p w:rsidR="00A4597C" w:rsidP="00A4597C" w14:paraId="3B87731A" w14:textId="48E7EE20">
      <w:pPr>
        <w:pStyle w:val="Heading2Report"/>
      </w:pPr>
      <w:bookmarkStart w:id="33" w:name="_Toc185327030"/>
      <w:bookmarkStart w:id="34" w:name="_Toc217324953"/>
      <w:r w:rsidRPr="00A4597C">
        <w:t>B.3</w:t>
      </w:r>
      <w:r w:rsidR="006D425F">
        <w:t xml:space="preserve">. </w:t>
      </w:r>
      <w:r w:rsidRPr="00A4597C">
        <w:t>Methods to Maximize Response Rates and Address Nonresponse</w:t>
      </w:r>
      <w:bookmarkEnd w:id="33"/>
      <w:bookmarkEnd w:id="34"/>
    </w:p>
    <w:p w:rsidR="00A4597C" w:rsidRPr="00A93285" w:rsidP="00A4597C" w14:paraId="15562B76" w14:textId="77777777">
      <w:pPr>
        <w:pStyle w:val="H2Line075-12-6"/>
        <w:framePr w:wrap="notBeside"/>
        <w:rPr>
          <w:lang w:eastAsia="en-US"/>
        </w:rPr>
      </w:pPr>
    </w:p>
    <w:p w:rsidR="00A21AD9" w:rsidRPr="00F85365" w:rsidP="008238D9" w14:paraId="2A2FE7E5" w14:textId="2EE13CE7">
      <w:pPr>
        <w:pStyle w:val="BodyTextPostHeading"/>
      </w:pPr>
      <w:bookmarkStart w:id="35" w:name="_Toc6845443"/>
      <w:bookmarkStart w:id="36" w:name="_Toc6845560"/>
      <w:bookmarkStart w:id="37" w:name="_Toc13737854"/>
      <w:bookmarkStart w:id="38" w:name="_Toc13737907"/>
      <w:bookmarkStart w:id="39" w:name="_Toc75171573"/>
      <w:r w:rsidRPr="00274602">
        <w:t xml:space="preserve">This section describes methods for securing cooperation and maximizing </w:t>
      </w:r>
      <w:r>
        <w:t xml:space="preserve">response </w:t>
      </w:r>
      <w:r w:rsidRPr="00274602">
        <w:t xml:space="preserve">rates for the </w:t>
      </w:r>
      <w:r>
        <w:t>NSSES. To minimize potential bias from nonresponse and maximize response rates,</w:t>
      </w:r>
      <w:r w:rsidRPr="00274602">
        <w:t xml:space="preserve"> the </w:t>
      </w:r>
      <w:r>
        <w:t>NSSES</w:t>
      </w:r>
      <w:r w:rsidRPr="00274602">
        <w:t xml:space="preserve"> </w:t>
      </w:r>
      <w:r>
        <w:t>will</w:t>
      </w:r>
      <w:r w:rsidRPr="00274602">
        <w:t xml:space="preserve"> </w:t>
      </w:r>
      <w:r>
        <w:t>implement</w:t>
      </w:r>
      <w:r w:rsidRPr="00274602">
        <w:t xml:space="preserve"> recruitment and </w:t>
      </w:r>
      <w:r>
        <w:t xml:space="preserve">well-designed </w:t>
      </w:r>
      <w:r w:rsidRPr="00274602">
        <w:t>data collection procedures and materials</w:t>
      </w:r>
      <w:r>
        <w:t xml:space="preserve"> that are based on approaches that have been used in similar nested, multistage designs conducted </w:t>
      </w:r>
      <w:r w:rsidRPr="001360EE">
        <w:t xml:space="preserve">by </w:t>
      </w:r>
      <w:r>
        <w:t>the IES, within the U.S. Department of Education (ED)</w:t>
      </w:r>
      <w:r w:rsidRPr="00274602">
        <w:t>.</w:t>
      </w:r>
      <w:r>
        <w:rPr>
          <w:rStyle w:val="FootnoteReference"/>
          <w:rFonts w:cstheme="minorHAnsi"/>
        </w:rPr>
        <w:footnoteReference w:id="25"/>
      </w:r>
      <w:r>
        <w:t xml:space="preserve"> </w:t>
      </w:r>
    </w:p>
    <w:p w:rsidR="00A21AD9" w:rsidRPr="00CB3180" w:rsidP="00744EB2" w14:paraId="0AE01489" w14:textId="68FFF7CE">
      <w:pPr>
        <w:pStyle w:val="Heading3"/>
      </w:pPr>
      <w:bookmarkStart w:id="40" w:name="_Toc217324954"/>
      <w:bookmarkStart w:id="41" w:name="_Toc6845445"/>
      <w:bookmarkStart w:id="42" w:name="_Toc6845562"/>
      <w:bookmarkStart w:id="43" w:name="_Toc13737856"/>
      <w:bookmarkStart w:id="44" w:name="_Toc13737909"/>
      <w:bookmarkStart w:id="45" w:name="_Toc75171575"/>
      <w:bookmarkEnd w:id="35"/>
      <w:bookmarkEnd w:id="36"/>
      <w:bookmarkEnd w:id="37"/>
      <w:bookmarkEnd w:id="38"/>
      <w:bookmarkEnd w:id="39"/>
      <w:r w:rsidRPr="00CB3180">
        <w:t>B.3.1</w:t>
      </w:r>
      <w:r w:rsidR="00EB1580">
        <w:t>.</w:t>
      </w:r>
      <w:r w:rsidRPr="00CB3180">
        <w:t xml:space="preserve"> Securing Cooperation</w:t>
      </w:r>
      <w:bookmarkEnd w:id="40"/>
    </w:p>
    <w:p w:rsidR="00A21AD9" w:rsidP="008238D9" w14:paraId="5180852A" w14:textId="221CBE1B">
      <w:pPr>
        <w:pStyle w:val="BodyTextPostHeading"/>
      </w:pPr>
      <w:r w:rsidRPr="00EE1B63">
        <w:t xml:space="preserve">Cooperation issues loom large in any major school-based survey today. </w:t>
      </w:r>
      <w:r w:rsidRPr="006C34CC">
        <w:t xml:space="preserve">LEAs and schools </w:t>
      </w:r>
      <w:r>
        <w:t xml:space="preserve">face substantial </w:t>
      </w:r>
      <w:r w:rsidRPr="006C34CC">
        <w:t xml:space="preserve">administrative </w:t>
      </w:r>
      <w:r w:rsidRPr="00EE1B63">
        <w:t>demands</w:t>
      </w:r>
      <w:r>
        <w:t>, while</w:t>
      </w:r>
      <w:r w:rsidRPr="00EE1B63">
        <w:t xml:space="preserve"> </w:t>
      </w:r>
      <w:r>
        <w:t>t</w:t>
      </w:r>
      <w:r w:rsidRPr="00EE1B63">
        <w:t xml:space="preserve">eachers are </w:t>
      </w:r>
      <w:r>
        <w:t>often</w:t>
      </w:r>
      <w:r w:rsidRPr="00EE1B63">
        <w:t xml:space="preserve"> heavily burdened and reluctant to spend time on nonteaching activities. The recruitment plan approaches </w:t>
      </w:r>
      <w:r w:rsidRPr="006C34CC">
        <w:t xml:space="preserve">LEAs and schools as </w:t>
      </w:r>
      <w:r w:rsidRPr="0062799D">
        <w:rPr>
          <w:spacing w:val="-2"/>
        </w:rPr>
        <w:t>collaborators and partners in the study. The study aims to establish rapport with LEAs and schools by appointing a school coordinator to serve as liaison between the study team and the schools.</w:t>
      </w:r>
      <w:r w:rsidRPr="006C34CC">
        <w:t xml:space="preserve"> </w:t>
      </w:r>
    </w:p>
    <w:p w:rsidR="00A21AD9" w:rsidP="008238D9" w14:paraId="4A817B57" w14:textId="43B5DCA9">
      <w:pPr>
        <w:pStyle w:val="BodyText"/>
      </w:pPr>
      <w:r>
        <w:t>In addition, a</w:t>
      </w:r>
      <w:r w:rsidRPr="00EE1B63">
        <w:t>chiev</w:t>
      </w:r>
      <w:r>
        <w:t>ing</w:t>
      </w:r>
      <w:r w:rsidRPr="00EE1B63">
        <w:t xml:space="preserve"> high initial response rates and maintain</w:t>
      </w:r>
      <w:r>
        <w:t>ing</w:t>
      </w:r>
      <w:r w:rsidRPr="00EE1B63">
        <w:t xml:space="preserve"> cooperation </w:t>
      </w:r>
      <w:r>
        <w:t>throughout the study requires</w:t>
      </w:r>
      <w:r w:rsidRPr="00EE1B63">
        <w:t xml:space="preserve"> approach</w:t>
      </w:r>
      <w:r>
        <w:t xml:space="preserve">ing </w:t>
      </w:r>
      <w:r w:rsidRPr="006C34CC">
        <w:t>LEAs</w:t>
      </w:r>
      <w:r>
        <w:t xml:space="preserve"> and</w:t>
      </w:r>
      <w:r w:rsidRPr="006C34CC">
        <w:t xml:space="preserve"> schools </w:t>
      </w:r>
      <w:r w:rsidRPr="00EE1B63">
        <w:t>with respect and sensitivity.</w:t>
      </w:r>
      <w:r>
        <w:t xml:space="preserve"> </w:t>
      </w:r>
      <w:r w:rsidRPr="00EE1B63">
        <w:t>Incentives have prove</w:t>
      </w:r>
      <w:r>
        <w:t>d</w:t>
      </w:r>
      <w:r w:rsidRPr="00EE1B63">
        <w:t xml:space="preserve"> to be effective tools in achieving high response rates, and the study plans to offer </w:t>
      </w:r>
      <w:r w:rsidRPr="00EE1B63">
        <w:t xml:space="preserve">monetary incentives to </w:t>
      </w:r>
      <w:r w:rsidRPr="006C34CC">
        <w:t>LEAs</w:t>
      </w:r>
      <w:r>
        <w:t xml:space="preserve"> and</w:t>
      </w:r>
      <w:r w:rsidRPr="006C34CC">
        <w:t xml:space="preserve"> </w:t>
      </w:r>
      <w:r w:rsidRPr="00EE1B63">
        <w:t>schools. See Section A.9 of this submission for a full discussion of incentives.</w:t>
      </w:r>
    </w:p>
    <w:p w:rsidR="00A21AD9" w:rsidP="008238D9" w14:paraId="6465A5B3" w14:textId="75B117C9">
      <w:pPr>
        <w:pStyle w:val="BodyText"/>
      </w:pPr>
      <w:r>
        <w:t>IES</w:t>
      </w:r>
      <w:r w:rsidRPr="006C34CC">
        <w:t xml:space="preserve"> and the study team </w:t>
      </w:r>
      <w:r>
        <w:t>also garnered</w:t>
      </w:r>
      <w:r w:rsidRPr="006C34CC">
        <w:t xml:space="preserve"> support from respected national education leaders, journalists, and organizations. </w:t>
      </w:r>
      <w:r w:rsidRPr="009534D2">
        <w:rPr>
          <w:i/>
          <w:iCs/>
        </w:rPr>
        <w:t>Ed</w:t>
      </w:r>
      <w:r>
        <w:rPr>
          <w:i/>
          <w:iCs/>
        </w:rPr>
        <w:t xml:space="preserve">ucation </w:t>
      </w:r>
      <w:r w:rsidRPr="009534D2">
        <w:rPr>
          <w:i/>
          <w:iCs/>
        </w:rPr>
        <w:t>Week</w:t>
      </w:r>
      <w:r w:rsidRPr="000A1667">
        <w:t xml:space="preserve"> published </w:t>
      </w:r>
      <w:r w:rsidRPr="006C34CC">
        <w:t>an</w:t>
      </w:r>
      <w:r w:rsidRPr="000A1667">
        <w:t xml:space="preserve"> article about the NSSES</w:t>
      </w:r>
      <w:r w:rsidRPr="006C34CC">
        <w:t xml:space="preserve">, </w:t>
      </w:r>
      <w:r>
        <w:t>featuring</w:t>
      </w:r>
      <w:r w:rsidRPr="006C34CC">
        <w:t xml:space="preserve"> interviews </w:t>
      </w:r>
      <w:r w:rsidRPr="000A1667">
        <w:t>with</w:t>
      </w:r>
      <w:r w:rsidRPr="006C34CC">
        <w:t xml:space="preserve"> </w:t>
      </w:r>
      <w:r w:rsidRPr="000A1667">
        <w:t xml:space="preserve">practitioners in the field </w:t>
      </w:r>
      <w:r w:rsidRPr="006C34CC">
        <w:t xml:space="preserve">who </w:t>
      </w:r>
      <w:r>
        <w:t>underscored</w:t>
      </w:r>
      <w:r w:rsidRPr="006C34CC">
        <w:t xml:space="preserve"> the study</w:t>
      </w:r>
      <w:r>
        <w:t>’s</w:t>
      </w:r>
      <w:r w:rsidRPr="006C34CC">
        <w:t xml:space="preserve"> </w:t>
      </w:r>
      <w:r>
        <w:t>importance</w:t>
      </w:r>
      <w:r w:rsidRPr="006C34CC">
        <w:t>.</w:t>
      </w:r>
      <w:r>
        <w:rPr>
          <w:rStyle w:val="FootnoteReference"/>
          <w:rFonts w:cstheme="minorHAnsi"/>
        </w:rPr>
        <w:footnoteReference w:id="26"/>
      </w:r>
      <w:r w:rsidRPr="006C34CC">
        <w:t xml:space="preserve"> </w:t>
      </w:r>
      <w:r w:rsidR="006B1D9E">
        <w:t>The study team</w:t>
      </w:r>
      <w:r w:rsidRPr="006C34CC">
        <w:t xml:space="preserve"> will also highlight the study </w:t>
      </w:r>
      <w:r>
        <w:t>at</w:t>
      </w:r>
      <w:r w:rsidRPr="006C34CC">
        <w:t xml:space="preserve"> education finance</w:t>
      </w:r>
      <w:r>
        <w:t>–</w:t>
      </w:r>
      <w:r w:rsidRPr="006C34CC">
        <w:t xml:space="preserve">related conferences and meetings and offer a learning webinar to SEAs and LEAs. </w:t>
      </w:r>
    </w:p>
    <w:p w:rsidR="00A21AD9" w:rsidRPr="007A7228" w:rsidP="008238D9" w14:paraId="58710048" w14:textId="77777777">
      <w:pPr>
        <w:pStyle w:val="BodyText"/>
        <w:rPr>
          <w:b/>
          <w:bCs/>
          <w:i/>
          <w:iCs/>
        </w:rPr>
      </w:pPr>
      <w:r w:rsidRPr="007A7228">
        <w:rPr>
          <w:b/>
          <w:bCs/>
        </w:rPr>
        <w:t>LEA information session.</w:t>
      </w:r>
      <w:r w:rsidRPr="007A7228">
        <w:rPr>
          <w:b/>
          <w:bCs/>
          <w:i/>
          <w:iCs/>
        </w:rPr>
        <w:t xml:space="preserve"> </w:t>
      </w:r>
      <w:r w:rsidRPr="007A7228">
        <w:t xml:space="preserve">Early in the recruitment phase, AIR will offer an information session for LEAs to provide details about the study, as well as an opportunity to connect with LEAs and schools, generate interest, and answer specific questions about study participation. The session will communicate study needs, benefits, and timelines and provide a platform for LEA and school officials to interact with the study team to address their questions and concerns. </w:t>
      </w:r>
    </w:p>
    <w:p w:rsidR="00A21AD9" w:rsidP="0062799D" w14:paraId="0224ABF1" w14:textId="3D70A71E">
      <w:pPr>
        <w:pStyle w:val="BodyText"/>
      </w:pPr>
      <w:r w:rsidRPr="00616E9D">
        <w:rPr>
          <w:b/>
          <w:bCs/>
        </w:rPr>
        <w:t>Experienced and prepared field staff</w:t>
      </w:r>
      <w:r>
        <w:t xml:space="preserve">. </w:t>
      </w:r>
      <w:r w:rsidRPr="00CF0128">
        <w:t>Successful recruitment depends on experienced field staff to carry out the recruitment contacts</w:t>
      </w:r>
      <w:r w:rsidRPr="00486C08">
        <w:t>, including specially trained refusal conversion staff</w:t>
      </w:r>
      <w:r w:rsidRPr="00CF0128">
        <w:t xml:space="preserve">. </w:t>
      </w:r>
      <w:r w:rsidRPr="00486C08">
        <w:t>All r</w:t>
      </w:r>
      <w:r w:rsidRPr="00CF0128">
        <w:t xml:space="preserve">ecruiters </w:t>
      </w:r>
      <w:r w:rsidRPr="00486C08">
        <w:t>are</w:t>
      </w:r>
      <w:r w:rsidRPr="00CF0128">
        <w:t xml:space="preserve"> trained to address a variety of participation concerns while </w:t>
      </w:r>
      <w:r>
        <w:t>also</w:t>
      </w:r>
      <w:r w:rsidRPr="00CF0128">
        <w:t xml:space="preserve"> communicating the value of the study. </w:t>
      </w:r>
      <w:r>
        <w:t>Recruiters</w:t>
      </w:r>
      <w:r w:rsidRPr="00CF0128">
        <w:t xml:space="preserve"> </w:t>
      </w:r>
      <w:r>
        <w:t>will be</w:t>
      </w:r>
      <w:r w:rsidRPr="00CF0128">
        <w:t xml:space="preserve"> provided </w:t>
      </w:r>
      <w:r>
        <w:t>with the</w:t>
      </w:r>
      <w:r w:rsidRPr="00CF0128">
        <w:t xml:space="preserve"> letters, contact information, e</w:t>
      </w:r>
      <w:r>
        <w:t>-</w:t>
      </w:r>
      <w:r w:rsidRPr="00CF0128">
        <w:t xml:space="preserve">mail </w:t>
      </w:r>
      <w:r>
        <w:t xml:space="preserve">follow-up </w:t>
      </w:r>
      <w:r w:rsidRPr="00CF0128">
        <w:t>templates, and</w:t>
      </w:r>
      <w:r>
        <w:t xml:space="preserve"> study</w:t>
      </w:r>
      <w:r w:rsidRPr="00CF0128">
        <w:t xml:space="preserve"> </w:t>
      </w:r>
      <w:r>
        <w:t>FAQs</w:t>
      </w:r>
      <w:r w:rsidRPr="00CF0128">
        <w:t xml:space="preserve">. These materials form a toolkit that </w:t>
      </w:r>
      <w:r>
        <w:t>enables</w:t>
      </w:r>
      <w:r w:rsidRPr="00CF0128">
        <w:t xml:space="preserve"> recruiters to customize their contact with </w:t>
      </w:r>
      <w:r>
        <w:t xml:space="preserve">LEAs and </w:t>
      </w:r>
      <w:r w:rsidRPr="00CF0128">
        <w:t xml:space="preserve">schools as needed. </w:t>
      </w:r>
      <w:r>
        <w:t xml:space="preserve">In addition, the recruitment team, LEAs, and schools can contact the study’s principal investigator at any time for additional information. </w:t>
      </w:r>
      <w:r w:rsidRPr="00CF0128">
        <w:t>The study staff review</w:t>
      </w:r>
      <w:r>
        <w:t xml:space="preserve"> </w:t>
      </w:r>
      <w:r w:rsidRPr="00CF0128">
        <w:t xml:space="preserve">cases </w:t>
      </w:r>
      <w:r>
        <w:t>of</w:t>
      </w:r>
      <w:r w:rsidRPr="00CF0128">
        <w:t xml:space="preserve"> initial refus</w:t>
      </w:r>
      <w:r>
        <w:t>al</w:t>
      </w:r>
      <w:r w:rsidRPr="00CF0128">
        <w:t xml:space="preserve"> </w:t>
      </w:r>
      <w:r>
        <w:t>and develop</w:t>
      </w:r>
      <w:r w:rsidRPr="00CF0128">
        <w:t xml:space="preserve"> strategies to </w:t>
      </w:r>
      <w:r>
        <w:t>address</w:t>
      </w:r>
      <w:r w:rsidRPr="00CF0128">
        <w:t xml:space="preserve"> and </w:t>
      </w:r>
      <w:r>
        <w:t xml:space="preserve">attempt to </w:t>
      </w:r>
      <w:r w:rsidRPr="00CF0128">
        <w:t>convert the</w:t>
      </w:r>
      <w:r>
        <w:t>se</w:t>
      </w:r>
      <w:r w:rsidRPr="00CF0128">
        <w:t xml:space="preserve"> refusal</w:t>
      </w:r>
      <w:r>
        <w:t>s</w:t>
      </w:r>
      <w:r w:rsidRPr="00CF0128">
        <w:t xml:space="preserve">. </w:t>
      </w:r>
    </w:p>
    <w:p w:rsidR="00A21AD9" w:rsidP="0062799D" w14:paraId="53E4F199" w14:textId="77777777">
      <w:pPr>
        <w:pStyle w:val="BodyText"/>
      </w:pPr>
      <w:r w:rsidRPr="00616E9D">
        <w:rPr>
          <w:b/>
          <w:bCs/>
        </w:rPr>
        <w:t>Conveying authority</w:t>
      </w:r>
      <w:r>
        <w:t xml:space="preserve">. </w:t>
      </w:r>
      <w:r w:rsidRPr="00486C08">
        <w:t>Follow-up communication</w:t>
      </w:r>
      <w:r>
        <w:t xml:space="preserve"> to schools </w:t>
      </w:r>
      <w:r w:rsidRPr="00486C08">
        <w:t xml:space="preserve">reference the </w:t>
      </w:r>
      <w:r w:rsidRPr="00CF0128">
        <w:t xml:space="preserve">name of the person at the </w:t>
      </w:r>
      <w:r w:rsidRPr="00486C08">
        <w:t>LEA</w:t>
      </w:r>
      <w:r w:rsidRPr="00CF0128">
        <w:t xml:space="preserve"> who approved </w:t>
      </w:r>
      <w:r w:rsidRPr="004C0D99">
        <w:t>the</w:t>
      </w:r>
      <w:r>
        <w:t xml:space="preserve"> study </w:t>
      </w:r>
      <w:r w:rsidRPr="00CF0128">
        <w:t>(when possible)</w:t>
      </w:r>
      <w:r>
        <w:t xml:space="preserve">, ensuring </w:t>
      </w:r>
      <w:r w:rsidRPr="00CF0128">
        <w:t xml:space="preserve">that the recipient immediately </w:t>
      </w:r>
      <w:r>
        <w:t>understands</w:t>
      </w:r>
      <w:r w:rsidRPr="00CF0128">
        <w:t xml:space="preserve"> the</w:t>
      </w:r>
      <w:r>
        <w:t xml:space="preserve"> study’s</w:t>
      </w:r>
      <w:r w:rsidRPr="00CF0128">
        <w:t xml:space="preserve"> importance and </w:t>
      </w:r>
      <w:r>
        <w:t xml:space="preserve">the </w:t>
      </w:r>
      <w:r w:rsidRPr="00486C08">
        <w:t>LEA</w:t>
      </w:r>
      <w:r>
        <w:t>’s</w:t>
      </w:r>
      <w:r w:rsidRPr="00CF0128">
        <w:t xml:space="preserve"> support </w:t>
      </w:r>
      <w:r>
        <w:t>for it</w:t>
      </w:r>
      <w:r w:rsidRPr="00CF0128">
        <w:t>. Providing this information up</w:t>
      </w:r>
      <w:r>
        <w:t xml:space="preserve"> </w:t>
      </w:r>
      <w:r w:rsidRPr="00CF0128">
        <w:t>front encourage</w:t>
      </w:r>
      <w:r w:rsidRPr="00486C08">
        <w:t>s</w:t>
      </w:r>
      <w:r w:rsidRPr="00CF0128">
        <w:t xml:space="preserve"> participation. </w:t>
      </w:r>
      <w:r w:rsidRPr="00486C08">
        <w:t>Study information is</w:t>
      </w:r>
      <w:r w:rsidRPr="00CF0128">
        <w:t xml:space="preserve"> presented clearly and specific</w:t>
      </w:r>
      <w:r>
        <w:t>ally</w:t>
      </w:r>
      <w:r w:rsidRPr="00486C08">
        <w:t xml:space="preserve"> </w:t>
      </w:r>
      <w:r w:rsidRPr="00CF0128">
        <w:t>and emphasize</w:t>
      </w:r>
      <w:r>
        <w:t>s</w:t>
      </w:r>
      <w:r w:rsidRPr="00CF0128">
        <w:t xml:space="preserve"> that the study team will work closely with </w:t>
      </w:r>
      <w:r w:rsidRPr="00486C08">
        <w:t>LEAs and schools</w:t>
      </w:r>
      <w:r w:rsidRPr="00CF0128">
        <w:t xml:space="preserve"> to accomplish the study with the least burden and disruption possible. </w:t>
      </w:r>
    </w:p>
    <w:p w:rsidR="00A21AD9" w:rsidRPr="00CB3180" w:rsidP="00FB79F2" w14:paraId="11156B81" w14:textId="528CD193">
      <w:pPr>
        <w:pStyle w:val="Heading3"/>
      </w:pPr>
      <w:bookmarkStart w:id="46" w:name="_Toc217324955"/>
      <w:r w:rsidRPr="00CB3180">
        <w:t>B.3.2</w:t>
      </w:r>
      <w:r w:rsidR="005340DE">
        <w:t>.</w:t>
      </w:r>
      <w:r w:rsidRPr="00CB3180">
        <w:t xml:space="preserve"> Methods to Maximize Response Rates</w:t>
      </w:r>
      <w:bookmarkEnd w:id="46"/>
    </w:p>
    <w:p w:rsidR="00A21AD9" w:rsidRPr="00744EB2" w:rsidP="008238D9" w14:paraId="7DC9F413" w14:textId="77777777">
      <w:pPr>
        <w:pStyle w:val="BodyTextPostHeading"/>
      </w:pPr>
      <w:r w:rsidRPr="00744EB2">
        <w:t>The main areas of focus to maximize response rates are the timing of the contact, research applications, obtaining formal approval, and refusal conversion.</w:t>
      </w:r>
    </w:p>
    <w:p w:rsidR="00A21AD9" w:rsidP="008238D9" w14:paraId="47A5704B" w14:textId="76F2BC2A">
      <w:pPr>
        <w:pStyle w:val="BodyText"/>
      </w:pPr>
      <w:r w:rsidRPr="000F3C77">
        <w:rPr>
          <w:b/>
        </w:rPr>
        <w:t>Timing</w:t>
      </w:r>
      <w:r w:rsidRPr="00315DD0">
        <w:t xml:space="preserve">. All </w:t>
      </w:r>
      <w:r>
        <w:t>sampled LEAs will be contacted in the school year prior to the data collection. S</w:t>
      </w:r>
      <w:r w:rsidRPr="00315DD0">
        <w:t>ecuring cooperation early allow</w:t>
      </w:r>
      <w:r>
        <w:t>s</w:t>
      </w:r>
      <w:r w:rsidRPr="00315DD0">
        <w:t xml:space="preserve"> sufficient time for recruiting schools. Accordingly, early contacts allow the study to identify barriers to cooperation, such as </w:t>
      </w:r>
      <w:r w:rsidRPr="00C46023">
        <w:t xml:space="preserve">required research </w:t>
      </w:r>
      <w:r>
        <w:t>applications</w:t>
      </w:r>
      <w:r w:rsidRPr="00315DD0">
        <w:t xml:space="preserve"> and </w:t>
      </w:r>
      <w:r>
        <w:t>LEA</w:t>
      </w:r>
      <w:r w:rsidRPr="00315DD0">
        <w:t xml:space="preserve">s requiring refusal conversion. </w:t>
      </w:r>
      <w:r>
        <w:t>Early contacts also allow the study team to work around LEA and school schedules, minimizing contact during high-demand periods in the school year.</w:t>
      </w:r>
      <w:r w:rsidRPr="00315DD0">
        <w:t xml:space="preserve"> </w:t>
      </w:r>
    </w:p>
    <w:p w:rsidR="00A21AD9" w:rsidP="0062799D" w14:paraId="30D1BC99" w14:textId="77777777">
      <w:pPr>
        <w:pStyle w:val="BodyText"/>
        <w:keepNext/>
        <w:keepLines/>
      </w:pPr>
      <w:r w:rsidRPr="000F3C77">
        <w:rPr>
          <w:b/>
        </w:rPr>
        <w:t xml:space="preserve">Research </w:t>
      </w:r>
      <w:r>
        <w:rPr>
          <w:b/>
        </w:rPr>
        <w:t>application</w:t>
      </w:r>
      <w:r w:rsidRPr="000F3C77">
        <w:rPr>
          <w:b/>
        </w:rPr>
        <w:t>s</w:t>
      </w:r>
      <w:r w:rsidRPr="00315DD0">
        <w:t xml:space="preserve">. Field recruiters </w:t>
      </w:r>
      <w:r>
        <w:t>will identify</w:t>
      </w:r>
      <w:r w:rsidRPr="00315DD0">
        <w:t xml:space="preserve"> </w:t>
      </w:r>
      <w:r>
        <w:t>LEAs</w:t>
      </w:r>
      <w:r w:rsidRPr="00315DD0">
        <w:t xml:space="preserve"> </w:t>
      </w:r>
      <w:r w:rsidRPr="00C46023">
        <w:t>requiring special research applications</w:t>
      </w:r>
      <w:r w:rsidRPr="00315DD0">
        <w:t xml:space="preserve"> to ensure that the study </w:t>
      </w:r>
      <w:r>
        <w:t>i</w:t>
      </w:r>
      <w:r w:rsidRPr="00315DD0">
        <w:t xml:space="preserve">s able to meet deadlines and that study staff preparing the proposals use the required applications and procedures. </w:t>
      </w:r>
      <w:r>
        <w:t xml:space="preserve">The study team has also developed a general research application package that can be shared with LEAs for more </w:t>
      </w:r>
      <w:r w:rsidRPr="00EB7250">
        <w:t>straightforward</w:t>
      </w:r>
      <w:r>
        <w:t xml:space="preserve"> submissions. This </w:t>
      </w:r>
      <w:r w:rsidRPr="00EB7250">
        <w:t xml:space="preserve">approach </w:t>
      </w:r>
      <w:r>
        <w:t xml:space="preserve">saves time and reduces </w:t>
      </w:r>
      <w:r w:rsidRPr="00EB7250">
        <w:t xml:space="preserve">administrative </w:t>
      </w:r>
      <w:r>
        <w:t xml:space="preserve">burden. </w:t>
      </w:r>
      <w:r w:rsidRPr="00315DD0">
        <w:t xml:space="preserve">Once submitted, applications </w:t>
      </w:r>
      <w:r>
        <w:t>a</w:t>
      </w:r>
      <w:r w:rsidRPr="00315DD0">
        <w:t xml:space="preserve">re closely tracked, with regular follow-up with appropriate </w:t>
      </w:r>
      <w:r>
        <w:t>LEA</w:t>
      </w:r>
      <w:r w:rsidRPr="00315DD0">
        <w:t xml:space="preserve"> personnel </w:t>
      </w:r>
      <w:r>
        <w:t>to monitor progress</w:t>
      </w:r>
      <w:r w:rsidRPr="00315DD0">
        <w:t xml:space="preserve">. Once the study </w:t>
      </w:r>
      <w:r>
        <w:t>i</w:t>
      </w:r>
      <w:r w:rsidRPr="00315DD0">
        <w:t xml:space="preserve">s approved, recruiters review any special requirements within the </w:t>
      </w:r>
      <w:r>
        <w:t>LEA</w:t>
      </w:r>
      <w:r w:rsidRPr="00315DD0">
        <w:t xml:space="preserve"> research proposal and response</w:t>
      </w:r>
      <w:r>
        <w:t>,</w:t>
      </w:r>
      <w:r w:rsidRPr="00315DD0">
        <w:t xml:space="preserve"> to ensure </w:t>
      </w:r>
      <w:r>
        <w:t xml:space="preserve">that </w:t>
      </w:r>
      <w:r w:rsidRPr="00315DD0">
        <w:t xml:space="preserve">the study is compliant. For example, some </w:t>
      </w:r>
      <w:r>
        <w:t>LEA</w:t>
      </w:r>
      <w:r w:rsidRPr="00315DD0">
        <w:t xml:space="preserve">s </w:t>
      </w:r>
      <w:r>
        <w:t>may</w:t>
      </w:r>
      <w:r w:rsidRPr="00315DD0">
        <w:t xml:space="preserve"> </w:t>
      </w:r>
      <w:r>
        <w:t xml:space="preserve">require explicit parent permission forms </w:t>
      </w:r>
      <w:r w:rsidRPr="00315DD0">
        <w:t xml:space="preserve">or </w:t>
      </w:r>
      <w:r>
        <w:t>prohibit</w:t>
      </w:r>
      <w:r w:rsidRPr="00315DD0">
        <w:t xml:space="preserve"> school and teacher incentive payments. </w:t>
      </w:r>
    </w:p>
    <w:p w:rsidR="00A21AD9" w:rsidP="008238D9" w14:paraId="793CFAC4" w14:textId="77777777">
      <w:pPr>
        <w:pStyle w:val="BodyText"/>
      </w:pPr>
      <w:r w:rsidRPr="000F3C77">
        <w:rPr>
          <w:b/>
        </w:rPr>
        <w:t>Formal approval.</w:t>
      </w:r>
      <w:r w:rsidRPr="00315DD0">
        <w:t xml:space="preserve"> For all </w:t>
      </w:r>
      <w:r>
        <w:t>LEAs</w:t>
      </w:r>
      <w:r w:rsidRPr="00315DD0">
        <w:t>, every effort will be</w:t>
      </w:r>
      <w:r>
        <w:t xml:space="preserve"> </w:t>
      </w:r>
      <w:r w:rsidRPr="00315DD0">
        <w:t xml:space="preserve">made to </w:t>
      </w:r>
      <w:r>
        <w:t>obtain</w:t>
      </w:r>
      <w:r w:rsidRPr="00315DD0">
        <w:t xml:space="preserve"> </w:t>
      </w:r>
      <w:r>
        <w:t>a signed</w:t>
      </w:r>
      <w:r w:rsidRPr="00315DD0">
        <w:t xml:space="preserve"> approval </w:t>
      </w:r>
      <w:r>
        <w:t xml:space="preserve">letter </w:t>
      </w:r>
      <w:r w:rsidRPr="00315DD0">
        <w:t>from a</w:t>
      </w:r>
      <w:r>
        <w:t>n</w:t>
      </w:r>
      <w:r w:rsidRPr="00315DD0">
        <w:t xml:space="preserve"> </w:t>
      </w:r>
      <w:r>
        <w:t>LEA</w:t>
      </w:r>
      <w:r w:rsidRPr="00315DD0">
        <w:t xml:space="preserve"> staff member, such as the superintendent</w:t>
      </w:r>
      <w:r>
        <w:t xml:space="preserve"> or a special education official</w:t>
      </w:r>
      <w:r w:rsidRPr="00315DD0">
        <w:t>. Experience has shown that</w:t>
      </w:r>
      <w:r>
        <w:t>,</w:t>
      </w:r>
      <w:r w:rsidRPr="00315DD0">
        <w:t xml:space="preserve"> when </w:t>
      </w:r>
      <w:r>
        <w:t xml:space="preserve">schools are </w:t>
      </w:r>
      <w:r w:rsidRPr="00315DD0">
        <w:t xml:space="preserve">contacted, </w:t>
      </w:r>
      <w:r>
        <w:t>they</w:t>
      </w:r>
      <w:r w:rsidRPr="00315DD0">
        <w:t xml:space="preserve"> </w:t>
      </w:r>
      <w:r>
        <w:t>often</w:t>
      </w:r>
      <w:r w:rsidRPr="00315DD0">
        <w:t xml:space="preserve"> </w:t>
      </w:r>
      <w:r>
        <w:t>inquire about</w:t>
      </w:r>
      <w:r w:rsidRPr="00315DD0">
        <w:t xml:space="preserve"> who at the </w:t>
      </w:r>
      <w:r>
        <w:t xml:space="preserve">LEA </w:t>
      </w:r>
      <w:r w:rsidRPr="00315DD0">
        <w:t xml:space="preserve">level has approved the study. </w:t>
      </w:r>
      <w:r>
        <w:t>Providing</w:t>
      </w:r>
      <w:r w:rsidRPr="00315DD0">
        <w:t xml:space="preserve"> a specific name and title </w:t>
      </w:r>
      <w:r>
        <w:t xml:space="preserve">in response helps </w:t>
      </w:r>
      <w:r w:rsidRPr="00315DD0">
        <w:t>facilitate the school recruitment process.</w:t>
      </w:r>
    </w:p>
    <w:p w:rsidR="00A21AD9" w:rsidP="008238D9" w14:paraId="336D3275" w14:textId="13B44B96">
      <w:pPr>
        <w:pStyle w:val="BodyText"/>
      </w:pPr>
      <w:r w:rsidRPr="000F3C77">
        <w:rPr>
          <w:b/>
        </w:rPr>
        <w:t>Refusal conversion</w:t>
      </w:r>
      <w:r w:rsidRPr="00315DD0">
        <w:t xml:space="preserve">. </w:t>
      </w:r>
      <w:r>
        <w:t>R</w:t>
      </w:r>
      <w:r w:rsidRPr="00315DD0">
        <w:t xml:space="preserve">efusal conversion efforts </w:t>
      </w:r>
      <w:r>
        <w:t xml:space="preserve">will be made on a flow basis as field staff receive refusal communications. The study team will meet with LEA staff to address any concerns, and ED will respond to these concerns when requested. In the NSSES pilot study, after these meetings and follow-up from ED, </w:t>
      </w:r>
      <w:r w:rsidR="00DE1C9E">
        <w:t>NORC was</w:t>
      </w:r>
      <w:r>
        <w:t xml:space="preserve"> able to recruit several LEAs that had initially refused to participate. </w:t>
      </w:r>
    </w:p>
    <w:p w:rsidR="00A21AD9" w:rsidP="00A4597C" w14:paraId="7F3572B7" w14:textId="050EC9E8">
      <w:pPr>
        <w:pStyle w:val="Heading2Report"/>
      </w:pPr>
      <w:bookmarkStart w:id="47" w:name="_Toc185327031"/>
      <w:bookmarkStart w:id="48" w:name="_Toc217324956"/>
      <w:r>
        <w:t>B</w:t>
      </w:r>
      <w:r w:rsidRPr="00C07360">
        <w:t>.4</w:t>
      </w:r>
      <w:bookmarkEnd w:id="41"/>
      <w:bookmarkEnd w:id="42"/>
      <w:bookmarkEnd w:id="43"/>
      <w:bookmarkEnd w:id="44"/>
      <w:bookmarkEnd w:id="45"/>
      <w:r w:rsidR="006D425F">
        <w:t xml:space="preserve">. </w:t>
      </w:r>
      <w:r>
        <w:t>Tests of Procedures</w:t>
      </w:r>
      <w:bookmarkEnd w:id="47"/>
      <w:bookmarkEnd w:id="48"/>
    </w:p>
    <w:p w:rsidR="00A4597C" w:rsidRPr="00A4597C" w:rsidP="00A4597C" w14:paraId="67BD1E1B" w14:textId="77777777">
      <w:pPr>
        <w:pStyle w:val="H2Line075-12-6"/>
        <w:framePr w:wrap="notBeside"/>
        <w:rPr>
          <w:lang w:eastAsia="en-US"/>
        </w:rPr>
      </w:pPr>
    </w:p>
    <w:p w:rsidR="006B1D9E" w:rsidRPr="006B1D9E" w:rsidP="00F31CB2" w14:paraId="05E874F3" w14:textId="0BADFEA2">
      <w:pPr>
        <w:pStyle w:val="BodyText"/>
      </w:pPr>
      <w:bookmarkStart w:id="49" w:name="_Toc75171576"/>
      <w:bookmarkStart w:id="50" w:name="_Toc13737910"/>
      <w:r>
        <w:t>R</w:t>
      </w:r>
      <w:r w:rsidRPr="006C34CC">
        <w:t xml:space="preserve">ecruitment procedures </w:t>
      </w:r>
      <w:r>
        <w:t>were</w:t>
      </w:r>
      <w:r w:rsidRPr="006C34CC">
        <w:t xml:space="preserve"> being tested in the NSSES pilot study</w:t>
      </w:r>
      <w:r>
        <w:t xml:space="preserve">, which occurred during the 2024/25 and 2025/26 school years. </w:t>
      </w:r>
      <w:r w:rsidR="00A21AD9">
        <w:t xml:space="preserve">Feedback from the </w:t>
      </w:r>
      <w:r>
        <w:t xml:space="preserve">pilot study’s </w:t>
      </w:r>
      <w:r w:rsidR="00A21AD9">
        <w:t>recruitment phase informed the methods and procedures described in this submission. For example, feedback from pilot participants has guided the development of parent permission forms</w:t>
      </w:r>
      <w:r w:rsidRPr="00E0519B" w:rsidR="00A21AD9">
        <w:t xml:space="preserve"> </w:t>
      </w:r>
      <w:r w:rsidR="00A21AD9">
        <w:t xml:space="preserve">and a FERPA </w:t>
      </w:r>
      <w:r w:rsidR="00A21AD9">
        <w:t xml:space="preserve">agreement to provide assurances for directory and enrollment data collection and has clarified the engagement of charter school oversight entities and virtual schools in the study, the information needed for LEA research applications, and the way to convey the incentive. Information submitted to and approved by OMB about the pilot study recruitment is available in </w:t>
      </w:r>
      <w:hyperlink r:id="rId16" w:history="1">
        <w:r w:rsidR="00A21AD9">
          <w:rPr>
            <w:rStyle w:val="Hyperlink"/>
            <w:rFonts w:cstheme="minorHAnsi"/>
          </w:rPr>
          <w:t>OMB# 1850-0952 v.10</w:t>
        </w:r>
      </w:hyperlink>
      <w:r w:rsidR="00A21AD9">
        <w:t xml:space="preserve">, </w:t>
      </w:r>
      <w:hyperlink r:id="rId17" w:history="1">
        <w:r w:rsidRPr="002E6606" w:rsidR="00A21AD9">
          <w:rPr>
            <w:rStyle w:val="Hyperlink"/>
          </w:rPr>
          <w:t>v.12</w:t>
        </w:r>
      </w:hyperlink>
      <w:r w:rsidR="00A21AD9">
        <w:t>.</w:t>
      </w:r>
      <w:bookmarkStart w:id="51" w:name="_Toc185327032"/>
    </w:p>
    <w:p w:rsidR="00A21AD9" w:rsidP="00E874D6" w14:paraId="5B133F5C" w14:textId="6C4FD5EC">
      <w:pPr>
        <w:pStyle w:val="Heading2Report"/>
        <w:keepLines/>
        <w:rPr>
          <w:rFonts w:cstheme="minorHAnsi"/>
        </w:rPr>
      </w:pPr>
      <w:bookmarkStart w:id="52" w:name="_Toc217324957"/>
      <w:r>
        <w:t>B</w:t>
      </w:r>
      <w:r w:rsidRPr="00C07360">
        <w:t>.5</w:t>
      </w:r>
      <w:bookmarkEnd w:id="49"/>
      <w:r w:rsidR="006D425F">
        <w:t xml:space="preserve">. </w:t>
      </w:r>
      <w:r>
        <w:t>Individuals Consulted on Statistical Aspects of the Design and Leading Data Collection/Analysis</w:t>
      </w:r>
      <w:bookmarkEnd w:id="51"/>
      <w:bookmarkEnd w:id="52"/>
      <w:r>
        <w:rPr>
          <w:rFonts w:cstheme="minorHAnsi"/>
        </w:rPr>
        <w:t xml:space="preserve"> </w:t>
      </w:r>
    </w:p>
    <w:p w:rsidR="00A4597C" w:rsidRPr="00A4597C" w:rsidP="00E874D6" w14:paraId="646FFDE5" w14:textId="77777777">
      <w:pPr>
        <w:pStyle w:val="H2Line075-12-6"/>
        <w:keepLines/>
        <w:framePr w:wrap="notBeside"/>
        <w:rPr>
          <w:lang w:eastAsia="en-US"/>
        </w:rPr>
      </w:pPr>
    </w:p>
    <w:bookmarkEnd w:id="50"/>
    <w:p w:rsidR="00A21AD9" w:rsidP="008238D9" w14:paraId="0C7293FA" w14:textId="77777777">
      <w:pPr>
        <w:pStyle w:val="BodyTextPostHeading"/>
      </w:pPr>
      <w:r w:rsidRPr="007644D2">
        <w:t>The following individuals are responsible for the study design</w:t>
      </w:r>
      <w:r>
        <w:t>, collection, and analysis:</w:t>
      </w:r>
    </w:p>
    <w:p w:rsidR="00A21AD9" w:rsidP="00A21AD9" w14:paraId="22A39259" w14:textId="77777777">
      <w:pPr>
        <w:spacing w:line="240" w:lineRule="auto"/>
        <w:rPr>
          <w:rFonts w:eastAsia="Times New Roman" w:cstheme="minorHAnsi"/>
        </w:rPr>
        <w:sectPr w:rsidSect="00883E2A">
          <w:headerReference w:type="default" r:id="rId18"/>
          <w:footerReference w:type="default" r:id="rId19"/>
          <w:pgSz w:w="12240" w:h="15840" w:code="1"/>
          <w:pgMar w:top="1440" w:right="1440" w:bottom="1440" w:left="1440" w:header="432" w:footer="288" w:gutter="0"/>
          <w:pgNumType w:start="1"/>
          <w:cols w:space="720"/>
          <w:titlePg/>
          <w:docGrid w:linePitch="360"/>
        </w:sectPr>
      </w:pPr>
    </w:p>
    <w:p w:rsidR="00A21AD9" w:rsidP="00B266A2" w14:paraId="78322078" w14:textId="77777777">
      <w:pPr>
        <w:spacing w:line="240" w:lineRule="auto"/>
        <w:rPr>
          <w:rFonts w:eastAsia="Times New Roman" w:cstheme="minorHAnsi"/>
        </w:rPr>
      </w:pPr>
    </w:p>
    <w:p w:rsidR="00A21AD9" w:rsidRPr="00F7764F" w:rsidP="00B266A2" w14:paraId="36148804" w14:textId="77777777">
      <w:pPr>
        <w:pStyle w:val="BodyText"/>
        <w:spacing w:before="0" w:after="0"/>
      </w:pPr>
      <w:r>
        <w:t>Sarah Brasiel</w:t>
      </w:r>
    </w:p>
    <w:p w:rsidR="00A21AD9" w:rsidRPr="00F7764F" w:rsidP="00B266A2" w14:paraId="4CB2D4FF" w14:textId="77777777">
      <w:pPr>
        <w:pStyle w:val="BodyText"/>
        <w:spacing w:before="0" w:after="0"/>
      </w:pPr>
      <w:r w:rsidRPr="00F7764F">
        <w:t>Project Officer</w:t>
      </w:r>
    </w:p>
    <w:p w:rsidR="00A21AD9" w:rsidRPr="00F7764F" w:rsidP="00B266A2" w14:paraId="03A228C9" w14:textId="77777777">
      <w:pPr>
        <w:pStyle w:val="BodyText"/>
        <w:spacing w:before="0" w:after="0"/>
      </w:pPr>
      <w:r w:rsidRPr="00F7764F">
        <w:t xml:space="preserve">National Study of Special Education Spending </w:t>
      </w:r>
    </w:p>
    <w:p w:rsidR="00A21AD9" w:rsidP="00B266A2" w14:paraId="7F035AF1" w14:textId="77777777">
      <w:pPr>
        <w:pStyle w:val="BodyText"/>
        <w:spacing w:before="0" w:after="0"/>
      </w:pPr>
      <w:r w:rsidRPr="00F7764F">
        <w:t>Institute of Education Sciences</w:t>
      </w:r>
    </w:p>
    <w:p w:rsidR="00A21AD9" w:rsidP="00B266A2" w14:paraId="3EC4CB08" w14:textId="1475B67D">
      <w:pPr>
        <w:pStyle w:val="BodyText"/>
        <w:spacing w:before="0" w:after="0"/>
      </w:pPr>
      <w:hyperlink r:id="rId20" w:history="1">
        <w:r w:rsidRPr="00D35806">
          <w:rPr>
            <w:rStyle w:val="Hyperlink"/>
            <w:rFonts w:eastAsia="Times New Roman" w:cstheme="minorHAnsi"/>
          </w:rPr>
          <w:t>Sarah.brasiel@ed.gov</w:t>
        </w:r>
      </w:hyperlink>
    </w:p>
    <w:p w:rsidR="00A21AD9" w:rsidP="00B266A2" w14:paraId="1EADD8EF" w14:textId="6E1C8AB0">
      <w:pPr>
        <w:pStyle w:val="BodyText"/>
        <w:spacing w:before="0" w:after="0"/>
      </w:pPr>
      <w:r>
        <w:t xml:space="preserve"> </w:t>
      </w:r>
    </w:p>
    <w:p w:rsidR="00A21AD9" w:rsidRPr="00900B7E" w:rsidP="00B266A2" w14:paraId="0E68194D" w14:textId="77777777">
      <w:pPr>
        <w:pStyle w:val="BodyText"/>
        <w:spacing w:before="0" w:after="0"/>
      </w:pPr>
      <w:r w:rsidRPr="00900B7E">
        <w:t>Tammy Kolbe</w:t>
      </w:r>
    </w:p>
    <w:p w:rsidR="00A21AD9" w:rsidRPr="00900B7E" w:rsidP="00B266A2" w14:paraId="4A9F5598" w14:textId="77777777">
      <w:pPr>
        <w:pStyle w:val="BodyText"/>
        <w:spacing w:before="0" w:after="0"/>
      </w:pPr>
      <w:r w:rsidRPr="00900B7E">
        <w:t>Principal Investigator</w:t>
      </w:r>
    </w:p>
    <w:p w:rsidR="00A21AD9" w:rsidP="00B266A2" w14:paraId="5DA39204" w14:textId="77777777">
      <w:pPr>
        <w:pStyle w:val="BodyText"/>
        <w:spacing w:before="0" w:after="0"/>
      </w:pPr>
      <w:r w:rsidRPr="00900B7E">
        <w:t xml:space="preserve">American Institutes </w:t>
      </w:r>
      <w:r>
        <w:t>for</w:t>
      </w:r>
      <w:r w:rsidRPr="00900B7E">
        <w:t xml:space="preserve"> Research</w:t>
      </w:r>
    </w:p>
    <w:p w:rsidR="00A21AD9" w:rsidP="00B266A2" w14:paraId="67258F93" w14:textId="77777777">
      <w:pPr>
        <w:pStyle w:val="BodyText"/>
        <w:spacing w:before="0" w:after="0"/>
      </w:pPr>
      <w:hyperlink r:id="rId21" w:history="1">
        <w:r w:rsidRPr="00B20029">
          <w:rPr>
            <w:rStyle w:val="Hyperlink"/>
          </w:rPr>
          <w:t>tkolbe@air.org</w:t>
        </w:r>
      </w:hyperlink>
    </w:p>
    <w:p w:rsidR="00A21AD9" w:rsidP="00B266A2" w14:paraId="60075A41" w14:textId="77777777">
      <w:pPr>
        <w:contextualSpacing/>
      </w:pPr>
    </w:p>
    <w:p w:rsidR="00A21AD9" w:rsidRPr="00900B7E" w:rsidP="00B266A2" w14:paraId="151E6ACC" w14:textId="77777777">
      <w:pPr>
        <w:pStyle w:val="BodyText"/>
        <w:spacing w:before="0" w:after="0"/>
      </w:pPr>
      <w:r w:rsidRPr="00900B7E">
        <w:t>Cynthia Simko</w:t>
      </w:r>
    </w:p>
    <w:p w:rsidR="00A21AD9" w:rsidRPr="00900B7E" w:rsidP="00B266A2" w14:paraId="4AF3DF43" w14:textId="77777777">
      <w:pPr>
        <w:pStyle w:val="BodyText"/>
        <w:spacing w:before="0" w:after="0"/>
      </w:pPr>
      <w:r w:rsidRPr="00900B7E">
        <w:t>Data Collection Project Director</w:t>
      </w:r>
    </w:p>
    <w:p w:rsidR="00A21AD9" w:rsidP="00B266A2" w14:paraId="08C8EE4D" w14:textId="77777777">
      <w:pPr>
        <w:pStyle w:val="BodyText"/>
        <w:spacing w:before="0" w:after="0"/>
      </w:pPr>
      <w:r w:rsidRPr="00900B7E">
        <w:t>NORC at the University of Chicago</w:t>
      </w:r>
    </w:p>
    <w:p w:rsidR="00A21AD9" w:rsidP="00B266A2" w14:paraId="1F6AB519" w14:textId="77777777">
      <w:pPr>
        <w:pStyle w:val="BodyText"/>
        <w:spacing w:before="0" w:after="0"/>
      </w:pPr>
      <w:hyperlink r:id="rId22" w:history="1">
        <w:r w:rsidRPr="00B20029">
          <w:rPr>
            <w:rStyle w:val="Hyperlink"/>
          </w:rPr>
          <w:t>simko-cynthia@norc.org</w:t>
        </w:r>
      </w:hyperlink>
    </w:p>
    <w:p w:rsidR="00A21AD9" w:rsidP="00B266A2" w14:paraId="32E04A6A" w14:textId="77777777">
      <w:pPr>
        <w:contextualSpacing/>
      </w:pPr>
    </w:p>
    <w:p w:rsidR="00A21AD9" w:rsidP="00A21AD9" w14:paraId="619381DF" w14:textId="77777777">
      <w:pPr>
        <w:spacing w:after="120"/>
        <w:contextualSpacing/>
      </w:pPr>
    </w:p>
    <w:p w:rsidR="00A21AD9" w:rsidP="00A21AD9" w14:paraId="72EA3F25" w14:textId="77777777">
      <w:pPr>
        <w:spacing w:after="120"/>
        <w:contextualSpacing/>
        <w:sectPr w:rsidSect="00A21AD9">
          <w:type w:val="continuous"/>
          <w:pgSz w:w="12240" w:h="15840" w:code="1"/>
          <w:pgMar w:top="1440" w:right="1440" w:bottom="1440" w:left="1440" w:header="432" w:footer="288" w:gutter="0"/>
          <w:cols w:num="2" w:space="720"/>
          <w:titlePg/>
          <w:docGrid w:linePitch="360"/>
        </w:sectPr>
      </w:pPr>
    </w:p>
    <w:tbl>
      <w:tblPr>
        <w:tblDescription w:val=" "/>
        <w:tblW w:w="10080" w:type="dxa"/>
        <w:tblInd w:w="-360" w:type="dxa"/>
        <w:tblCellMar>
          <w:left w:w="0" w:type="dxa"/>
          <w:right w:w="14" w:type="dxa"/>
        </w:tblCellMar>
        <w:tblLook w:val="04A0"/>
      </w:tblPr>
      <w:tblGrid>
        <w:gridCol w:w="3014"/>
        <w:gridCol w:w="7066"/>
      </w:tblGrid>
      <w:tr w14:paraId="01BF9C3F" w14:textId="77777777">
        <w:tblPrEx>
          <w:tblW w:w="10080" w:type="dxa"/>
          <w:tblInd w:w="-360" w:type="dxa"/>
          <w:tblCellMar>
            <w:left w:w="0" w:type="dxa"/>
            <w:right w:w="14" w:type="dxa"/>
          </w:tblCellMar>
          <w:tblLook w:val="04A0"/>
        </w:tblPrEx>
        <w:trPr>
          <w:cantSplit/>
          <w:trHeight w:val="243"/>
        </w:trPr>
        <w:tc>
          <w:tcPr>
            <w:tcW w:w="3014" w:type="dxa"/>
          </w:tcPr>
          <w:p w:rsidR="004E45A6" w:rsidRPr="00D67B9F" w14:paraId="491716D7" w14:textId="6494A8D2">
            <w:pPr>
              <w:keepNext/>
            </w:pPr>
          </w:p>
        </w:tc>
        <w:tc>
          <w:tcPr>
            <w:tcW w:w="7066" w:type="dxa"/>
          </w:tcPr>
          <w:p w:rsidR="004E45A6" w:rsidRPr="00D67B9F" w14:paraId="15D4048F" w14:textId="77777777">
            <w:pPr>
              <w:pStyle w:val="RptBackAboutAIRHeading"/>
            </w:pPr>
          </w:p>
        </w:tc>
      </w:tr>
      <w:tr w14:paraId="655BDBA6" w14:textId="77777777" w:rsidTr="00B549A1">
        <w:tblPrEx>
          <w:tblW w:w="10080" w:type="dxa"/>
          <w:tblInd w:w="-360" w:type="dxa"/>
          <w:tblCellMar>
            <w:left w:w="0" w:type="dxa"/>
            <w:right w:w="14" w:type="dxa"/>
          </w:tblCellMar>
          <w:tblLook w:val="04A0"/>
        </w:tblPrEx>
        <w:trPr>
          <w:cantSplit/>
          <w:trHeight w:val="9792"/>
        </w:trPr>
        <w:tc>
          <w:tcPr>
            <w:tcW w:w="3014" w:type="dxa"/>
          </w:tcPr>
          <w:p w:rsidR="004E45A6" w:rsidRPr="00D67B9F" w14:paraId="2ED9DC81" w14:textId="77777777"/>
        </w:tc>
        <w:tc>
          <w:tcPr>
            <w:tcW w:w="7066" w:type="dxa"/>
          </w:tcPr>
          <w:p w:rsidR="004E45A6" w:rsidRPr="00D67B9F" w14:paraId="76ECFC81" w14:textId="361D6691">
            <w:pPr>
              <w:pStyle w:val="RptBackAboutAIRHeading"/>
            </w:pPr>
            <w:r w:rsidRPr="00D67B9F">
              <w:rPr>
                <w:noProof/>
              </w:rPr>
              <w:drawing>
                <wp:anchor distT="0" distB="0" distL="114300" distR="114300" simplePos="0" relativeHeight="251658240" behindDoc="1" locked="0" layoutInCell="1" allowOverlap="1">
                  <wp:simplePos x="0" y="0"/>
                  <wp:positionH relativeFrom="page">
                    <wp:posOffset>-2560276</wp:posOffset>
                  </wp:positionH>
                  <wp:positionV relativeFrom="page">
                    <wp:posOffset>-1144161</wp:posOffset>
                  </wp:positionV>
                  <wp:extent cx="7772400" cy="10058400"/>
                  <wp:effectExtent l="0" t="0" r="0" b="0"/>
                  <wp:wrapNone/>
                  <wp:docPr id="7" name="Picture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Pr="00D67B9F">
              <w:t>About the American Institutes for Research</w:t>
            </w:r>
            <w:r w:rsidR="000B3805">
              <w:t>®</w:t>
            </w:r>
          </w:p>
          <w:p w:rsidR="004E45A6" w:rsidRPr="00D67B9F" w14:paraId="7C9FE82E" w14:textId="5801624B">
            <w:pPr>
              <w:pStyle w:val="RptBackAboutAIRText"/>
            </w:pPr>
            <w:r>
              <w:t xml:space="preserve">Established in 1946, the </w:t>
            </w:r>
            <w:r w:rsidRPr="00D67B9F">
              <w:t>American Institutes for Research</w:t>
            </w:r>
            <w:r w:rsidRPr="00011C8B">
              <w:fldChar w:fldCharType="begin"/>
            </w:r>
            <w:r w:rsidRPr="00011C8B">
              <w:instrText xml:space="preserve"> SYMBOL \a 0174 \f Calibri \* charformat </w:instrText>
            </w:r>
            <w:r w:rsidRPr="00011C8B">
              <w:fldChar w:fldCharType="end"/>
            </w:r>
            <w:r w:rsidRPr="00D67B9F">
              <w:t xml:space="preserve"> (AIR</w:t>
            </w:r>
            <w:r w:rsidRPr="00011C8B">
              <w:fldChar w:fldCharType="begin"/>
            </w:r>
            <w:r w:rsidRPr="00011C8B">
              <w:instrText xml:space="preserve"> SYMBOL \a 0174 \f Calibri \* charformat </w:instrText>
            </w:r>
            <w:r w:rsidRPr="00011C8B">
              <w:fldChar w:fldCharType="end"/>
            </w:r>
            <w:r w:rsidRPr="00D67B9F">
              <w:t>)</w:t>
            </w:r>
            <w:r>
              <w:t xml:space="preserve"> is a nonpartisan, not-for-profit </w:t>
            </w:r>
            <w:r w:rsidR="00F25902">
              <w:t>institution</w:t>
            </w:r>
            <w:r>
              <w:t xml:space="preserve"> that conducts behavioral and social science research and delivers technical assistance both domestically and internationally in the areas of education, health, and the workforce. With headquarters in Arlington, Virginia, AIR has offices across the U.S. and abroad. </w:t>
            </w:r>
            <w:r w:rsidRPr="00880CAD">
              <w:rPr>
                <w:spacing w:val="-4"/>
              </w:rPr>
              <w:t xml:space="preserve">For more information, visit </w:t>
            </w:r>
            <w:hyperlink r:id="rId24" w:history="1">
              <w:r w:rsidRPr="00880CAD">
                <w:rPr>
                  <w:rStyle w:val="Hyperlink"/>
                  <w:spacing w:val="-4"/>
                </w:rPr>
                <w:t>AIR.ORG</w:t>
              </w:r>
            </w:hyperlink>
            <w:r w:rsidRPr="00880CAD">
              <w:rPr>
                <w:spacing w:val="-4"/>
              </w:rPr>
              <w:t>.</w:t>
            </w:r>
          </w:p>
          <w:p w:rsidR="004E45A6" w:rsidRPr="00133061" w14:paraId="1D9B2EB7" w14:textId="77777777">
            <w:pPr>
              <w:pStyle w:val="RptBackAboutAIRText"/>
            </w:pPr>
          </w:p>
        </w:tc>
      </w:tr>
      <w:tr w14:paraId="7C437EC2" w14:textId="77777777">
        <w:tblPrEx>
          <w:tblW w:w="10080" w:type="dxa"/>
          <w:tblInd w:w="-360" w:type="dxa"/>
          <w:tblCellMar>
            <w:left w:w="0" w:type="dxa"/>
            <w:right w:w="14" w:type="dxa"/>
          </w:tblCellMar>
          <w:tblLook w:val="04A0"/>
        </w:tblPrEx>
        <w:trPr>
          <w:cantSplit/>
          <w:trHeight w:val="288"/>
        </w:trPr>
        <w:tc>
          <w:tcPr>
            <w:tcW w:w="3014" w:type="dxa"/>
            <w:vAlign w:val="center"/>
            <w:hideMark/>
          </w:tcPr>
          <w:p w:rsidR="004E45A6" w:rsidRPr="00D67B9F" w14:paraId="10065FDA" w14:textId="77777777">
            <w:pPr>
              <w:pStyle w:val="RptBackAIRLogo"/>
            </w:pPr>
            <w:r w:rsidRPr="00D67B9F">
              <w:rPr>
                <w:noProof/>
              </w:rPr>
              <mc:AlternateContent>
                <mc:Choice Requires="wpg">
                  <w:drawing>
                    <wp:inline distT="0" distB="0" distL="0" distR="0">
                      <wp:extent cx="1903095" cy="549910"/>
                      <wp:effectExtent l="0" t="0" r="1905" b="21590"/>
                      <wp:docPr id="40" name="Group 40" descr="Logo of the American Institutes for Research."/>
                      <wp:cNvGraphicFramePr/>
                      <a:graphic xmlns:a="http://schemas.openxmlformats.org/drawingml/2006/main">
                        <a:graphicData uri="http://schemas.microsoft.com/office/word/2010/wordprocessingGroup">
                          <wpg:wgp xmlns:wpg="http://schemas.microsoft.com/office/word/2010/wordprocessingGroup">
                            <wpg:cNvGrpSpPr/>
                            <wpg:grpSpPr>
                              <a:xfrm>
                                <a:off x="0" y="0"/>
                                <a:ext cx="1903095" cy="549910"/>
                                <a:chOff x="0" y="0"/>
                                <a:chExt cx="1903095" cy="549910"/>
                              </a:xfrm>
                            </wpg:grpSpPr>
                            <wps:wsp xmlns:wps="http://schemas.microsoft.com/office/word/2010/wordprocessingShape">
                              <wps:cNvPr id="41" name="Straight Connector 41"/>
                              <wps:cNvCnPr/>
                              <wps:spPr>
                                <a:xfrm>
                                  <a:off x="1871330" y="7088"/>
                                  <a:ext cx="0" cy="538480"/>
                                </a:xfrm>
                                <a:prstGeom prst="line">
                                  <a:avLst/>
                                </a:prstGeom>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42" name="Picture 7"/>
                                <pic:cNvPicPr>
                                  <a:picLocks noChangeAspect="1"/>
                                </pic:cNvPicPr>
                              </pic:nvPicPr>
                              <pic:blipFill>
                                <a:blip xmlns:r="http://schemas.openxmlformats.org/officeDocument/2006/relationships" r:embed="rId25"/>
                                <a:srcRect b="44058"/>
                                <a:stretch>
                                  <a:fillRect/>
                                </a:stretch>
                              </pic:blipFill>
                              <pic:spPr>
                                <a:xfrm>
                                  <a:off x="0" y="0"/>
                                  <a:ext cx="1903095" cy="549910"/>
                                </a:xfrm>
                                <a:prstGeom prst="rect">
                                  <a:avLst/>
                                </a:prstGeom>
                              </pic:spPr>
                            </pic:pic>
                          </wpg:wgp>
                        </a:graphicData>
                      </a:graphic>
                    </wp:inline>
                  </w:drawing>
                </mc:Choice>
                <mc:Fallback>
                  <w:pict>
                    <v:group id="Group 40" o:spid="_x0000_i1025" alt="Logo of the American Institutes for Research." style="width:149.85pt;height:43.3pt;mso-position-horizontal-relative:char;mso-position-vertical-relative:line" coordsize="19030,5499">
                      <v:line id="Straight Connector 41" o:spid="_x0000_s1026" style="mso-wrap-style:square;position:absolute;visibility:visible" from="18713,70" to="18713,5455" o:connectortype="straight" strokecolor="#00507f" strokeweight="0.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width:19030;height:5499;mso-wrap-style:square;position:absolute;visibility:visible">
                        <v:imagedata r:id="rId25" o:title="" cropbottom="28874f"/>
                      </v:shape>
                      <w10:wrap type="none"/>
                      <w10:anchorlock/>
                    </v:group>
                  </w:pict>
                </mc:Fallback>
              </mc:AlternateContent>
            </w:r>
          </w:p>
        </w:tc>
        <w:tc>
          <w:tcPr>
            <w:tcW w:w="7066" w:type="dxa"/>
            <w:vAlign w:val="center"/>
          </w:tcPr>
          <w:p w:rsidR="004E45A6" w:rsidRPr="0043057B" w14:paraId="5F97DAED" w14:textId="77777777">
            <w:pPr>
              <w:pStyle w:val="RptBackAddressAIRHQ"/>
            </w:pPr>
            <w:r w:rsidRPr="0043057B">
              <w:t>AIR</w:t>
            </w:r>
            <w:r w:rsidRPr="00011C8B">
              <w:fldChar w:fldCharType="begin"/>
            </w:r>
            <w:r w:rsidRPr="00011C8B">
              <w:instrText xml:space="preserve"> SYMBOL \a 0174 \f Calibri \* charformat </w:instrText>
            </w:r>
            <w:r w:rsidRPr="00011C8B">
              <w:fldChar w:fldCharType="end"/>
            </w:r>
            <w:r w:rsidRPr="0043057B">
              <w:t xml:space="preserve"> Headquarters</w:t>
            </w:r>
          </w:p>
          <w:p w:rsidR="004E45A6" w:rsidRPr="0043057B" w14:paraId="5FB6A0CB" w14:textId="77777777">
            <w:pPr>
              <w:pStyle w:val="RptBackAIRAddress"/>
            </w:pPr>
            <w:r w:rsidRPr="0043057B">
              <w:t xml:space="preserve">1400 Crystal Drive, 10th Floor </w:t>
            </w:r>
            <w:r w:rsidRPr="0043057B">
              <w:br/>
              <w:t>Arlington, VA 22202-3289</w:t>
            </w:r>
            <w:r w:rsidRPr="0043057B">
              <w:br/>
              <w:t xml:space="preserve">+1.202.403.5000 | </w:t>
            </w:r>
            <w:hyperlink r:id="rId26" w:history="1">
              <w:r w:rsidRPr="006209B7">
                <w:rPr>
                  <w:rStyle w:val="RptBackAIRORGURL"/>
                </w:rPr>
                <w:t>AIR.ORG</w:t>
              </w:r>
            </w:hyperlink>
            <w:r w:rsidRPr="0043057B">
              <w:t xml:space="preserve"> </w:t>
            </w:r>
          </w:p>
        </w:tc>
      </w:tr>
      <w:tr w14:paraId="01AC6B68" w14:textId="77777777">
        <w:tblPrEx>
          <w:tblW w:w="10080" w:type="dxa"/>
          <w:tblInd w:w="-360" w:type="dxa"/>
          <w:tblCellMar>
            <w:left w:w="0" w:type="dxa"/>
            <w:right w:w="14" w:type="dxa"/>
          </w:tblCellMar>
          <w:tblLook w:val="04A0"/>
        </w:tblPrEx>
        <w:trPr>
          <w:cantSplit/>
          <w:trHeight w:val="288"/>
        </w:trPr>
        <w:tc>
          <w:tcPr>
            <w:tcW w:w="10080" w:type="dxa"/>
            <w:gridSpan w:val="2"/>
            <w:vAlign w:val="bottom"/>
          </w:tcPr>
          <w:p w:rsidR="004E45A6" w:rsidRPr="007C1968" w14:paraId="4462D1B6" w14:textId="77777777">
            <w:pPr>
              <w:pStyle w:val="RptBackTrademark"/>
            </w:pPr>
            <w:r w:rsidRPr="007C1968">
              <w:t>Notice of Trademark: “American Institutes for Research” and “AIR” are registered trademarks. All other brand, product, or company names are trademarks or registered trademarks of their respective owners.</w:t>
            </w:r>
          </w:p>
          <w:p w:rsidR="004E45A6" w:rsidRPr="0043057B" w14:paraId="1E140910" w14:textId="35DBC021">
            <w:pPr>
              <w:pStyle w:val="RptBackCopyright"/>
              <w:rPr>
                <w:b/>
                <w:bCs/>
              </w:rPr>
            </w:pPr>
            <w:r w:rsidRPr="007C1968">
              <w:t xml:space="preserve">Copyright © </w:t>
            </w:r>
            <w:r w:rsidRPr="007C1968" w:rsidR="003A01DE">
              <w:t>20</w:t>
            </w:r>
            <w:r w:rsidR="003A01DE">
              <w:t>25</w:t>
            </w:r>
            <w:r w:rsidRPr="007C1968" w:rsidR="003A01DE">
              <w:t xml:space="preserve"> </w:t>
            </w:r>
            <w:r w:rsidRPr="007C1968">
              <w:t>American Institutes for Research</w:t>
            </w:r>
            <w:r w:rsidRPr="007C1968">
              <w:fldChar w:fldCharType="begin"/>
            </w:r>
            <w:r w:rsidRPr="007C1968">
              <w:instrText xml:space="preserve"> SYMBOL \a 0174 \f Calibri \* charformat </w:instrText>
            </w:r>
            <w:r w:rsidRPr="007C1968">
              <w:fldChar w:fldCharType="end"/>
            </w:r>
            <w:r w:rsidRPr="007C1968">
              <w:t xml:space="preserve">. All rights reserved. </w:t>
            </w:r>
            <w:bookmarkStart w:id="53" w:name="_Hlk8029198"/>
            <w:r w:rsidRPr="007C1968">
              <w:t xml:space="preserve">No part of this publication may be reproduced, distributed, or transmitted in any form or by any means, including photocopying, recording, website display, or other electronic or mechanical methods, without the prior written permission of the American Institutes for Research. For permission requests, please use the Contact Us form on </w:t>
            </w:r>
            <w:hyperlink r:id="rId27" w:history="1">
              <w:r w:rsidRPr="007C1968">
                <w:rPr>
                  <w:rStyle w:val="Hyperlink"/>
                </w:rPr>
                <w:t>AIR.ORG</w:t>
              </w:r>
            </w:hyperlink>
            <w:bookmarkEnd w:id="53"/>
            <w:r w:rsidRPr="007C1968">
              <w:t>.</w:t>
            </w:r>
          </w:p>
        </w:tc>
      </w:tr>
      <w:tr w14:paraId="151F99D9" w14:textId="77777777">
        <w:tblPrEx>
          <w:tblW w:w="10080" w:type="dxa"/>
          <w:tblInd w:w="-360" w:type="dxa"/>
          <w:tblCellMar>
            <w:left w:w="0" w:type="dxa"/>
            <w:right w:w="14" w:type="dxa"/>
          </w:tblCellMar>
          <w:tblLook w:val="04A0"/>
        </w:tblPrEx>
        <w:trPr>
          <w:cantSplit/>
          <w:trHeight w:val="288"/>
        </w:trPr>
        <w:tc>
          <w:tcPr>
            <w:tcW w:w="10080" w:type="dxa"/>
            <w:gridSpan w:val="2"/>
            <w:vAlign w:val="bottom"/>
          </w:tcPr>
          <w:p w:rsidR="004E45A6" w:rsidRPr="00D67B9F" w14:paraId="4EA117EC" w14:textId="288757E7">
            <w:pPr>
              <w:pStyle w:val="RptBackFileID"/>
            </w:pPr>
            <w:r>
              <w:t>29309</w:t>
            </w:r>
            <w:r>
              <w:t>_</w:t>
            </w:r>
            <w:r>
              <w:t>12/25</w:t>
            </w:r>
          </w:p>
        </w:tc>
      </w:tr>
    </w:tbl>
    <w:p w:rsidR="00D3430E" w:rsidRPr="007862F4" w:rsidP="004E45A6" w14:paraId="785DCD88" w14:textId="77777777">
      <w:pPr>
        <w:pStyle w:val="Spacer-HeaderFooter"/>
        <w:rPr>
          <w:rStyle w:val="Hyperlink"/>
          <w:color w:val="1C252D"/>
        </w:rPr>
      </w:pPr>
    </w:p>
    <w:sectPr w:rsidSect="000F39E2">
      <w:headerReference w:type="default" r:id="rId28"/>
      <w:footerReference w:type="default" r:id="rId29"/>
      <w:pgSz w:w="12240" w:h="15840" w:code="1"/>
      <w:pgMar w:top="1440" w:right="1440" w:bottom="1440" w:left="1440" w:header="72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B2F5F" w:rsidP="00005082" w14:paraId="19E13C1E" w14:textId="77777777">
      <w:pPr>
        <w:spacing w:line="240" w:lineRule="auto"/>
      </w:pPr>
      <w:r>
        <w:separator/>
      </w:r>
    </w:p>
    <w:p w:rsidR="00BB2F5F" w14:paraId="70CC14A0" w14:textId="77777777"/>
    <w:p w:rsidR="00BB2F5F" w14:paraId="60403423" w14:textId="77777777"/>
    <w:p w:rsidR="00BB2F5F" w14:paraId="1A1CFFDA" w14:textId="77777777"/>
  </w:endnote>
  <w:endnote w:type="continuationSeparator" w:id="1">
    <w:p w:rsidR="00BB2F5F" w:rsidP="00005082" w14:paraId="6517E18E" w14:textId="77777777">
      <w:pPr>
        <w:spacing w:line="240" w:lineRule="auto"/>
      </w:pPr>
      <w:r>
        <w:continuationSeparator/>
      </w:r>
    </w:p>
    <w:p w:rsidR="00BB2F5F" w14:paraId="6034E34B" w14:textId="77777777"/>
    <w:p w:rsidR="00BB2F5F" w14:paraId="6800A4DC" w14:textId="77777777"/>
    <w:p w:rsidR="00BB2F5F" w14:paraId="7BC18C58" w14:textId="77777777"/>
  </w:endnote>
  <w:endnote w:type="continuationNotice" w:id="2">
    <w:p w:rsidR="00BB2F5F" w14:paraId="5BF26FBF" w14:textId="77777777">
      <w:pPr>
        <w:spacing w:line="240" w:lineRule="auto"/>
      </w:pPr>
    </w:p>
    <w:p w:rsidR="00BB2F5F" w:rsidP="00001D2C" w14:paraId="7EB5C8B3" w14:textId="77777777"/>
    <w:p w:rsidR="00BB2F5F" w14:paraId="1EE184D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431B" w:rsidP="000D61C7" w14:paraId="643C1B6F" w14:textId="1C4D891F">
    <w:pPr>
      <w:pStyle w:val="FooterDocTitle"/>
      <w:jc w:val="right"/>
    </w:pPr>
    <w:r>
      <w:fldChar w:fldCharType="begin"/>
    </w:r>
    <w:r>
      <w:instrText xml:space="preserve"> PAGE   \* MERGEFORMAT </w:instrText>
    </w:r>
    <w:r>
      <w:fldChar w:fldCharType="separate"/>
    </w:r>
    <w:r>
      <w:t>3</w:t>
    </w:r>
    <w:r>
      <w:fldChar w:fldCharType="end"/>
    </w:r>
    <w:r>
      <w:t xml:space="preserve"> | AIR.ORG </w:t>
    </w:r>
    <w:r>
      <w:ptab w:relativeTo="margin" w:alignment="right" w:leader="none"/>
    </w:r>
    <w:r w:rsidR="000D61C7">
      <w:t>National Study of Special Education Spending Supporting Statement</w:t>
    </w:r>
    <w:r w:rsidR="000D61C7">
      <w:br/>
      <w:t>for OMB Clearance Request for Phase 1. Study Recruitment Activities</w:t>
    </w:r>
    <w:r w:rsidR="000D61C7">
      <w:br/>
      <w:t>Part B: Data Collection Procedures and Statistical Methods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431B" w:rsidRPr="00883E2A" w:rsidP="00883E2A" w14:paraId="6990FF2E" w14:textId="06850B71">
    <w:pPr>
      <w:pStyle w:val="FooterDocTitle"/>
      <w:jc w:val="right"/>
    </w:pPr>
    <w:r>
      <w:fldChar w:fldCharType="begin"/>
    </w:r>
    <w:r>
      <w:instrText xml:space="preserve"> PAGE   \* MERGEFORMAT </w:instrText>
    </w:r>
    <w:r>
      <w:fldChar w:fldCharType="separate"/>
    </w:r>
    <w:r>
      <w:t>iii</w:t>
    </w:r>
    <w:r>
      <w:fldChar w:fldCharType="end"/>
    </w:r>
    <w:r>
      <w:t xml:space="preserve"> | AIR.ORG </w:t>
    </w:r>
    <w:r>
      <w:ptab w:relativeTo="margin" w:alignment="right" w:leader="none"/>
    </w:r>
    <w:r>
      <w:t>National Study of Special Education Spending Supporting Statement</w:t>
    </w:r>
    <w:r>
      <w:br/>
      <w:t>for OMB Clearance Request for Phase 1. Study Recruitment Activities</w:t>
    </w:r>
    <w:r>
      <w:br/>
      <w:t>Part B: Data Collection Procedures and Statistical Methods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AD9" w:rsidRPr="00883E2A" w:rsidP="00883E2A" w14:paraId="6D8BCA8B" w14:textId="34592225">
    <w:pPr>
      <w:pStyle w:val="FooterDocTitle"/>
      <w:jc w:val="right"/>
    </w:pPr>
    <w:r>
      <w:fldChar w:fldCharType="begin"/>
    </w:r>
    <w:r>
      <w:instrText xml:space="preserve"> PAGE   \* MERGEFORMAT </w:instrText>
    </w:r>
    <w:r>
      <w:fldChar w:fldCharType="separate"/>
    </w:r>
    <w:r>
      <w:t>iii</w:t>
    </w:r>
    <w:r>
      <w:fldChar w:fldCharType="end"/>
    </w:r>
    <w:r>
      <w:t xml:space="preserve"> | AIR.ORG </w:t>
    </w:r>
    <w:r>
      <w:ptab w:relativeTo="margin" w:alignment="right" w:leader="none"/>
    </w:r>
    <w:r>
      <w:t>National Study of Special Education Spending Supporting Statement</w:t>
    </w:r>
    <w:r>
      <w:br/>
      <w:t>for OMB Clearance Request for Phase 1. Study Recruitment Activities</w:t>
    </w:r>
    <w:r>
      <w:br/>
      <w:t>Part B: Data Collection Procedures and Statistical Methods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91B" w:rsidP="000F39E2" w14:paraId="7A2DC4E6" w14:textId="77777777">
    <w:pPr>
      <w:pStyle w:val="FooterDocTitle"/>
    </w:pPr>
    <w:r>
      <w:fldChar w:fldCharType="begin"/>
    </w:r>
    <w:r>
      <w:instrText xml:space="preserve"> PAGE   \* MERGEFORMAT </w:instrText>
    </w:r>
    <w:r>
      <w:fldChar w:fldCharType="separate"/>
    </w:r>
    <w:r>
      <w:t>3</w:t>
    </w:r>
    <w:r>
      <w:fldChar w:fldCharType="end"/>
    </w:r>
    <w:r>
      <w:t xml:space="preserve"> | AIR.ORG </w:t>
    </w:r>
    <w:r>
      <w:ptab w:relativeTo="margin" w:alignment="right" w:leader="none"/>
    </w:r>
    <w:r>
      <w:t xml:space="preserve"> Document Title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2F5F" w:rsidP="008238D9" w14:paraId="080C2D35" w14:textId="77777777">
      <w:pPr>
        <w:pStyle w:val="NoSpacing"/>
      </w:pPr>
      <w:r>
        <w:separator/>
      </w:r>
    </w:p>
  </w:footnote>
  <w:footnote w:type="continuationSeparator" w:id="1">
    <w:p w:rsidR="00BB2F5F" w:rsidP="008238D9" w14:paraId="63F3DEAA" w14:textId="77777777">
      <w:pPr>
        <w:pStyle w:val="NoSpacing"/>
      </w:pPr>
      <w:r>
        <w:continuationSeparator/>
      </w:r>
    </w:p>
    <w:p w:rsidR="00BB2F5F" w:rsidP="00001D2C" w14:paraId="1DB2080F" w14:textId="77777777"/>
    <w:p w:rsidR="00BB2F5F" w14:paraId="51EBFB4B" w14:textId="77777777"/>
  </w:footnote>
  <w:footnote w:type="continuationNotice" w:id="2">
    <w:p w:rsidR="00BB2F5F" w:rsidP="008238D9" w14:paraId="574A1AB9" w14:textId="77777777">
      <w:pPr>
        <w:pStyle w:val="NoSpacing"/>
      </w:pPr>
    </w:p>
    <w:p w:rsidR="00BB2F5F" w:rsidP="00001D2C" w14:paraId="50F001D3" w14:textId="77777777"/>
    <w:p w:rsidR="00BB2F5F" w14:paraId="2282D498" w14:textId="77777777"/>
  </w:footnote>
  <w:footnote w:id="3">
    <w:p w:rsidR="005839F1" w:rsidRPr="004F212B" w:rsidP="004F212B" w14:paraId="382126BB" w14:textId="7752CB59">
      <w:pPr>
        <w:spacing w:line="240" w:lineRule="auto"/>
        <w:rPr>
          <w:rFonts w:eastAsia="Times New Roman" w:cstheme="minorHAnsi"/>
          <w:color w:val="0A0A0A"/>
          <w:sz w:val="18"/>
          <w:szCs w:val="18"/>
        </w:rPr>
      </w:pPr>
      <w:r w:rsidRPr="004F212B">
        <w:rPr>
          <w:rStyle w:val="FootnoteReference"/>
          <w:rFonts w:cstheme="minorHAnsi"/>
          <w:sz w:val="18"/>
          <w:szCs w:val="18"/>
        </w:rPr>
        <w:footnoteRef/>
      </w:r>
      <w:r w:rsidRPr="004F212B">
        <w:rPr>
          <w:rFonts w:cstheme="minorHAnsi"/>
          <w:sz w:val="18"/>
          <w:szCs w:val="18"/>
        </w:rPr>
        <w:t xml:space="preserve"> </w:t>
      </w:r>
      <w:r w:rsidRPr="004F212B">
        <w:rPr>
          <w:rFonts w:cstheme="minorHAnsi"/>
          <w:color w:val="333333"/>
          <w:sz w:val="18"/>
          <w:szCs w:val="18"/>
          <w:shd w:val="clear" w:color="auto" w:fill="FFFFFF"/>
        </w:rPr>
        <w:t>Barrett, C. A., Stevenson, N. A., &amp; Burns, M. K. (2020).</w:t>
      </w:r>
      <w:r w:rsidRPr="004F212B">
        <w:rPr>
          <w:rStyle w:val="apple-converted-space"/>
          <w:rFonts w:cstheme="minorHAnsi"/>
          <w:color w:val="333333"/>
          <w:sz w:val="18"/>
          <w:szCs w:val="18"/>
          <w:shd w:val="clear" w:color="auto" w:fill="FFFFFF"/>
        </w:rPr>
        <w:t> </w:t>
      </w:r>
      <w:r w:rsidRPr="004F212B">
        <w:rPr>
          <w:rStyle w:val="citeproc-title"/>
          <w:rFonts w:cstheme="minorHAnsi"/>
          <w:color w:val="333333"/>
          <w:sz w:val="18"/>
          <w:szCs w:val="18"/>
        </w:rPr>
        <w:t>Relationship between disability category, time spent in general education and academic achievement</w:t>
      </w:r>
      <w:r w:rsidRPr="004F212B">
        <w:rPr>
          <w:rFonts w:cstheme="minorHAnsi"/>
          <w:color w:val="333333"/>
          <w:sz w:val="18"/>
          <w:szCs w:val="18"/>
          <w:shd w:val="clear" w:color="auto" w:fill="FFFFFF"/>
        </w:rPr>
        <w:t>.</w:t>
      </w:r>
      <w:r w:rsidRPr="004F212B">
        <w:rPr>
          <w:rStyle w:val="apple-converted-space"/>
          <w:rFonts w:cstheme="minorHAnsi"/>
          <w:color w:val="333333"/>
          <w:sz w:val="18"/>
          <w:szCs w:val="18"/>
          <w:shd w:val="clear" w:color="auto" w:fill="FFFFFF"/>
        </w:rPr>
        <w:t> </w:t>
      </w:r>
      <w:r w:rsidRPr="004F212B">
        <w:rPr>
          <w:rStyle w:val="Emphasis"/>
          <w:rFonts w:cstheme="minorHAnsi"/>
          <w:color w:val="333333"/>
          <w:sz w:val="18"/>
          <w:szCs w:val="18"/>
        </w:rPr>
        <w:t>Educational Studies</w:t>
      </w:r>
      <w:r w:rsidRPr="004F212B">
        <w:rPr>
          <w:rFonts w:cstheme="minorHAnsi"/>
          <w:color w:val="333333"/>
          <w:sz w:val="18"/>
          <w:szCs w:val="18"/>
          <w:shd w:val="clear" w:color="auto" w:fill="FFFFFF"/>
        </w:rPr>
        <w:t>,</w:t>
      </w:r>
      <w:r w:rsidRPr="004F212B">
        <w:rPr>
          <w:rStyle w:val="apple-converted-space"/>
          <w:rFonts w:cstheme="minorHAnsi"/>
          <w:color w:val="333333"/>
          <w:sz w:val="18"/>
          <w:szCs w:val="18"/>
          <w:shd w:val="clear" w:color="auto" w:fill="FFFFFF"/>
        </w:rPr>
        <w:t> </w:t>
      </w:r>
      <w:r w:rsidRPr="004F212B">
        <w:rPr>
          <w:rStyle w:val="Emphasis"/>
          <w:rFonts w:cstheme="minorHAnsi"/>
          <w:color w:val="333333"/>
          <w:sz w:val="18"/>
          <w:szCs w:val="18"/>
        </w:rPr>
        <w:t>46</w:t>
      </w:r>
      <w:r w:rsidRPr="004F212B">
        <w:rPr>
          <w:rFonts w:cstheme="minorHAnsi"/>
          <w:color w:val="333333"/>
          <w:sz w:val="18"/>
          <w:szCs w:val="18"/>
          <w:shd w:val="clear" w:color="auto" w:fill="FFFFFF"/>
        </w:rPr>
        <w:t xml:space="preserve">(4), 497–512; </w:t>
      </w:r>
      <w:r w:rsidRPr="004F212B">
        <w:rPr>
          <w:rFonts w:cstheme="minorHAnsi"/>
          <w:color w:val="0A0A0A"/>
          <w:sz w:val="18"/>
          <w:szCs w:val="18"/>
          <w:shd w:val="clear" w:color="auto" w:fill="FFFFFF"/>
        </w:rPr>
        <w:t>Cleveland, C., &amp; Markham, J. (2024).</w:t>
      </w:r>
      <w:r w:rsidRPr="004F212B">
        <w:rPr>
          <w:rStyle w:val="apple-converted-space"/>
          <w:rFonts w:cstheme="minorHAnsi"/>
          <w:color w:val="0A0A0A"/>
          <w:sz w:val="18"/>
          <w:szCs w:val="18"/>
          <w:shd w:val="clear" w:color="auto" w:fill="FFFFFF"/>
        </w:rPr>
        <w:t> </w:t>
      </w:r>
      <w:r w:rsidRPr="004F212B">
        <w:rPr>
          <w:rStyle w:val="Emphasis"/>
          <w:rFonts w:cstheme="minorHAnsi"/>
          <w:color w:val="0A0A0A"/>
          <w:sz w:val="18"/>
          <w:szCs w:val="18"/>
        </w:rPr>
        <w:t xml:space="preserve">Understanding Individualized Education Program (IEP) Goals at Scale </w:t>
      </w:r>
      <w:r w:rsidRPr="004F212B">
        <w:rPr>
          <w:rFonts w:cstheme="minorHAnsi"/>
          <w:color w:val="0A0A0A"/>
          <w:sz w:val="18"/>
          <w:szCs w:val="18"/>
          <w:shd w:val="clear" w:color="auto" w:fill="FFFFFF"/>
        </w:rPr>
        <w:t xml:space="preserve">(EdWorkingPaper No. 24-992). Annenberg Institute for School Reform at Brown University; </w:t>
      </w:r>
      <w:r w:rsidRPr="004F212B">
        <w:rPr>
          <w:rFonts w:cstheme="minorHAnsi"/>
          <w:color w:val="333333"/>
          <w:sz w:val="18"/>
          <w:szCs w:val="18"/>
          <w:shd w:val="clear" w:color="auto" w:fill="FFFFFF"/>
        </w:rPr>
        <w:t>Jackson, L., Agran, M., Lansey, K. R., Baker, D., Matthews, S., Fitzpatrick, H., Jameson, M., Ryndak, D., Burnette, K., &amp; Taub, D. (2022). Examination of Contextual Variables Across and Within Different Types of Placement for Elementary Students with Complex Support Needs.</w:t>
      </w:r>
      <w:r w:rsidRPr="004F212B">
        <w:rPr>
          <w:rStyle w:val="apple-converted-space"/>
          <w:rFonts w:cstheme="minorHAnsi"/>
          <w:color w:val="333333"/>
          <w:sz w:val="18"/>
          <w:szCs w:val="18"/>
          <w:shd w:val="clear" w:color="auto" w:fill="FFFFFF"/>
        </w:rPr>
        <w:t> </w:t>
      </w:r>
      <w:r w:rsidRPr="004F212B">
        <w:rPr>
          <w:rFonts w:cstheme="minorHAnsi"/>
          <w:i/>
          <w:iCs/>
          <w:color w:val="333333"/>
          <w:sz w:val="18"/>
          <w:szCs w:val="18"/>
        </w:rPr>
        <w:t>Research and Practice for Persons with Severe Disabilities</w:t>
      </w:r>
      <w:r w:rsidRPr="004F212B">
        <w:rPr>
          <w:rFonts w:cstheme="minorHAnsi"/>
          <w:color w:val="333333"/>
          <w:sz w:val="18"/>
          <w:szCs w:val="18"/>
          <w:shd w:val="clear" w:color="auto" w:fill="FFFFFF"/>
        </w:rPr>
        <w:t>,</w:t>
      </w:r>
      <w:r w:rsidRPr="004F212B">
        <w:rPr>
          <w:rStyle w:val="apple-converted-space"/>
          <w:rFonts w:cstheme="minorHAnsi"/>
          <w:color w:val="333333"/>
          <w:sz w:val="18"/>
          <w:szCs w:val="18"/>
          <w:shd w:val="clear" w:color="auto" w:fill="FFFFFF"/>
        </w:rPr>
        <w:t> </w:t>
      </w:r>
      <w:r w:rsidRPr="004F212B">
        <w:rPr>
          <w:rFonts w:cstheme="minorHAnsi"/>
          <w:i/>
          <w:iCs/>
          <w:color w:val="333333"/>
          <w:sz w:val="18"/>
          <w:szCs w:val="18"/>
        </w:rPr>
        <w:t>47</w:t>
      </w:r>
      <w:r w:rsidRPr="004F212B">
        <w:rPr>
          <w:rFonts w:cstheme="minorHAnsi"/>
          <w:color w:val="333333"/>
          <w:sz w:val="18"/>
          <w:szCs w:val="18"/>
          <w:shd w:val="clear" w:color="auto" w:fill="FFFFFF"/>
        </w:rPr>
        <w:t xml:space="preserve">(4), 191-208; </w:t>
      </w:r>
      <w:r w:rsidRPr="004F212B">
        <w:rPr>
          <w:rFonts w:cstheme="minorHAnsi"/>
          <w:color w:val="0A0A0A"/>
          <w:sz w:val="18"/>
          <w:szCs w:val="18"/>
          <w:shd w:val="clear" w:color="auto" w:fill="FFFFFF"/>
        </w:rPr>
        <w:t>Maurer, K. J., Sturm, A., &amp; Kasari, C. (2024). Classroom placements of students with disabilities in public day schools in a large school district.</w:t>
      </w:r>
      <w:r w:rsidRPr="004F212B">
        <w:rPr>
          <w:rStyle w:val="apple-converted-space"/>
          <w:rFonts w:cstheme="minorHAnsi"/>
          <w:color w:val="0A0A0A"/>
          <w:sz w:val="18"/>
          <w:szCs w:val="18"/>
          <w:shd w:val="clear" w:color="auto" w:fill="FFFFFF"/>
        </w:rPr>
        <w:t> </w:t>
      </w:r>
      <w:r w:rsidRPr="004F212B">
        <w:rPr>
          <w:rStyle w:val="Emphasis"/>
          <w:rFonts w:cstheme="minorHAnsi"/>
          <w:color w:val="0A0A0A"/>
          <w:sz w:val="18"/>
          <w:szCs w:val="18"/>
        </w:rPr>
        <w:t>Remedial and Special Education</w:t>
      </w:r>
      <w:r w:rsidRPr="004F212B">
        <w:rPr>
          <w:rFonts w:cstheme="minorHAnsi"/>
          <w:color w:val="0A0A0A"/>
          <w:sz w:val="18"/>
          <w:szCs w:val="18"/>
          <w:shd w:val="clear" w:color="auto" w:fill="FFFFFF"/>
        </w:rPr>
        <w:t>,</w:t>
      </w:r>
      <w:r w:rsidRPr="004F212B">
        <w:rPr>
          <w:rStyle w:val="apple-converted-space"/>
          <w:rFonts w:cstheme="minorHAnsi"/>
          <w:color w:val="0A0A0A"/>
          <w:sz w:val="18"/>
          <w:szCs w:val="18"/>
          <w:shd w:val="clear" w:color="auto" w:fill="FFFFFF"/>
        </w:rPr>
        <w:t> </w:t>
      </w:r>
      <w:r w:rsidRPr="004F212B">
        <w:rPr>
          <w:rStyle w:val="Emphasis"/>
          <w:rFonts w:cstheme="minorHAnsi"/>
          <w:color w:val="0A0A0A"/>
          <w:sz w:val="18"/>
          <w:szCs w:val="18"/>
        </w:rPr>
        <w:t>46</w:t>
      </w:r>
      <w:r w:rsidRPr="004F212B">
        <w:rPr>
          <w:rFonts w:cstheme="minorHAnsi"/>
          <w:color w:val="0A0A0A"/>
          <w:sz w:val="18"/>
          <w:szCs w:val="18"/>
          <w:shd w:val="clear" w:color="auto" w:fill="FFFFFF"/>
        </w:rPr>
        <w:t xml:space="preserve">(2); </w:t>
      </w:r>
      <w:r w:rsidRPr="004F212B">
        <w:rPr>
          <w:rStyle w:val="Strong"/>
          <w:rFonts w:cstheme="minorHAnsi"/>
          <w:b w:val="0"/>
          <w:bCs w:val="0"/>
          <w:color w:val="0A0A0A"/>
          <w:sz w:val="18"/>
          <w:szCs w:val="18"/>
        </w:rPr>
        <w:t>McCabe, K. M.</w:t>
      </w:r>
      <w:r w:rsidRPr="004F212B">
        <w:rPr>
          <w:rStyle w:val="apple-converted-space"/>
          <w:rFonts w:cstheme="minorHAnsi"/>
          <w:color w:val="0A0A0A"/>
          <w:sz w:val="18"/>
          <w:szCs w:val="18"/>
          <w:shd w:val="clear" w:color="auto" w:fill="FFFFFF"/>
        </w:rPr>
        <w:t> </w:t>
      </w:r>
      <w:r w:rsidRPr="004F212B">
        <w:rPr>
          <w:rFonts w:cstheme="minorHAnsi"/>
          <w:color w:val="0A0A0A"/>
          <w:sz w:val="18"/>
          <w:szCs w:val="18"/>
          <w:shd w:val="clear" w:color="auto" w:fill="FFFFFF"/>
        </w:rPr>
        <w:t>(2024). An Evaluation of Annual Goals for Rural Students Who Are Receiving Special Education Services: A Comparison of Disability Categories.</w:t>
      </w:r>
      <w:r w:rsidRPr="004F212B">
        <w:rPr>
          <w:rStyle w:val="apple-converted-space"/>
          <w:rFonts w:cstheme="minorHAnsi"/>
          <w:color w:val="0A0A0A"/>
          <w:sz w:val="18"/>
          <w:szCs w:val="18"/>
          <w:shd w:val="clear" w:color="auto" w:fill="FFFFFF"/>
        </w:rPr>
        <w:t> </w:t>
      </w:r>
      <w:r w:rsidRPr="004F212B">
        <w:rPr>
          <w:rStyle w:val="Emphasis"/>
          <w:rFonts w:cstheme="minorHAnsi"/>
          <w:color w:val="0A0A0A"/>
          <w:sz w:val="18"/>
          <w:szCs w:val="18"/>
        </w:rPr>
        <w:t>Exceptional Children</w:t>
      </w:r>
      <w:r w:rsidRPr="004F212B">
        <w:rPr>
          <w:rFonts w:cstheme="minorHAnsi"/>
          <w:color w:val="0A0A0A"/>
          <w:sz w:val="18"/>
          <w:szCs w:val="18"/>
          <w:shd w:val="clear" w:color="auto" w:fill="FFFFFF"/>
        </w:rPr>
        <w:t>, 91(1), 32-49.</w:t>
      </w:r>
    </w:p>
  </w:footnote>
  <w:footnote w:id="4">
    <w:p w:rsidR="005839F1" w:rsidRPr="004F212B" w:rsidP="004F212B" w14:paraId="119F055D" w14:textId="05C2587E">
      <w:pPr>
        <w:pStyle w:val="FootnoteText"/>
        <w:rPr>
          <w:rFonts w:cstheme="minorHAnsi"/>
          <w:szCs w:val="18"/>
        </w:rPr>
      </w:pPr>
      <w:r w:rsidRPr="004F212B">
        <w:rPr>
          <w:rStyle w:val="FootnoteReference"/>
          <w:rFonts w:cstheme="minorHAnsi"/>
          <w:szCs w:val="18"/>
        </w:rPr>
        <w:footnoteRef/>
      </w:r>
      <w:r w:rsidRPr="004F212B">
        <w:rPr>
          <w:rFonts w:cstheme="minorHAnsi"/>
          <w:szCs w:val="18"/>
        </w:rPr>
        <w:t xml:space="preserve"> </w:t>
      </w:r>
      <w:r w:rsidRPr="004F212B" w:rsidR="004F212B">
        <w:rPr>
          <w:rFonts w:eastAsia="Times New Roman" w:cstheme="minorHAnsi"/>
          <w:color w:val="0A0A0A"/>
          <w:szCs w:val="18"/>
        </w:rPr>
        <w:t>Chambers, J. G., Shkolnik, J., &amp; Perez, M. (2003). </w:t>
      </w:r>
      <w:r w:rsidRPr="004F212B" w:rsidR="004F212B">
        <w:rPr>
          <w:rFonts w:eastAsia="Times New Roman" w:cstheme="minorHAnsi"/>
          <w:i/>
          <w:iCs/>
          <w:color w:val="0A0A0A"/>
          <w:szCs w:val="18"/>
        </w:rPr>
        <w:t xml:space="preserve">Total expenditures for students with disabilities, 1999-2000: Spending variation by disability </w:t>
      </w:r>
      <w:r w:rsidRPr="004F212B" w:rsidR="004F212B">
        <w:rPr>
          <w:rFonts w:eastAsia="Times New Roman" w:cstheme="minorHAnsi"/>
          <w:color w:val="0A0A0A"/>
          <w:szCs w:val="18"/>
        </w:rPr>
        <w:t>(Report No. SEEP5). American Institutes for Research.</w:t>
      </w:r>
    </w:p>
  </w:footnote>
  <w:footnote w:id="5">
    <w:p w:rsidR="00A21AD9" w:rsidRPr="004F212B" w:rsidP="004F212B" w14:paraId="33E30D93" w14:textId="77777777">
      <w:pPr>
        <w:pStyle w:val="FootnoteText"/>
        <w:rPr>
          <w:rFonts w:cstheme="minorHAnsi"/>
          <w:szCs w:val="18"/>
        </w:rPr>
      </w:pPr>
      <w:r w:rsidRPr="004F212B">
        <w:rPr>
          <w:rStyle w:val="FootnoteReference"/>
          <w:rFonts w:cstheme="minorHAnsi"/>
          <w:szCs w:val="18"/>
        </w:rPr>
        <w:footnoteRef/>
      </w:r>
      <w:r w:rsidRPr="004F212B">
        <w:rPr>
          <w:rFonts w:cstheme="minorHAnsi"/>
          <w:szCs w:val="18"/>
        </w:rPr>
        <w:t xml:space="preserve"> The disability categories identified by IDEA are autism spectrum disorder (ASD), deaf-blindness (DB), developmental delay (DD), emotional disturbance (ED), hearing impairment (HI), intellectual disability (ID), multiple disabilities (MD), orthopedic impairment (OI), other health impairment (OHI), specific learning disability (SLD), speech language impairment (SLI), traumatic brain injury (TBI), and visual impairment (VI). </w:t>
      </w:r>
    </w:p>
  </w:footnote>
  <w:footnote w:id="6">
    <w:p w:rsidR="00A21AD9" w:rsidRPr="004F212B" w:rsidP="004F212B" w14:paraId="288C8A35" w14:textId="77777777">
      <w:pPr>
        <w:pStyle w:val="FootnoteText"/>
        <w:rPr>
          <w:rFonts w:cstheme="minorHAnsi"/>
          <w:szCs w:val="18"/>
        </w:rPr>
      </w:pPr>
      <w:r w:rsidRPr="004F212B">
        <w:rPr>
          <w:rStyle w:val="FootnoteReference"/>
          <w:rFonts w:cstheme="minorHAnsi"/>
          <w:szCs w:val="18"/>
        </w:rPr>
        <w:footnoteRef/>
      </w:r>
      <w:r w:rsidRPr="004F212B">
        <w:rPr>
          <w:rFonts w:cstheme="minorHAnsi"/>
          <w:szCs w:val="18"/>
        </w:rPr>
        <w:t xml:space="preserve"> A comparison sample of students who do not receive special education is needed to answer the study’s research questions (RQs). For instance, RQ 1c asks, “How does spending to educate a SWD compare to spending for a typical general education student?” Part A of this submission (Section A.2) lists the study’s core research questions.  </w:t>
      </w:r>
    </w:p>
  </w:footnote>
  <w:footnote w:id="7">
    <w:p w:rsidR="00A21AD9" w:rsidRPr="008631EB" w:rsidP="008238D9" w14:paraId="329EE9DF" w14:textId="3BADA5FF">
      <w:pPr>
        <w:pStyle w:val="FootnoteText"/>
      </w:pPr>
      <w:r w:rsidRPr="008631EB">
        <w:rPr>
          <w:rStyle w:val="FootnoteReference"/>
          <w:szCs w:val="18"/>
        </w:rPr>
        <w:footnoteRef/>
      </w:r>
      <w:r w:rsidRPr="008631EB">
        <w:t xml:space="preserve"> The study will use federal reporting categories for the least restrictive environment (LRE) under IDEA, </w:t>
      </w:r>
      <w:r w:rsidRPr="00F0390F">
        <w:t>which use s</w:t>
      </w:r>
      <w:r w:rsidRPr="008631EB">
        <w:t>pecific percentage-based categories to show where SWDs spend their time (&gt;</w:t>
      </w:r>
      <w:r>
        <w:t xml:space="preserve"> </w:t>
      </w:r>
      <w:r w:rsidRPr="008631EB">
        <w:t>80</w:t>
      </w:r>
      <w:r>
        <w:t xml:space="preserve"> percent</w:t>
      </w:r>
      <w:r w:rsidRPr="008631EB">
        <w:t xml:space="preserve"> in a general education classroom; 40</w:t>
      </w:r>
      <w:r>
        <w:t xml:space="preserve"> percent to </w:t>
      </w:r>
      <w:r w:rsidRPr="008631EB">
        <w:t>79</w:t>
      </w:r>
      <w:r>
        <w:t xml:space="preserve"> percent</w:t>
      </w:r>
      <w:r w:rsidRPr="008631EB">
        <w:t xml:space="preserve"> of time in a general education classroom; &lt;</w:t>
      </w:r>
      <w:r>
        <w:t xml:space="preserve"> </w:t>
      </w:r>
      <w:r w:rsidRPr="008631EB">
        <w:t>40</w:t>
      </w:r>
      <w:r w:rsidRPr="002C5AE0">
        <w:t xml:space="preserve"> </w:t>
      </w:r>
      <w:r>
        <w:t>percent</w:t>
      </w:r>
      <w:r w:rsidRPr="008631EB">
        <w:t xml:space="preserve"> </w:t>
      </w:r>
      <w:r w:rsidRPr="008631EB">
        <w:t xml:space="preserve">of time in a general education classroom; and separate school or residential placement). </w:t>
      </w:r>
    </w:p>
  </w:footnote>
  <w:footnote w:id="8">
    <w:p w:rsidR="00A21AD9" w:rsidRPr="008631EB" w:rsidP="008238D9" w14:paraId="157EE8F4" w14:textId="56503DC4">
      <w:pPr>
        <w:pStyle w:val="FootnoteText"/>
      </w:pPr>
      <w:r w:rsidRPr="008631EB">
        <w:rPr>
          <w:rStyle w:val="FootnoteReference"/>
          <w:szCs w:val="18"/>
        </w:rPr>
        <w:footnoteRef/>
      </w:r>
      <w:r w:rsidRPr="008631EB">
        <w:t xml:space="preserve"> See Exhibi</w:t>
      </w:r>
      <w:r w:rsidR="006C0DB8">
        <w:t>t 4</w:t>
      </w:r>
      <w:r w:rsidRPr="008631EB">
        <w:t xml:space="preserve"> for the expected RMOEs for the estimates across the various student groups. </w:t>
      </w:r>
    </w:p>
  </w:footnote>
  <w:footnote w:id="9">
    <w:p w:rsidR="00A21AD9" w:rsidP="008238D9" w14:paraId="40BBA36B" w14:textId="16F334E4">
      <w:pPr>
        <w:pStyle w:val="FootnoteText"/>
      </w:pPr>
      <w:r w:rsidRPr="008631EB">
        <w:rPr>
          <w:rStyle w:val="FootnoteReference"/>
          <w:szCs w:val="18"/>
        </w:rPr>
        <w:footnoteRef/>
      </w:r>
      <w:r w:rsidRPr="008631EB">
        <w:t xml:space="preserve"> See Exhibi</w:t>
      </w:r>
      <w:r w:rsidR="006C0DB8">
        <w:t>t 5</w:t>
      </w:r>
      <w:r w:rsidRPr="008631EB">
        <w:t xml:space="preserve"> for the expected RMOEs for the estimates across the various district groups.</w:t>
      </w:r>
      <w:r>
        <w:t xml:space="preserve"> </w:t>
      </w:r>
    </w:p>
  </w:footnote>
  <w:footnote w:id="10">
    <w:p w:rsidR="00A21AD9" w:rsidRPr="00DD5718" w:rsidP="008238D9" w14:paraId="79792459" w14:textId="77777777">
      <w:pPr>
        <w:pStyle w:val="FootnoteText"/>
      </w:pPr>
      <w:r w:rsidRPr="00DD5718">
        <w:rPr>
          <w:rStyle w:val="FootnoteReference"/>
          <w:szCs w:val="18"/>
        </w:rPr>
        <w:footnoteRef/>
      </w:r>
      <w:r w:rsidRPr="00DD5718">
        <w:t xml:space="preserve"> Supervisory unions are included in the sampling frame for New York and Vermont because financial data from component districts within supervisory unions are unavailable.</w:t>
      </w:r>
    </w:p>
  </w:footnote>
  <w:footnote w:id="11">
    <w:p w:rsidR="00A21AD9" w:rsidRPr="00DD5718" w:rsidP="008238D9" w14:paraId="37745A6D" w14:textId="4A667E44">
      <w:pPr>
        <w:pStyle w:val="FootnoteText"/>
      </w:pPr>
      <w:r w:rsidRPr="00DD5718">
        <w:rPr>
          <w:rStyle w:val="FootnoteReference"/>
          <w:szCs w:val="18"/>
        </w:rPr>
        <w:footnoteRef/>
      </w:r>
      <w:r w:rsidRPr="00DD5718">
        <w:t xml:space="preserve"> These inclusion and exclusion criteria are consistent with those applied to other federally funded national survey studies with SWDs (e.g., Special Education Elementary Longitudinal Study [SEELS]; Wagner et al. 2002; Link: </w:t>
      </w:r>
      <w:hyperlink r:id="rId1" w:history="1">
        <w:r w:rsidRPr="00DD5718">
          <w:rPr>
            <w:rStyle w:val="Hyperlink1"/>
            <w:szCs w:val="18"/>
          </w:rPr>
          <w:t>https://seels.sri.com/designdocs/SEELS_Children_We_Serve_Report.pdf</w:t>
        </w:r>
      </w:hyperlink>
      <w:r w:rsidRPr="00DD5718">
        <w:t>).</w:t>
      </w:r>
    </w:p>
  </w:footnote>
  <w:footnote w:id="12">
    <w:p w:rsidR="00A21AD9" w:rsidRPr="00DD5718" w:rsidP="008238D9" w14:paraId="05BDD740" w14:textId="77777777">
      <w:pPr>
        <w:pStyle w:val="FootnoteText"/>
      </w:pPr>
      <w:r w:rsidRPr="00DD5718">
        <w:rPr>
          <w:rStyle w:val="FootnoteReference"/>
          <w:szCs w:val="18"/>
        </w:rPr>
        <w:footnoteRef/>
      </w:r>
      <w:r w:rsidRPr="00DD5718">
        <w:t xml:space="preserve"> The CRDC categorizes students by their primary disability. The 2020–21 data do not include Illinois schools. As a result, information from the 2018–19 CRDC data collection will used to sample LEAs in that state.</w:t>
      </w:r>
    </w:p>
  </w:footnote>
  <w:footnote w:id="13">
    <w:p w:rsidR="00A21AD9" w:rsidRPr="006B33E3" w:rsidP="008238D9" w14:paraId="5EF768F2" w14:textId="3ADFEF3C">
      <w:pPr>
        <w:pStyle w:val="FootnoteText"/>
      </w:pPr>
      <w:r w:rsidRPr="00DD5718">
        <w:rPr>
          <w:rStyle w:val="FootnoteReference"/>
          <w:rFonts w:ascii="Calibri" w:hAnsi="Calibri" w:cs="Calibri"/>
          <w:szCs w:val="18"/>
        </w:rPr>
        <w:footnoteRef/>
      </w:r>
      <w:r w:rsidRPr="00DD5718">
        <w:t xml:space="preserve"> A total of 1,596 LEAs were dropped </w:t>
      </w:r>
      <w:r>
        <w:t xml:space="preserve">because of </w:t>
      </w:r>
      <w:r w:rsidRPr="00DD5718">
        <w:t>having missing data on the CRDC or</w:t>
      </w:r>
      <w:r>
        <w:t xml:space="preserve"> not</w:t>
      </w:r>
      <w:r w:rsidRPr="00DD5718">
        <w:t xml:space="preserve"> </w:t>
      </w:r>
      <w:r>
        <w:t>having any</w:t>
      </w:r>
      <w:r w:rsidRPr="00DD5718">
        <w:t xml:space="preserve"> students enrolled in special education.</w:t>
      </w:r>
      <w:r w:rsidRPr="006B33E3">
        <w:t xml:space="preserve"> </w:t>
      </w:r>
    </w:p>
  </w:footnote>
  <w:footnote w:id="14">
    <w:p w:rsidR="00A21AD9" w:rsidRPr="007900F7" w:rsidP="008238D9" w14:paraId="5481FCAE" w14:textId="697BA8DC">
      <w:pPr>
        <w:pStyle w:val="FootnoteText"/>
      </w:pPr>
      <w:r w:rsidRPr="007900F7">
        <w:rPr>
          <w:rStyle w:val="FootnoteReference"/>
          <w:rFonts w:ascii="Calibri" w:hAnsi="Calibri" w:cs="Calibri"/>
          <w:szCs w:val="18"/>
        </w:rPr>
        <w:footnoteRef/>
      </w:r>
      <w:r w:rsidRPr="007900F7">
        <w:t xml:space="preserve"> For sampling, observations for the highest 5</w:t>
      </w:r>
      <w:r w:rsidRPr="002C5AE0">
        <w:t xml:space="preserve"> </w:t>
      </w:r>
      <w:r>
        <w:t>percent</w:t>
      </w:r>
      <w:r w:rsidRPr="007900F7">
        <w:t xml:space="preserve"> </w:t>
      </w:r>
      <w:r w:rsidRPr="007900F7">
        <w:t xml:space="preserve">of spending within a disability category </w:t>
      </w:r>
      <w:r w:rsidR="00DE1C9E">
        <w:t xml:space="preserve">were trimmed </w:t>
      </w:r>
      <w:r w:rsidRPr="007900F7">
        <w:t>to avoid influence from extreme values.</w:t>
      </w:r>
    </w:p>
  </w:footnote>
  <w:footnote w:id="15">
    <w:p w:rsidR="00125961" w:rsidRPr="007900F7" w:rsidP="00125961" w14:paraId="590C4C63" w14:textId="77777777">
      <w:pPr>
        <w:pStyle w:val="FootnoteText"/>
      </w:pPr>
      <w:r w:rsidRPr="007900F7">
        <w:rPr>
          <w:rStyle w:val="FootnoteReference"/>
          <w:rFonts w:ascii="Calibri" w:hAnsi="Calibri" w:cs="Calibri"/>
          <w:szCs w:val="18"/>
        </w:rPr>
        <w:footnoteRef/>
      </w:r>
      <w:r w:rsidRPr="007900F7">
        <w:t xml:space="preserve"> The formula used for this calculation was ( </w:t>
      </w:r>
      <m:oMath>
        <m:f>
          <m:fPr>
            <m:ctrlPr>
              <w:rPr>
                <w:rFonts w:ascii="Cambria Math" w:hAnsi="Cambria Math"/>
                <w:i/>
              </w:rPr>
            </m:ctrlPr>
          </m:fPr>
          <m:num>
            <m:r>
              <w:rPr>
                <w:rFonts w:ascii="Cambria Math" w:hAnsi="Cambria Math"/>
              </w:rPr>
              <m:t>n</m:t>
            </m:r>
            <m:nary>
              <m:naryPr>
                <m:chr m:val="∑"/>
                <m:limLoc m:val="subSup"/>
                <m:ctrlPr>
                  <w:rPr>
                    <w:rFonts w:ascii="Cambria Math" w:hAnsi="Cambria Math"/>
                    <w:i/>
                  </w:rPr>
                </m:ctrlPr>
              </m:naryPr>
              <m:sub>
                <m:r>
                  <w:rPr>
                    <w:rFonts w:ascii="Cambria Math" w:hAnsi="Cambria Math"/>
                  </w:rPr>
                  <m:t>i = 1</m:t>
                </m:r>
              </m:sub>
              <m:sup>
                <m:r>
                  <w:rPr>
                    <w:rFonts w:ascii="Cambria Math" w:hAnsi="Cambria Math"/>
                  </w:rPr>
                  <m:t xml:space="preserve">n </m:t>
                </m:r>
              </m:sup>
              <m:e>
                <m:sSubSup>
                  <m:sSubSupPr>
                    <m:ctrlPr>
                      <w:rPr>
                        <w:rFonts w:ascii="Cambria Math" w:hAnsi="Cambria Math"/>
                        <w:i/>
                      </w:rPr>
                    </m:ctrlPr>
                  </m:sSubSupPr>
                  <m:e>
                    <m:r>
                      <w:rPr>
                        <w:rFonts w:ascii="Cambria Math" w:hAnsi="Cambria Math"/>
                      </w:rPr>
                      <m:t>w</m:t>
                    </m:r>
                  </m:e>
                  <m:sub>
                    <m:r>
                      <w:rPr>
                        <w:rFonts w:ascii="Cambria Math" w:hAnsi="Cambria Math"/>
                      </w:rPr>
                      <m:t>i</m:t>
                    </m:r>
                  </m:sub>
                  <m:sup>
                    <m:r>
                      <w:rPr>
                        <w:rFonts w:ascii="Cambria Math" w:hAnsi="Cambria Math"/>
                      </w:rPr>
                      <m:t>2</m:t>
                    </m:r>
                  </m:sup>
                </m:sSubSup>
              </m:e>
            </m:nary>
          </m:num>
          <m:den>
            <m:sSup>
              <m:sSupPr>
                <m:ctrlPr>
                  <w:rPr>
                    <w:rFonts w:ascii="Cambria Math" w:hAnsi="Cambria Math"/>
                    <w:i/>
                  </w:rPr>
                </m:ctrlPr>
              </m:sSupPr>
              <m:e>
                <m:d>
                  <m:dPr>
                    <m:ctrlPr>
                      <w:rPr>
                        <w:rFonts w:ascii="Cambria Math" w:hAnsi="Cambria Math"/>
                        <w:i/>
                      </w:rPr>
                    </m:ctrlPr>
                  </m:dPr>
                  <m:e>
                    <m:nary>
                      <m:naryPr>
                        <m:chr m:val="∑"/>
                        <m:limLoc m:val="subSup"/>
                        <m:ctrlPr>
                          <w:rPr>
                            <w:rFonts w:ascii="Cambria Math" w:hAnsi="Cambria Math"/>
                            <w:i/>
                          </w:rPr>
                        </m:ctrlPr>
                      </m:naryPr>
                      <m:sub>
                        <m:r>
                          <w:rPr>
                            <w:rFonts w:ascii="Cambria Math" w:hAnsi="Cambria Math"/>
                          </w:rPr>
                          <m:t>i = 1</m:t>
                        </m:r>
                      </m:sub>
                      <m:sup>
                        <m:r>
                          <w:rPr>
                            <w:rFonts w:ascii="Cambria Math" w:hAnsi="Cambria Math"/>
                          </w:rPr>
                          <m:t>n</m:t>
                        </m:r>
                      </m:sup>
                      <m:e>
                        <m:sSub>
                          <m:sSubPr>
                            <m:ctrlPr>
                              <w:rPr>
                                <w:rFonts w:ascii="Cambria Math" w:hAnsi="Cambria Math"/>
                                <w:i/>
                              </w:rPr>
                            </m:ctrlPr>
                          </m:sSubPr>
                          <m:e>
                            <m:r>
                              <w:rPr>
                                <w:rFonts w:ascii="Cambria Math" w:hAnsi="Cambria Math"/>
                              </w:rPr>
                              <m:t>w</m:t>
                            </m:r>
                          </m:e>
                          <m:sub>
                            <m:r>
                              <w:rPr>
                                <w:rFonts w:ascii="Cambria Math" w:hAnsi="Cambria Math"/>
                              </w:rPr>
                              <m:t>i</m:t>
                            </m:r>
                          </m:sub>
                        </m:sSub>
                      </m:e>
                    </m:nary>
                  </m:e>
                </m:d>
              </m:e>
              <m:sup>
                <m:r>
                  <w:rPr>
                    <w:rFonts w:ascii="Cambria Math" w:hAnsi="Cambria Math"/>
                  </w:rPr>
                  <m:t>2</m:t>
                </m:r>
              </m:sup>
            </m:sSup>
          </m:den>
        </m:f>
        <m:r>
          <w:rPr>
            <w:rFonts w:ascii="Cambria Math" w:hAnsi="Cambria Math"/>
          </w:rPr>
          <m:t>)</m:t>
        </m:r>
      </m:oMath>
      <w:r w:rsidRPr="007900F7">
        <w:rPr>
          <w:rFonts w:eastAsia="MS Mincho"/>
        </w:rPr>
        <w:t xml:space="preserve"> , where </w:t>
      </w:r>
      <w:r w:rsidRPr="00734A80">
        <w:rPr>
          <w:rFonts w:eastAsia="MS Mincho"/>
          <w:i/>
          <w:iCs/>
        </w:rPr>
        <w:t>n</w:t>
      </w:r>
      <w:r w:rsidRPr="007900F7">
        <w:rPr>
          <w:rFonts w:eastAsia="MS Mincho"/>
        </w:rPr>
        <w:t xml:space="preserve"> is the total student sample size, and </w:t>
      </w: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Pr="007900F7">
        <w:t xml:space="preserve"> </w:t>
      </w:r>
      <w:r w:rsidRPr="007900F7">
        <w:rPr>
          <w:rFonts w:eastAsia="MS Mincho"/>
        </w:rPr>
        <w:t xml:space="preserve">is the sampling weight for sampled student </w:t>
      </w:r>
      <w:r w:rsidRPr="007900F7">
        <w:rPr>
          <w:rFonts w:eastAsia="MS Mincho"/>
          <w:i/>
          <w:iCs/>
        </w:rPr>
        <w:t>i</w:t>
      </w:r>
      <w:r w:rsidRPr="007900F7">
        <w:rPr>
          <w:rFonts w:eastAsia="MS Mincho"/>
        </w:rPr>
        <w:t>.</w:t>
      </w:r>
    </w:p>
  </w:footnote>
  <w:footnote w:id="16">
    <w:p w:rsidR="00125961" w:rsidRPr="006B33E3" w:rsidP="00125961" w14:paraId="47DB571E" w14:textId="66C4C065">
      <w:pPr>
        <w:pStyle w:val="FootnoteText"/>
      </w:pPr>
      <w:r w:rsidRPr="007900F7">
        <w:rPr>
          <w:rStyle w:val="FootnoteReference"/>
          <w:rFonts w:ascii="Calibri" w:hAnsi="Calibri" w:cs="Calibri"/>
          <w:szCs w:val="18"/>
        </w:rPr>
        <w:footnoteRef/>
      </w:r>
      <w:r w:rsidRPr="007900F7">
        <w:t xml:space="preserve"> The formula used for this calculation was (</w:t>
      </w:r>
      <m:oMath>
        <m:r>
          <w:rPr>
            <w:rFonts w:ascii="Cambria Math" w:hAnsi="Cambria Math"/>
          </w:rPr>
          <m:t>1+</m:t>
        </m:r>
        <m:d>
          <m:dPr>
            <m:ctrlPr>
              <w:rPr>
                <w:rFonts w:ascii="Cambria Math" w:hAnsi="Cambria Math"/>
                <w:i/>
              </w:rPr>
            </m:ctrlPr>
          </m:dPr>
          <m:e>
            <m:r>
              <w:rPr>
                <w:rFonts w:ascii="Cambria Math" w:hAnsi="Cambria Math"/>
              </w:rPr>
              <m:t>n-1</m:t>
            </m:r>
          </m:e>
        </m:d>
        <m:r>
          <w:rPr>
            <w:rFonts w:ascii="Cambria Math" w:hAnsi="Cambria Math"/>
          </w:rPr>
          <m:t>*ICC)</m:t>
        </m:r>
      </m:oMath>
      <w:r w:rsidRPr="007900F7">
        <w:rPr>
          <w:rFonts w:eastAsia="MS Mincho"/>
        </w:rPr>
        <w:t xml:space="preserve">, where </w:t>
      </w:r>
      <w:r w:rsidRPr="00734A80">
        <w:rPr>
          <w:rFonts w:eastAsia="MS Mincho"/>
          <w:i/>
          <w:iCs/>
        </w:rPr>
        <w:t>n</w:t>
      </w:r>
      <w:r w:rsidRPr="007900F7">
        <w:rPr>
          <w:rFonts w:eastAsia="MS Mincho"/>
        </w:rPr>
        <w:t xml:space="preserve"> is the average number of students per district.</w:t>
      </w:r>
    </w:p>
  </w:footnote>
  <w:footnote w:id="17">
    <w:p w:rsidR="009C778A" w14:paraId="4D4C9888" w14:textId="7799AE7D">
      <w:pPr>
        <w:pStyle w:val="FootnoteText"/>
      </w:pPr>
      <w:r>
        <w:rPr>
          <w:rStyle w:val="FootnoteReference"/>
        </w:rPr>
        <w:footnoteRef/>
      </w:r>
      <w:r>
        <w:t xml:space="preserve">   </w:t>
      </w:r>
      <w:r w:rsidRPr="00646991">
        <w:t>A key goal for the sample design is to support precise spending estimates for both the overall sample of SWDs and for each of the disability categories defined by IDEA. To determine the student sample size, a target RMOE of 5</w:t>
      </w:r>
      <w:r>
        <w:t xml:space="preserve"> percent</w:t>
      </w:r>
      <w:r w:rsidRPr="00646991">
        <w:t xml:space="preserve"> was set for the overall estimate and a common target MOE for disability</w:t>
      </w:r>
      <w:r>
        <w:t>-</w:t>
      </w:r>
      <w:r w:rsidRPr="00646991">
        <w:t>specific estimates of 8</w:t>
      </w:r>
      <w:r>
        <w:t xml:space="preserve"> percent</w:t>
      </w:r>
      <w:r w:rsidRPr="00646991">
        <w:t xml:space="preserve"> except for the DB, DD, </w:t>
      </w:r>
      <w:r>
        <w:t xml:space="preserve">TBI, </w:t>
      </w:r>
      <w:r w:rsidRPr="00646991">
        <w:t>and VI categories.</w:t>
      </w:r>
      <w:r>
        <w:t xml:space="preserve"> </w:t>
      </w:r>
      <w:r w:rsidRPr="006B33E3">
        <w:t xml:space="preserve">While the sampling design aims for a common target MOE across disability categories, the relative MOE </w:t>
      </w:r>
      <w:r>
        <w:t xml:space="preserve">(RMOE) </w:t>
      </w:r>
      <w:r w:rsidRPr="006B33E3">
        <w:t xml:space="preserve">may vary based on the extent to which the actual mean spending, standard deviation, and intraclass correlation coefficient (ICC) differ for the minimum/maximum sample size </w:t>
      </w:r>
      <w:r w:rsidR="00CB5D83">
        <w:t xml:space="preserve">that was </w:t>
      </w:r>
      <w:r w:rsidRPr="006B33E3">
        <w:t>imposed for each category.</w:t>
      </w:r>
    </w:p>
  </w:footnote>
  <w:footnote w:id="18">
    <w:p w:rsidR="00A21AD9" w:rsidRPr="00C73A6E" w:rsidP="008238D9" w14:paraId="7EB2F72C" w14:textId="62EC78F5">
      <w:pPr>
        <w:pStyle w:val="FootnoteText"/>
      </w:pPr>
      <w:r w:rsidRPr="00C73A6E">
        <w:rPr>
          <w:rStyle w:val="FootnoteReference"/>
          <w:szCs w:val="18"/>
        </w:rPr>
        <w:footnoteRef/>
      </w:r>
      <w:r w:rsidRPr="00C73A6E">
        <w:t xml:space="preserve"> The National Center on </w:t>
      </w:r>
      <w:r w:rsidRPr="006069B2">
        <w:t>Deafblindness reports that, as of December 1, 2021, there were 9,801 children and youth ages 3 to 21 with DB nationwide, as well as about 100 youth ages 22 to 26 in states that provided services under IDEA for SWDs over the age of 21 (Source: National Center on Deafblindness. [2022</w:t>
      </w:r>
      <w:r w:rsidRPr="00C73A6E">
        <w:t xml:space="preserve">]. </w:t>
      </w:r>
      <w:r w:rsidRPr="00C73A6E">
        <w:rPr>
          <w:i/>
          <w:iCs/>
        </w:rPr>
        <w:t xml:space="preserve">2021 National deaf-blind child count report. </w:t>
      </w:r>
      <w:hyperlink r:id="rId2" w:history="1">
        <w:r w:rsidRPr="00C73A6E">
          <w:rPr>
            <w:rStyle w:val="Hyperlink"/>
            <w:szCs w:val="18"/>
          </w:rPr>
          <w:t>https://www.nationaldb.org/media/doc/2021_National_Deaf-Blind_Child_Count_Report_a.pdf</w:t>
        </w:r>
      </w:hyperlink>
      <w:r w:rsidRPr="00C73A6E">
        <w:t xml:space="preserve">). </w:t>
      </w:r>
    </w:p>
  </w:footnote>
  <w:footnote w:id="19">
    <w:p w:rsidR="00A21AD9" w:rsidRPr="00C73A6E" w:rsidP="008238D9" w14:paraId="32C15E0D" w14:textId="65DFEB21">
      <w:pPr>
        <w:pStyle w:val="FootnoteText"/>
      </w:pPr>
      <w:r w:rsidRPr="00C73A6E">
        <w:rPr>
          <w:rStyle w:val="FootnoteReference"/>
          <w:szCs w:val="18"/>
        </w:rPr>
        <w:footnoteRef/>
      </w:r>
      <w:r w:rsidRPr="00C73A6E">
        <w:t xml:space="preserve"> The SEEP did not report spending estimates for SWDs with DB </w:t>
      </w:r>
      <w:r>
        <w:t>because of</w:t>
      </w:r>
      <w:r w:rsidRPr="00C73A6E">
        <w:t xml:space="preserve"> very low incidence, and our recommended sample designs for the NSSES assume that the study also will not report spending estimates for the DB category. However, SWDs with DB will be included in the overall student sample to ensure that these students are represented in the national estimates. For this reason, SWDs with DB will be sampled with certainty. </w:t>
      </w:r>
    </w:p>
  </w:footnote>
  <w:footnote w:id="20">
    <w:p w:rsidR="00A21AD9" w:rsidRPr="00C73A6E" w:rsidP="008238D9" w14:paraId="3F41F75C" w14:textId="5D5831FB">
      <w:pPr>
        <w:pStyle w:val="FootnoteText"/>
      </w:pPr>
      <w:r w:rsidRPr="00C73A6E">
        <w:rPr>
          <w:rStyle w:val="FootnoteReference"/>
          <w:szCs w:val="18"/>
        </w:rPr>
        <w:footnoteRef/>
      </w:r>
      <w:r w:rsidRPr="00C73A6E">
        <w:t xml:space="preserve"> Nineteen states apply the DD category to children ages 3</w:t>
      </w:r>
      <w:r>
        <w:t xml:space="preserve"> to </w:t>
      </w:r>
      <w:r w:rsidRPr="00C73A6E">
        <w:t>9; 12 states apply the DD category to children ages 3</w:t>
      </w:r>
      <w:r>
        <w:t xml:space="preserve"> to </w:t>
      </w:r>
      <w:r w:rsidRPr="00C73A6E">
        <w:t>8; five states apply the DD category to children ages 3</w:t>
      </w:r>
      <w:r>
        <w:t xml:space="preserve"> to </w:t>
      </w:r>
      <w:r w:rsidRPr="00C73A6E">
        <w:t>7; five states apply the DD category to children ages 3</w:t>
      </w:r>
      <w:r>
        <w:t xml:space="preserve"> to </w:t>
      </w:r>
      <w:r w:rsidRPr="00C73A6E">
        <w:t>6; seven states apply the DD category to children ages 3</w:t>
      </w:r>
      <w:r>
        <w:t xml:space="preserve"> to </w:t>
      </w:r>
      <w:r w:rsidRPr="00C73A6E">
        <w:t>5; and one state applies the DD category to children ages 3</w:t>
      </w:r>
      <w:r>
        <w:t xml:space="preserve"> to </w:t>
      </w:r>
      <w:r w:rsidRPr="00C73A6E">
        <w:t>4. Three states do not use the DD category (California, Iowa, and Texas)</w:t>
      </w:r>
      <w:r>
        <w:t xml:space="preserve">. </w:t>
      </w:r>
      <w:r w:rsidRPr="00C73A6E">
        <w:t xml:space="preserve">SOURCE: Early Childhood Technical Assistance Center. </w:t>
      </w:r>
      <w:hyperlink r:id="rId3" w:history="1">
        <w:r w:rsidRPr="00C73A6E">
          <w:rPr>
            <w:rStyle w:val="Hyperlink1"/>
            <w:rFonts w:cs="Calibri"/>
            <w:szCs w:val="18"/>
          </w:rPr>
          <w:t>https://ectacenter.org/topics/earlyid/partbelig.asp</w:t>
        </w:r>
      </w:hyperlink>
      <w:r w:rsidRPr="00C73A6E">
        <w:t>).</w:t>
      </w:r>
    </w:p>
  </w:footnote>
  <w:footnote w:id="21">
    <w:p w:rsidR="00A21AD9" w:rsidP="0028419A" w14:paraId="0BBAC8F1" w14:textId="29615182">
      <w:pPr>
        <w:pStyle w:val="FootnoteText"/>
      </w:pPr>
      <w:r w:rsidRPr="00C73A6E">
        <w:rPr>
          <w:rStyle w:val="FootnoteReference"/>
          <w:szCs w:val="18"/>
        </w:rPr>
        <w:footnoteRef/>
      </w:r>
      <w:r w:rsidRPr="00C73A6E">
        <w:t xml:space="preserve"> In the SEEP, VI was among the disability categories with the largest standard errors for the average total spending, and the SEEP sample of SWDs with VI was just 196 students nationwide. </w:t>
      </w:r>
    </w:p>
  </w:footnote>
  <w:footnote w:id="22">
    <w:p w:rsidR="00C10E16" w:rsidRPr="008631EB" w:rsidP="00C10E16" w14:paraId="54614CAB" w14:textId="77777777">
      <w:pPr>
        <w:pStyle w:val="FootnoteText"/>
      </w:pPr>
      <w:r w:rsidRPr="008631EB">
        <w:rPr>
          <w:rStyle w:val="FootnoteReference"/>
          <w:szCs w:val="18"/>
        </w:rPr>
        <w:footnoteRef/>
      </w:r>
      <w:r w:rsidRPr="008631EB">
        <w:t xml:space="preserve"> The study will use federal reporting categories for the least restrictive environment (LRE) under IDEA, </w:t>
      </w:r>
      <w:r w:rsidRPr="00F0390F">
        <w:t>which use s</w:t>
      </w:r>
      <w:r w:rsidRPr="008631EB">
        <w:t>pecific percentage-based categories to show where SWDs spend their time (&gt;</w:t>
      </w:r>
      <w:r>
        <w:t xml:space="preserve"> </w:t>
      </w:r>
      <w:r w:rsidRPr="008631EB">
        <w:t>80</w:t>
      </w:r>
      <w:r>
        <w:t xml:space="preserve"> percent</w:t>
      </w:r>
      <w:r w:rsidRPr="008631EB">
        <w:t xml:space="preserve"> in a general education classroom; 40</w:t>
      </w:r>
      <w:r>
        <w:t xml:space="preserve"> percent to </w:t>
      </w:r>
      <w:r w:rsidRPr="008631EB">
        <w:t>79</w:t>
      </w:r>
      <w:r>
        <w:t xml:space="preserve"> percent</w:t>
      </w:r>
      <w:r w:rsidRPr="008631EB">
        <w:t xml:space="preserve"> of time in a general education classroom; &lt;</w:t>
      </w:r>
      <w:r>
        <w:t xml:space="preserve"> </w:t>
      </w:r>
      <w:r w:rsidRPr="008631EB">
        <w:t>40</w:t>
      </w:r>
      <w:r w:rsidRPr="002C5AE0">
        <w:t xml:space="preserve"> </w:t>
      </w:r>
      <w:r>
        <w:t>percent</w:t>
      </w:r>
      <w:r w:rsidRPr="008631EB">
        <w:t xml:space="preserve"> </w:t>
      </w:r>
      <w:r w:rsidRPr="008631EB">
        <w:t xml:space="preserve">of time in a general education classroom; and separate school or residential placement). </w:t>
      </w:r>
    </w:p>
  </w:footnote>
  <w:footnote w:id="23">
    <w:p w:rsidR="00A21AD9" w:rsidRPr="00A03DE6" w:rsidP="008238D9" w14:paraId="17BB8564" w14:textId="065E45CD">
      <w:pPr>
        <w:pStyle w:val="FootnoteText"/>
      </w:pPr>
      <w:r w:rsidRPr="00A03DE6">
        <w:rPr>
          <w:rStyle w:val="FootnoteReference"/>
          <w:szCs w:val="18"/>
        </w:rPr>
        <w:footnoteRef/>
      </w:r>
      <w:r w:rsidRPr="00A03DE6">
        <w:t xml:space="preserve"> Information on student characteristics was obtained from the 2020–21 CRDC data and included in the simulated student-level sample frame that was used to develop the test sample design. Student grade-level bands were defined as elementary, </w:t>
      </w:r>
      <w:r>
        <w:t>g</w:t>
      </w:r>
      <w:r w:rsidRPr="00A03DE6">
        <w:t>rades K</w:t>
      </w:r>
      <w:r>
        <w:t xml:space="preserve"> to </w:t>
      </w:r>
      <w:r w:rsidRPr="00A03DE6">
        <w:t>5; middle, grades 6</w:t>
      </w:r>
      <w:r>
        <w:t xml:space="preserve"> to </w:t>
      </w:r>
      <w:r w:rsidRPr="00A03DE6">
        <w:t>8; and secondary, grades 9</w:t>
      </w:r>
      <w:r>
        <w:t xml:space="preserve"> to </w:t>
      </w:r>
      <w:r w:rsidRPr="00A03DE6">
        <w:t>12. LRE was defined using the categories that states use for reporting counts of SWD (ages 6</w:t>
      </w:r>
      <w:r>
        <w:t xml:space="preserve"> to </w:t>
      </w:r>
      <w:r w:rsidRPr="00A03DE6">
        <w:t>21) to the U.S. Department of Education’s ED</w:t>
      </w:r>
      <w:r w:rsidRPr="00A03DE6">
        <w:rPr>
          <w:i/>
          <w:iCs/>
        </w:rPr>
        <w:t>Facts</w:t>
      </w:r>
      <w:r w:rsidRPr="00A03DE6">
        <w:t xml:space="preserve"> Submission System. </w:t>
      </w:r>
    </w:p>
  </w:footnote>
  <w:footnote w:id="24">
    <w:p w:rsidR="00A21AD9" w:rsidRPr="00687B25" w:rsidP="008238D9" w14:paraId="0FF91DE1" w14:textId="33C2A0CA">
      <w:pPr>
        <w:pStyle w:val="FootnoteText"/>
      </w:pPr>
      <w:r w:rsidRPr="00687B25">
        <w:rPr>
          <w:rStyle w:val="FootnoteReference"/>
          <w:szCs w:val="18"/>
        </w:rPr>
        <w:footnoteRef/>
      </w:r>
      <w:r w:rsidRPr="00687B25">
        <w:t xml:space="preserve"> </w:t>
      </w:r>
      <w:r w:rsidRPr="00866226">
        <w:t xml:space="preserve">This is the first of two OMB clearance packages. </w:t>
      </w:r>
      <w:r w:rsidRPr="00816989">
        <w:t xml:space="preserve">This package requests clearance </w:t>
      </w:r>
      <w:r>
        <w:t xml:space="preserve">for main study recruitment activities. </w:t>
      </w:r>
      <w:r w:rsidR="00CB5D83">
        <w:t>M</w:t>
      </w:r>
      <w:r w:rsidRPr="00687B25">
        <w:t xml:space="preserve">ost </w:t>
      </w:r>
      <w:r w:rsidR="00EF18E7">
        <w:t>recruitment</w:t>
      </w:r>
      <w:r w:rsidRPr="00687B25">
        <w:t xml:space="preserve"> activities </w:t>
      </w:r>
      <w:r w:rsidR="00CB5D83">
        <w:t>will</w:t>
      </w:r>
      <w:r w:rsidRPr="00687B25">
        <w:t xml:space="preserve"> be completed by December </w:t>
      </w:r>
      <w:r>
        <w:t>2026</w:t>
      </w:r>
      <w:r w:rsidRPr="00687B25">
        <w:t>, although some LEAs and schools may require recruitment activities in 202</w:t>
      </w:r>
      <w:r>
        <w:t>7</w:t>
      </w:r>
      <w:r w:rsidRPr="00687B25">
        <w:t xml:space="preserve">. </w:t>
      </w:r>
      <w:r>
        <w:t xml:space="preserve">A separate package will be submitted for main study data collection, which </w:t>
      </w:r>
      <w:r w:rsidRPr="00687B25">
        <w:t>will occur during the 202</w:t>
      </w:r>
      <w:r>
        <w:t>6</w:t>
      </w:r>
      <w:r w:rsidRPr="00687B25">
        <w:t>–2</w:t>
      </w:r>
      <w:r>
        <w:t>7</w:t>
      </w:r>
      <w:r w:rsidRPr="00687B25">
        <w:t xml:space="preserve"> school year, when </w:t>
      </w:r>
      <w:r>
        <w:t xml:space="preserve">survey </w:t>
      </w:r>
      <w:r w:rsidRPr="00687B25">
        <w:t xml:space="preserve">and administrative data </w:t>
      </w:r>
      <w:r w:rsidR="005329B8">
        <w:t xml:space="preserve">will be collected </w:t>
      </w:r>
      <w:r w:rsidRPr="00687B25">
        <w:t xml:space="preserve">from </w:t>
      </w:r>
      <w:r>
        <w:t xml:space="preserve">states, </w:t>
      </w:r>
      <w:r w:rsidRPr="00687B25">
        <w:t>LEAs</w:t>
      </w:r>
      <w:r>
        <w:t>, and schools.</w:t>
      </w:r>
      <w:r w:rsidRPr="00687B25">
        <w:t xml:space="preserve"> Data collection with LEA central offices, as well as with teachers and other providers, will largely occur between January and June 202</w:t>
      </w:r>
      <w:r>
        <w:t>7</w:t>
      </w:r>
      <w:r w:rsidRPr="00687B25">
        <w:t>.</w:t>
      </w:r>
    </w:p>
  </w:footnote>
  <w:footnote w:id="25">
    <w:p w:rsidR="00A21AD9" w:rsidP="008238D9" w14:paraId="62FBFE54" w14:textId="5055A367">
      <w:pPr>
        <w:pStyle w:val="FootnoteText"/>
      </w:pPr>
      <w:r>
        <w:rPr>
          <w:rStyle w:val="FootnoteReference"/>
        </w:rPr>
        <w:footnoteRef/>
      </w:r>
      <w:r>
        <w:t xml:space="preserve"> </w:t>
      </w:r>
      <w:r w:rsidRPr="00E636E9">
        <w:t xml:space="preserve">The </w:t>
      </w:r>
      <w:r w:rsidRPr="006F236F">
        <w:t>NSSES</w:t>
      </w:r>
      <w:r w:rsidRPr="00E636E9">
        <w:t xml:space="preserve"> is</w:t>
      </w:r>
      <w:r w:rsidRPr="767DFFF4">
        <w:t xml:space="preserve"> like the Early Childhood Longitudinal Study, Kindergarten Class of 2023</w:t>
      </w:r>
      <w:r>
        <w:t>–</w:t>
      </w:r>
      <w:r w:rsidRPr="767DFFF4">
        <w:t>24 (ECLS-K:2024) in its nested design</w:t>
      </w:r>
      <w:r>
        <w:t xml:space="preserve">, with </w:t>
      </w:r>
      <w:r w:rsidRPr="767DFFF4">
        <w:t>cooperation needed from schools, school coordinators, and teachers</w:t>
      </w:r>
      <w:r>
        <w:t>. In a</w:t>
      </w:r>
      <w:r w:rsidRPr="00007E7B">
        <w:t xml:space="preserve">ddition, the NSSES design </w:t>
      </w:r>
      <w:r>
        <w:t>includes</w:t>
      </w:r>
      <w:r w:rsidRPr="00007E7B">
        <w:t xml:space="preserve"> an LEA</w:t>
      </w:r>
      <w:r>
        <w:t xml:space="preserve"> component,</w:t>
      </w:r>
      <w:r w:rsidRPr="00007E7B">
        <w:t xml:space="preserve"> and school participation is contingent on LEA participation.</w:t>
      </w:r>
    </w:p>
  </w:footnote>
  <w:footnote w:id="26">
    <w:p w:rsidR="00A21AD9" w:rsidRPr="008238D9" w:rsidP="008238D9" w14:paraId="001EBE4D" w14:textId="006A8043">
      <w:pPr>
        <w:pStyle w:val="FootnoteText"/>
        <w:rPr>
          <w:rFonts w:cstheme="minorHAnsi"/>
        </w:rPr>
      </w:pPr>
      <w:r>
        <w:rPr>
          <w:rStyle w:val="FootnoteReference"/>
        </w:rPr>
        <w:footnoteRef/>
      </w:r>
      <w:r>
        <w:t xml:space="preserve"> See </w:t>
      </w:r>
      <w:hyperlink r:id="rId4" w:history="1">
        <w:r w:rsidRPr="008C5417">
          <w:rPr>
            <w:rStyle w:val="Hyperlink"/>
            <w:rFonts w:cstheme="minorHAnsi"/>
          </w:rPr>
          <w:t>https://www.edweek.org/teaching-learning/how-much-does-special-education-truly-cost-finally-an-answer-is-on-the-horizon/2024/08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337A" w14:paraId="0006B7B4" w14:textId="77777777">
    <w:pPr>
      <w:pStyle w:val="Header"/>
    </w:pPr>
    <w:r w:rsidRPr="00D67B9F">
      <w:rPr>
        <w:noProof/>
      </w:rPr>
      <w:drawing>
        <wp:anchor distT="0" distB="0" distL="114300" distR="114300" simplePos="0" relativeHeight="251658240" behindDoc="1" locked="0" layoutInCell="1" allowOverlap="1">
          <wp:simplePos x="0" y="0"/>
          <wp:positionH relativeFrom="page">
            <wp:align>left</wp:align>
          </wp:positionH>
          <wp:positionV relativeFrom="page">
            <wp:align>top</wp:align>
          </wp:positionV>
          <wp:extent cx="7772400" cy="10058400"/>
          <wp:effectExtent l="0" t="0" r="0" b="0"/>
          <wp:wrapNone/>
          <wp:docPr id="790381911" name="Picture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81911" name="Picture 1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stretch>
                    <a:fillRect/>
                  </a:stretch>
                </pic:blipFill>
                <pic:spPr bwMode="auto">
                  <a:xfrm>
                    <a:off x="0" y="0"/>
                    <a:ext cx="7772400" cy="100584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9E2" w14:paraId="61466CE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9E2" w14:paraId="10A435A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AD9" w:rsidRPr="00486876" w:rsidP="00486876" w14:paraId="187A636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91B" w14:paraId="11075F9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B1462"/>
    <w:multiLevelType w:val="multilevel"/>
    <w:tmpl w:val="291435FA"/>
    <w:numStyleLink w:val="ListOrdered-Body"/>
  </w:abstractNum>
  <w:abstractNum w:abstractNumId="1">
    <w:nsid w:val="02F645D4"/>
    <w:multiLevelType w:val="hybridMultilevel"/>
    <w:tmpl w:val="5D5621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324B80"/>
    <w:multiLevelType w:val="multilevel"/>
    <w:tmpl w:val="8D14CC44"/>
    <w:styleLink w:val="ListOrdered-Table11"/>
    <w:lvl w:ilvl="0">
      <w:start w:val="1"/>
      <w:numFmt w:val="decimal"/>
      <w:pStyle w:val="Table11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3">
    <w:nsid w:val="069772F7"/>
    <w:multiLevelType w:val="multilevel"/>
    <w:tmpl w:val="B600D168"/>
    <w:styleLink w:val="ListStyle-BoxBullets"/>
    <w:lvl w:ilvl="0">
      <w:start w:val="1"/>
      <w:numFmt w:val="bullet"/>
      <w:lvlText w:val="•"/>
      <w:lvlJc w:val="left"/>
      <w:pPr>
        <w:ind w:left="360" w:hanging="360"/>
      </w:pPr>
      <w:rPr>
        <w:rFonts w:asciiTheme="majorHAnsi" w:hAnsiTheme="majorHAnsi" w:cs="Times New Roman" w:hint="default"/>
        <w:color w:val="auto"/>
        <w:sz w:val="24"/>
      </w:rPr>
    </w:lvl>
    <w:lvl w:ilvl="1">
      <w:start w:val="1"/>
      <w:numFmt w:val="bullet"/>
      <w:lvlText w:val="–"/>
      <w:lvlJc w:val="left"/>
      <w:pPr>
        <w:ind w:left="720" w:hanging="360"/>
      </w:pPr>
      <w:rPr>
        <w:rFonts w:ascii="Calibri" w:hAnsi="Calibri" w:hint="default"/>
        <w:color w:val="1C252D" w:themeColor="text2"/>
        <w:sz w:val="22"/>
      </w:rPr>
    </w:lvl>
    <w:lvl w:ilvl="2">
      <w:start w:val="1"/>
      <w:numFmt w:val="bullet"/>
      <w:lvlText w:val="»"/>
      <w:lvlJc w:val="left"/>
      <w:pPr>
        <w:ind w:left="1080" w:hanging="360"/>
      </w:pPr>
      <w:rPr>
        <w:rFonts w:ascii="Calibri" w:hAnsi="Calibri" w:hint="default"/>
        <w:color w:val="1C252D" w:themeColor="text2"/>
        <w:sz w:val="22"/>
      </w:rPr>
    </w:lvl>
    <w:lvl w:ilvl="3">
      <w:start w:val="1"/>
      <w:numFmt w:val="none"/>
      <w:suff w:val="nothing"/>
      <w:lvlJc w:val="left"/>
      <w:pPr>
        <w:ind w:left="1440" w:hanging="360"/>
      </w:pPr>
      <w:rPr>
        <w:rFonts w:hint="default"/>
      </w:rPr>
    </w:lvl>
    <w:lvl w:ilvl="4">
      <w:start w:val="1"/>
      <w:numFmt w:val="none"/>
      <w:suff w:val="nothing"/>
      <w:lvlJc w:val="left"/>
      <w:pPr>
        <w:ind w:left="1800" w:hanging="360"/>
      </w:pPr>
      <w:rPr>
        <w:rFonts w:hint="default"/>
      </w:rPr>
    </w:lvl>
    <w:lvl w:ilvl="5">
      <w:start w:val="1"/>
      <w:numFmt w:val="none"/>
      <w:suff w:val="nothing"/>
      <w:lvlJc w:val="left"/>
      <w:pPr>
        <w:ind w:left="2160" w:hanging="360"/>
      </w:pPr>
      <w:rPr>
        <w:rFonts w:hint="default"/>
      </w:rPr>
    </w:lvl>
    <w:lvl w:ilvl="6">
      <w:start w:val="1"/>
      <w:numFmt w:val="none"/>
      <w:suff w:val="nothing"/>
      <w:lvlJc w:val="left"/>
      <w:pPr>
        <w:ind w:left="2520" w:hanging="360"/>
      </w:pPr>
      <w:rPr>
        <w:rFonts w:hint="default"/>
      </w:rPr>
    </w:lvl>
    <w:lvl w:ilvl="7">
      <w:start w:val="1"/>
      <w:numFmt w:val="none"/>
      <w:suff w:val="nothing"/>
      <w:lvlJc w:val="left"/>
      <w:pPr>
        <w:ind w:left="2880" w:hanging="360"/>
      </w:pPr>
      <w:rPr>
        <w:rFonts w:hint="default"/>
      </w:rPr>
    </w:lvl>
    <w:lvl w:ilvl="8">
      <w:start w:val="1"/>
      <w:numFmt w:val="none"/>
      <w:lvlJc w:val="left"/>
      <w:pPr>
        <w:ind w:left="3240" w:hanging="360"/>
      </w:pPr>
      <w:rPr>
        <w:rFonts w:hint="default"/>
      </w:rPr>
    </w:lvl>
  </w:abstractNum>
  <w:abstractNum w:abstractNumId="4">
    <w:nsid w:val="088460F9"/>
    <w:multiLevelType w:val="multilevel"/>
    <w:tmpl w:val="D21644BE"/>
    <w:styleLink w:val="Callout-Inline"/>
    <w:lvl w:ilvl="0">
      <w:start w:val="1"/>
      <w:numFmt w:val="bullet"/>
      <w:pStyle w:val="Callout-InlineTextSource"/>
      <w:suff w:val="space"/>
      <w:lvlText w:val="–"/>
      <w:lvlJc w:val="left"/>
      <w:pPr>
        <w:ind w:left="0" w:firstLine="0"/>
      </w:pPr>
      <w:rPr>
        <w:rFonts w:ascii="Arial Narrow" w:hAnsi="Arial Narrow" w:hint="default"/>
        <w:color w:val="1C252D" w:themeColor="text2"/>
      </w:rPr>
    </w:lvl>
    <w:lvl w:ilvl="1">
      <w:start w:val="1"/>
      <w:numFmt w:val="none"/>
      <w:lvlJc w:val="left"/>
      <w:pPr>
        <w:ind w:left="0" w:firstLine="0"/>
      </w:pPr>
      <w:rPr>
        <w:rFonts w:hint="default"/>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5">
    <w:nsid w:val="0CAF4872"/>
    <w:multiLevelType w:val="hybridMultilevel"/>
    <w:tmpl w:val="EFD698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747F69"/>
    <w:multiLevelType w:val="hybridMultilevel"/>
    <w:tmpl w:val="CF7EBB80"/>
    <w:styleLink w:val="ListOrdered-Tabl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F810A6C"/>
    <w:multiLevelType w:val="multilevel"/>
    <w:tmpl w:val="3C26D8F2"/>
    <w:styleLink w:val="ListBullets-Table11"/>
    <w:lvl w:ilvl="0">
      <w:start w:val="1"/>
      <w:numFmt w:val="bullet"/>
      <w:pStyle w:val="Table11Bullet1"/>
      <w:lvlText w:val="•"/>
      <w:lvlJc w:val="left"/>
      <w:pPr>
        <w:ind w:left="288" w:hanging="288"/>
      </w:pPr>
      <w:rPr>
        <w:rFonts w:ascii="Calibri" w:hAnsi="Calibri" w:hint="default"/>
        <w:color w:val="00507F" w:themeColor="accent1"/>
      </w:rPr>
    </w:lvl>
    <w:lvl w:ilvl="1">
      <w:start w:val="1"/>
      <w:numFmt w:val="bullet"/>
      <w:pStyle w:val="Table11Bullet2"/>
      <w:lvlText w:val="–"/>
      <w:lvlJc w:val="left"/>
      <w:pPr>
        <w:ind w:left="576" w:hanging="288"/>
      </w:pPr>
      <w:rPr>
        <w:rFonts w:ascii="Calibri" w:hAnsi="Calibri" w:hint="default"/>
        <w:color w:val="00507F" w:themeColor="accent1"/>
      </w:rPr>
    </w:lvl>
    <w:lvl w:ilvl="2">
      <w:start w:val="1"/>
      <w:numFmt w:val="bullet"/>
      <w:pStyle w:val="Table11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8">
    <w:nsid w:val="16A73305"/>
    <w:multiLevelType w:val="hybridMultilevel"/>
    <w:tmpl w:val="5D60C5B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EF7AC9"/>
    <w:multiLevelType w:val="multilevel"/>
    <w:tmpl w:val="3C26D8F2"/>
    <w:numStyleLink w:val="ListBullets-Table11"/>
  </w:abstractNum>
  <w:abstractNum w:abstractNumId="10">
    <w:nsid w:val="1B7A5996"/>
    <w:multiLevelType w:val="multilevel"/>
    <w:tmpl w:val="291435FA"/>
    <w:numStyleLink w:val="ListOrdered-Body"/>
  </w:abstractNum>
  <w:abstractNum w:abstractNumId="11">
    <w:nsid w:val="1CA94574"/>
    <w:multiLevelType w:val="multilevel"/>
    <w:tmpl w:val="6DDE5BCA"/>
    <w:styleLink w:val="ListBullets-Body"/>
    <w:lvl w:ilvl="0">
      <w:start w:val="1"/>
      <w:numFmt w:val="bullet"/>
      <w:pStyle w:val="Bullet1"/>
      <w:lvlText w:val=""/>
      <w:lvlJc w:val="left"/>
      <w:pPr>
        <w:ind w:left="360" w:hanging="360"/>
      </w:pPr>
      <w:rPr>
        <w:rFonts w:ascii="Symbol" w:hAnsi="Symbol" w:hint="default"/>
        <w:color w:val="00507F" w:themeColor="accent1"/>
      </w:rPr>
    </w:lvl>
    <w:lvl w:ilvl="1">
      <w:start w:val="1"/>
      <w:numFmt w:val="bullet"/>
      <w:pStyle w:val="Bullet2"/>
      <w:lvlText w:val="–"/>
      <w:lvlJc w:val="left"/>
      <w:pPr>
        <w:ind w:left="720" w:hanging="360"/>
      </w:pPr>
      <w:rPr>
        <w:rFonts w:ascii="Calibri" w:hAnsi="Calibri" w:hint="default"/>
        <w:color w:val="00507F" w:themeColor="accent1"/>
      </w:rPr>
    </w:lvl>
    <w:lvl w:ilvl="2">
      <w:start w:val="1"/>
      <w:numFmt w:val="bullet"/>
      <w:pStyle w:val="Bullet3"/>
      <w:lvlText w:val="»"/>
      <w:lvlJc w:val="left"/>
      <w:pPr>
        <w:ind w:left="1080" w:hanging="360"/>
      </w:pPr>
      <w:rPr>
        <w:rFonts w:ascii="Calibri" w:hAnsi="Calibri" w:hint="default"/>
        <w:color w:val="00507F" w:themeColor="accent1"/>
      </w:rPr>
    </w:lvl>
    <w:lvl w:ilvl="3">
      <w:start w:val="1"/>
      <w:numFmt w:val="bullet"/>
      <w:lvlText w:val="◦"/>
      <w:lvlJc w:val="left"/>
      <w:pPr>
        <w:ind w:left="1440" w:hanging="360"/>
      </w:pPr>
      <w:rPr>
        <w:rFonts w:ascii="Calibri" w:hAnsi="Calibri" w:hint="default"/>
        <w:color w:val="00507F" w:themeColor="accent1"/>
      </w:rPr>
    </w:lvl>
    <w:lvl w:ilvl="4">
      <w:start w:val="1"/>
      <w:numFmt w:val="bullet"/>
      <w:lvlText w:val="›"/>
      <w:lvlJc w:val="left"/>
      <w:pPr>
        <w:ind w:left="1800" w:hanging="360"/>
      </w:pPr>
      <w:rPr>
        <w:rFonts w:ascii="Calibri" w:hAnsi="Calibri" w:hint="default"/>
        <w:color w:val="00507F" w:themeColor="accent1"/>
      </w:rPr>
    </w:lvl>
    <w:lvl w:ilvl="5">
      <w:start w:val="1"/>
      <w:numFmt w:val="bullet"/>
      <w:lvlText w:val="‹"/>
      <w:lvlJc w:val="left"/>
      <w:pPr>
        <w:ind w:left="2160" w:hanging="360"/>
      </w:pPr>
      <w:rPr>
        <w:rFonts w:ascii="Calibri" w:hAnsi="Calibri" w:hint="default"/>
        <w:color w:val="00507F" w:themeColor="accent1"/>
      </w:rPr>
    </w:lvl>
    <w:lvl w:ilvl="6">
      <w:start w:val="1"/>
      <w:numFmt w:val="bullet"/>
      <w:lvlText w:val="«"/>
      <w:lvlJc w:val="left"/>
      <w:pPr>
        <w:ind w:left="2520" w:hanging="360"/>
      </w:pPr>
      <w:rPr>
        <w:rFonts w:ascii="Calibri" w:hAnsi="Calibri" w:hint="default"/>
        <w:color w:val="00507F" w:themeColor="accent1"/>
      </w:rPr>
    </w:lvl>
    <w:lvl w:ilvl="7">
      <w:start w:val="1"/>
      <w:numFmt w:val="bullet"/>
      <w:lvlText w:val="-"/>
      <w:lvlJc w:val="left"/>
      <w:pPr>
        <w:ind w:left="2880" w:hanging="360"/>
      </w:pPr>
      <w:rPr>
        <w:rFonts w:ascii="Calibri" w:hAnsi="Calibri" w:hint="default"/>
        <w:color w:val="00507F" w:themeColor="accent1"/>
      </w:rPr>
    </w:lvl>
    <w:lvl w:ilvl="8">
      <w:start w:val="1"/>
      <w:numFmt w:val="bullet"/>
      <w:lvlText w:val=""/>
      <w:lvlJc w:val="left"/>
      <w:pPr>
        <w:ind w:left="3240" w:hanging="360"/>
      </w:pPr>
      <w:rPr>
        <w:rFonts w:ascii="Wingdings" w:hAnsi="Wingdings" w:hint="default"/>
        <w:color w:val="00507F" w:themeColor="accent1"/>
      </w:rPr>
    </w:lvl>
  </w:abstractNum>
  <w:abstractNum w:abstractNumId="12">
    <w:nsid w:val="1CD253FC"/>
    <w:multiLevelType w:val="multilevel"/>
    <w:tmpl w:val="469645F8"/>
    <w:styleLink w:val="ListStyle-InfoBoxBullets"/>
    <w:lvl w:ilvl="0">
      <w:start w:val="1"/>
      <w:numFmt w:val="bullet"/>
      <w:lvlText w:val="•"/>
      <w:lvlJc w:val="left"/>
      <w:pPr>
        <w:ind w:left="360" w:hanging="360"/>
      </w:pPr>
      <w:rPr>
        <w:rFonts w:ascii="Arial Narrow" w:hAnsi="Arial Narrow" w:hint="default"/>
        <w:color w:val="00507F" w:themeColor="accent1"/>
        <w:sz w:val="24"/>
      </w:rPr>
    </w:lvl>
    <w:lvl w:ilvl="1">
      <w:start w:val="1"/>
      <w:numFmt w:val="bullet"/>
      <w:lvlText w:val="–"/>
      <w:lvlJc w:val="left"/>
      <w:pPr>
        <w:ind w:left="720" w:hanging="360"/>
      </w:pPr>
      <w:rPr>
        <w:rFonts w:ascii="Calibri" w:hAnsi="Calibri" w:hint="default"/>
        <w:color w:val="00507F" w:themeColor="accent1"/>
        <w:sz w:val="22"/>
      </w:rPr>
    </w:lvl>
    <w:lvl w:ilvl="2">
      <w:start w:val="1"/>
      <w:numFmt w:val="bullet"/>
      <w:lvlText w:val="»"/>
      <w:lvlJc w:val="left"/>
      <w:pPr>
        <w:ind w:left="1080" w:hanging="360"/>
      </w:pPr>
      <w:rPr>
        <w:rFonts w:ascii="Calibri" w:hAnsi="Calibri" w:hint="default"/>
        <w:color w:val="00507F" w:themeColor="accent1"/>
        <w:sz w:val="22"/>
      </w:rPr>
    </w:lvl>
    <w:lvl w:ilvl="3">
      <w:start w:val="1"/>
      <w:numFmt w:val="none"/>
      <w:suff w:val="nothing"/>
      <w:lvlJc w:val="left"/>
      <w:pPr>
        <w:ind w:left="1440" w:hanging="360"/>
      </w:pPr>
      <w:rPr>
        <w:rFonts w:hint="default"/>
        <w:color w:val="00507F" w:themeColor="accent1"/>
      </w:rPr>
    </w:lvl>
    <w:lvl w:ilvl="4">
      <w:start w:val="1"/>
      <w:numFmt w:val="none"/>
      <w:suff w:val="nothing"/>
      <w:lvlJc w:val="left"/>
      <w:pPr>
        <w:ind w:left="1800" w:hanging="360"/>
      </w:pPr>
      <w:rPr>
        <w:rFonts w:hint="default"/>
        <w:color w:val="00507F" w:themeColor="accent1"/>
      </w:rPr>
    </w:lvl>
    <w:lvl w:ilvl="5">
      <w:start w:val="1"/>
      <w:numFmt w:val="none"/>
      <w:suff w:val="nothing"/>
      <w:lvlJc w:val="left"/>
      <w:pPr>
        <w:ind w:left="2160" w:hanging="360"/>
      </w:pPr>
      <w:rPr>
        <w:rFonts w:hint="default"/>
      </w:rPr>
    </w:lvl>
    <w:lvl w:ilvl="6">
      <w:start w:val="1"/>
      <w:numFmt w:val="none"/>
      <w:suff w:val="nothing"/>
      <w:lvlJc w:val="left"/>
      <w:pPr>
        <w:ind w:left="2520" w:hanging="360"/>
      </w:pPr>
      <w:rPr>
        <w:rFonts w:hint="default"/>
      </w:rPr>
    </w:lvl>
    <w:lvl w:ilvl="7">
      <w:start w:val="1"/>
      <w:numFmt w:val="none"/>
      <w:suff w:val="nothing"/>
      <w:lvlJc w:val="left"/>
      <w:pPr>
        <w:ind w:left="2880" w:hanging="360"/>
      </w:pPr>
      <w:rPr>
        <w:rFonts w:hint="default"/>
      </w:rPr>
    </w:lvl>
    <w:lvl w:ilvl="8">
      <w:start w:val="1"/>
      <w:numFmt w:val="none"/>
      <w:lvlJc w:val="left"/>
      <w:pPr>
        <w:ind w:left="3240" w:hanging="360"/>
      </w:pPr>
      <w:rPr>
        <w:rFonts w:hint="default"/>
      </w:rPr>
    </w:lvl>
  </w:abstractNum>
  <w:abstractNum w:abstractNumId="13">
    <w:nsid w:val="21795F3B"/>
    <w:multiLevelType w:val="multilevel"/>
    <w:tmpl w:val="2EDC288A"/>
    <w:lvl w:ilvl="0">
      <w:start w:val="1"/>
      <w:numFmt w:val="none"/>
      <w:suff w:val="nothing"/>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pStyle w:val="Heading7"/>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4">
    <w:nsid w:val="234C65CF"/>
    <w:multiLevelType w:val="hybridMultilevel"/>
    <w:tmpl w:val="9CAA97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3BA40AF"/>
    <w:multiLevelType w:val="multilevel"/>
    <w:tmpl w:val="80D4DD62"/>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6">
    <w:nsid w:val="24E10289"/>
    <w:multiLevelType w:val="hybridMultilevel"/>
    <w:tmpl w:val="BCEC1C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7BB71F3"/>
    <w:multiLevelType w:val="hybridMultilevel"/>
    <w:tmpl w:val="65223BAC"/>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917090E"/>
    <w:multiLevelType w:val="hybridMultilevel"/>
    <w:tmpl w:val="82D803C6"/>
    <w:styleLink w:val="Survey1-a-i"/>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9C47E21"/>
    <w:multiLevelType w:val="hybridMultilevel"/>
    <w:tmpl w:val="358A5E48"/>
    <w:styleLink w:val="CurrentList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A2C04C5"/>
    <w:multiLevelType w:val="hybridMultilevel"/>
    <w:tmpl w:val="2EA61D7C"/>
    <w:styleLink w:val="List-multilevel-Survey"/>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AEC5F51"/>
    <w:multiLevelType w:val="hybridMultilevel"/>
    <w:tmpl w:val="95382F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D0011CE"/>
    <w:multiLevelType w:val="multilevel"/>
    <w:tmpl w:val="915C1FF2"/>
    <w:lvl w:ilvl="0">
      <w:start w:val="1"/>
      <w:numFmt w:val="decimal"/>
      <w:pStyle w:val="Survey1"/>
      <w:lvlText w:val="%1."/>
      <w:lvlJc w:val="left"/>
      <w:pPr>
        <w:ind w:left="360" w:hanging="360"/>
      </w:pPr>
      <w:rPr>
        <w:rFonts w:hint="default"/>
      </w:rPr>
    </w:lvl>
    <w:lvl w:ilvl="1">
      <w:start w:val="1"/>
      <w:numFmt w:val="lowerLetter"/>
      <w:pStyle w:val="Survey1aCheckbox"/>
      <w:lvlText w:val="□ %2."/>
      <w:lvlJc w:val="left"/>
      <w:pPr>
        <w:tabs>
          <w:tab w:val="num" w:pos="1080"/>
        </w:tabs>
        <w:ind w:left="1080" w:hanging="720"/>
      </w:pPr>
      <w:rPr>
        <w:rFonts w:hint="default"/>
      </w:rPr>
    </w:lvl>
    <w:lvl w:ilvl="2">
      <w:start w:val="1"/>
      <w:numFmt w:val="lowerLetter"/>
      <w:lvlRestart w:val="1"/>
      <w:pStyle w:val="Survey1aNoCheck"/>
      <w:lvlText w:val="%3."/>
      <w:lvlJc w:val="left"/>
      <w:pPr>
        <w:ind w:left="720" w:hanging="360"/>
      </w:pPr>
      <w:rPr>
        <w:rFonts w:hint="default"/>
        <w:color w:val="auto"/>
      </w:rPr>
    </w:lvl>
    <w:lvl w:ilvl="3">
      <w:start w:val="1"/>
      <w:numFmt w:val="bullet"/>
      <w:pStyle w:val="Survey4Bullet"/>
      <w:lvlText w:val=""/>
      <w:lvlJc w:val="left"/>
      <w:pPr>
        <w:ind w:left="1440" w:hanging="360"/>
      </w:pPr>
      <w:rPr>
        <w:rFonts w:ascii="Symbol" w:hAnsi="Symbol" w:hint="default"/>
        <w:color w:val="auto"/>
      </w:rPr>
    </w:lvl>
    <w:lvl w:ilvl="4">
      <w:start w:val="1"/>
      <w:numFmt w:val="bullet"/>
      <w:pStyle w:val="Survey5Dash"/>
      <w:lvlText w:val="─"/>
      <w:lvlJc w:val="left"/>
      <w:pPr>
        <w:ind w:left="1800" w:hanging="360"/>
      </w:pPr>
      <w:rPr>
        <w:rFonts w:ascii="Aptos" w:hAnsi="Aptos" w:hint="default"/>
        <w:color w:val="auto"/>
      </w:rPr>
    </w:lvl>
    <w:lvl w:ilvl="5">
      <w:start w:val="1"/>
      <w:numFmt w:val="bullet"/>
      <w:pStyle w:val="Survey6Arrow"/>
      <w:lvlText w:val="»"/>
      <w:lvlJc w:val="left"/>
      <w:pPr>
        <w:ind w:left="2160" w:hanging="360"/>
      </w:pPr>
      <w:rPr>
        <w:rFonts w:ascii="Arial" w:hAnsi="Arial" w:hint="default"/>
        <w:color w:val="00507F" w:themeColor="accent1"/>
      </w:rPr>
    </w:lvl>
    <w:lvl w:ilvl="6">
      <w:start w:val="1"/>
      <w:numFmt w:val="none"/>
      <w:lvlJc w:val="left"/>
      <w:pPr>
        <w:ind w:left="2160" w:firstLine="0"/>
      </w:pPr>
      <w:rPr>
        <w:rFonts w:hint="default"/>
      </w:rPr>
    </w:lvl>
    <w:lvl w:ilvl="7">
      <w:start w:val="1"/>
      <w:numFmt w:val="none"/>
      <w:lvlJc w:val="left"/>
      <w:pPr>
        <w:ind w:left="2160" w:firstLine="0"/>
      </w:pPr>
      <w:rPr>
        <w:rFonts w:hint="default"/>
      </w:rPr>
    </w:lvl>
    <w:lvl w:ilvl="8">
      <w:start w:val="1"/>
      <w:numFmt w:val="none"/>
      <w:lvlJc w:val="right"/>
      <w:pPr>
        <w:ind w:left="2160" w:firstLine="0"/>
      </w:pPr>
      <w:rPr>
        <w:rFonts w:hint="default"/>
      </w:rPr>
    </w:lvl>
  </w:abstractNum>
  <w:abstractNum w:abstractNumId="23">
    <w:nsid w:val="343639A5"/>
    <w:multiLevelType w:val="hybridMultilevel"/>
    <w:tmpl w:val="C55256A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34BB35BE"/>
    <w:multiLevelType w:val="multilevel"/>
    <w:tmpl w:val="8D14CC44"/>
    <w:numStyleLink w:val="ListOrdered-Table11"/>
  </w:abstractNum>
  <w:abstractNum w:abstractNumId="25">
    <w:nsid w:val="35036543"/>
    <w:multiLevelType w:val="multilevel"/>
    <w:tmpl w:val="2940034C"/>
    <w:lvl w:ilvl="0">
      <w:start w:val="1"/>
      <w:numFmt w:val="decimal"/>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26">
    <w:nsid w:val="35D03839"/>
    <w:multiLevelType w:val="hybridMultilevel"/>
    <w:tmpl w:val="F7D8D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95405DC"/>
    <w:multiLevelType w:val="hybridMultilevel"/>
    <w:tmpl w:val="17C674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DEA6DE9"/>
    <w:multiLevelType w:val="hybridMultilevel"/>
    <w:tmpl w:val="A49A21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E3066C9"/>
    <w:multiLevelType w:val="hybridMultilevel"/>
    <w:tmpl w:val="DBFA7F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16D2CD0"/>
    <w:multiLevelType w:val="hybridMultilevel"/>
    <w:tmpl w:val="2EDACD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4554622"/>
    <w:multiLevelType w:val="hybridMultilevel"/>
    <w:tmpl w:val="7FCE6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7B357E0"/>
    <w:multiLevelType w:val="multilevel"/>
    <w:tmpl w:val="D21644BE"/>
    <w:lvl w:ilvl="0">
      <w:start w:val="1"/>
      <w:numFmt w:val="bullet"/>
      <w:suff w:val="space"/>
      <w:lvlText w:val="–"/>
      <w:lvlJc w:val="left"/>
      <w:pPr>
        <w:ind w:left="0" w:firstLine="0"/>
      </w:pPr>
      <w:rPr>
        <w:rFonts w:ascii="Arial Narrow" w:hAnsi="Arial Narrow" w:hint="default"/>
        <w:color w:val="1C252D" w:themeColor="text2"/>
      </w:rPr>
    </w:lvl>
    <w:lvl w:ilvl="1">
      <w:start w:val="1"/>
      <w:numFmt w:val="none"/>
      <w:lvlJc w:val="left"/>
      <w:pPr>
        <w:ind w:left="0" w:firstLine="0"/>
      </w:pPr>
      <w:rPr>
        <w:rFonts w:hint="default"/>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33">
    <w:nsid w:val="49906308"/>
    <w:multiLevelType w:val="multilevel"/>
    <w:tmpl w:val="A83237D6"/>
    <w:styleLink w:val="AppxCaptions"/>
    <w:lvl w:ilvl="0">
      <w:start w:val="1"/>
      <w:numFmt w:val="upperLetter"/>
      <w:pStyle w:val="AppxTitle"/>
      <w:suff w:val="space"/>
      <w:lvlText w:val="Appendix %1."/>
      <w:lvlJc w:val="left"/>
      <w:pPr>
        <w:ind w:left="0" w:firstLine="0"/>
      </w:pPr>
      <w:rPr>
        <w:rFonts w:asciiTheme="majorHAnsi" w:hAnsiTheme="majorHAnsi" w:hint="default"/>
        <w:b/>
        <w:i w:val="0"/>
        <w:color w:val="00507F" w:themeColor="accent1"/>
        <w:sz w:val="44"/>
      </w:rPr>
    </w:lvl>
    <w:lvl w:ilvl="1">
      <w:start w:val="1"/>
      <w:numFmt w:val="decimal"/>
      <w:pStyle w:val="AppxExhibitTitle"/>
      <w:suff w:val="space"/>
      <w:lvlText w:val="Exhibit %1–%2."/>
      <w:lvlJc w:val="left"/>
      <w:pPr>
        <w:ind w:left="0" w:firstLine="0"/>
      </w:pPr>
      <w:rPr>
        <w:rFonts w:asciiTheme="majorHAnsi" w:hAnsiTheme="majorHAnsi" w:hint="default"/>
        <w:b/>
        <w:i w:val="0"/>
        <w:sz w:val="24"/>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34">
    <w:nsid w:val="4E1006D3"/>
    <w:multiLevelType w:val="multilevel"/>
    <w:tmpl w:val="6DDE5BCA"/>
    <w:numStyleLink w:val="ListBullets-Body"/>
  </w:abstractNum>
  <w:abstractNum w:abstractNumId="35">
    <w:nsid w:val="4F6E749E"/>
    <w:multiLevelType w:val="hybridMultilevel"/>
    <w:tmpl w:val="E7868D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0B735F9"/>
    <w:multiLevelType w:val="multilevel"/>
    <w:tmpl w:val="291435FA"/>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37">
    <w:nsid w:val="54BC039E"/>
    <w:multiLevelType w:val="hybridMultilevel"/>
    <w:tmpl w:val="BAEED7C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56A418C3"/>
    <w:multiLevelType w:val="hybridMultilevel"/>
    <w:tmpl w:val="54B2CC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9F546FE"/>
    <w:multiLevelType w:val="hybridMultilevel"/>
    <w:tmpl w:val="5E4AB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3D77EF3"/>
    <w:multiLevelType w:val="hybridMultilevel"/>
    <w:tmpl w:val="9CD63132"/>
    <w:styleLink w:val="List-multilevel-Survey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60946FC"/>
    <w:multiLevelType w:val="multilevel"/>
    <w:tmpl w:val="A83237D6"/>
    <w:numStyleLink w:val="AppxCaptions"/>
  </w:abstractNum>
  <w:abstractNum w:abstractNumId="42">
    <w:nsid w:val="6A0756DB"/>
    <w:multiLevelType w:val="multilevel"/>
    <w:tmpl w:val="5B403676"/>
    <w:styleLink w:val="ListBullets-Table10"/>
    <w:lvl w:ilvl="0">
      <w:start w:val="1"/>
      <w:numFmt w:val="bullet"/>
      <w:pStyle w:val="Table10Bullet1"/>
      <w:lvlText w:val="•"/>
      <w:lvlJc w:val="left"/>
      <w:pPr>
        <w:ind w:left="288" w:hanging="288"/>
      </w:pPr>
      <w:rPr>
        <w:rFonts w:ascii="Calibri" w:hAnsi="Calibri" w:hint="default"/>
        <w:color w:val="00507F" w:themeColor="accent1"/>
        <w:sz w:val="20"/>
      </w:rPr>
    </w:lvl>
    <w:lvl w:ilvl="1">
      <w:start w:val="1"/>
      <w:numFmt w:val="bullet"/>
      <w:pStyle w:val="Table10Bullet2"/>
      <w:lvlText w:val="–"/>
      <w:lvlJc w:val="left"/>
      <w:pPr>
        <w:ind w:left="576" w:hanging="288"/>
      </w:pPr>
      <w:rPr>
        <w:rFonts w:ascii="Calibri" w:hAnsi="Calibri" w:hint="default"/>
        <w:color w:val="00507F" w:themeColor="accent1"/>
      </w:rPr>
    </w:lvl>
    <w:lvl w:ilvl="2">
      <w:start w:val="1"/>
      <w:numFmt w:val="bullet"/>
      <w:pStyle w:val="Table10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43">
    <w:nsid w:val="6EA86463"/>
    <w:multiLevelType w:val="multilevel"/>
    <w:tmpl w:val="21A2A85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44">
    <w:nsid w:val="6EEC237E"/>
    <w:multiLevelType w:val="hybridMultilevel"/>
    <w:tmpl w:val="D53840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2C305E4"/>
    <w:multiLevelType w:val="multilevel"/>
    <w:tmpl w:val="6DDE5BCA"/>
    <w:numStyleLink w:val="ListBullets-Body"/>
  </w:abstractNum>
  <w:abstractNum w:abstractNumId="46">
    <w:nsid w:val="737C1F0B"/>
    <w:multiLevelType w:val="multilevel"/>
    <w:tmpl w:val="446C346E"/>
    <w:styleLink w:val="ListStyle-Survey"/>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nsid w:val="7D503F85"/>
    <w:multiLevelType w:val="hybridMultilevel"/>
    <w:tmpl w:val="BB9E13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7E154A20"/>
    <w:multiLevelType w:val="multilevel"/>
    <w:tmpl w:val="469645F8"/>
    <w:numStyleLink w:val="ListStyle-InfoBoxBullets"/>
  </w:abstractNum>
  <w:abstractNum w:abstractNumId="49">
    <w:nsid w:val="7FE8357E"/>
    <w:multiLevelType w:val="multilevel"/>
    <w:tmpl w:val="C928A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78261465">
    <w:abstractNumId w:val="0"/>
  </w:num>
  <w:num w:numId="2" w16cid:durableId="1711027103">
    <w:abstractNumId w:val="34"/>
  </w:num>
  <w:num w:numId="3" w16cid:durableId="1621957116">
    <w:abstractNumId w:val="48"/>
  </w:num>
  <w:num w:numId="4" w16cid:durableId="2086338942">
    <w:abstractNumId w:val="11"/>
  </w:num>
  <w:num w:numId="5" w16cid:durableId="1676372712">
    <w:abstractNumId w:val="42"/>
  </w:num>
  <w:num w:numId="6" w16cid:durableId="1156605695">
    <w:abstractNumId w:val="7"/>
  </w:num>
  <w:num w:numId="7" w16cid:durableId="779839399">
    <w:abstractNumId w:val="36"/>
  </w:num>
  <w:num w:numId="8" w16cid:durableId="1752699796">
    <w:abstractNumId w:val="2"/>
  </w:num>
  <w:num w:numId="9" w16cid:durableId="1763648678">
    <w:abstractNumId w:val="3"/>
  </w:num>
  <w:num w:numId="10" w16cid:durableId="277297741">
    <w:abstractNumId w:val="12"/>
  </w:num>
  <w:num w:numId="11" w16cid:durableId="1474785035">
    <w:abstractNumId w:val="33"/>
  </w:num>
  <w:num w:numId="12" w16cid:durableId="1637029350">
    <w:abstractNumId w:val="41"/>
    <w:lvlOverride w:ilvl="0">
      <w:lvl w:ilvl="0">
        <w:start w:val="1"/>
        <w:numFmt w:val="upperLetter"/>
        <w:pStyle w:val="AppxTitle"/>
        <w:suff w:val="space"/>
        <w:lvlText w:val="Appendix %1."/>
        <w:lvlJc w:val="left"/>
        <w:pPr>
          <w:ind w:left="0" w:firstLine="0"/>
        </w:pPr>
        <w:rPr>
          <w:rFonts w:asciiTheme="majorHAnsi" w:hAnsiTheme="majorHAnsi" w:hint="default"/>
          <w:b/>
          <w:i w:val="0"/>
          <w:color w:val="00507F" w:themeColor="accent1"/>
          <w:sz w:val="44"/>
        </w:rPr>
      </w:lvl>
    </w:lvlOverride>
  </w:num>
  <w:num w:numId="13" w16cid:durableId="1131745598">
    <w:abstractNumId w:val="45"/>
  </w:num>
  <w:num w:numId="14" w16cid:durableId="1047685420">
    <w:abstractNumId w:val="4"/>
  </w:num>
  <w:num w:numId="15" w16cid:durableId="86197631">
    <w:abstractNumId w:val="32"/>
  </w:num>
  <w:num w:numId="16" w16cid:durableId="1278566538">
    <w:abstractNumId w:val="4"/>
  </w:num>
  <w:num w:numId="17" w16cid:durableId="1563324940">
    <w:abstractNumId w:val="13"/>
  </w:num>
  <w:num w:numId="18" w16cid:durableId="264113599">
    <w:abstractNumId w:val="10"/>
  </w:num>
  <w:num w:numId="19" w16cid:durableId="1519850064">
    <w:abstractNumId w:val="42"/>
  </w:num>
  <w:num w:numId="20" w16cid:durableId="718869014">
    <w:abstractNumId w:val="15"/>
  </w:num>
  <w:num w:numId="21" w16cid:durableId="1745569799">
    <w:abstractNumId w:val="9"/>
  </w:num>
  <w:num w:numId="22" w16cid:durableId="316690112">
    <w:abstractNumId w:val="24"/>
  </w:num>
  <w:num w:numId="23" w16cid:durableId="1321153106">
    <w:abstractNumId w:val="40"/>
  </w:num>
  <w:num w:numId="24" w16cid:durableId="144979209">
    <w:abstractNumId w:val="23"/>
  </w:num>
  <w:num w:numId="25" w16cid:durableId="948201272">
    <w:abstractNumId w:val="8"/>
  </w:num>
  <w:num w:numId="26" w16cid:durableId="1932549104">
    <w:abstractNumId w:val="19"/>
  </w:num>
  <w:num w:numId="27" w16cid:durableId="16213018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97287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3375827">
    <w:abstractNumId w:val="18"/>
  </w:num>
  <w:num w:numId="30" w16cid:durableId="1698971912">
    <w:abstractNumId w:val="20"/>
  </w:num>
  <w:num w:numId="31" w16cid:durableId="112753712">
    <w:abstractNumId w:val="46"/>
  </w:num>
  <w:num w:numId="32" w16cid:durableId="1697536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80750407">
    <w:abstractNumId w:val="47"/>
  </w:num>
  <w:num w:numId="34" w16cid:durableId="12294639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2860763">
    <w:abstractNumId w:val="25"/>
    <w:lvlOverride w:ilvl="0">
      <w:lvl w:ilvl="0">
        <w:start w:val="1"/>
        <w:numFmt w:val="decimal"/>
        <w:lvlText w:val="%1."/>
        <w:lvlJc w:val="left"/>
        <w:pPr>
          <w:ind w:left="360" w:hanging="360"/>
        </w:pPr>
        <w:rPr>
          <w:rFonts w:asciiTheme="minorHAnsi" w:hAnsiTheme="minorHAnsi"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right"/>
        <w:pPr>
          <w:tabs>
            <w:tab w:val="num" w:pos="1296"/>
          </w:tabs>
          <w:ind w:left="1080" w:hanging="144"/>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right"/>
        <w:pPr>
          <w:tabs>
            <w:tab w:val="num" w:pos="2160"/>
          </w:tabs>
          <w:ind w:left="2160" w:hanging="144"/>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right"/>
        <w:pPr>
          <w:tabs>
            <w:tab w:val="num" w:pos="3096"/>
          </w:tabs>
          <w:ind w:left="3240" w:hanging="144"/>
        </w:pPr>
        <w:rPr>
          <w:rFonts w:hint="default"/>
        </w:rPr>
      </w:lvl>
    </w:lvlOverride>
  </w:num>
  <w:num w:numId="36" w16cid:durableId="832183596">
    <w:abstractNumId w:val="25"/>
    <w:lvlOverride w:ilvl="0">
      <w:startOverride w:val="1"/>
      <w:lvl w:ilvl="0">
        <w:start w:val="1"/>
        <w:numFmt w:val="decimal"/>
        <w:lvlText w:val="%1."/>
        <w:lvlJc w:val="left"/>
        <w:pPr>
          <w:ind w:left="360" w:hanging="360"/>
        </w:pPr>
        <w:rPr>
          <w:rFonts w:asciiTheme="minorHAnsi" w:hAnsiTheme="minorHAnsi" w:hint="default"/>
          <w:b w:val="0"/>
          <w:bCs w:val="0"/>
        </w:rPr>
      </w:lvl>
    </w:lvlOverride>
    <w:lvlOverride w:ilvl="1">
      <w:startOverride w:val="1"/>
      <w:lvl w:ilvl="1">
        <w:start w:val="1"/>
        <w:numFmt w:val="lowerLetter"/>
        <w:lvlText w:val="%2."/>
        <w:lvlJc w:val="left"/>
        <w:pPr>
          <w:ind w:left="720" w:hanging="360"/>
        </w:pPr>
        <w:rPr>
          <w:rFonts w:hint="default"/>
        </w:rPr>
      </w:lvl>
    </w:lvlOverride>
    <w:lvlOverride w:ilvl="2">
      <w:startOverride w:val="1"/>
      <w:lvl w:ilvl="2">
        <w:start w:val="1"/>
        <w:numFmt w:val="lowerRoman"/>
        <w:lvlText w:val="%3."/>
        <w:lvlJc w:val="right"/>
        <w:pPr>
          <w:tabs>
            <w:tab w:val="num" w:pos="1296"/>
          </w:tabs>
          <w:ind w:left="1080" w:hanging="144"/>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right"/>
        <w:pPr>
          <w:tabs>
            <w:tab w:val="num" w:pos="2160"/>
          </w:tabs>
          <w:ind w:left="2160" w:hanging="144"/>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right"/>
        <w:pPr>
          <w:tabs>
            <w:tab w:val="num" w:pos="3096"/>
          </w:tabs>
          <w:ind w:left="3240" w:hanging="144"/>
        </w:pPr>
        <w:rPr>
          <w:rFonts w:hint="default"/>
        </w:rPr>
      </w:lvl>
    </w:lvlOverride>
  </w:num>
  <w:num w:numId="37" w16cid:durableId="1257985486">
    <w:abstractNumId w:val="22"/>
  </w:num>
  <w:num w:numId="38" w16cid:durableId="1576742373">
    <w:abstractNumId w:val="38"/>
  </w:num>
  <w:num w:numId="39" w16cid:durableId="1656761594">
    <w:abstractNumId w:val="29"/>
  </w:num>
  <w:num w:numId="40" w16cid:durableId="567111063">
    <w:abstractNumId w:val="26"/>
  </w:num>
  <w:num w:numId="41" w16cid:durableId="85351178">
    <w:abstractNumId w:val="14"/>
  </w:num>
  <w:num w:numId="42" w16cid:durableId="617569131">
    <w:abstractNumId w:val="35"/>
  </w:num>
  <w:num w:numId="43" w16cid:durableId="2120636074">
    <w:abstractNumId w:val="5"/>
  </w:num>
  <w:num w:numId="44" w16cid:durableId="372271906">
    <w:abstractNumId w:val="21"/>
  </w:num>
  <w:num w:numId="45" w16cid:durableId="823278228">
    <w:abstractNumId w:val="1"/>
  </w:num>
  <w:num w:numId="46" w16cid:durableId="1639648966">
    <w:abstractNumId w:val="44"/>
  </w:num>
  <w:num w:numId="47" w16cid:durableId="424346887">
    <w:abstractNumId w:val="6"/>
  </w:num>
  <w:num w:numId="48" w16cid:durableId="1580824760">
    <w:abstractNumId w:val="25"/>
  </w:num>
  <w:num w:numId="49" w16cid:durableId="825248336">
    <w:abstractNumId w:val="16"/>
  </w:num>
  <w:num w:numId="50" w16cid:durableId="2008820163">
    <w:abstractNumId w:val="39"/>
  </w:num>
  <w:num w:numId="51" w16cid:durableId="65998289">
    <w:abstractNumId w:val="28"/>
  </w:num>
  <w:num w:numId="52" w16cid:durableId="336420974">
    <w:abstractNumId w:val="49"/>
  </w:num>
  <w:num w:numId="53" w16cid:durableId="1471095977">
    <w:abstractNumId w:val="30"/>
  </w:num>
  <w:num w:numId="54" w16cid:durableId="1669794423">
    <w:abstractNumId w:val="37"/>
  </w:num>
  <w:num w:numId="55" w16cid:durableId="1326712136">
    <w:abstractNumId w:val="31"/>
  </w:num>
  <w:num w:numId="56" w16cid:durableId="1834369581">
    <w:abstractNumId w:val="27"/>
  </w:num>
  <w:num w:numId="57" w16cid:durableId="1202788357">
    <w:abstractNumId w:val="17"/>
  </w:num>
  <w:num w:numId="58" w16cid:durableId="13661727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63987554">
    <w:abstractNumId w:val="4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D9"/>
    <w:rsid w:val="00000B51"/>
    <w:rsid w:val="00001D2C"/>
    <w:rsid w:val="00002588"/>
    <w:rsid w:val="00004792"/>
    <w:rsid w:val="00005082"/>
    <w:rsid w:val="00005EEA"/>
    <w:rsid w:val="0000695C"/>
    <w:rsid w:val="00006CA2"/>
    <w:rsid w:val="00007C01"/>
    <w:rsid w:val="00007E7B"/>
    <w:rsid w:val="0001197F"/>
    <w:rsid w:val="00011C8B"/>
    <w:rsid w:val="00012D77"/>
    <w:rsid w:val="00016CDB"/>
    <w:rsid w:val="0001752A"/>
    <w:rsid w:val="00020A1D"/>
    <w:rsid w:val="00022FF0"/>
    <w:rsid w:val="00024AD5"/>
    <w:rsid w:val="000250C0"/>
    <w:rsid w:val="0003092D"/>
    <w:rsid w:val="00032A3D"/>
    <w:rsid w:val="00033774"/>
    <w:rsid w:val="000375DC"/>
    <w:rsid w:val="0004214F"/>
    <w:rsid w:val="0004651B"/>
    <w:rsid w:val="00047B33"/>
    <w:rsid w:val="00051676"/>
    <w:rsid w:val="00053E4F"/>
    <w:rsid w:val="000566B4"/>
    <w:rsid w:val="00056BCA"/>
    <w:rsid w:val="0006178A"/>
    <w:rsid w:val="0006591A"/>
    <w:rsid w:val="000707FC"/>
    <w:rsid w:val="000709D0"/>
    <w:rsid w:val="00070B40"/>
    <w:rsid w:val="00071F5C"/>
    <w:rsid w:val="00073958"/>
    <w:rsid w:val="0008013A"/>
    <w:rsid w:val="000851AA"/>
    <w:rsid w:val="000861B1"/>
    <w:rsid w:val="00086B1C"/>
    <w:rsid w:val="00087C83"/>
    <w:rsid w:val="00090F12"/>
    <w:rsid w:val="00094A4E"/>
    <w:rsid w:val="00094F13"/>
    <w:rsid w:val="000979A9"/>
    <w:rsid w:val="000A1667"/>
    <w:rsid w:val="000A2173"/>
    <w:rsid w:val="000A3AFD"/>
    <w:rsid w:val="000A5FCE"/>
    <w:rsid w:val="000A66CF"/>
    <w:rsid w:val="000B0039"/>
    <w:rsid w:val="000B0462"/>
    <w:rsid w:val="000B2DD8"/>
    <w:rsid w:val="000B3127"/>
    <w:rsid w:val="000B3805"/>
    <w:rsid w:val="000C1A01"/>
    <w:rsid w:val="000C23D1"/>
    <w:rsid w:val="000C2CD0"/>
    <w:rsid w:val="000C4A0B"/>
    <w:rsid w:val="000C5403"/>
    <w:rsid w:val="000C7F26"/>
    <w:rsid w:val="000D0C71"/>
    <w:rsid w:val="000D17BE"/>
    <w:rsid w:val="000D256F"/>
    <w:rsid w:val="000D2900"/>
    <w:rsid w:val="000D4B54"/>
    <w:rsid w:val="000D61C7"/>
    <w:rsid w:val="000D73E4"/>
    <w:rsid w:val="000E0945"/>
    <w:rsid w:val="000E268F"/>
    <w:rsid w:val="000E4C78"/>
    <w:rsid w:val="000E7F65"/>
    <w:rsid w:val="000F2437"/>
    <w:rsid w:val="000F366A"/>
    <w:rsid w:val="000F39E2"/>
    <w:rsid w:val="000F3C77"/>
    <w:rsid w:val="000F7223"/>
    <w:rsid w:val="00100EEB"/>
    <w:rsid w:val="00101CB6"/>
    <w:rsid w:val="00103D9F"/>
    <w:rsid w:val="00105FBF"/>
    <w:rsid w:val="00106060"/>
    <w:rsid w:val="001113ED"/>
    <w:rsid w:val="00111834"/>
    <w:rsid w:val="001152E0"/>
    <w:rsid w:val="001159B1"/>
    <w:rsid w:val="001204C5"/>
    <w:rsid w:val="00125961"/>
    <w:rsid w:val="0012606E"/>
    <w:rsid w:val="00126609"/>
    <w:rsid w:val="001266E6"/>
    <w:rsid w:val="00127018"/>
    <w:rsid w:val="00127041"/>
    <w:rsid w:val="0012704B"/>
    <w:rsid w:val="00133061"/>
    <w:rsid w:val="0013388B"/>
    <w:rsid w:val="00134961"/>
    <w:rsid w:val="001360EE"/>
    <w:rsid w:val="0013695A"/>
    <w:rsid w:val="001379C1"/>
    <w:rsid w:val="001440C3"/>
    <w:rsid w:val="0014502D"/>
    <w:rsid w:val="00147014"/>
    <w:rsid w:val="00150B7A"/>
    <w:rsid w:val="001534EA"/>
    <w:rsid w:val="00153AAE"/>
    <w:rsid w:val="0015585C"/>
    <w:rsid w:val="001558E5"/>
    <w:rsid w:val="00155B83"/>
    <w:rsid w:val="0015775C"/>
    <w:rsid w:val="00157B84"/>
    <w:rsid w:val="001627C7"/>
    <w:rsid w:val="00163C1E"/>
    <w:rsid w:val="0017072D"/>
    <w:rsid w:val="00170CF8"/>
    <w:rsid w:val="001713E2"/>
    <w:rsid w:val="0017150A"/>
    <w:rsid w:val="00171D6A"/>
    <w:rsid w:val="00172424"/>
    <w:rsid w:val="001738B7"/>
    <w:rsid w:val="00176922"/>
    <w:rsid w:val="00176E33"/>
    <w:rsid w:val="00177AB6"/>
    <w:rsid w:val="00181EA9"/>
    <w:rsid w:val="001875F1"/>
    <w:rsid w:val="001876F3"/>
    <w:rsid w:val="001910F1"/>
    <w:rsid w:val="00191C87"/>
    <w:rsid w:val="0019258A"/>
    <w:rsid w:val="00192C0A"/>
    <w:rsid w:val="00193317"/>
    <w:rsid w:val="001958DD"/>
    <w:rsid w:val="0019688C"/>
    <w:rsid w:val="001A0E10"/>
    <w:rsid w:val="001A10B3"/>
    <w:rsid w:val="001A6390"/>
    <w:rsid w:val="001A6AF1"/>
    <w:rsid w:val="001A7724"/>
    <w:rsid w:val="001B073A"/>
    <w:rsid w:val="001B0951"/>
    <w:rsid w:val="001B2A16"/>
    <w:rsid w:val="001C1B38"/>
    <w:rsid w:val="001C47A8"/>
    <w:rsid w:val="001D1D91"/>
    <w:rsid w:val="001D7CB7"/>
    <w:rsid w:val="001E044C"/>
    <w:rsid w:val="001E0A32"/>
    <w:rsid w:val="001E1108"/>
    <w:rsid w:val="001E225C"/>
    <w:rsid w:val="001E2D07"/>
    <w:rsid w:val="001E3916"/>
    <w:rsid w:val="001E42F2"/>
    <w:rsid w:val="001E6DDC"/>
    <w:rsid w:val="001F70AC"/>
    <w:rsid w:val="00201AB0"/>
    <w:rsid w:val="002036F6"/>
    <w:rsid w:val="00205AF0"/>
    <w:rsid w:val="002071A3"/>
    <w:rsid w:val="0020780D"/>
    <w:rsid w:val="00207889"/>
    <w:rsid w:val="00211FDB"/>
    <w:rsid w:val="0021518C"/>
    <w:rsid w:val="0021639D"/>
    <w:rsid w:val="00216BB4"/>
    <w:rsid w:val="00220205"/>
    <w:rsid w:val="0022188C"/>
    <w:rsid w:val="00221CD5"/>
    <w:rsid w:val="0022216B"/>
    <w:rsid w:val="00222828"/>
    <w:rsid w:val="00223848"/>
    <w:rsid w:val="00226CB4"/>
    <w:rsid w:val="00231530"/>
    <w:rsid w:val="0023519F"/>
    <w:rsid w:val="0023562E"/>
    <w:rsid w:val="00242F59"/>
    <w:rsid w:val="00244B57"/>
    <w:rsid w:val="00245CFF"/>
    <w:rsid w:val="0024600B"/>
    <w:rsid w:val="002472AF"/>
    <w:rsid w:val="00250113"/>
    <w:rsid w:val="00250455"/>
    <w:rsid w:val="00251D99"/>
    <w:rsid w:val="0025328A"/>
    <w:rsid w:val="002553B6"/>
    <w:rsid w:val="00255602"/>
    <w:rsid w:val="002556DC"/>
    <w:rsid w:val="00261C61"/>
    <w:rsid w:val="00262A28"/>
    <w:rsid w:val="00264955"/>
    <w:rsid w:val="00264ACF"/>
    <w:rsid w:val="00266A27"/>
    <w:rsid w:val="00270243"/>
    <w:rsid w:val="00273AEB"/>
    <w:rsid w:val="00274602"/>
    <w:rsid w:val="002759E2"/>
    <w:rsid w:val="0027634F"/>
    <w:rsid w:val="00277161"/>
    <w:rsid w:val="00281AB9"/>
    <w:rsid w:val="0028419A"/>
    <w:rsid w:val="00286122"/>
    <w:rsid w:val="0028694F"/>
    <w:rsid w:val="002909FB"/>
    <w:rsid w:val="002916EA"/>
    <w:rsid w:val="0029255B"/>
    <w:rsid w:val="00293424"/>
    <w:rsid w:val="002942B4"/>
    <w:rsid w:val="0029527D"/>
    <w:rsid w:val="00295EAA"/>
    <w:rsid w:val="002A12F9"/>
    <w:rsid w:val="002A156F"/>
    <w:rsid w:val="002A282B"/>
    <w:rsid w:val="002A46D5"/>
    <w:rsid w:val="002A4A2B"/>
    <w:rsid w:val="002B180E"/>
    <w:rsid w:val="002B2062"/>
    <w:rsid w:val="002B6DBC"/>
    <w:rsid w:val="002B7EAF"/>
    <w:rsid w:val="002C003F"/>
    <w:rsid w:val="002C0456"/>
    <w:rsid w:val="002C2560"/>
    <w:rsid w:val="002C278F"/>
    <w:rsid w:val="002C2C64"/>
    <w:rsid w:val="002C2E7B"/>
    <w:rsid w:val="002C5AE0"/>
    <w:rsid w:val="002C60C1"/>
    <w:rsid w:val="002C70CC"/>
    <w:rsid w:val="002D1E1A"/>
    <w:rsid w:val="002D2C52"/>
    <w:rsid w:val="002D336E"/>
    <w:rsid w:val="002D3C9A"/>
    <w:rsid w:val="002D6894"/>
    <w:rsid w:val="002D698D"/>
    <w:rsid w:val="002E1079"/>
    <w:rsid w:val="002E1171"/>
    <w:rsid w:val="002E2B64"/>
    <w:rsid w:val="002E3722"/>
    <w:rsid w:val="002E3742"/>
    <w:rsid w:val="002E6606"/>
    <w:rsid w:val="002E756D"/>
    <w:rsid w:val="002F0E2D"/>
    <w:rsid w:val="002F1B5E"/>
    <w:rsid w:val="002F53E6"/>
    <w:rsid w:val="002F7CEE"/>
    <w:rsid w:val="0030436C"/>
    <w:rsid w:val="00304C14"/>
    <w:rsid w:val="00306DAC"/>
    <w:rsid w:val="00311948"/>
    <w:rsid w:val="003132AA"/>
    <w:rsid w:val="00314C95"/>
    <w:rsid w:val="0031537F"/>
    <w:rsid w:val="00315BDA"/>
    <w:rsid w:val="00315DD0"/>
    <w:rsid w:val="00316588"/>
    <w:rsid w:val="00320A13"/>
    <w:rsid w:val="00321E91"/>
    <w:rsid w:val="0032372B"/>
    <w:rsid w:val="00324C27"/>
    <w:rsid w:val="003250E7"/>
    <w:rsid w:val="003259E4"/>
    <w:rsid w:val="003322E9"/>
    <w:rsid w:val="00332970"/>
    <w:rsid w:val="0033452F"/>
    <w:rsid w:val="003416FB"/>
    <w:rsid w:val="00343A7C"/>
    <w:rsid w:val="0034491B"/>
    <w:rsid w:val="0034759C"/>
    <w:rsid w:val="003514F4"/>
    <w:rsid w:val="00353147"/>
    <w:rsid w:val="003549A1"/>
    <w:rsid w:val="00355BA4"/>
    <w:rsid w:val="0036122F"/>
    <w:rsid w:val="00361523"/>
    <w:rsid w:val="003619B9"/>
    <w:rsid w:val="003630AE"/>
    <w:rsid w:val="003665ED"/>
    <w:rsid w:val="0036694A"/>
    <w:rsid w:val="00367645"/>
    <w:rsid w:val="00375FBC"/>
    <w:rsid w:val="00377216"/>
    <w:rsid w:val="003806F4"/>
    <w:rsid w:val="00383592"/>
    <w:rsid w:val="00384256"/>
    <w:rsid w:val="003863E6"/>
    <w:rsid w:val="00395F20"/>
    <w:rsid w:val="003A0024"/>
    <w:rsid w:val="003A01DE"/>
    <w:rsid w:val="003B132A"/>
    <w:rsid w:val="003B2FFA"/>
    <w:rsid w:val="003C330E"/>
    <w:rsid w:val="003C4AA3"/>
    <w:rsid w:val="003C71C4"/>
    <w:rsid w:val="003D00FB"/>
    <w:rsid w:val="003D0D01"/>
    <w:rsid w:val="003D2C79"/>
    <w:rsid w:val="003D3F84"/>
    <w:rsid w:val="003D40A5"/>
    <w:rsid w:val="003D4493"/>
    <w:rsid w:val="003D5864"/>
    <w:rsid w:val="003E061D"/>
    <w:rsid w:val="003E1DB8"/>
    <w:rsid w:val="003E2894"/>
    <w:rsid w:val="003F0418"/>
    <w:rsid w:val="003F3F47"/>
    <w:rsid w:val="003F56EC"/>
    <w:rsid w:val="003F5D5C"/>
    <w:rsid w:val="004000F4"/>
    <w:rsid w:val="004012B5"/>
    <w:rsid w:val="004044C7"/>
    <w:rsid w:val="00405D07"/>
    <w:rsid w:val="00405DAD"/>
    <w:rsid w:val="0041562D"/>
    <w:rsid w:val="00420221"/>
    <w:rsid w:val="004204D4"/>
    <w:rsid w:val="00421D99"/>
    <w:rsid w:val="00422B8E"/>
    <w:rsid w:val="00424D7D"/>
    <w:rsid w:val="00424E58"/>
    <w:rsid w:val="0042534E"/>
    <w:rsid w:val="0042547A"/>
    <w:rsid w:val="004266E3"/>
    <w:rsid w:val="00426F6B"/>
    <w:rsid w:val="0043057B"/>
    <w:rsid w:val="004315C5"/>
    <w:rsid w:val="00431945"/>
    <w:rsid w:val="00432182"/>
    <w:rsid w:val="004343E3"/>
    <w:rsid w:val="00434F4E"/>
    <w:rsid w:val="00440281"/>
    <w:rsid w:val="004407E3"/>
    <w:rsid w:val="00443969"/>
    <w:rsid w:val="004511E6"/>
    <w:rsid w:val="00456BF3"/>
    <w:rsid w:val="004570DC"/>
    <w:rsid w:val="004616BE"/>
    <w:rsid w:val="00461906"/>
    <w:rsid w:val="00464BF1"/>
    <w:rsid w:val="004667EF"/>
    <w:rsid w:val="0047224B"/>
    <w:rsid w:val="004723C3"/>
    <w:rsid w:val="00480762"/>
    <w:rsid w:val="00480D19"/>
    <w:rsid w:val="00483B32"/>
    <w:rsid w:val="0048661A"/>
    <w:rsid w:val="00486876"/>
    <w:rsid w:val="00486C08"/>
    <w:rsid w:val="00487CB6"/>
    <w:rsid w:val="00490907"/>
    <w:rsid w:val="00492D1C"/>
    <w:rsid w:val="004940E3"/>
    <w:rsid w:val="0049464B"/>
    <w:rsid w:val="00496239"/>
    <w:rsid w:val="004967A2"/>
    <w:rsid w:val="00496D16"/>
    <w:rsid w:val="00497734"/>
    <w:rsid w:val="004A36E8"/>
    <w:rsid w:val="004A3FB4"/>
    <w:rsid w:val="004A4E9C"/>
    <w:rsid w:val="004A535A"/>
    <w:rsid w:val="004B0759"/>
    <w:rsid w:val="004B0EFE"/>
    <w:rsid w:val="004B3274"/>
    <w:rsid w:val="004C0698"/>
    <w:rsid w:val="004C0D99"/>
    <w:rsid w:val="004C12C7"/>
    <w:rsid w:val="004C4C36"/>
    <w:rsid w:val="004C53B9"/>
    <w:rsid w:val="004C7143"/>
    <w:rsid w:val="004C7966"/>
    <w:rsid w:val="004D074D"/>
    <w:rsid w:val="004D0D24"/>
    <w:rsid w:val="004D3822"/>
    <w:rsid w:val="004D6157"/>
    <w:rsid w:val="004D7C88"/>
    <w:rsid w:val="004E0514"/>
    <w:rsid w:val="004E0657"/>
    <w:rsid w:val="004E0B9D"/>
    <w:rsid w:val="004E1A84"/>
    <w:rsid w:val="004E323B"/>
    <w:rsid w:val="004E3EB0"/>
    <w:rsid w:val="004E45A6"/>
    <w:rsid w:val="004E4E63"/>
    <w:rsid w:val="004E7DE9"/>
    <w:rsid w:val="004F06AC"/>
    <w:rsid w:val="004F212B"/>
    <w:rsid w:val="004F2404"/>
    <w:rsid w:val="004F2538"/>
    <w:rsid w:val="004F616B"/>
    <w:rsid w:val="00503926"/>
    <w:rsid w:val="00503A31"/>
    <w:rsid w:val="005049B6"/>
    <w:rsid w:val="00505562"/>
    <w:rsid w:val="0050676A"/>
    <w:rsid w:val="005120C0"/>
    <w:rsid w:val="0051269E"/>
    <w:rsid w:val="00512AD2"/>
    <w:rsid w:val="005200BC"/>
    <w:rsid w:val="0052391B"/>
    <w:rsid w:val="00524C9F"/>
    <w:rsid w:val="00525D15"/>
    <w:rsid w:val="00526D11"/>
    <w:rsid w:val="00526DCF"/>
    <w:rsid w:val="005305D9"/>
    <w:rsid w:val="005307E4"/>
    <w:rsid w:val="005329B8"/>
    <w:rsid w:val="005334CC"/>
    <w:rsid w:val="005340D0"/>
    <w:rsid w:val="005340DE"/>
    <w:rsid w:val="005341CB"/>
    <w:rsid w:val="005351D5"/>
    <w:rsid w:val="00535237"/>
    <w:rsid w:val="00545392"/>
    <w:rsid w:val="005477BA"/>
    <w:rsid w:val="0055139F"/>
    <w:rsid w:val="0055267F"/>
    <w:rsid w:val="00552B0F"/>
    <w:rsid w:val="0055448D"/>
    <w:rsid w:val="005546D0"/>
    <w:rsid w:val="00556C55"/>
    <w:rsid w:val="005574AF"/>
    <w:rsid w:val="00562361"/>
    <w:rsid w:val="0056425D"/>
    <w:rsid w:val="00565776"/>
    <w:rsid w:val="005770F8"/>
    <w:rsid w:val="00580F3D"/>
    <w:rsid w:val="00581F92"/>
    <w:rsid w:val="005839F1"/>
    <w:rsid w:val="005849A7"/>
    <w:rsid w:val="00590F97"/>
    <w:rsid w:val="005912EA"/>
    <w:rsid w:val="00593240"/>
    <w:rsid w:val="005934A4"/>
    <w:rsid w:val="0059776B"/>
    <w:rsid w:val="005A0A21"/>
    <w:rsid w:val="005A2541"/>
    <w:rsid w:val="005A7079"/>
    <w:rsid w:val="005B04E3"/>
    <w:rsid w:val="005B48B1"/>
    <w:rsid w:val="005B58DA"/>
    <w:rsid w:val="005C2FA3"/>
    <w:rsid w:val="005C5304"/>
    <w:rsid w:val="005C722B"/>
    <w:rsid w:val="005C753E"/>
    <w:rsid w:val="005D2AAD"/>
    <w:rsid w:val="005D6BB0"/>
    <w:rsid w:val="005D7DB6"/>
    <w:rsid w:val="005E6AD6"/>
    <w:rsid w:val="005F7379"/>
    <w:rsid w:val="0060167B"/>
    <w:rsid w:val="006036AD"/>
    <w:rsid w:val="00604856"/>
    <w:rsid w:val="00604D79"/>
    <w:rsid w:val="006069B2"/>
    <w:rsid w:val="00606E6C"/>
    <w:rsid w:val="00607046"/>
    <w:rsid w:val="006119E5"/>
    <w:rsid w:val="00612CE1"/>
    <w:rsid w:val="006132BE"/>
    <w:rsid w:val="00614251"/>
    <w:rsid w:val="00616373"/>
    <w:rsid w:val="00616E9D"/>
    <w:rsid w:val="006209B7"/>
    <w:rsid w:val="00622F11"/>
    <w:rsid w:val="006235D0"/>
    <w:rsid w:val="006240B7"/>
    <w:rsid w:val="00625129"/>
    <w:rsid w:val="00625E85"/>
    <w:rsid w:val="0062799D"/>
    <w:rsid w:val="00633952"/>
    <w:rsid w:val="00636531"/>
    <w:rsid w:val="00636F1A"/>
    <w:rsid w:val="00640BFC"/>
    <w:rsid w:val="00640F0B"/>
    <w:rsid w:val="00643C42"/>
    <w:rsid w:val="0064416D"/>
    <w:rsid w:val="0064453B"/>
    <w:rsid w:val="00644703"/>
    <w:rsid w:val="0064595C"/>
    <w:rsid w:val="00646991"/>
    <w:rsid w:val="00650170"/>
    <w:rsid w:val="0065377A"/>
    <w:rsid w:val="00656841"/>
    <w:rsid w:val="00656C41"/>
    <w:rsid w:val="006576F7"/>
    <w:rsid w:val="0065773F"/>
    <w:rsid w:val="00657B61"/>
    <w:rsid w:val="00660ADE"/>
    <w:rsid w:val="006675AA"/>
    <w:rsid w:val="0067069F"/>
    <w:rsid w:val="00670F78"/>
    <w:rsid w:val="006742FD"/>
    <w:rsid w:val="006826D9"/>
    <w:rsid w:val="006831B6"/>
    <w:rsid w:val="00684357"/>
    <w:rsid w:val="0068560E"/>
    <w:rsid w:val="0068596F"/>
    <w:rsid w:val="00686095"/>
    <w:rsid w:val="00687B25"/>
    <w:rsid w:val="00690ED2"/>
    <w:rsid w:val="00694956"/>
    <w:rsid w:val="006955B8"/>
    <w:rsid w:val="00697FBD"/>
    <w:rsid w:val="006A08E8"/>
    <w:rsid w:val="006A5284"/>
    <w:rsid w:val="006A6CDB"/>
    <w:rsid w:val="006B1D9E"/>
    <w:rsid w:val="006B2F17"/>
    <w:rsid w:val="006B33E3"/>
    <w:rsid w:val="006B3FF8"/>
    <w:rsid w:val="006C0DB8"/>
    <w:rsid w:val="006C276F"/>
    <w:rsid w:val="006C34CC"/>
    <w:rsid w:val="006C5669"/>
    <w:rsid w:val="006C66C9"/>
    <w:rsid w:val="006D11C7"/>
    <w:rsid w:val="006D425F"/>
    <w:rsid w:val="006D4565"/>
    <w:rsid w:val="006D5F97"/>
    <w:rsid w:val="006D7512"/>
    <w:rsid w:val="006E4764"/>
    <w:rsid w:val="006E6B48"/>
    <w:rsid w:val="006F18C2"/>
    <w:rsid w:val="006F21B0"/>
    <w:rsid w:val="006F236F"/>
    <w:rsid w:val="006F3C4D"/>
    <w:rsid w:val="006F6FD8"/>
    <w:rsid w:val="00700FB7"/>
    <w:rsid w:val="007025ED"/>
    <w:rsid w:val="00703720"/>
    <w:rsid w:val="00705BB4"/>
    <w:rsid w:val="00705BEB"/>
    <w:rsid w:val="00706D6D"/>
    <w:rsid w:val="00710C3E"/>
    <w:rsid w:val="00710C6A"/>
    <w:rsid w:val="007115B2"/>
    <w:rsid w:val="00711658"/>
    <w:rsid w:val="00715FB0"/>
    <w:rsid w:val="00720505"/>
    <w:rsid w:val="00721087"/>
    <w:rsid w:val="007224DF"/>
    <w:rsid w:val="00722D38"/>
    <w:rsid w:val="00724390"/>
    <w:rsid w:val="00724419"/>
    <w:rsid w:val="00725361"/>
    <w:rsid w:val="00725E54"/>
    <w:rsid w:val="00734A80"/>
    <w:rsid w:val="00737EC6"/>
    <w:rsid w:val="0074050A"/>
    <w:rsid w:val="0074086B"/>
    <w:rsid w:val="00741143"/>
    <w:rsid w:val="007415EF"/>
    <w:rsid w:val="00743CB9"/>
    <w:rsid w:val="0074400D"/>
    <w:rsid w:val="00744EB2"/>
    <w:rsid w:val="007514E1"/>
    <w:rsid w:val="007519C4"/>
    <w:rsid w:val="0075385E"/>
    <w:rsid w:val="007540CE"/>
    <w:rsid w:val="00754401"/>
    <w:rsid w:val="00755CAE"/>
    <w:rsid w:val="00761318"/>
    <w:rsid w:val="00763DA1"/>
    <w:rsid w:val="007642C7"/>
    <w:rsid w:val="007644D2"/>
    <w:rsid w:val="00767F32"/>
    <w:rsid w:val="00772CFA"/>
    <w:rsid w:val="0077306D"/>
    <w:rsid w:val="00773361"/>
    <w:rsid w:val="00773A11"/>
    <w:rsid w:val="00776C00"/>
    <w:rsid w:val="00777AAF"/>
    <w:rsid w:val="007805F2"/>
    <w:rsid w:val="007841AF"/>
    <w:rsid w:val="007862F4"/>
    <w:rsid w:val="00787C4E"/>
    <w:rsid w:val="007900F7"/>
    <w:rsid w:val="00790786"/>
    <w:rsid w:val="0079100E"/>
    <w:rsid w:val="007913BF"/>
    <w:rsid w:val="00791DF9"/>
    <w:rsid w:val="0079431B"/>
    <w:rsid w:val="007A0072"/>
    <w:rsid w:val="007A1BC5"/>
    <w:rsid w:val="007A6A6A"/>
    <w:rsid w:val="007A6D2A"/>
    <w:rsid w:val="007A7228"/>
    <w:rsid w:val="007A72B1"/>
    <w:rsid w:val="007B10DF"/>
    <w:rsid w:val="007B3172"/>
    <w:rsid w:val="007C110F"/>
    <w:rsid w:val="007C133D"/>
    <w:rsid w:val="007C1968"/>
    <w:rsid w:val="007C51A2"/>
    <w:rsid w:val="007C63F9"/>
    <w:rsid w:val="007C700A"/>
    <w:rsid w:val="007D0D57"/>
    <w:rsid w:val="007D4B67"/>
    <w:rsid w:val="007D716E"/>
    <w:rsid w:val="007E1EDA"/>
    <w:rsid w:val="007E2F09"/>
    <w:rsid w:val="007E6944"/>
    <w:rsid w:val="007E6FF4"/>
    <w:rsid w:val="007E7233"/>
    <w:rsid w:val="007F0B83"/>
    <w:rsid w:val="007F1E76"/>
    <w:rsid w:val="007F2344"/>
    <w:rsid w:val="007F4DF7"/>
    <w:rsid w:val="007F4FD8"/>
    <w:rsid w:val="007F511B"/>
    <w:rsid w:val="007F7797"/>
    <w:rsid w:val="00800858"/>
    <w:rsid w:val="00800F61"/>
    <w:rsid w:val="00801509"/>
    <w:rsid w:val="008017A2"/>
    <w:rsid w:val="00802A5C"/>
    <w:rsid w:val="0080405F"/>
    <w:rsid w:val="00804A60"/>
    <w:rsid w:val="0081255A"/>
    <w:rsid w:val="00813984"/>
    <w:rsid w:val="00814666"/>
    <w:rsid w:val="00816159"/>
    <w:rsid w:val="00816989"/>
    <w:rsid w:val="00816E34"/>
    <w:rsid w:val="008202EC"/>
    <w:rsid w:val="00821498"/>
    <w:rsid w:val="00821A55"/>
    <w:rsid w:val="00821D35"/>
    <w:rsid w:val="008233F6"/>
    <w:rsid w:val="008238D9"/>
    <w:rsid w:val="00830584"/>
    <w:rsid w:val="00831DE5"/>
    <w:rsid w:val="00833BE7"/>
    <w:rsid w:val="008357C8"/>
    <w:rsid w:val="00835EAF"/>
    <w:rsid w:val="008372DB"/>
    <w:rsid w:val="00844CD6"/>
    <w:rsid w:val="0084502F"/>
    <w:rsid w:val="00846317"/>
    <w:rsid w:val="008521F4"/>
    <w:rsid w:val="00854B56"/>
    <w:rsid w:val="0085652D"/>
    <w:rsid w:val="008566F1"/>
    <w:rsid w:val="00856F09"/>
    <w:rsid w:val="0085725C"/>
    <w:rsid w:val="008577EC"/>
    <w:rsid w:val="00857BBB"/>
    <w:rsid w:val="0086145D"/>
    <w:rsid w:val="00862090"/>
    <w:rsid w:val="00862AAC"/>
    <w:rsid w:val="008631EB"/>
    <w:rsid w:val="008640E7"/>
    <w:rsid w:val="008643EF"/>
    <w:rsid w:val="00865961"/>
    <w:rsid w:val="00866226"/>
    <w:rsid w:val="0086747F"/>
    <w:rsid w:val="008712BF"/>
    <w:rsid w:val="00871AB9"/>
    <w:rsid w:val="00871B87"/>
    <w:rsid w:val="00872596"/>
    <w:rsid w:val="00872708"/>
    <w:rsid w:val="00874E02"/>
    <w:rsid w:val="008804AC"/>
    <w:rsid w:val="00880CAD"/>
    <w:rsid w:val="008832EA"/>
    <w:rsid w:val="00883517"/>
    <w:rsid w:val="00883642"/>
    <w:rsid w:val="00883E2A"/>
    <w:rsid w:val="00885A38"/>
    <w:rsid w:val="00886EA2"/>
    <w:rsid w:val="008917FE"/>
    <w:rsid w:val="00893685"/>
    <w:rsid w:val="0089729A"/>
    <w:rsid w:val="008A02B0"/>
    <w:rsid w:val="008A1BC1"/>
    <w:rsid w:val="008A295E"/>
    <w:rsid w:val="008A370F"/>
    <w:rsid w:val="008A4CAB"/>
    <w:rsid w:val="008A5EF4"/>
    <w:rsid w:val="008A707B"/>
    <w:rsid w:val="008A7225"/>
    <w:rsid w:val="008A7419"/>
    <w:rsid w:val="008B21FB"/>
    <w:rsid w:val="008B2244"/>
    <w:rsid w:val="008B4276"/>
    <w:rsid w:val="008B449A"/>
    <w:rsid w:val="008B4B8F"/>
    <w:rsid w:val="008B602D"/>
    <w:rsid w:val="008B6E65"/>
    <w:rsid w:val="008B78CA"/>
    <w:rsid w:val="008C02DB"/>
    <w:rsid w:val="008C5417"/>
    <w:rsid w:val="008C6494"/>
    <w:rsid w:val="008D3ECA"/>
    <w:rsid w:val="008D4512"/>
    <w:rsid w:val="008D6CBD"/>
    <w:rsid w:val="008E2966"/>
    <w:rsid w:val="008E3089"/>
    <w:rsid w:val="008E3450"/>
    <w:rsid w:val="008E4F12"/>
    <w:rsid w:val="008E59D2"/>
    <w:rsid w:val="008F7CCB"/>
    <w:rsid w:val="00900B7E"/>
    <w:rsid w:val="009021B5"/>
    <w:rsid w:val="00903C8A"/>
    <w:rsid w:val="00904ADC"/>
    <w:rsid w:val="0090585A"/>
    <w:rsid w:val="00905D2F"/>
    <w:rsid w:val="00906508"/>
    <w:rsid w:val="00913C89"/>
    <w:rsid w:val="00915B45"/>
    <w:rsid w:val="0091653E"/>
    <w:rsid w:val="0091760C"/>
    <w:rsid w:val="009215DA"/>
    <w:rsid w:val="00921B72"/>
    <w:rsid w:val="009241B7"/>
    <w:rsid w:val="00924570"/>
    <w:rsid w:val="009251E2"/>
    <w:rsid w:val="00926AF6"/>
    <w:rsid w:val="009324A7"/>
    <w:rsid w:val="00932963"/>
    <w:rsid w:val="00933051"/>
    <w:rsid w:val="009335D0"/>
    <w:rsid w:val="009351C4"/>
    <w:rsid w:val="00935937"/>
    <w:rsid w:val="00936889"/>
    <w:rsid w:val="00940879"/>
    <w:rsid w:val="00943362"/>
    <w:rsid w:val="009443C4"/>
    <w:rsid w:val="00945EA1"/>
    <w:rsid w:val="009501E0"/>
    <w:rsid w:val="009504DC"/>
    <w:rsid w:val="00951470"/>
    <w:rsid w:val="009534D2"/>
    <w:rsid w:val="00954883"/>
    <w:rsid w:val="00961EE5"/>
    <w:rsid w:val="00962CC4"/>
    <w:rsid w:val="009655A9"/>
    <w:rsid w:val="00967FF6"/>
    <w:rsid w:val="00970C64"/>
    <w:rsid w:val="009762E7"/>
    <w:rsid w:val="009763B5"/>
    <w:rsid w:val="009773C0"/>
    <w:rsid w:val="009837AA"/>
    <w:rsid w:val="009850F7"/>
    <w:rsid w:val="00985B50"/>
    <w:rsid w:val="009869E0"/>
    <w:rsid w:val="00987326"/>
    <w:rsid w:val="0098738B"/>
    <w:rsid w:val="009A21E8"/>
    <w:rsid w:val="009A25BB"/>
    <w:rsid w:val="009A3463"/>
    <w:rsid w:val="009A3A73"/>
    <w:rsid w:val="009A71A8"/>
    <w:rsid w:val="009B1663"/>
    <w:rsid w:val="009B6B5C"/>
    <w:rsid w:val="009B6C95"/>
    <w:rsid w:val="009B6E9C"/>
    <w:rsid w:val="009C5B16"/>
    <w:rsid w:val="009C6F88"/>
    <w:rsid w:val="009C70A1"/>
    <w:rsid w:val="009C778A"/>
    <w:rsid w:val="009C79F3"/>
    <w:rsid w:val="009D081C"/>
    <w:rsid w:val="009D0BBC"/>
    <w:rsid w:val="009D1700"/>
    <w:rsid w:val="009D1C0A"/>
    <w:rsid w:val="009D7030"/>
    <w:rsid w:val="009E25D1"/>
    <w:rsid w:val="009E39B7"/>
    <w:rsid w:val="009E634E"/>
    <w:rsid w:val="009E7F45"/>
    <w:rsid w:val="009F0020"/>
    <w:rsid w:val="009F2360"/>
    <w:rsid w:val="00A00DA1"/>
    <w:rsid w:val="00A03DE6"/>
    <w:rsid w:val="00A06109"/>
    <w:rsid w:val="00A1149F"/>
    <w:rsid w:val="00A133B6"/>
    <w:rsid w:val="00A16968"/>
    <w:rsid w:val="00A21AD9"/>
    <w:rsid w:val="00A237A8"/>
    <w:rsid w:val="00A243A6"/>
    <w:rsid w:val="00A25D7B"/>
    <w:rsid w:val="00A269C1"/>
    <w:rsid w:val="00A275E8"/>
    <w:rsid w:val="00A3026D"/>
    <w:rsid w:val="00A3029A"/>
    <w:rsid w:val="00A32A01"/>
    <w:rsid w:val="00A400E3"/>
    <w:rsid w:val="00A4342C"/>
    <w:rsid w:val="00A43951"/>
    <w:rsid w:val="00A441AA"/>
    <w:rsid w:val="00A442F9"/>
    <w:rsid w:val="00A4597C"/>
    <w:rsid w:val="00A46834"/>
    <w:rsid w:val="00A5014A"/>
    <w:rsid w:val="00A512C1"/>
    <w:rsid w:val="00A5315D"/>
    <w:rsid w:val="00A53215"/>
    <w:rsid w:val="00A62352"/>
    <w:rsid w:val="00A626EA"/>
    <w:rsid w:val="00A62C14"/>
    <w:rsid w:val="00A63E4C"/>
    <w:rsid w:val="00A70249"/>
    <w:rsid w:val="00A71A7E"/>
    <w:rsid w:val="00A72744"/>
    <w:rsid w:val="00A77A85"/>
    <w:rsid w:val="00A77DA4"/>
    <w:rsid w:val="00A80B7A"/>
    <w:rsid w:val="00A80D9C"/>
    <w:rsid w:val="00A81C8C"/>
    <w:rsid w:val="00A82CEC"/>
    <w:rsid w:val="00A83BAA"/>
    <w:rsid w:val="00A9180C"/>
    <w:rsid w:val="00A93285"/>
    <w:rsid w:val="00A9662E"/>
    <w:rsid w:val="00A969AA"/>
    <w:rsid w:val="00AA4D91"/>
    <w:rsid w:val="00AA72E0"/>
    <w:rsid w:val="00AA72EE"/>
    <w:rsid w:val="00AA7CF6"/>
    <w:rsid w:val="00AB05B1"/>
    <w:rsid w:val="00AB51AD"/>
    <w:rsid w:val="00AB78A5"/>
    <w:rsid w:val="00AB7ECC"/>
    <w:rsid w:val="00AC0C2B"/>
    <w:rsid w:val="00AC24EE"/>
    <w:rsid w:val="00AC3482"/>
    <w:rsid w:val="00AC42B0"/>
    <w:rsid w:val="00AC45A5"/>
    <w:rsid w:val="00AC539D"/>
    <w:rsid w:val="00AC54E7"/>
    <w:rsid w:val="00AC666F"/>
    <w:rsid w:val="00AD0064"/>
    <w:rsid w:val="00AD05BF"/>
    <w:rsid w:val="00AD0A44"/>
    <w:rsid w:val="00AD0E5A"/>
    <w:rsid w:val="00AD24BD"/>
    <w:rsid w:val="00AD3513"/>
    <w:rsid w:val="00AD5377"/>
    <w:rsid w:val="00AD6EDE"/>
    <w:rsid w:val="00AD7ADB"/>
    <w:rsid w:val="00AE1E5E"/>
    <w:rsid w:val="00AE4F99"/>
    <w:rsid w:val="00AE6E71"/>
    <w:rsid w:val="00AE7249"/>
    <w:rsid w:val="00AF34E8"/>
    <w:rsid w:val="00AF520B"/>
    <w:rsid w:val="00AF62E9"/>
    <w:rsid w:val="00AF6763"/>
    <w:rsid w:val="00AF7CDC"/>
    <w:rsid w:val="00B00C00"/>
    <w:rsid w:val="00B01507"/>
    <w:rsid w:val="00B04941"/>
    <w:rsid w:val="00B06B17"/>
    <w:rsid w:val="00B11E56"/>
    <w:rsid w:val="00B14508"/>
    <w:rsid w:val="00B20029"/>
    <w:rsid w:val="00B2046D"/>
    <w:rsid w:val="00B22810"/>
    <w:rsid w:val="00B230A3"/>
    <w:rsid w:val="00B24D98"/>
    <w:rsid w:val="00B266A2"/>
    <w:rsid w:val="00B30CA1"/>
    <w:rsid w:val="00B31368"/>
    <w:rsid w:val="00B323F2"/>
    <w:rsid w:val="00B3601E"/>
    <w:rsid w:val="00B360A3"/>
    <w:rsid w:val="00B3792B"/>
    <w:rsid w:val="00B40467"/>
    <w:rsid w:val="00B41455"/>
    <w:rsid w:val="00B448B4"/>
    <w:rsid w:val="00B5321A"/>
    <w:rsid w:val="00B549A1"/>
    <w:rsid w:val="00B57141"/>
    <w:rsid w:val="00B60182"/>
    <w:rsid w:val="00B60254"/>
    <w:rsid w:val="00B63251"/>
    <w:rsid w:val="00B67679"/>
    <w:rsid w:val="00B70BC9"/>
    <w:rsid w:val="00B70FCB"/>
    <w:rsid w:val="00B71A12"/>
    <w:rsid w:val="00B76ED9"/>
    <w:rsid w:val="00B774DF"/>
    <w:rsid w:val="00B82B27"/>
    <w:rsid w:val="00B82B46"/>
    <w:rsid w:val="00B84A51"/>
    <w:rsid w:val="00B865EB"/>
    <w:rsid w:val="00B87483"/>
    <w:rsid w:val="00B90825"/>
    <w:rsid w:val="00B91713"/>
    <w:rsid w:val="00B951B6"/>
    <w:rsid w:val="00B96B38"/>
    <w:rsid w:val="00BA0CC6"/>
    <w:rsid w:val="00BA1128"/>
    <w:rsid w:val="00BA25F6"/>
    <w:rsid w:val="00BA47EC"/>
    <w:rsid w:val="00BB2F5F"/>
    <w:rsid w:val="00BB61B3"/>
    <w:rsid w:val="00BC1794"/>
    <w:rsid w:val="00BC245A"/>
    <w:rsid w:val="00BC4836"/>
    <w:rsid w:val="00BC4B32"/>
    <w:rsid w:val="00BC5F88"/>
    <w:rsid w:val="00BD470D"/>
    <w:rsid w:val="00BD5713"/>
    <w:rsid w:val="00BD61D0"/>
    <w:rsid w:val="00BD7778"/>
    <w:rsid w:val="00BE0CC3"/>
    <w:rsid w:val="00BE18C9"/>
    <w:rsid w:val="00BE1F6D"/>
    <w:rsid w:val="00BE42F7"/>
    <w:rsid w:val="00BE6861"/>
    <w:rsid w:val="00BF21FF"/>
    <w:rsid w:val="00BF3D2C"/>
    <w:rsid w:val="00BF41E4"/>
    <w:rsid w:val="00BF6C8D"/>
    <w:rsid w:val="00C00710"/>
    <w:rsid w:val="00C0485B"/>
    <w:rsid w:val="00C07360"/>
    <w:rsid w:val="00C07AB5"/>
    <w:rsid w:val="00C10E16"/>
    <w:rsid w:val="00C1162F"/>
    <w:rsid w:val="00C12F07"/>
    <w:rsid w:val="00C1337A"/>
    <w:rsid w:val="00C14FDD"/>
    <w:rsid w:val="00C168CA"/>
    <w:rsid w:val="00C21CF5"/>
    <w:rsid w:val="00C2708E"/>
    <w:rsid w:val="00C32ABB"/>
    <w:rsid w:val="00C34435"/>
    <w:rsid w:val="00C35732"/>
    <w:rsid w:val="00C36D91"/>
    <w:rsid w:val="00C3720D"/>
    <w:rsid w:val="00C43783"/>
    <w:rsid w:val="00C46023"/>
    <w:rsid w:val="00C476E0"/>
    <w:rsid w:val="00C4773E"/>
    <w:rsid w:val="00C5094E"/>
    <w:rsid w:val="00C54E97"/>
    <w:rsid w:val="00C55F2C"/>
    <w:rsid w:val="00C63492"/>
    <w:rsid w:val="00C63B4F"/>
    <w:rsid w:val="00C648DE"/>
    <w:rsid w:val="00C65178"/>
    <w:rsid w:val="00C721B1"/>
    <w:rsid w:val="00C73A6E"/>
    <w:rsid w:val="00C773E5"/>
    <w:rsid w:val="00C8046E"/>
    <w:rsid w:val="00C8293C"/>
    <w:rsid w:val="00C837CE"/>
    <w:rsid w:val="00C8435C"/>
    <w:rsid w:val="00C919A6"/>
    <w:rsid w:val="00C92877"/>
    <w:rsid w:val="00C93186"/>
    <w:rsid w:val="00C931EA"/>
    <w:rsid w:val="00CA07B4"/>
    <w:rsid w:val="00CA1120"/>
    <w:rsid w:val="00CB07F3"/>
    <w:rsid w:val="00CB0E07"/>
    <w:rsid w:val="00CB1E96"/>
    <w:rsid w:val="00CB221B"/>
    <w:rsid w:val="00CB23C9"/>
    <w:rsid w:val="00CB3180"/>
    <w:rsid w:val="00CB5D83"/>
    <w:rsid w:val="00CC15EF"/>
    <w:rsid w:val="00CC7EFD"/>
    <w:rsid w:val="00CD013E"/>
    <w:rsid w:val="00CD2508"/>
    <w:rsid w:val="00CD4A86"/>
    <w:rsid w:val="00CD525C"/>
    <w:rsid w:val="00CD5C27"/>
    <w:rsid w:val="00CD7CD5"/>
    <w:rsid w:val="00CE21E2"/>
    <w:rsid w:val="00CE2B9E"/>
    <w:rsid w:val="00CE3146"/>
    <w:rsid w:val="00CE7D09"/>
    <w:rsid w:val="00CE7F51"/>
    <w:rsid w:val="00CF0128"/>
    <w:rsid w:val="00CF12E6"/>
    <w:rsid w:val="00CF3302"/>
    <w:rsid w:val="00CF349A"/>
    <w:rsid w:val="00CF54DA"/>
    <w:rsid w:val="00CF5B64"/>
    <w:rsid w:val="00CF6ABD"/>
    <w:rsid w:val="00CF78AB"/>
    <w:rsid w:val="00D030A2"/>
    <w:rsid w:val="00D0551A"/>
    <w:rsid w:val="00D073CB"/>
    <w:rsid w:val="00D07BE6"/>
    <w:rsid w:val="00D17EB9"/>
    <w:rsid w:val="00D2000C"/>
    <w:rsid w:val="00D201C6"/>
    <w:rsid w:val="00D210DF"/>
    <w:rsid w:val="00D212AD"/>
    <w:rsid w:val="00D21C44"/>
    <w:rsid w:val="00D22ACB"/>
    <w:rsid w:val="00D23A21"/>
    <w:rsid w:val="00D25887"/>
    <w:rsid w:val="00D26785"/>
    <w:rsid w:val="00D3193F"/>
    <w:rsid w:val="00D31D9E"/>
    <w:rsid w:val="00D325C6"/>
    <w:rsid w:val="00D33198"/>
    <w:rsid w:val="00D331A5"/>
    <w:rsid w:val="00D3430E"/>
    <w:rsid w:val="00D35806"/>
    <w:rsid w:val="00D3672F"/>
    <w:rsid w:val="00D37FFE"/>
    <w:rsid w:val="00D41282"/>
    <w:rsid w:val="00D415AE"/>
    <w:rsid w:val="00D41AEF"/>
    <w:rsid w:val="00D41F12"/>
    <w:rsid w:val="00D45FB8"/>
    <w:rsid w:val="00D50CEB"/>
    <w:rsid w:val="00D545E6"/>
    <w:rsid w:val="00D567D1"/>
    <w:rsid w:val="00D60202"/>
    <w:rsid w:val="00D61974"/>
    <w:rsid w:val="00D61DEC"/>
    <w:rsid w:val="00D62B3A"/>
    <w:rsid w:val="00D65A06"/>
    <w:rsid w:val="00D660B1"/>
    <w:rsid w:val="00D66AE1"/>
    <w:rsid w:val="00D67B9F"/>
    <w:rsid w:val="00D71ED0"/>
    <w:rsid w:val="00D73DE3"/>
    <w:rsid w:val="00D741D8"/>
    <w:rsid w:val="00D74CE1"/>
    <w:rsid w:val="00D74D14"/>
    <w:rsid w:val="00D76CCF"/>
    <w:rsid w:val="00D776FE"/>
    <w:rsid w:val="00D77D30"/>
    <w:rsid w:val="00D81A10"/>
    <w:rsid w:val="00D84BBA"/>
    <w:rsid w:val="00D866A1"/>
    <w:rsid w:val="00D86AD5"/>
    <w:rsid w:val="00D87EB8"/>
    <w:rsid w:val="00D912B0"/>
    <w:rsid w:val="00D97FF1"/>
    <w:rsid w:val="00DA0245"/>
    <w:rsid w:val="00DA1736"/>
    <w:rsid w:val="00DA1A9C"/>
    <w:rsid w:val="00DA3BAD"/>
    <w:rsid w:val="00DA7510"/>
    <w:rsid w:val="00DB2CA4"/>
    <w:rsid w:val="00DB4848"/>
    <w:rsid w:val="00DB5DF3"/>
    <w:rsid w:val="00DB7E49"/>
    <w:rsid w:val="00DC3169"/>
    <w:rsid w:val="00DC44F7"/>
    <w:rsid w:val="00DC4C65"/>
    <w:rsid w:val="00DC5E4F"/>
    <w:rsid w:val="00DC7B1F"/>
    <w:rsid w:val="00DD3325"/>
    <w:rsid w:val="00DD4F04"/>
    <w:rsid w:val="00DD5718"/>
    <w:rsid w:val="00DD5B55"/>
    <w:rsid w:val="00DD6BD0"/>
    <w:rsid w:val="00DD6CE9"/>
    <w:rsid w:val="00DE06EC"/>
    <w:rsid w:val="00DE0BA0"/>
    <w:rsid w:val="00DE0F0F"/>
    <w:rsid w:val="00DE1333"/>
    <w:rsid w:val="00DE1C9E"/>
    <w:rsid w:val="00DE5000"/>
    <w:rsid w:val="00DE58C1"/>
    <w:rsid w:val="00DE791D"/>
    <w:rsid w:val="00DF3E34"/>
    <w:rsid w:val="00E03122"/>
    <w:rsid w:val="00E03D05"/>
    <w:rsid w:val="00E0519B"/>
    <w:rsid w:val="00E070AF"/>
    <w:rsid w:val="00E12895"/>
    <w:rsid w:val="00E13A68"/>
    <w:rsid w:val="00E14978"/>
    <w:rsid w:val="00E14F60"/>
    <w:rsid w:val="00E16BC4"/>
    <w:rsid w:val="00E178B6"/>
    <w:rsid w:val="00E22397"/>
    <w:rsid w:val="00E22D94"/>
    <w:rsid w:val="00E254B9"/>
    <w:rsid w:val="00E26136"/>
    <w:rsid w:val="00E31B76"/>
    <w:rsid w:val="00E33353"/>
    <w:rsid w:val="00E33A99"/>
    <w:rsid w:val="00E33C27"/>
    <w:rsid w:val="00E34B0D"/>
    <w:rsid w:val="00E369BE"/>
    <w:rsid w:val="00E37E06"/>
    <w:rsid w:val="00E40166"/>
    <w:rsid w:val="00E40A74"/>
    <w:rsid w:val="00E44B56"/>
    <w:rsid w:val="00E44CC5"/>
    <w:rsid w:val="00E47B1F"/>
    <w:rsid w:val="00E502F7"/>
    <w:rsid w:val="00E509C1"/>
    <w:rsid w:val="00E52FF9"/>
    <w:rsid w:val="00E534FA"/>
    <w:rsid w:val="00E56438"/>
    <w:rsid w:val="00E570DE"/>
    <w:rsid w:val="00E571C8"/>
    <w:rsid w:val="00E61F87"/>
    <w:rsid w:val="00E6285A"/>
    <w:rsid w:val="00E636E9"/>
    <w:rsid w:val="00E63A51"/>
    <w:rsid w:val="00E65B1D"/>
    <w:rsid w:val="00E67922"/>
    <w:rsid w:val="00E72D0D"/>
    <w:rsid w:val="00E74012"/>
    <w:rsid w:val="00E75903"/>
    <w:rsid w:val="00E816DD"/>
    <w:rsid w:val="00E8351E"/>
    <w:rsid w:val="00E83E8E"/>
    <w:rsid w:val="00E84DAF"/>
    <w:rsid w:val="00E85030"/>
    <w:rsid w:val="00E874D6"/>
    <w:rsid w:val="00E92DC3"/>
    <w:rsid w:val="00E936D0"/>
    <w:rsid w:val="00EA2D5C"/>
    <w:rsid w:val="00EA3A53"/>
    <w:rsid w:val="00EA4746"/>
    <w:rsid w:val="00EA6349"/>
    <w:rsid w:val="00EB1580"/>
    <w:rsid w:val="00EB4AB1"/>
    <w:rsid w:val="00EB518D"/>
    <w:rsid w:val="00EB5A8C"/>
    <w:rsid w:val="00EB7250"/>
    <w:rsid w:val="00EB76BA"/>
    <w:rsid w:val="00EC10D7"/>
    <w:rsid w:val="00EC1995"/>
    <w:rsid w:val="00EC46A4"/>
    <w:rsid w:val="00EC74A9"/>
    <w:rsid w:val="00ED031A"/>
    <w:rsid w:val="00ED2A9F"/>
    <w:rsid w:val="00ED3882"/>
    <w:rsid w:val="00ED5D70"/>
    <w:rsid w:val="00ED6558"/>
    <w:rsid w:val="00EE0272"/>
    <w:rsid w:val="00EE04F5"/>
    <w:rsid w:val="00EE073C"/>
    <w:rsid w:val="00EE10FD"/>
    <w:rsid w:val="00EE1B63"/>
    <w:rsid w:val="00EE4BA5"/>
    <w:rsid w:val="00EE4E0F"/>
    <w:rsid w:val="00EE5561"/>
    <w:rsid w:val="00EE7FD2"/>
    <w:rsid w:val="00EF18E7"/>
    <w:rsid w:val="00EF6385"/>
    <w:rsid w:val="00F025B5"/>
    <w:rsid w:val="00F0390F"/>
    <w:rsid w:val="00F04879"/>
    <w:rsid w:val="00F10791"/>
    <w:rsid w:val="00F12197"/>
    <w:rsid w:val="00F154BB"/>
    <w:rsid w:val="00F15E90"/>
    <w:rsid w:val="00F21E09"/>
    <w:rsid w:val="00F23E1F"/>
    <w:rsid w:val="00F25902"/>
    <w:rsid w:val="00F25EEF"/>
    <w:rsid w:val="00F31201"/>
    <w:rsid w:val="00F31CB2"/>
    <w:rsid w:val="00F31D85"/>
    <w:rsid w:val="00F31D9C"/>
    <w:rsid w:val="00F36618"/>
    <w:rsid w:val="00F4050E"/>
    <w:rsid w:val="00F42973"/>
    <w:rsid w:val="00F42F5B"/>
    <w:rsid w:val="00F444B0"/>
    <w:rsid w:val="00F46BF8"/>
    <w:rsid w:val="00F5075E"/>
    <w:rsid w:val="00F51AA7"/>
    <w:rsid w:val="00F52215"/>
    <w:rsid w:val="00F527DF"/>
    <w:rsid w:val="00F538AF"/>
    <w:rsid w:val="00F54294"/>
    <w:rsid w:val="00F54FB5"/>
    <w:rsid w:val="00F559E2"/>
    <w:rsid w:val="00F55F56"/>
    <w:rsid w:val="00F573B5"/>
    <w:rsid w:val="00F60460"/>
    <w:rsid w:val="00F61492"/>
    <w:rsid w:val="00F63767"/>
    <w:rsid w:val="00F65EBE"/>
    <w:rsid w:val="00F7764F"/>
    <w:rsid w:val="00F8231F"/>
    <w:rsid w:val="00F84C6D"/>
    <w:rsid w:val="00F85308"/>
    <w:rsid w:val="00F85365"/>
    <w:rsid w:val="00F87B49"/>
    <w:rsid w:val="00F905B6"/>
    <w:rsid w:val="00F912FB"/>
    <w:rsid w:val="00F932F1"/>
    <w:rsid w:val="00F94996"/>
    <w:rsid w:val="00F96D7E"/>
    <w:rsid w:val="00FA03BB"/>
    <w:rsid w:val="00FA1DAD"/>
    <w:rsid w:val="00FA4013"/>
    <w:rsid w:val="00FB0EF7"/>
    <w:rsid w:val="00FB222A"/>
    <w:rsid w:val="00FB3376"/>
    <w:rsid w:val="00FB4F8B"/>
    <w:rsid w:val="00FB51C5"/>
    <w:rsid w:val="00FB79F2"/>
    <w:rsid w:val="00FC1CBD"/>
    <w:rsid w:val="00FC1CF7"/>
    <w:rsid w:val="00FC2121"/>
    <w:rsid w:val="00FC329A"/>
    <w:rsid w:val="00FC4216"/>
    <w:rsid w:val="00FC48D4"/>
    <w:rsid w:val="00FC5E84"/>
    <w:rsid w:val="00FC7FC5"/>
    <w:rsid w:val="00FD0BF6"/>
    <w:rsid w:val="00FD18CD"/>
    <w:rsid w:val="00FD1CF1"/>
    <w:rsid w:val="00FD4446"/>
    <w:rsid w:val="00FD458B"/>
    <w:rsid w:val="00FD5C7E"/>
    <w:rsid w:val="00FD7FB4"/>
    <w:rsid w:val="00FE37CD"/>
    <w:rsid w:val="00FE6739"/>
    <w:rsid w:val="00FF0875"/>
    <w:rsid w:val="00FF1163"/>
    <w:rsid w:val="00FF146F"/>
    <w:rsid w:val="00FF1D28"/>
    <w:rsid w:val="00FF44BE"/>
    <w:rsid w:val="14953AF8"/>
    <w:rsid w:val="18ADBCF9"/>
    <w:rsid w:val="35AEC939"/>
    <w:rsid w:val="767DFFF4"/>
  </w:rsids>
  <w:docVars>
    <w:docVar w:name="__Grammarly_42___1" w:val="H4sIAAAAAAAEAKtWcslP9kxRslIyNDYyMzGxsLAwMDYxszA3tbRU0lEKTi0uzszPAykwrgUAYTj2qi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366DB009"/>
  <w15:chartTrackingRefBased/>
  <w15:docId w15:val="{DC95DB70-3098-4066-81B7-27F8D3E4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1C252D" w:themeColor="text2"/>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639D"/>
  </w:style>
  <w:style w:type="paragraph" w:styleId="Heading1">
    <w:name w:val="heading 1"/>
    <w:basedOn w:val="Heading1-ReportCover"/>
    <w:next w:val="DocumentSubtitle"/>
    <w:link w:val="Heading1Char"/>
    <w:uiPriority w:val="1"/>
    <w:qFormat/>
    <w:rsid w:val="00DB4848"/>
    <w:pPr>
      <w:outlineLvl w:val="0"/>
    </w:pPr>
    <w:rPr>
      <w:rFonts w:cs="Arial"/>
      <w:bCs w:val="0"/>
      <w:color w:val="00507F" w:themeColor="accent1"/>
    </w:rPr>
  </w:style>
  <w:style w:type="paragraph" w:styleId="Heading2">
    <w:name w:val="heading 2"/>
    <w:aliases w:val="WTDOM H2,aHeading 2"/>
    <w:basedOn w:val="Normal"/>
    <w:next w:val="Normal"/>
    <w:link w:val="Heading2Char"/>
    <w:uiPriority w:val="9"/>
    <w:unhideWhenUsed/>
    <w:qFormat/>
    <w:rsid w:val="00B84A51"/>
    <w:pPr>
      <w:keepNext/>
      <w:spacing w:before="360" w:line="240" w:lineRule="auto"/>
      <w:outlineLvl w:val="1"/>
    </w:pPr>
    <w:rPr>
      <w:rFonts w:asciiTheme="majorHAnsi" w:eastAsiaTheme="majorEastAsia" w:hAnsiTheme="majorHAnsi" w:cstheme="majorBidi"/>
      <w:b/>
      <w:color w:val="00507F" w:themeColor="accent1"/>
      <w:sz w:val="32"/>
      <w:szCs w:val="32"/>
    </w:rPr>
  </w:style>
  <w:style w:type="paragraph" w:styleId="Heading3">
    <w:name w:val="heading 3"/>
    <w:aliases w:val="WTDOM H3,aHeading 3"/>
    <w:basedOn w:val="Heading2"/>
    <w:next w:val="BodyTextPostHeading"/>
    <w:link w:val="Heading3Char"/>
    <w:uiPriority w:val="9"/>
    <w:unhideWhenUsed/>
    <w:qFormat/>
    <w:rsid w:val="0021639D"/>
    <w:pPr>
      <w:numPr>
        <w:ilvl w:val="2"/>
      </w:numPr>
      <w:spacing w:before="240" w:after="60"/>
      <w:outlineLvl w:val="2"/>
    </w:pPr>
    <w:rPr>
      <w:rFonts w:eastAsia="Times New Roman" w:cs="Times New Roman"/>
      <w:sz w:val="28"/>
      <w:szCs w:val="26"/>
    </w:rPr>
  </w:style>
  <w:style w:type="paragraph" w:styleId="Heading4">
    <w:name w:val="heading 4"/>
    <w:aliases w:val="WTDOM H4,aHeading 4"/>
    <w:basedOn w:val="Heading3"/>
    <w:next w:val="BodyTextPostHeading"/>
    <w:link w:val="Heading4Char"/>
    <w:uiPriority w:val="9"/>
    <w:unhideWhenUsed/>
    <w:qFormat/>
    <w:rsid w:val="0021639D"/>
    <w:pPr>
      <w:numPr>
        <w:ilvl w:val="3"/>
      </w:numPr>
      <w:outlineLvl w:val="3"/>
    </w:pPr>
    <w:rPr>
      <w:i/>
      <w:iCs/>
      <w:sz w:val="26"/>
    </w:rPr>
  </w:style>
  <w:style w:type="paragraph" w:styleId="Heading5">
    <w:name w:val="heading 5"/>
    <w:aliases w:val="aHeading 5"/>
    <w:basedOn w:val="HeadingFont"/>
    <w:next w:val="BodyTextPostHeading"/>
    <w:link w:val="Heading5Char"/>
    <w:uiPriority w:val="9"/>
    <w:unhideWhenUsed/>
    <w:qFormat/>
    <w:rsid w:val="0021639D"/>
    <w:pPr>
      <w:spacing w:before="240" w:after="120" w:line="240" w:lineRule="auto"/>
      <w:outlineLvl w:val="4"/>
    </w:pPr>
    <w:rPr>
      <w:b/>
      <w:bCs/>
    </w:rPr>
  </w:style>
  <w:style w:type="paragraph" w:styleId="Heading6">
    <w:name w:val="heading 6"/>
    <w:basedOn w:val="HeadingFont"/>
    <w:next w:val="BodyTextPostHeading"/>
    <w:link w:val="Heading6Char"/>
    <w:uiPriority w:val="9"/>
    <w:unhideWhenUsed/>
    <w:qFormat/>
    <w:rsid w:val="0021639D"/>
    <w:pPr>
      <w:spacing w:before="240" w:after="120" w:line="240" w:lineRule="auto"/>
      <w:outlineLvl w:val="5"/>
    </w:pPr>
    <w:rPr>
      <w:b/>
      <w:bCs/>
      <w:i/>
      <w:iCs/>
    </w:rPr>
  </w:style>
  <w:style w:type="paragraph" w:styleId="Heading7">
    <w:name w:val="heading 7"/>
    <w:basedOn w:val="Normal"/>
    <w:next w:val="Normal"/>
    <w:link w:val="Heading7Char"/>
    <w:uiPriority w:val="9"/>
    <w:unhideWhenUsed/>
    <w:qFormat/>
    <w:rsid w:val="0021639D"/>
    <w:pPr>
      <w:keepNext/>
      <w:keepLines/>
      <w:numPr>
        <w:ilvl w:val="6"/>
        <w:numId w:val="17"/>
      </w:numPr>
      <w:spacing w:before="40"/>
      <w:outlineLvl w:val="6"/>
    </w:pPr>
    <w:rPr>
      <w:rFonts w:asciiTheme="majorHAnsi" w:eastAsiaTheme="majorEastAsia" w:hAnsiTheme="majorHAnsi" w:cstheme="majorBidi"/>
      <w:i/>
      <w:iCs/>
      <w:color w:val="00273F" w:themeColor="accent1" w:themeShade="7F"/>
    </w:rPr>
  </w:style>
  <w:style w:type="paragraph" w:styleId="Heading8">
    <w:name w:val="heading 8"/>
    <w:basedOn w:val="Normal"/>
    <w:next w:val="Normal"/>
    <w:link w:val="Heading8Char"/>
    <w:uiPriority w:val="9"/>
    <w:unhideWhenUsed/>
    <w:qFormat/>
    <w:rsid w:val="0021639D"/>
    <w:pPr>
      <w:keepNext/>
      <w:keepLines/>
      <w:numPr>
        <w:ilvl w:val="7"/>
        <w:numId w:val="17"/>
      </w:numPr>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unhideWhenUsed/>
    <w:qFormat/>
    <w:rsid w:val="0021639D"/>
    <w:pPr>
      <w:keepNext/>
      <w:keepLines/>
      <w:numPr>
        <w:ilvl w:val="8"/>
        <w:numId w:val="17"/>
      </w:numPr>
      <w:spacing w:before="4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21639D"/>
    <w:pPr>
      <w:tabs>
        <w:tab w:val="center" w:pos="4680"/>
        <w:tab w:val="right" w:pos="9360"/>
      </w:tabs>
      <w:spacing w:line="240" w:lineRule="auto"/>
    </w:pPr>
  </w:style>
  <w:style w:type="character" w:customStyle="1" w:styleId="HeaderChar">
    <w:name w:val="Header Char"/>
    <w:basedOn w:val="DefaultParagraphFont"/>
    <w:link w:val="Header"/>
    <w:uiPriority w:val="99"/>
    <w:rsid w:val="0021639D"/>
  </w:style>
  <w:style w:type="paragraph" w:styleId="Footer">
    <w:name w:val="footer"/>
    <w:basedOn w:val="HeadingFont"/>
    <w:link w:val="FooterChar"/>
    <w:uiPriority w:val="99"/>
    <w:unhideWhenUsed/>
    <w:qFormat/>
    <w:rsid w:val="0021639D"/>
    <w:pPr>
      <w:keepNext w:val="0"/>
      <w:tabs>
        <w:tab w:val="center" w:pos="4680"/>
        <w:tab w:val="right" w:pos="9360"/>
      </w:tabs>
    </w:pPr>
    <w:rPr>
      <w:sz w:val="22"/>
    </w:rPr>
  </w:style>
  <w:style w:type="character" w:customStyle="1" w:styleId="FooterChar">
    <w:name w:val="Footer Char"/>
    <w:basedOn w:val="DefaultParagraphFont"/>
    <w:link w:val="Footer"/>
    <w:uiPriority w:val="99"/>
    <w:rsid w:val="0021639D"/>
    <w:rPr>
      <w:rFonts w:asciiTheme="majorHAnsi" w:hAnsiTheme="majorHAnsi"/>
      <w:sz w:val="22"/>
    </w:rPr>
  </w:style>
  <w:style w:type="paragraph" w:styleId="BalloonText">
    <w:name w:val="Balloon Text"/>
    <w:basedOn w:val="BodyText"/>
    <w:link w:val="BalloonTextChar"/>
    <w:uiPriority w:val="99"/>
    <w:unhideWhenUsed/>
    <w:rsid w:val="0021639D"/>
    <w:pPr>
      <w:spacing w:after="0" w:line="240" w:lineRule="auto"/>
    </w:pPr>
    <w:rPr>
      <w:rFonts w:cs="Segoe UI"/>
      <w:sz w:val="18"/>
      <w:szCs w:val="18"/>
    </w:rPr>
  </w:style>
  <w:style w:type="character" w:customStyle="1" w:styleId="BalloonTextChar">
    <w:name w:val="Balloon Text Char"/>
    <w:basedOn w:val="DefaultParagraphFont"/>
    <w:link w:val="BalloonText"/>
    <w:uiPriority w:val="99"/>
    <w:rsid w:val="0021639D"/>
    <w:rPr>
      <w:rFonts w:eastAsia="Calibri" w:cs="Segoe UI"/>
      <w:sz w:val="18"/>
      <w:szCs w:val="18"/>
    </w:rPr>
  </w:style>
  <w:style w:type="paragraph" w:customStyle="1" w:styleId="FooterDocTitle">
    <w:name w:val="Footer Doc Title"/>
    <w:qFormat/>
    <w:rsid w:val="0021639D"/>
    <w:pPr>
      <w:pBdr>
        <w:top w:val="single" w:sz="8" w:space="10" w:color="009DD7" w:themeColor="accent2"/>
      </w:pBdr>
      <w:tabs>
        <w:tab w:val="left" w:pos="1080"/>
      </w:tabs>
      <w:spacing w:before="360"/>
    </w:pPr>
    <w:rPr>
      <w:rFonts w:asciiTheme="majorHAnsi" w:hAnsiTheme="majorHAnsi"/>
      <w:color w:val="00507F" w:themeColor="accent1"/>
      <w:sz w:val="22"/>
    </w:rPr>
  </w:style>
  <w:style w:type="paragraph" w:styleId="FootnoteText">
    <w:name w:val="footnote text"/>
    <w:aliases w:val="*Footnote Text,F1,Footnote Text Char Char,Footnote Text Char Char Char,Footnote Text Char Char Char Char,Footnote Text Char Char1,Footnote Text r,bv,figure or table,fn,footnote text,ft"/>
    <w:basedOn w:val="BodyText"/>
    <w:link w:val="FootnoteTextChar"/>
    <w:uiPriority w:val="99"/>
    <w:unhideWhenUsed/>
    <w:qFormat/>
    <w:rsid w:val="0021639D"/>
    <w:pPr>
      <w:spacing w:before="0" w:after="0" w:line="240" w:lineRule="auto"/>
    </w:pPr>
    <w:rPr>
      <w:sz w:val="18"/>
    </w:rPr>
  </w:style>
  <w:style w:type="character" w:customStyle="1" w:styleId="FootnoteTextChar">
    <w:name w:val="Footnote Text Char"/>
    <w:aliases w:val="*Footnote Text Char,F1 Char,Footnote Text Char Char Char Char Char,Footnote Text Char Char Char Char1,Footnote Text Char Char Char1,Footnote Text Char Char1 Char,bv Char,figure or table Char,fn Char,footnote text Char,ft Char"/>
    <w:basedOn w:val="DefaultParagraphFont"/>
    <w:link w:val="FootnoteText"/>
    <w:uiPriority w:val="99"/>
    <w:rsid w:val="0021639D"/>
    <w:rPr>
      <w:rFonts w:eastAsia="Calibri" w:cs="Times New Roman"/>
      <w:sz w:val="18"/>
    </w:rPr>
  </w:style>
  <w:style w:type="character" w:styleId="Hyperlink">
    <w:name w:val="Hyperlink"/>
    <w:basedOn w:val="DefaultParagraphFont"/>
    <w:uiPriority w:val="99"/>
    <w:unhideWhenUsed/>
    <w:qFormat/>
    <w:rsid w:val="0021639D"/>
    <w:rPr>
      <w:color w:val="00507F" w:themeColor="hyperlink"/>
      <w:u w:val="single"/>
    </w:rPr>
  </w:style>
  <w:style w:type="character" w:styleId="FootnoteReference">
    <w:name w:val="footnote reference"/>
    <w:aliases w:val="*Footnote Reference,fr"/>
    <w:uiPriority w:val="99"/>
    <w:qFormat/>
    <w:rsid w:val="0021639D"/>
    <w:rPr>
      <w:vertAlign w:val="superscript"/>
    </w:rPr>
  </w:style>
  <w:style w:type="character" w:customStyle="1" w:styleId="Heading3Char">
    <w:name w:val="Heading 3 Char"/>
    <w:aliases w:val="WTDOM H3 Char,aHeading 3 Char"/>
    <w:basedOn w:val="DefaultParagraphFont"/>
    <w:link w:val="Heading3"/>
    <w:uiPriority w:val="9"/>
    <w:rsid w:val="0021639D"/>
    <w:rPr>
      <w:rFonts w:eastAsia="Times New Roman" w:asciiTheme="majorHAnsi" w:hAnsiTheme="majorHAnsi" w:cs="Times New Roman"/>
      <w:b/>
      <w:color w:val="00507F" w:themeColor="accent1"/>
      <w:sz w:val="28"/>
      <w:szCs w:val="26"/>
    </w:rPr>
  </w:style>
  <w:style w:type="paragraph" w:styleId="BodyText">
    <w:name w:val="Body Text"/>
    <w:aliases w:val="bt"/>
    <w:link w:val="BodyTextChar"/>
    <w:unhideWhenUsed/>
    <w:qFormat/>
    <w:rsid w:val="008238D9"/>
    <w:pPr>
      <w:suppressAutoHyphens/>
      <w:spacing w:before="240" w:after="120"/>
    </w:pPr>
    <w:rPr>
      <w:rFonts w:eastAsia="Calibri" w:cs="Times New Roman"/>
    </w:rPr>
  </w:style>
  <w:style w:type="character" w:customStyle="1" w:styleId="BodyTextChar">
    <w:name w:val="Body Text Char"/>
    <w:aliases w:val="bt Char"/>
    <w:basedOn w:val="DefaultParagraphFont"/>
    <w:link w:val="BodyText"/>
    <w:rsid w:val="008238D9"/>
    <w:rPr>
      <w:rFonts w:eastAsia="Calibri" w:cs="Times New Roman"/>
    </w:rPr>
  </w:style>
  <w:style w:type="paragraph" w:customStyle="1" w:styleId="BodyTextPostHeading">
    <w:name w:val="Body Text Post Heading"/>
    <w:aliases w:val="Body Text Post Head,btp"/>
    <w:basedOn w:val="BodyText"/>
    <w:next w:val="BodyText"/>
    <w:link w:val="BodyTextPostHeadChar"/>
    <w:qFormat/>
    <w:rsid w:val="0021639D"/>
    <w:pPr>
      <w:spacing w:before="60"/>
    </w:pPr>
  </w:style>
  <w:style w:type="character" w:customStyle="1" w:styleId="Heading2Char">
    <w:name w:val="Heading 2 Char"/>
    <w:aliases w:val="WTDOM H2 Char,aHeading 2 Char"/>
    <w:basedOn w:val="DefaultParagraphFont"/>
    <w:link w:val="Heading2"/>
    <w:uiPriority w:val="9"/>
    <w:rsid w:val="0021639D"/>
    <w:rPr>
      <w:rFonts w:asciiTheme="majorHAnsi" w:eastAsiaTheme="majorEastAsia" w:hAnsiTheme="majorHAnsi" w:cstheme="majorBidi"/>
      <w:b/>
      <w:color w:val="00507F" w:themeColor="accent1"/>
      <w:sz w:val="32"/>
      <w:szCs w:val="32"/>
    </w:rPr>
  </w:style>
  <w:style w:type="character" w:customStyle="1" w:styleId="Heading4Char">
    <w:name w:val="Heading 4 Char"/>
    <w:aliases w:val="WTDOM H4 Char,aHeading 4 Char"/>
    <w:basedOn w:val="DefaultParagraphFont"/>
    <w:link w:val="Heading4"/>
    <w:uiPriority w:val="9"/>
    <w:rsid w:val="0021639D"/>
    <w:rPr>
      <w:rFonts w:eastAsia="Times New Roman" w:asciiTheme="majorHAnsi" w:hAnsiTheme="majorHAnsi" w:cs="Times New Roman"/>
      <w:b/>
      <w:i/>
      <w:iCs/>
      <w:color w:val="00507F" w:themeColor="accent1"/>
      <w:sz w:val="26"/>
      <w:szCs w:val="26"/>
    </w:rPr>
  </w:style>
  <w:style w:type="character" w:customStyle="1" w:styleId="Heading5Char">
    <w:name w:val="Heading 5 Char"/>
    <w:aliases w:val="aHeading 5 Char"/>
    <w:basedOn w:val="DefaultParagraphFont"/>
    <w:link w:val="Heading5"/>
    <w:uiPriority w:val="9"/>
    <w:rsid w:val="0021639D"/>
    <w:rPr>
      <w:rFonts w:asciiTheme="majorHAnsi" w:hAnsiTheme="majorHAnsi"/>
      <w:b/>
      <w:bCs/>
    </w:rPr>
  </w:style>
  <w:style w:type="character" w:customStyle="1" w:styleId="Heading6Char">
    <w:name w:val="Heading 6 Char"/>
    <w:basedOn w:val="DefaultParagraphFont"/>
    <w:link w:val="Heading6"/>
    <w:uiPriority w:val="9"/>
    <w:rsid w:val="0021639D"/>
    <w:rPr>
      <w:rFonts w:asciiTheme="majorHAnsi" w:hAnsiTheme="majorHAnsi"/>
      <w:b/>
      <w:bCs/>
      <w:i/>
      <w:iCs/>
    </w:rPr>
  </w:style>
  <w:style w:type="paragraph" w:styleId="BlockText">
    <w:name w:val="Block Text"/>
    <w:basedOn w:val="BodyText"/>
    <w:next w:val="BodyText"/>
    <w:uiPriority w:val="99"/>
    <w:unhideWhenUsed/>
    <w:rsid w:val="0021639D"/>
    <w:pPr>
      <w:ind w:left="720"/>
    </w:pPr>
  </w:style>
  <w:style w:type="numbering" w:customStyle="1" w:styleId="ListBullets-Body">
    <w:name w:val="_List Bullets-Body"/>
    <w:uiPriority w:val="99"/>
    <w:rsid w:val="0021639D"/>
    <w:pPr>
      <w:numPr>
        <w:numId w:val="4"/>
      </w:numPr>
    </w:pPr>
  </w:style>
  <w:style w:type="numbering" w:customStyle="1" w:styleId="ListBullets-Table11">
    <w:name w:val="_List Bullets-Table 11"/>
    <w:uiPriority w:val="99"/>
    <w:rsid w:val="0021639D"/>
    <w:pPr>
      <w:numPr>
        <w:numId w:val="6"/>
      </w:numPr>
    </w:pPr>
  </w:style>
  <w:style w:type="numbering" w:customStyle="1" w:styleId="ListOrdered-Body">
    <w:name w:val="_List Ordered-Body"/>
    <w:uiPriority w:val="99"/>
    <w:rsid w:val="0021639D"/>
    <w:pPr>
      <w:numPr>
        <w:numId w:val="7"/>
      </w:numPr>
    </w:pPr>
  </w:style>
  <w:style w:type="numbering" w:customStyle="1" w:styleId="ListOrdered-Table11">
    <w:name w:val="_List Ordered-Table 11"/>
    <w:uiPriority w:val="99"/>
    <w:rsid w:val="0021639D"/>
    <w:pPr>
      <w:numPr>
        <w:numId w:val="8"/>
      </w:numPr>
    </w:pPr>
  </w:style>
  <w:style w:type="paragraph" w:customStyle="1" w:styleId="Bullet1">
    <w:name w:val="Bullet 1"/>
    <w:basedOn w:val="BodyText"/>
    <w:link w:val="Bullet1Char"/>
    <w:uiPriority w:val="4"/>
    <w:qFormat/>
    <w:rsid w:val="00B84A51"/>
    <w:pPr>
      <w:numPr>
        <w:numId w:val="13"/>
      </w:numPr>
      <w:spacing w:before="120" w:after="0"/>
    </w:pPr>
    <w:rPr>
      <w:rFonts w:eastAsia="Times New Roman"/>
    </w:rPr>
  </w:style>
  <w:style w:type="paragraph" w:customStyle="1" w:styleId="Bullet2">
    <w:name w:val="Bullet 2"/>
    <w:basedOn w:val="BodyText"/>
    <w:uiPriority w:val="4"/>
    <w:qFormat/>
    <w:rsid w:val="00B84A51"/>
    <w:pPr>
      <w:numPr>
        <w:ilvl w:val="1"/>
        <w:numId w:val="13"/>
      </w:numPr>
      <w:spacing w:before="60" w:after="0"/>
    </w:pPr>
    <w:rPr>
      <w:rFonts w:eastAsia="Times New Roman"/>
    </w:rPr>
  </w:style>
  <w:style w:type="paragraph" w:customStyle="1" w:styleId="Bullet3">
    <w:name w:val="Bullet 3"/>
    <w:basedOn w:val="BodyText"/>
    <w:uiPriority w:val="4"/>
    <w:qFormat/>
    <w:rsid w:val="00B84A51"/>
    <w:pPr>
      <w:numPr>
        <w:ilvl w:val="2"/>
        <w:numId w:val="13"/>
      </w:numPr>
      <w:spacing w:before="60" w:after="0"/>
    </w:pPr>
    <w:rPr>
      <w:rFonts w:eastAsiaTheme="minorEastAsia"/>
    </w:rPr>
  </w:style>
  <w:style w:type="paragraph" w:customStyle="1" w:styleId="NumberedList">
    <w:name w:val="Numbered List"/>
    <w:basedOn w:val="BodyText"/>
    <w:qFormat/>
    <w:rsid w:val="0021639D"/>
    <w:pPr>
      <w:numPr>
        <w:numId w:val="18"/>
      </w:numPr>
      <w:spacing w:before="120" w:after="0"/>
    </w:pPr>
    <w:rPr>
      <w:rFonts w:eastAsia="Times New Roman"/>
    </w:rPr>
  </w:style>
  <w:style w:type="paragraph" w:customStyle="1" w:styleId="Table11Bullet1">
    <w:name w:val="Table 11 Bullet 1"/>
    <w:basedOn w:val="Table11Basic"/>
    <w:qFormat/>
    <w:rsid w:val="0021639D"/>
    <w:pPr>
      <w:numPr>
        <w:numId w:val="21"/>
      </w:numPr>
    </w:pPr>
  </w:style>
  <w:style w:type="paragraph" w:customStyle="1" w:styleId="Table11Bullet2">
    <w:name w:val="Table 11 Bullet 2"/>
    <w:basedOn w:val="Table11Basic"/>
    <w:qFormat/>
    <w:rsid w:val="0021639D"/>
    <w:pPr>
      <w:numPr>
        <w:ilvl w:val="1"/>
        <w:numId w:val="21"/>
      </w:numPr>
    </w:pPr>
  </w:style>
  <w:style w:type="paragraph" w:customStyle="1" w:styleId="Table11Bullet3">
    <w:name w:val="Table 11 Bullet 3"/>
    <w:basedOn w:val="Table11Basic"/>
    <w:qFormat/>
    <w:rsid w:val="0021639D"/>
    <w:pPr>
      <w:numPr>
        <w:ilvl w:val="2"/>
        <w:numId w:val="21"/>
      </w:numPr>
    </w:pPr>
    <w:rPr>
      <w:rFonts w:eastAsia="Times New Roman"/>
    </w:rPr>
  </w:style>
  <w:style w:type="paragraph" w:customStyle="1" w:styleId="Table11Numbering">
    <w:name w:val="Table 11 Numbering"/>
    <w:basedOn w:val="Table11Basic"/>
    <w:qFormat/>
    <w:rsid w:val="0021639D"/>
    <w:pPr>
      <w:numPr>
        <w:numId w:val="22"/>
      </w:numPr>
    </w:pPr>
  </w:style>
  <w:style w:type="paragraph" w:customStyle="1" w:styleId="Callout-InlineText">
    <w:name w:val="Callout-Inline Text"/>
    <w:basedOn w:val="BodyText"/>
    <w:rsid w:val="0021639D"/>
    <w:pPr>
      <w:keepLines/>
      <w:pBdr>
        <w:top w:val="single" w:sz="12" w:space="4" w:color="C8D0D4" w:themeColor="accent6" w:themeShade="E6"/>
        <w:bottom w:val="single" w:sz="12" w:space="4" w:color="C8D0D4" w:themeColor="accent6" w:themeShade="E6"/>
      </w:pBdr>
      <w:spacing w:before="120" w:after="240"/>
      <w:ind w:left="360" w:right="360"/>
    </w:pPr>
    <w:rPr>
      <w:rFonts w:ascii="Arial Narrow" w:eastAsia="Times New Roman" w:hAnsi="Arial Narrow" w:cstheme="majorHAnsi"/>
      <w:iCs/>
      <w:color w:val="006E9F" w:themeColor="accent3"/>
    </w:rPr>
  </w:style>
  <w:style w:type="table" w:styleId="TableGrid">
    <w:name w:val="Table Grid"/>
    <w:basedOn w:val="TableNormal"/>
    <w:uiPriority w:val="59"/>
    <w:rsid w:val="0021639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debar">
    <w:name w:val="_Table Style-Sidebar"/>
    <w:basedOn w:val="TableNormal"/>
    <w:uiPriority w:val="99"/>
    <w:rsid w:val="0021639D"/>
    <w:pPr>
      <w:spacing w:before="120" w:after="120"/>
    </w:pPr>
    <w:rPr>
      <w:rFonts w:ascii="Arial Narrow" w:hAnsi="Arial Narrow"/>
    </w:rPr>
    <w:tblPr>
      <w:tblCellMar>
        <w:left w:w="0" w:type="dxa"/>
        <w:right w:w="0" w:type="dxa"/>
      </w:tblCellMar>
    </w:tblPr>
    <w:tcPr>
      <w:shd w:val="clear" w:color="auto" w:fill="D1EEFC" w:themeFill="background2"/>
    </w:tcPr>
  </w:style>
  <w:style w:type="paragraph" w:customStyle="1" w:styleId="SidebarText">
    <w:name w:val="Sidebar Text"/>
    <w:qFormat/>
    <w:rsid w:val="0021639D"/>
    <w:pPr>
      <w:spacing w:before="100" w:after="100" w:line="240" w:lineRule="auto"/>
      <w:ind w:left="187" w:right="72"/>
    </w:pPr>
    <w:rPr>
      <w:rFonts w:ascii="Arial Narrow" w:eastAsia="Calibri" w:hAnsi="Arial Narrow" w:cstheme="majorHAnsi"/>
      <w:sz w:val="20"/>
      <w:szCs w:val="22"/>
    </w:rPr>
  </w:style>
  <w:style w:type="paragraph" w:customStyle="1" w:styleId="Table11Basic">
    <w:name w:val="Table 11 Basic"/>
    <w:basedOn w:val="HeadingFont"/>
    <w:qFormat/>
    <w:rsid w:val="0021639D"/>
    <w:pPr>
      <w:keepNext w:val="0"/>
      <w:spacing w:before="60" w:after="60"/>
    </w:pPr>
    <w:rPr>
      <w:sz w:val="22"/>
      <w:szCs w:val="22"/>
    </w:rPr>
  </w:style>
  <w:style w:type="paragraph" w:customStyle="1" w:styleId="Table11Centered">
    <w:name w:val="Table 11 Centered"/>
    <w:basedOn w:val="Table11Basic"/>
    <w:qFormat/>
    <w:rsid w:val="0021639D"/>
    <w:pPr>
      <w:jc w:val="center"/>
    </w:pPr>
  </w:style>
  <w:style w:type="numbering" w:customStyle="1" w:styleId="ListBullets-Table10">
    <w:name w:val="_List Bullets-Table 10"/>
    <w:uiPriority w:val="99"/>
    <w:rsid w:val="0021639D"/>
    <w:pPr>
      <w:numPr>
        <w:numId w:val="5"/>
      </w:numPr>
    </w:pPr>
  </w:style>
  <w:style w:type="numbering" w:customStyle="1" w:styleId="ListOrdered-Table10">
    <w:name w:val="_List Ordered-Table 10"/>
    <w:uiPriority w:val="99"/>
    <w:rsid w:val="0021639D"/>
    <w:pPr>
      <w:numPr>
        <w:numId w:val="47"/>
      </w:numPr>
    </w:pPr>
  </w:style>
  <w:style w:type="paragraph" w:customStyle="1" w:styleId="ExhibitNote">
    <w:name w:val="Exhibit Note"/>
    <w:aliases w:val="FN,Figure Note,TN,Table Note"/>
    <w:basedOn w:val="HeadingFont"/>
    <w:qFormat/>
    <w:rsid w:val="0021639D"/>
    <w:pPr>
      <w:keepNext w:val="0"/>
      <w:spacing w:before="120" w:after="360"/>
      <w:contextualSpacing/>
    </w:pPr>
    <w:rPr>
      <w:rFonts w:eastAsia="Times New Roman" w:cs="Times New Roman"/>
      <w:sz w:val="20"/>
    </w:rPr>
  </w:style>
  <w:style w:type="paragraph" w:customStyle="1" w:styleId="FigurePlacement">
    <w:name w:val="Figure Placement"/>
    <w:basedOn w:val="HeadingFont"/>
    <w:qFormat/>
    <w:rsid w:val="0021639D"/>
    <w:pPr>
      <w:keepNext w:val="0"/>
      <w:spacing w:before="120" w:after="120"/>
      <w:jc w:val="center"/>
    </w:pPr>
    <w:rPr>
      <w:rFonts w:eastAsia="Times New Roman"/>
    </w:rPr>
  </w:style>
  <w:style w:type="paragraph" w:styleId="Caption">
    <w:name w:val="caption"/>
    <w:basedOn w:val="HeadingFont"/>
    <w:next w:val="BodyText"/>
    <w:link w:val="CaptionChar"/>
    <w:uiPriority w:val="35"/>
    <w:unhideWhenUsed/>
    <w:qFormat/>
    <w:rsid w:val="0021639D"/>
    <w:pPr>
      <w:keepLines/>
      <w:spacing w:before="240" w:after="120"/>
    </w:pPr>
    <w:rPr>
      <w:rFonts w:eastAsia="Calibri" w:cs="Times New Roman"/>
      <w:b/>
      <w:iCs/>
      <w:color w:val="00507F" w:themeColor="accent1"/>
      <w:szCs w:val="18"/>
    </w:rPr>
  </w:style>
  <w:style w:type="paragraph" w:customStyle="1" w:styleId="HeadingFont">
    <w:name w:val="Heading Font"/>
    <w:qFormat/>
    <w:rsid w:val="0021639D"/>
    <w:pPr>
      <w:keepNext/>
      <w:suppressAutoHyphens/>
    </w:pPr>
    <w:rPr>
      <w:rFonts w:asciiTheme="majorHAnsi" w:hAnsiTheme="majorHAnsi"/>
    </w:rPr>
  </w:style>
  <w:style w:type="character" w:customStyle="1" w:styleId="Heading1Char">
    <w:name w:val="Heading 1 Char"/>
    <w:basedOn w:val="DefaultParagraphFont"/>
    <w:link w:val="Heading1"/>
    <w:uiPriority w:val="1"/>
    <w:rsid w:val="00DB4848"/>
    <w:rPr>
      <w:rFonts w:eastAsia="Perpetua" w:asciiTheme="majorHAnsi" w:hAnsiTheme="majorHAnsi" w:cs="Arial"/>
      <w:b/>
      <w:noProof/>
      <w:color w:val="00507F" w:themeColor="accent1"/>
      <w:sz w:val="56"/>
      <w:szCs w:val="56"/>
    </w:rPr>
  </w:style>
  <w:style w:type="paragraph" w:styleId="NoSpacing">
    <w:name w:val="No Spacing"/>
    <w:basedOn w:val="BodyText"/>
    <w:qFormat/>
    <w:rsid w:val="0021639D"/>
    <w:pPr>
      <w:spacing w:before="0" w:after="0"/>
    </w:pPr>
  </w:style>
  <w:style w:type="paragraph" w:styleId="EndnoteText">
    <w:name w:val="endnote text"/>
    <w:basedOn w:val="BodyText"/>
    <w:link w:val="EndnoteTextChar"/>
    <w:uiPriority w:val="99"/>
    <w:unhideWhenUsed/>
    <w:rsid w:val="0021639D"/>
    <w:pPr>
      <w:spacing w:after="0" w:line="240" w:lineRule="auto"/>
    </w:pPr>
  </w:style>
  <w:style w:type="character" w:customStyle="1" w:styleId="EndnoteTextChar">
    <w:name w:val="Endnote Text Char"/>
    <w:basedOn w:val="DefaultParagraphFont"/>
    <w:link w:val="EndnoteText"/>
    <w:uiPriority w:val="99"/>
    <w:rsid w:val="0021639D"/>
    <w:rPr>
      <w:rFonts w:eastAsia="Calibri" w:cs="Times New Roman"/>
    </w:rPr>
  </w:style>
  <w:style w:type="paragraph" w:customStyle="1" w:styleId="ShapeText">
    <w:name w:val="Shape Text"/>
    <w:basedOn w:val="BodyText"/>
    <w:qFormat/>
    <w:rsid w:val="0021639D"/>
    <w:pPr>
      <w:spacing w:before="120"/>
      <w:jc w:val="center"/>
    </w:pPr>
  </w:style>
  <w:style w:type="paragraph" w:customStyle="1" w:styleId="Spacer-HeaderFooter">
    <w:name w:val="Spacer-HeaderFooter"/>
    <w:link w:val="Spacer-HeaderFooterChar"/>
    <w:rsid w:val="0021639D"/>
    <w:pPr>
      <w:spacing w:line="20" w:lineRule="exact"/>
    </w:pPr>
    <w:rPr>
      <w:sz w:val="2"/>
      <w:szCs w:val="2"/>
    </w:rPr>
  </w:style>
  <w:style w:type="paragraph" w:customStyle="1" w:styleId="ExhibitTitle">
    <w:name w:val="Exhibit Title"/>
    <w:basedOn w:val="HeadingFont"/>
    <w:next w:val="Normal"/>
    <w:uiPriority w:val="12"/>
    <w:qFormat/>
    <w:rsid w:val="0021639D"/>
    <w:pPr>
      <w:keepLines/>
      <w:spacing w:before="240" w:after="120"/>
    </w:pPr>
    <w:rPr>
      <w:rFonts w:eastAsia="Times New Roman" w:cs="Times"/>
      <w:b/>
      <w:iCs/>
      <w:color w:val="00507F" w:themeColor="accent1"/>
    </w:rPr>
  </w:style>
  <w:style w:type="table" w:customStyle="1" w:styleId="TableStyle-Handout">
    <w:name w:val="_Table Style-Handout"/>
    <w:basedOn w:val="TableNormal"/>
    <w:uiPriority w:val="99"/>
    <w:rsid w:val="0021639D"/>
    <w:pPr>
      <w:spacing w:before="120" w:after="120"/>
    </w:pPr>
    <w:tblPr>
      <w:tblBorders>
        <w:bottom w:val="single" w:sz="6" w:space="0" w:color="A6A6A6" w:themeColor="background1" w:themeShade="A6"/>
        <w:insideH w:val="single" w:sz="6" w:space="0" w:color="A6A6A6" w:themeColor="background1" w:themeShade="A6"/>
      </w:tblBorders>
    </w:tblPr>
    <w:trPr>
      <w:cantSplit/>
    </w:trPr>
    <w:tblStylePr w:type="firstRow">
      <w:pPr>
        <w:jc w:val="center"/>
      </w:pPr>
      <w:rPr>
        <w:b w:val="0"/>
        <w:color w:val="auto"/>
      </w:rPr>
      <w:tblPr/>
      <w:trPr>
        <w:cantSplit w:val="0"/>
      </w:trPr>
      <w:tcPr>
        <w:vAlign w:val="bottom"/>
      </w:tcPr>
    </w:tblStylePr>
    <w:tblStylePr w:type="firstCol">
      <w:rPr>
        <w:b w:val="0"/>
        <w:color w:val="auto"/>
      </w:rPr>
    </w:tblStyle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21639D"/>
    <w:pPr>
      <w:keepLines/>
      <w:ind w:left="720" w:hanging="720"/>
    </w:pPr>
    <w:rPr>
      <w:rFonts w:eastAsiaTheme="minorHAnsi" w:cstheme="minorBidi"/>
    </w:rPr>
  </w:style>
  <w:style w:type="character" w:customStyle="1" w:styleId="ReferenceChar">
    <w:name w:val="Reference Char"/>
    <w:basedOn w:val="DefaultParagraphFont"/>
    <w:link w:val="Reference"/>
    <w:rsid w:val="0021639D"/>
  </w:style>
  <w:style w:type="paragraph" w:customStyle="1" w:styleId="Heading3NoTOC">
    <w:name w:val="Heading 3 No TOC"/>
    <w:basedOn w:val="Heading3"/>
    <w:next w:val="BodyTextPostHeading"/>
    <w:link w:val="Heading3NoTOCChar"/>
    <w:qFormat/>
    <w:rsid w:val="0021639D"/>
    <w:pPr>
      <w:spacing w:after="0"/>
      <w:outlineLvl w:val="9"/>
    </w:pPr>
  </w:style>
  <w:style w:type="paragraph" w:customStyle="1" w:styleId="Heading4NoTOC">
    <w:name w:val="Heading 4 No TOC"/>
    <w:basedOn w:val="Heading4"/>
    <w:next w:val="BodyTextPostHeading"/>
    <w:link w:val="Heading4NoTOCChar"/>
    <w:qFormat/>
    <w:rsid w:val="0021639D"/>
    <w:pPr>
      <w:outlineLvl w:val="9"/>
    </w:pPr>
  </w:style>
  <w:style w:type="paragraph" w:customStyle="1" w:styleId="Heading5NoTOC">
    <w:name w:val="Heading 5 No TOC"/>
    <w:basedOn w:val="Heading5"/>
    <w:link w:val="Heading5NoTOCChar"/>
    <w:qFormat/>
    <w:rsid w:val="0021639D"/>
    <w:pPr>
      <w:outlineLvl w:val="9"/>
    </w:pPr>
  </w:style>
  <w:style w:type="paragraph" w:customStyle="1" w:styleId="Heading6NoTOC">
    <w:name w:val="Heading 6 No TOC"/>
    <w:basedOn w:val="Heading6"/>
    <w:link w:val="Heading6NoTOCChar"/>
    <w:qFormat/>
    <w:rsid w:val="0021639D"/>
    <w:pPr>
      <w:outlineLvl w:val="9"/>
    </w:pPr>
  </w:style>
  <w:style w:type="character" w:customStyle="1" w:styleId="Heading5NoTOCChar">
    <w:name w:val="Heading 5 No TOC Char"/>
    <w:basedOn w:val="Heading5Char"/>
    <w:link w:val="Heading5NoTOC"/>
    <w:rsid w:val="0021639D"/>
    <w:rPr>
      <w:rFonts w:asciiTheme="majorHAnsi" w:hAnsiTheme="majorHAnsi"/>
      <w:b/>
      <w:bCs/>
    </w:rPr>
  </w:style>
  <w:style w:type="character" w:customStyle="1" w:styleId="Heading4NoTOCChar">
    <w:name w:val="Heading 4 No TOC Char"/>
    <w:basedOn w:val="DefaultParagraphFont"/>
    <w:link w:val="Heading4NoTOC"/>
    <w:rsid w:val="0021639D"/>
    <w:rPr>
      <w:rFonts w:eastAsia="Times New Roman" w:asciiTheme="majorHAnsi" w:hAnsiTheme="majorHAnsi" w:cs="Times New Roman"/>
      <w:b/>
      <w:i/>
      <w:iCs/>
      <w:color w:val="00507F" w:themeColor="accent1"/>
      <w:sz w:val="26"/>
      <w:szCs w:val="26"/>
    </w:rPr>
  </w:style>
  <w:style w:type="character" w:customStyle="1" w:styleId="Heading3NoTOCChar">
    <w:name w:val="Heading 3 No TOC Char"/>
    <w:basedOn w:val="Heading3Char"/>
    <w:link w:val="Heading3NoTOC"/>
    <w:rsid w:val="0021639D"/>
    <w:rPr>
      <w:rFonts w:eastAsia="Times New Roman" w:asciiTheme="majorHAnsi" w:hAnsiTheme="majorHAnsi" w:cs="Times New Roman"/>
      <w:b/>
      <w:color w:val="00507F" w:themeColor="accent1"/>
      <w:sz w:val="28"/>
      <w:szCs w:val="26"/>
    </w:rPr>
  </w:style>
  <w:style w:type="paragraph" w:customStyle="1" w:styleId="AgendaTime">
    <w:name w:val="Agenda Time"/>
    <w:basedOn w:val="AgendaDescription"/>
    <w:uiPriority w:val="28"/>
    <w:qFormat/>
    <w:rsid w:val="0021639D"/>
    <w:pPr>
      <w:spacing w:before="240"/>
    </w:pPr>
    <w:rPr>
      <w:rFonts w:eastAsia="Calibri"/>
      <w:b/>
    </w:rPr>
  </w:style>
  <w:style w:type="paragraph" w:customStyle="1" w:styleId="AgendaItem">
    <w:name w:val="Agenda Item"/>
    <w:basedOn w:val="AgendaDescription"/>
    <w:next w:val="AgendaDescription"/>
    <w:uiPriority w:val="28"/>
    <w:qFormat/>
    <w:rsid w:val="0021639D"/>
    <w:pPr>
      <w:spacing w:before="240"/>
    </w:pPr>
    <w:rPr>
      <w:rFonts w:eastAsia="Calibri"/>
      <w:b/>
    </w:rPr>
  </w:style>
  <w:style w:type="paragraph" w:customStyle="1" w:styleId="AgendaDescription">
    <w:name w:val="Agenda Description"/>
    <w:basedOn w:val="BodyText"/>
    <w:uiPriority w:val="28"/>
    <w:qFormat/>
    <w:rsid w:val="0021639D"/>
    <w:pPr>
      <w:spacing w:before="120"/>
    </w:pPr>
    <w:rPr>
      <w:rFonts w:eastAsia="Times New Roman"/>
    </w:rPr>
  </w:style>
  <w:style w:type="paragraph" w:customStyle="1" w:styleId="AgendaLocation">
    <w:name w:val="Agenda Location"/>
    <w:basedOn w:val="AgendaDescription"/>
    <w:uiPriority w:val="28"/>
    <w:qFormat/>
    <w:rsid w:val="0021639D"/>
    <w:pPr>
      <w:spacing w:before="240"/>
    </w:pPr>
    <w:rPr>
      <w:rFonts w:eastAsia="Calibri"/>
      <w:b/>
      <w:i/>
    </w:rPr>
  </w:style>
  <w:style w:type="paragraph" w:customStyle="1" w:styleId="DocumentAuthor">
    <w:name w:val="Document Author"/>
    <w:basedOn w:val="BodyText"/>
    <w:next w:val="Normal"/>
    <w:qFormat/>
    <w:rsid w:val="0021639D"/>
    <w:pPr>
      <w:spacing w:before="0" w:after="60"/>
    </w:pPr>
    <w:rPr>
      <w:rFonts w:asciiTheme="majorHAnsi" w:hAnsiTheme="majorHAnsi" w:cs="Arial"/>
      <w:sz w:val="28"/>
      <w:szCs w:val="28"/>
    </w:rPr>
  </w:style>
  <w:style w:type="paragraph" w:customStyle="1" w:styleId="AgendaColumnHeading">
    <w:name w:val="Agenda Column Heading"/>
    <w:basedOn w:val="AgendaDescription"/>
    <w:uiPriority w:val="28"/>
    <w:rsid w:val="0021639D"/>
    <w:pPr>
      <w:spacing w:before="60" w:after="60"/>
    </w:pPr>
    <w:rPr>
      <w:b/>
    </w:rPr>
  </w:style>
  <w:style w:type="character" w:customStyle="1" w:styleId="Heading6NoTOCChar">
    <w:name w:val="Heading 6 No TOC Char"/>
    <w:basedOn w:val="Heading6Char"/>
    <w:link w:val="Heading6NoTOC"/>
    <w:rsid w:val="0021639D"/>
    <w:rPr>
      <w:rFonts w:asciiTheme="majorHAnsi" w:hAnsiTheme="majorHAnsi"/>
      <w:b/>
      <w:bCs/>
      <w:i/>
      <w:iCs/>
    </w:rPr>
  </w:style>
  <w:style w:type="character" w:styleId="FollowedHyperlink">
    <w:name w:val="FollowedHyperlink"/>
    <w:basedOn w:val="DefaultParagraphFont"/>
    <w:uiPriority w:val="99"/>
    <w:unhideWhenUsed/>
    <w:rsid w:val="0021639D"/>
    <w:rPr>
      <w:color w:val="49134C" w:themeColor="followedHyperlink"/>
      <w:u w:val="single"/>
    </w:rPr>
  </w:style>
  <w:style w:type="character" w:styleId="Emphasis">
    <w:name w:val="Emphasis"/>
    <w:uiPriority w:val="20"/>
    <w:qFormat/>
    <w:rsid w:val="0021639D"/>
    <w:rPr>
      <w:i/>
      <w:iCs/>
    </w:rPr>
  </w:style>
  <w:style w:type="character" w:customStyle="1" w:styleId="CaptionChar">
    <w:name w:val="Caption Char"/>
    <w:basedOn w:val="BodyTextChar"/>
    <w:link w:val="Caption"/>
    <w:uiPriority w:val="35"/>
    <w:rsid w:val="0021639D"/>
    <w:rPr>
      <w:rFonts w:eastAsia="Calibri" w:asciiTheme="majorHAnsi" w:hAnsiTheme="majorHAnsi" w:cs="Times New Roman"/>
      <w:b/>
      <w:iCs/>
      <w:color w:val="00507F" w:themeColor="accent1"/>
      <w:szCs w:val="18"/>
    </w:rPr>
  </w:style>
  <w:style w:type="paragraph" w:customStyle="1" w:styleId="Heading2NoTOC">
    <w:name w:val="Heading 2 No TOC"/>
    <w:basedOn w:val="Heading2"/>
    <w:next w:val="H2Line075-12-6"/>
    <w:link w:val="Heading2NoTOCChar"/>
    <w:qFormat/>
    <w:rsid w:val="0021639D"/>
  </w:style>
  <w:style w:type="paragraph" w:customStyle="1" w:styleId="Table11ColumnHeading">
    <w:name w:val="Table 11 Column Heading"/>
    <w:basedOn w:val="Table11Basic"/>
    <w:qFormat/>
    <w:rsid w:val="0021639D"/>
    <w:pPr>
      <w:jc w:val="center"/>
    </w:pPr>
    <w:rPr>
      <w:b/>
      <w:color w:val="FFFFFF" w:themeColor="background1"/>
    </w:rPr>
  </w:style>
  <w:style w:type="paragraph" w:customStyle="1" w:styleId="Table11RowHeading">
    <w:name w:val="Table 11 Row Heading"/>
    <w:basedOn w:val="Table11Basic"/>
    <w:qFormat/>
    <w:rsid w:val="0021639D"/>
    <w:rPr>
      <w:b/>
    </w:rPr>
  </w:style>
  <w:style w:type="character" w:styleId="EndnoteReference">
    <w:name w:val="endnote reference"/>
    <w:basedOn w:val="DefaultParagraphFont"/>
    <w:uiPriority w:val="99"/>
    <w:unhideWhenUsed/>
    <w:rsid w:val="0021639D"/>
    <w:rPr>
      <w:vertAlign w:val="superscript"/>
    </w:rPr>
  </w:style>
  <w:style w:type="character" w:styleId="Strong">
    <w:name w:val="Strong"/>
    <w:basedOn w:val="DefaultParagraphFont"/>
    <w:uiPriority w:val="22"/>
    <w:qFormat/>
    <w:rsid w:val="0021639D"/>
    <w:rPr>
      <w:b/>
      <w:bCs/>
    </w:rPr>
  </w:style>
  <w:style w:type="character" w:customStyle="1" w:styleId="CtrlPlusspacecharacter">
    <w:name w:val="Ctrl Plus space character"/>
    <w:basedOn w:val="DefaultParagraphFont"/>
    <w:uiPriority w:val="1"/>
    <w:qFormat/>
    <w:rsid w:val="0021639D"/>
    <w:rPr>
      <w:sz w:val="4"/>
    </w:rPr>
  </w:style>
  <w:style w:type="table" w:customStyle="1" w:styleId="TableStyle-DocumentLayout">
    <w:name w:val="_Table Style-Document Layout"/>
    <w:basedOn w:val="TableNormal"/>
    <w:uiPriority w:val="99"/>
    <w:rsid w:val="0021639D"/>
    <w:pPr>
      <w:spacing w:line="240" w:lineRule="auto"/>
    </w:pPr>
    <w:tblPr>
      <w:tblCellMar>
        <w:left w:w="0" w:type="dxa"/>
      </w:tblCellMar>
    </w:tblPr>
  </w:style>
  <w:style w:type="character" w:customStyle="1" w:styleId="Heading7Char">
    <w:name w:val="Heading 7 Char"/>
    <w:basedOn w:val="DefaultParagraphFont"/>
    <w:link w:val="Heading7"/>
    <w:uiPriority w:val="9"/>
    <w:rsid w:val="0021639D"/>
    <w:rPr>
      <w:rFonts w:asciiTheme="majorHAnsi" w:eastAsiaTheme="majorEastAsia" w:hAnsiTheme="majorHAnsi" w:cstheme="majorBidi"/>
      <w:i/>
      <w:iCs/>
      <w:color w:val="00273F" w:themeColor="accent1" w:themeShade="7F"/>
    </w:rPr>
  </w:style>
  <w:style w:type="character" w:customStyle="1" w:styleId="Heading8Char">
    <w:name w:val="Heading 8 Char"/>
    <w:basedOn w:val="DefaultParagraphFont"/>
    <w:link w:val="Heading8"/>
    <w:uiPriority w:val="9"/>
    <w:rsid w:val="0021639D"/>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rsid w:val="0021639D"/>
    <w:rPr>
      <w:rFonts w:asciiTheme="majorHAnsi" w:eastAsiaTheme="majorEastAsia" w:hAnsiTheme="majorHAnsi" w:cstheme="majorBidi"/>
      <w:i/>
      <w:iCs/>
      <w:sz w:val="21"/>
      <w:szCs w:val="21"/>
    </w:rPr>
  </w:style>
  <w:style w:type="paragraph" w:customStyle="1" w:styleId="DocumentOrganization">
    <w:name w:val="Document Organization"/>
    <w:basedOn w:val="BodyText"/>
    <w:next w:val="DocumentAuthor"/>
    <w:qFormat/>
    <w:rsid w:val="0021639D"/>
    <w:pPr>
      <w:spacing w:before="0"/>
    </w:pPr>
    <w:rPr>
      <w:rFonts w:asciiTheme="majorHAnsi" w:hAnsiTheme="majorHAnsi"/>
      <w:i/>
      <w:sz w:val="28"/>
      <w:szCs w:val="28"/>
    </w:rPr>
  </w:style>
  <w:style w:type="paragraph" w:customStyle="1" w:styleId="SidebarHeading">
    <w:name w:val="Sidebar Heading"/>
    <w:basedOn w:val="SidebarText"/>
    <w:next w:val="SidebarText"/>
    <w:qFormat/>
    <w:rsid w:val="0021639D"/>
    <w:rPr>
      <w:b/>
      <w:bCs/>
      <w:color w:val="00507F" w:themeColor="accent1"/>
      <w:sz w:val="24"/>
      <w:szCs w:val="28"/>
    </w:rPr>
  </w:style>
  <w:style w:type="paragraph" w:styleId="TOC1">
    <w:name w:val="toc 1"/>
    <w:basedOn w:val="BodyText"/>
    <w:autoRedefine/>
    <w:uiPriority w:val="39"/>
    <w:unhideWhenUsed/>
    <w:rsid w:val="003322E9"/>
    <w:pPr>
      <w:tabs>
        <w:tab w:val="right" w:leader="dot" w:pos="9360"/>
      </w:tabs>
      <w:spacing w:after="0" w:line="216" w:lineRule="auto"/>
      <w:ind w:right="630"/>
    </w:pPr>
    <w:rPr>
      <w:rFonts w:eastAsia="Times New Roman"/>
      <w:noProof/>
    </w:rPr>
  </w:style>
  <w:style w:type="paragraph" w:styleId="TOC2">
    <w:name w:val="toc 2"/>
    <w:basedOn w:val="TOC1"/>
    <w:autoRedefine/>
    <w:uiPriority w:val="39"/>
    <w:unhideWhenUsed/>
    <w:rsid w:val="0021639D"/>
    <w:pPr>
      <w:spacing w:before="80"/>
      <w:ind w:left="245"/>
    </w:pPr>
  </w:style>
  <w:style w:type="paragraph" w:styleId="TableofFigures">
    <w:name w:val="table of figures"/>
    <w:basedOn w:val="TOC1"/>
    <w:uiPriority w:val="99"/>
    <w:unhideWhenUsed/>
    <w:rsid w:val="0021639D"/>
    <w:rPr>
      <w:rFonts w:eastAsiaTheme="majorEastAsia"/>
    </w:rPr>
  </w:style>
  <w:style w:type="paragraph" w:styleId="TOCHeading">
    <w:name w:val="TOC Heading"/>
    <w:basedOn w:val="Heading2"/>
    <w:next w:val="H2TOCLine1-12-6"/>
    <w:uiPriority w:val="39"/>
    <w:unhideWhenUsed/>
    <w:qFormat/>
    <w:rsid w:val="0021639D"/>
    <w:pPr>
      <w:tabs>
        <w:tab w:val="right" w:pos="10080"/>
      </w:tabs>
      <w:spacing w:before="0"/>
      <w:outlineLvl w:val="9"/>
    </w:pPr>
    <w:rPr>
      <w:rFonts w:eastAsia="Times New Roman"/>
    </w:rPr>
  </w:style>
  <w:style w:type="paragraph" w:customStyle="1" w:styleId="DocumentSubtitle">
    <w:name w:val="Document Subtitle"/>
    <w:next w:val="H1ReportLine1-18-18"/>
    <w:qFormat/>
    <w:rsid w:val="0021639D"/>
    <w:pPr>
      <w:outlineLvl w:val="0"/>
    </w:pPr>
    <w:rPr>
      <w:rFonts w:eastAsia="Perpetua" w:cs="Arial"/>
      <w:noProof/>
      <w:sz w:val="48"/>
      <w:szCs w:val="48"/>
    </w:rPr>
  </w:style>
  <w:style w:type="paragraph" w:customStyle="1" w:styleId="DocumentDate">
    <w:name w:val="Document Date"/>
    <w:basedOn w:val="HeadingFont"/>
    <w:qFormat/>
    <w:rsid w:val="0021639D"/>
    <w:pPr>
      <w:spacing w:before="360" w:after="480"/>
    </w:pPr>
    <w:rPr>
      <w:b/>
      <w:bCs/>
      <w:sz w:val="20"/>
      <w:szCs w:val="20"/>
    </w:rPr>
  </w:style>
  <w:style w:type="table" w:customStyle="1" w:styleId="TableStyle-InformationBox">
    <w:name w:val="_Table Style-Information Box"/>
    <w:basedOn w:val="TableNormal"/>
    <w:uiPriority w:val="99"/>
    <w:rsid w:val="0021639D"/>
    <w:pPr>
      <w:spacing w:line="240" w:lineRule="auto"/>
    </w:p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character" w:styleId="CommentReference">
    <w:name w:val="annotation reference"/>
    <w:basedOn w:val="DefaultParagraphFont"/>
    <w:uiPriority w:val="99"/>
    <w:unhideWhenUsed/>
    <w:rsid w:val="0021639D"/>
    <w:rPr>
      <w:sz w:val="16"/>
      <w:szCs w:val="16"/>
    </w:rPr>
  </w:style>
  <w:style w:type="paragraph" w:styleId="CommentText">
    <w:name w:val="annotation text"/>
    <w:link w:val="CommentTextChar"/>
    <w:uiPriority w:val="99"/>
    <w:unhideWhenUsed/>
    <w:qFormat/>
    <w:rsid w:val="0021639D"/>
    <w:pPr>
      <w:spacing w:line="240" w:lineRule="auto"/>
    </w:pPr>
  </w:style>
  <w:style w:type="character" w:customStyle="1" w:styleId="CommentTextChar">
    <w:name w:val="Comment Text Char"/>
    <w:basedOn w:val="DefaultParagraphFont"/>
    <w:link w:val="CommentText"/>
    <w:uiPriority w:val="99"/>
    <w:qFormat/>
    <w:rsid w:val="0021639D"/>
  </w:style>
  <w:style w:type="paragraph" w:styleId="CommentSubject">
    <w:name w:val="annotation subject"/>
    <w:basedOn w:val="CommentText"/>
    <w:next w:val="CommentText"/>
    <w:link w:val="CommentSubjectChar"/>
    <w:uiPriority w:val="99"/>
    <w:unhideWhenUsed/>
    <w:rsid w:val="0021639D"/>
    <w:rPr>
      <w:b/>
      <w:bCs/>
    </w:rPr>
  </w:style>
  <w:style w:type="character" w:customStyle="1" w:styleId="CommentSubjectChar">
    <w:name w:val="Comment Subject Char"/>
    <w:basedOn w:val="CommentTextChar"/>
    <w:link w:val="CommentSubject"/>
    <w:uiPriority w:val="99"/>
    <w:rsid w:val="0021639D"/>
    <w:rPr>
      <w:b/>
      <w:bCs/>
    </w:rPr>
  </w:style>
  <w:style w:type="table" w:customStyle="1" w:styleId="TableStyle-AIR2021">
    <w:name w:val="__Table Style-AIR 2021"/>
    <w:basedOn w:val="TableNormal"/>
    <w:uiPriority w:val="99"/>
    <w:rsid w:val="0021639D"/>
    <w:pPr>
      <w:spacing w:line="240" w:lineRule="auto"/>
    </w:pPr>
    <w:tblPr>
      <w:tblStyleRowBandSize w:val="1"/>
      <w:tblBorders>
        <w:bottom w:val="single" w:sz="6" w:space="0" w:color="00507F"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009DD7" w:themeColor="accent2"/>
          <w:right w:val="nil"/>
          <w:insideH w:val="single" w:sz="6" w:space="0" w:color="FFFFFF" w:themeColor="background1"/>
          <w:insideV w:val="single" w:sz="6" w:space="0" w:color="FFFFFF" w:themeColor="background1"/>
          <w:tl2br w:val="nil"/>
          <w:tr2bl w:val="nil"/>
        </w:tcBorders>
        <w:shd w:val="clear" w:color="auto" w:fill="00507F" w:themeFill="accent1"/>
      </w:tcPr>
    </w:tblStylePr>
    <w:tblStylePr w:type="band2Horz">
      <w:tblPr/>
      <w:tcPr>
        <w:shd w:val="clear" w:color="auto" w:fill="F3FBFF"/>
      </w:tcPr>
    </w:tblStylePr>
  </w:style>
  <w:style w:type="paragraph" w:customStyle="1" w:styleId="LastPageHOCopyright">
    <w:name w:val="Last Page HO Copyright"/>
    <w:basedOn w:val="BodyText"/>
    <w:qFormat/>
    <w:rsid w:val="0021639D"/>
    <w:pPr>
      <w:shd w:val="clear" w:color="auto" w:fill="00507F" w:themeFill="accent1"/>
      <w:tabs>
        <w:tab w:val="right" w:pos="10080"/>
      </w:tabs>
      <w:spacing w:before="200" w:after="80" w:line="240" w:lineRule="auto"/>
    </w:pPr>
    <w:rPr>
      <w:rFonts w:asciiTheme="majorHAnsi" w:hAnsiTheme="majorHAnsi"/>
      <w:color w:val="D1EEFC" w:themeColor="background2"/>
      <w:kern w:val="24"/>
      <w:sz w:val="13"/>
      <w:szCs w:val="14"/>
    </w:rPr>
  </w:style>
  <w:style w:type="paragraph" w:customStyle="1" w:styleId="RptBackCopyright">
    <w:name w:val="Rpt Back Copyright"/>
    <w:qFormat/>
    <w:rsid w:val="0021639D"/>
    <w:pPr>
      <w:suppressAutoHyphens/>
      <w:spacing w:before="80" w:line="240" w:lineRule="auto"/>
    </w:pPr>
    <w:rPr>
      <w:rFonts w:eastAsia="Calibri" w:asciiTheme="majorHAnsi" w:hAnsiTheme="majorHAnsi" w:cs="Times New Roman"/>
      <w:sz w:val="13"/>
      <w:szCs w:val="13"/>
    </w:rPr>
  </w:style>
  <w:style w:type="paragraph" w:customStyle="1" w:styleId="LastPageHOTrademark">
    <w:name w:val="Last Page HO Trademark"/>
    <w:basedOn w:val="LastPageHOCopyright"/>
    <w:link w:val="LastPageHOTrademarkChar"/>
    <w:qFormat/>
    <w:rsid w:val="0021639D"/>
    <w:pPr>
      <w:suppressAutoHyphens w:val="0"/>
      <w:spacing w:before="0"/>
    </w:pPr>
    <w:rPr>
      <w:rFonts w:cstheme="minorBidi"/>
    </w:rPr>
  </w:style>
  <w:style w:type="paragraph" w:customStyle="1" w:styleId="RptBackTrademark">
    <w:name w:val="Rpt Back Trademark"/>
    <w:qFormat/>
    <w:rsid w:val="0021639D"/>
    <w:pPr>
      <w:suppressAutoHyphens/>
      <w:spacing w:before="80" w:line="240" w:lineRule="auto"/>
    </w:pPr>
    <w:rPr>
      <w:rFonts w:eastAsia="Calibri" w:asciiTheme="majorHAnsi" w:hAnsiTheme="majorHAnsi" w:cs="Times New Roman"/>
      <w:sz w:val="13"/>
      <w:szCs w:val="13"/>
    </w:rPr>
  </w:style>
  <w:style w:type="paragraph" w:customStyle="1" w:styleId="RptBackFileID">
    <w:name w:val="Rpt Back FileID"/>
    <w:qFormat/>
    <w:rsid w:val="0021639D"/>
    <w:pPr>
      <w:suppressAutoHyphens/>
      <w:spacing w:before="120" w:line="240" w:lineRule="auto"/>
      <w:jc w:val="right"/>
    </w:pPr>
    <w:rPr>
      <w:rFonts w:eastAsia="Calibri" w:asciiTheme="majorHAnsi" w:hAnsiTheme="majorHAnsi" w:cs="Times New Roman"/>
      <w:color w:val="000000" w:themeColor="text1"/>
      <w:spacing w:val="-4"/>
      <w:sz w:val="13"/>
      <w:szCs w:val="15"/>
    </w:rPr>
  </w:style>
  <w:style w:type="character" w:styleId="UnresolvedMention">
    <w:name w:val="Unresolved Mention"/>
    <w:basedOn w:val="DefaultParagraphFont"/>
    <w:uiPriority w:val="99"/>
    <w:unhideWhenUsed/>
    <w:rsid w:val="0021639D"/>
    <w:rPr>
      <w:color w:val="605E5C"/>
      <w:shd w:val="clear" w:color="auto" w:fill="E1DFDD"/>
    </w:rPr>
  </w:style>
  <w:style w:type="paragraph" w:customStyle="1" w:styleId="Heading1-SpaceAfterH1Table">
    <w:name w:val="Heading 1-Space After H1 Table"/>
    <w:basedOn w:val="Spacer-HeaderFooter"/>
    <w:next w:val="BodyTextPostHeading"/>
    <w:qFormat/>
    <w:rsid w:val="0021639D"/>
  </w:style>
  <w:style w:type="paragraph" w:customStyle="1" w:styleId="Heading1-ReportCover">
    <w:name w:val="Heading 1-Report Cover"/>
    <w:next w:val="DocumentSubtitle"/>
    <w:qFormat/>
    <w:rsid w:val="0021639D"/>
    <w:pPr>
      <w:spacing w:before="360" w:after="120"/>
      <w:outlineLvl w:val="0"/>
    </w:pPr>
    <w:rPr>
      <w:rFonts w:eastAsia="Perpetua" w:asciiTheme="majorHAnsi" w:hAnsiTheme="majorHAnsi" w:cstheme="majorHAnsi"/>
      <w:b/>
      <w:bCs/>
      <w:noProof/>
      <w:sz w:val="56"/>
      <w:szCs w:val="56"/>
    </w:rPr>
  </w:style>
  <w:style w:type="paragraph" w:customStyle="1" w:styleId="Heading1-NarrowHandout">
    <w:name w:val="Heading 1-NarrowHandout"/>
    <w:basedOn w:val="Heading1"/>
    <w:qFormat/>
    <w:rsid w:val="0021639D"/>
    <w:pPr>
      <w:outlineLvl w:val="9"/>
    </w:pPr>
  </w:style>
  <w:style w:type="paragraph" w:customStyle="1" w:styleId="Table10Basic">
    <w:name w:val="Table 10 Basic"/>
    <w:basedOn w:val="Table11Basic"/>
    <w:qFormat/>
    <w:rsid w:val="0021639D"/>
    <w:rPr>
      <w:sz w:val="20"/>
    </w:rPr>
  </w:style>
  <w:style w:type="paragraph" w:customStyle="1" w:styleId="Table10Centered">
    <w:name w:val="Table 10 Centered"/>
    <w:basedOn w:val="Table10Basic"/>
    <w:qFormat/>
    <w:rsid w:val="0021639D"/>
    <w:pPr>
      <w:jc w:val="center"/>
    </w:pPr>
  </w:style>
  <w:style w:type="paragraph" w:customStyle="1" w:styleId="Table10Bullet1">
    <w:name w:val="Table 10 Bullet 1"/>
    <w:basedOn w:val="Table10Basic"/>
    <w:rsid w:val="0021639D"/>
    <w:pPr>
      <w:numPr>
        <w:numId w:val="19"/>
      </w:numPr>
    </w:pPr>
  </w:style>
  <w:style w:type="paragraph" w:customStyle="1" w:styleId="Table10Bullet2">
    <w:name w:val="Table 10 Bullet 2"/>
    <w:basedOn w:val="Table10Basic"/>
    <w:rsid w:val="0021639D"/>
    <w:pPr>
      <w:numPr>
        <w:ilvl w:val="1"/>
        <w:numId w:val="19"/>
      </w:numPr>
    </w:pPr>
  </w:style>
  <w:style w:type="paragraph" w:customStyle="1" w:styleId="Table10Bullet3">
    <w:name w:val="Table 10 Bullet 3"/>
    <w:basedOn w:val="Table10Basic"/>
    <w:rsid w:val="0021639D"/>
    <w:pPr>
      <w:numPr>
        <w:ilvl w:val="2"/>
        <w:numId w:val="19"/>
      </w:numPr>
    </w:pPr>
  </w:style>
  <w:style w:type="paragraph" w:customStyle="1" w:styleId="Table10Numbering">
    <w:name w:val="Table 10 Numbering"/>
    <w:basedOn w:val="Table10Basic"/>
    <w:rsid w:val="0021639D"/>
    <w:pPr>
      <w:numPr>
        <w:numId w:val="20"/>
      </w:numPr>
    </w:pPr>
    <w:rPr>
      <w:color w:val="auto"/>
    </w:rPr>
  </w:style>
  <w:style w:type="paragraph" w:customStyle="1" w:styleId="Table10ColumnHeading">
    <w:name w:val="Table 10 Column Heading"/>
    <w:basedOn w:val="Table10Basic"/>
    <w:qFormat/>
    <w:rsid w:val="0021639D"/>
    <w:pPr>
      <w:jc w:val="center"/>
    </w:pPr>
    <w:rPr>
      <w:b/>
      <w:color w:val="FFFFFF" w:themeColor="background1"/>
    </w:rPr>
  </w:style>
  <w:style w:type="paragraph" w:customStyle="1" w:styleId="Table10RowHeading">
    <w:name w:val="Table 10 Row Heading"/>
    <w:basedOn w:val="Table10Basic"/>
    <w:qFormat/>
    <w:rsid w:val="0021639D"/>
    <w:rPr>
      <w:b/>
    </w:rPr>
  </w:style>
  <w:style w:type="paragraph" w:customStyle="1" w:styleId="ReportCoverFrontBottomleft">
    <w:name w:val="Report Cover Front Bottom left"/>
    <w:basedOn w:val="BodyText"/>
    <w:qFormat/>
    <w:rsid w:val="0021639D"/>
    <w:pPr>
      <w:spacing w:before="0" w:after="0"/>
      <w:ind w:left="20"/>
    </w:pPr>
    <w:rPr>
      <w:rFonts w:asciiTheme="majorHAnsi" w:hAnsiTheme="majorHAnsi" w:cstheme="majorHAnsi"/>
      <w:b/>
      <w:color w:val="FFFFFF" w:themeColor="background1"/>
      <w:sz w:val="20"/>
    </w:rPr>
  </w:style>
  <w:style w:type="paragraph" w:customStyle="1" w:styleId="BoxHeading">
    <w:name w:val="Box Heading"/>
    <w:basedOn w:val="BodyText"/>
    <w:next w:val="BoxText"/>
    <w:qFormat/>
    <w:rsid w:val="0021639D"/>
    <w:pPr>
      <w:spacing w:line="240" w:lineRule="auto"/>
    </w:pPr>
    <w:rPr>
      <w:b/>
    </w:rPr>
  </w:style>
  <w:style w:type="paragraph" w:customStyle="1" w:styleId="LastPgFileID">
    <w:name w:val="LastPg FileID"/>
    <w:link w:val="LastPgFileIDChar"/>
    <w:qFormat/>
    <w:rsid w:val="0021639D"/>
    <w:pPr>
      <w:shd w:val="clear" w:color="auto" w:fill="00507F" w:themeFill="accent1"/>
      <w:suppressAutoHyphens/>
      <w:spacing w:before="120" w:line="240" w:lineRule="auto"/>
      <w:jc w:val="right"/>
    </w:pPr>
    <w:rPr>
      <w:rFonts w:eastAsia="Calibri" w:asciiTheme="majorHAnsi" w:hAnsiTheme="majorHAnsi" w:cs="Times New Roman"/>
      <w:color w:val="E8F6FD"/>
      <w:spacing w:val="-4"/>
      <w:sz w:val="12"/>
      <w:szCs w:val="15"/>
    </w:rPr>
  </w:style>
  <w:style w:type="numbering" w:customStyle="1" w:styleId="ListStyle-InfoBoxBullets">
    <w:name w:val="_List Style-Info Box Bullets"/>
    <w:uiPriority w:val="99"/>
    <w:rsid w:val="0021639D"/>
    <w:pPr>
      <w:numPr>
        <w:numId w:val="10"/>
      </w:numPr>
    </w:pPr>
  </w:style>
  <w:style w:type="paragraph" w:customStyle="1" w:styleId="BoxBullets">
    <w:name w:val="Box Bullets"/>
    <w:basedOn w:val="BoxText"/>
    <w:rsid w:val="0021639D"/>
    <w:pPr>
      <w:tabs>
        <w:tab w:val="num" w:pos="360"/>
      </w:tabs>
    </w:pPr>
    <w:rPr>
      <w:rFonts w:eastAsiaTheme="minorHAnsi" w:cstheme="minorBidi"/>
      <w:color w:val="auto"/>
    </w:rPr>
  </w:style>
  <w:style w:type="paragraph" w:customStyle="1" w:styleId="BoxText">
    <w:name w:val="Box Text"/>
    <w:basedOn w:val="BodyText"/>
    <w:qFormat/>
    <w:rsid w:val="0021639D"/>
    <w:pPr>
      <w:spacing w:before="60" w:after="60" w:line="240" w:lineRule="auto"/>
    </w:pPr>
    <w:rPr>
      <w:rFonts w:asciiTheme="majorHAnsi" w:hAnsiTheme="majorHAnsi"/>
      <w:szCs w:val="22"/>
    </w:rPr>
  </w:style>
  <w:style w:type="paragraph" w:customStyle="1" w:styleId="InformationBoxHeading">
    <w:name w:val="Information Box Heading"/>
    <w:basedOn w:val="BodyText"/>
    <w:next w:val="Normal"/>
    <w:qFormat/>
    <w:rsid w:val="0021639D"/>
    <w:pPr>
      <w:spacing w:before="180" w:line="240" w:lineRule="auto"/>
    </w:pPr>
    <w:rPr>
      <w:rFonts w:ascii="Arial Narrow" w:hAnsi="Arial Narrow"/>
      <w:b/>
      <w:bCs/>
      <w:caps/>
      <w:color w:val="00507F" w:themeColor="accent1"/>
    </w:rPr>
  </w:style>
  <w:style w:type="paragraph" w:customStyle="1" w:styleId="Cover-BottomleftAIRText">
    <w:name w:val="Cover-Bottom left AIR Text"/>
    <w:qFormat/>
    <w:rsid w:val="0021639D"/>
    <w:pPr>
      <w:suppressAutoHyphens/>
    </w:pPr>
    <w:rPr>
      <w:rFonts w:eastAsia="Calibri" w:asciiTheme="majorHAnsi" w:hAnsiTheme="majorHAnsi" w:cs="Times New Roman"/>
      <w:b/>
      <w:bCs/>
      <w:i/>
      <w:sz w:val="20"/>
      <w:szCs w:val="28"/>
    </w:rPr>
  </w:style>
  <w:style w:type="paragraph" w:customStyle="1" w:styleId="TOC">
    <w:name w:val="TOC"/>
    <w:basedOn w:val="Heading2"/>
    <w:rsid w:val="0021639D"/>
  </w:style>
  <w:style w:type="paragraph" w:customStyle="1" w:styleId="Spacer-TitlePageTable">
    <w:name w:val="Spacer-Title Page Table"/>
    <w:basedOn w:val="NoSpacing"/>
    <w:qFormat/>
    <w:rsid w:val="0021639D"/>
    <w:rPr>
      <w:sz w:val="12"/>
      <w:szCs w:val="12"/>
    </w:rPr>
  </w:style>
  <w:style w:type="character" w:customStyle="1" w:styleId="ReferenceItalics">
    <w:name w:val="Reference Italics"/>
    <w:basedOn w:val="DefaultParagraphFont"/>
    <w:qFormat/>
    <w:rsid w:val="0021639D"/>
    <w:rPr>
      <w:i/>
    </w:rPr>
  </w:style>
  <w:style w:type="paragraph" w:customStyle="1" w:styleId="PSidebarHeading">
    <w:name w:val="P.SidebarHeading"/>
    <w:next w:val="Normal"/>
    <w:qFormat/>
    <w:rsid w:val="0021639D"/>
    <w:pPr>
      <w:spacing w:line="240" w:lineRule="auto"/>
      <w:ind w:left="216" w:right="216"/>
      <w:outlineLvl w:val="2"/>
    </w:pPr>
    <w:rPr>
      <w:rFonts w:eastAsia="Calibri" w:asciiTheme="majorHAnsi" w:hAnsiTheme="majorHAnsi" w:cstheme="majorHAnsi"/>
      <w:b/>
      <w:bCs/>
      <w:color w:val="010000"/>
      <w:szCs w:val="28"/>
    </w:rPr>
  </w:style>
  <w:style w:type="paragraph" w:customStyle="1" w:styleId="AboutAIRText">
    <w:name w:val="About AIR Text"/>
    <w:basedOn w:val="AboutAIRHeading"/>
    <w:qFormat/>
    <w:rsid w:val="0021639D"/>
    <w:pPr>
      <w:spacing w:before="120" w:line="300" w:lineRule="auto"/>
      <w:ind w:left="2707"/>
      <w:jc w:val="both"/>
    </w:pPr>
    <w:rPr>
      <w:rFonts w:asciiTheme="minorHAnsi" w:hAnsiTheme="minorHAnsi"/>
      <w:b w:val="0"/>
      <w:sz w:val="21"/>
      <w:szCs w:val="21"/>
    </w:rPr>
  </w:style>
  <w:style w:type="paragraph" w:customStyle="1" w:styleId="AboutAIRHeading">
    <w:name w:val="About AIR Heading"/>
    <w:qFormat/>
    <w:rsid w:val="0021639D"/>
    <w:pPr>
      <w:spacing w:before="320"/>
      <w:ind w:left="2700"/>
    </w:pPr>
    <w:rPr>
      <w:rFonts w:asciiTheme="majorHAnsi" w:hAnsiTheme="majorHAnsi" w:cstheme="majorHAnsi"/>
      <w:b/>
      <w:bCs/>
    </w:rPr>
  </w:style>
  <w:style w:type="paragraph" w:customStyle="1" w:styleId="PSidebarText">
    <w:name w:val="P.Sidebar Text"/>
    <w:qFormat/>
    <w:rsid w:val="0021639D"/>
    <w:pPr>
      <w:spacing w:before="100" w:after="100" w:line="240" w:lineRule="auto"/>
      <w:ind w:left="216" w:right="216"/>
    </w:pPr>
    <w:rPr>
      <w:rFonts w:eastAsia="Calibri" w:asciiTheme="majorHAnsi" w:hAnsiTheme="majorHAnsi" w:cstheme="majorHAnsi"/>
      <w:color w:val="000000"/>
      <w:szCs w:val="22"/>
    </w:rPr>
  </w:style>
  <w:style w:type="paragraph" w:customStyle="1" w:styleId="InformationBoxText">
    <w:name w:val="Information Box Text"/>
    <w:basedOn w:val="BodyText"/>
    <w:qFormat/>
    <w:rsid w:val="0021639D"/>
    <w:pPr>
      <w:spacing w:before="180" w:after="0" w:line="300" w:lineRule="auto"/>
      <w:ind w:right="360"/>
    </w:pPr>
    <w:rPr>
      <w:rFonts w:ascii="Arial Narrow" w:hAnsi="Arial Narrow"/>
      <w:color w:val="00507F" w:themeColor="accent1"/>
    </w:rPr>
  </w:style>
  <w:style w:type="paragraph" w:customStyle="1" w:styleId="InfoBoxBullets">
    <w:name w:val="Info Box Bullets"/>
    <w:rsid w:val="0021639D"/>
    <w:pPr>
      <w:ind w:left="360" w:hanging="360"/>
    </w:pPr>
    <w:rPr>
      <w:rFonts w:ascii="Arial Narrow" w:hAnsi="Arial Narrow"/>
      <w:color w:val="00507F" w:themeColor="accent1"/>
    </w:rPr>
  </w:style>
  <w:style w:type="character" w:customStyle="1" w:styleId="LastPgFileIDChar">
    <w:name w:val="LastPg FileID Char"/>
    <w:basedOn w:val="DefaultParagraphFont"/>
    <w:link w:val="LastPgFileID"/>
    <w:rsid w:val="0021639D"/>
    <w:rPr>
      <w:rFonts w:eastAsia="Calibri" w:asciiTheme="majorHAnsi" w:hAnsiTheme="majorHAnsi" w:cs="Times New Roman"/>
      <w:color w:val="E8F6FD"/>
      <w:spacing w:val="-4"/>
      <w:sz w:val="12"/>
      <w:szCs w:val="15"/>
      <w:shd w:val="clear" w:color="auto" w:fill="00507F" w:themeFill="accent1"/>
    </w:rPr>
  </w:style>
  <w:style w:type="table" w:customStyle="1" w:styleId="TableStyle-Agenda">
    <w:name w:val="_Table Style-Agenda"/>
    <w:basedOn w:val="TableNormal"/>
    <w:uiPriority w:val="99"/>
    <w:rsid w:val="0021639D"/>
    <w:tblPr/>
    <w:tblStylePr w:type="firstRow">
      <w:pPr>
        <w:wordWrap/>
        <w:spacing w:before="0" w:beforeLines="0" w:beforeAutospacing="0" w:after="0" w:afterLines="0" w:afterAutospacing="0" w:line="276" w:lineRule="auto"/>
        <w:jc w:val="center"/>
      </w:pPr>
      <w:rPr>
        <w:b w:val="0"/>
        <w:color w:val="FFFFFF" w:themeColor="background1"/>
      </w:rPr>
      <w:tblPr/>
      <w:tcPr>
        <w:tcBorders>
          <w:top w:val="single" w:sz="6" w:space="0" w:color="FFFFFF" w:themeColor="background1"/>
          <w:left w:val="single" w:sz="6" w:space="0" w:color="00507F" w:themeColor="accent1"/>
          <w:bottom w:val="single" w:sz="6" w:space="0" w:color="FFFFFF" w:themeColor="background1"/>
          <w:right w:val="single" w:sz="6" w:space="0" w:color="00507F" w:themeColor="accent1"/>
          <w:insideH w:val="single" w:sz="6" w:space="0" w:color="auto"/>
          <w:insideV w:val="single" w:sz="6" w:space="0" w:color="FFFFFF" w:themeColor="background1"/>
          <w:tl2br w:val="nil"/>
          <w:tr2bl w:val="nil"/>
        </w:tcBorders>
        <w:shd w:val="clear" w:color="auto" w:fill="00507F" w:themeFill="accent1"/>
        <w:vAlign w:val="bottom"/>
      </w:tcPr>
    </w:tblStylePr>
  </w:style>
  <w:style w:type="table" w:customStyle="1" w:styleId="TableStyle-ProposalBox">
    <w:name w:val="_Table Style-Proposal Box"/>
    <w:basedOn w:val="TableNormal"/>
    <w:uiPriority w:val="99"/>
    <w:rsid w:val="0021639D"/>
    <w:pPr>
      <w:spacing w:line="240" w:lineRule="auto"/>
    </w:p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paragraph" w:customStyle="1" w:styleId="Callout-InlineTextSource">
    <w:name w:val="Callout-Inline Text_Source"/>
    <w:aliases w:val="Callout-Source"/>
    <w:basedOn w:val="Callout-InlineText"/>
    <w:next w:val="Normal"/>
    <w:qFormat/>
    <w:rsid w:val="00B67679"/>
    <w:pPr>
      <w:numPr>
        <w:numId w:val="16"/>
      </w:numPr>
      <w:tabs>
        <w:tab w:val="num" w:pos="360"/>
      </w:tabs>
      <w:spacing w:before="160" w:after="360" w:line="240" w:lineRule="auto"/>
      <w:ind w:left="360"/>
      <w:jc w:val="right"/>
    </w:pPr>
    <w:rPr>
      <w:i/>
      <w:iCs w:val="0"/>
    </w:rPr>
  </w:style>
  <w:style w:type="numbering" w:customStyle="1" w:styleId="Callout-Inline">
    <w:name w:val="Callout-Inline"/>
    <w:uiPriority w:val="99"/>
    <w:rsid w:val="0021639D"/>
    <w:pPr>
      <w:numPr>
        <w:numId w:val="14"/>
      </w:numPr>
    </w:pPr>
  </w:style>
  <w:style w:type="character" w:customStyle="1" w:styleId="AIRORGURL">
    <w:name w:val="AIR.ORG URL"/>
    <w:uiPriority w:val="1"/>
    <w:qFormat/>
    <w:rsid w:val="0021639D"/>
    <w:rPr>
      <w:b/>
      <w:color w:val="00507F" w:themeColor="accent1"/>
    </w:rPr>
  </w:style>
  <w:style w:type="character" w:customStyle="1" w:styleId="Spacer-HeaderFooterChar">
    <w:name w:val="Spacer-HeaderFooter Char"/>
    <w:basedOn w:val="DefaultParagraphFont"/>
    <w:link w:val="Spacer-HeaderFooter"/>
    <w:rsid w:val="0021639D"/>
    <w:rPr>
      <w:sz w:val="2"/>
      <w:szCs w:val="2"/>
    </w:rPr>
  </w:style>
  <w:style w:type="paragraph" w:customStyle="1" w:styleId="ResPublications">
    <w:name w:val="Res Publications"/>
    <w:link w:val="ResPublicationsChar"/>
    <w:uiPriority w:val="16"/>
    <w:rsid w:val="0021639D"/>
    <w:pPr>
      <w:spacing w:after="160" w:line="240" w:lineRule="auto"/>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21639D"/>
    <w:rPr>
      <w:rFonts w:eastAsia="Times New Roman" w:cs="Times New Roman"/>
      <w:szCs w:val="20"/>
    </w:rPr>
  </w:style>
  <w:style w:type="numbering" w:customStyle="1" w:styleId="ListStyle-BoxBullets">
    <w:name w:val="_List Style-Box Bullets"/>
    <w:uiPriority w:val="99"/>
    <w:rsid w:val="0021639D"/>
    <w:pPr>
      <w:numPr>
        <w:numId w:val="9"/>
      </w:numPr>
    </w:pPr>
  </w:style>
  <w:style w:type="table" w:customStyle="1" w:styleId="TableStyle-HandoutTitle">
    <w:name w:val="_Table Style-Handout Title"/>
    <w:basedOn w:val="TableNormal"/>
    <w:uiPriority w:val="99"/>
    <w:rsid w:val="0021639D"/>
    <w:pPr>
      <w:spacing w:line="240" w:lineRule="auto"/>
    </w:pPr>
    <w:rPr>
      <w:color w:val="FFFFFF" w:themeColor="background1"/>
    </w:rPr>
    <w:tblPr>
      <w:tblCellMar>
        <w:left w:w="0" w:type="dxa"/>
        <w:right w:w="0" w:type="dxa"/>
      </w:tblCellMar>
    </w:tblPr>
    <w:tcPr>
      <w:vAlign w:val="bottom"/>
    </w:tcPr>
  </w:style>
  <w:style w:type="paragraph" w:customStyle="1" w:styleId="AIRInternalGroupName">
    <w:name w:val="AIR Internal Group Name"/>
    <w:basedOn w:val="BodyText"/>
    <w:qFormat/>
    <w:rsid w:val="0021639D"/>
    <w:pPr>
      <w:spacing w:after="240" w:line="240" w:lineRule="auto"/>
      <w:ind w:left="1080" w:right="1080"/>
    </w:pPr>
    <w:rPr>
      <w:b/>
      <w:bCs/>
      <w:color w:val="00507F" w:themeColor="accent1"/>
    </w:rPr>
  </w:style>
  <w:style w:type="paragraph" w:customStyle="1" w:styleId="RptBackAddressAIRHQ">
    <w:name w:val="Rpt Back Address AIR HQ"/>
    <w:basedOn w:val="RptBackAboutAIRHeading"/>
    <w:qFormat/>
    <w:rsid w:val="0021639D"/>
    <w:pPr>
      <w:spacing w:line="240" w:lineRule="auto"/>
    </w:pPr>
    <w:rPr>
      <w:sz w:val="22"/>
      <w:szCs w:val="22"/>
    </w:rPr>
  </w:style>
  <w:style w:type="paragraph" w:customStyle="1" w:styleId="LastPageHOAIRORG">
    <w:name w:val="Last Page HO AIR.ORG"/>
    <w:next w:val="Normal"/>
    <w:qFormat/>
    <w:rsid w:val="0021639D"/>
    <w:pPr>
      <w:tabs>
        <w:tab w:val="right" w:pos="9696"/>
      </w:tabs>
      <w:spacing w:after="120" w:line="240" w:lineRule="auto"/>
      <w:ind w:right="360"/>
    </w:pPr>
    <w:rPr>
      <w:rFonts w:ascii="Calibri" w:eastAsia="Calibri" w:cstheme="minorHAnsi"/>
      <w:color w:val="FFFFFF" w:themeColor="background1"/>
      <w:sz w:val="20"/>
      <w:szCs w:val="20"/>
    </w:rPr>
  </w:style>
  <w:style w:type="character" w:customStyle="1" w:styleId="LastPageHOTrademarkChar">
    <w:name w:val="Last Page HO Trademark Char"/>
    <w:basedOn w:val="DefaultParagraphFont"/>
    <w:link w:val="LastPageHOTrademark"/>
    <w:rsid w:val="0021639D"/>
    <w:rPr>
      <w:rFonts w:eastAsia="Calibri" w:asciiTheme="majorHAnsi" w:hAnsiTheme="majorHAnsi"/>
      <w:color w:val="D1EEFC" w:themeColor="background2"/>
      <w:kern w:val="24"/>
      <w:sz w:val="13"/>
      <w:szCs w:val="14"/>
      <w:shd w:val="clear" w:color="auto" w:fill="00507F" w:themeFill="accent1"/>
    </w:rPr>
  </w:style>
  <w:style w:type="paragraph" w:customStyle="1" w:styleId="RptBackAIRAddress">
    <w:name w:val="Rpt Back AIR Address"/>
    <w:basedOn w:val="RptBackAboutAIRText"/>
    <w:qFormat/>
    <w:rsid w:val="0021639D"/>
    <w:pPr>
      <w:spacing w:before="0" w:line="240" w:lineRule="auto"/>
      <w:jc w:val="left"/>
    </w:pPr>
    <w:rPr>
      <w:sz w:val="20"/>
      <w:szCs w:val="20"/>
    </w:rPr>
  </w:style>
  <w:style w:type="paragraph" w:customStyle="1" w:styleId="PSidebarHeadingWhite">
    <w:name w:val="P.Sidebar Heading White"/>
    <w:basedOn w:val="PSidebarHeading"/>
    <w:qFormat/>
    <w:rsid w:val="0021639D"/>
    <w:pPr>
      <w:spacing w:before="100" w:after="100"/>
    </w:pPr>
    <w:rPr>
      <w:color w:val="FFFFFF"/>
    </w:rPr>
  </w:style>
  <w:style w:type="paragraph" w:customStyle="1" w:styleId="Header-1stPgNarrow">
    <w:name w:val="Header-1st Pg Narrow"/>
    <w:qFormat/>
    <w:rsid w:val="0021639D"/>
    <w:pPr>
      <w:spacing w:after="360" w:line="240" w:lineRule="auto"/>
      <w:ind w:left="-1080" w:right="-1080"/>
    </w:pPr>
  </w:style>
  <w:style w:type="paragraph" w:customStyle="1" w:styleId="H1ReportLine1-18-18">
    <w:name w:val="H1 Report Line 1&quot;-18-18"/>
    <w:next w:val="DocumentAuthor"/>
    <w:qFormat/>
    <w:rsid w:val="0021639D"/>
    <w:pPr>
      <w:framePr w:w="1440" w:wrap="notBeside" w:vAnchor="text" w:hAnchor="text" w:y="1"/>
      <w:pBdr>
        <w:top w:val="single" w:sz="36" w:space="1" w:color="009DD7" w:themeColor="accent2"/>
      </w:pBdr>
      <w:tabs>
        <w:tab w:val="center" w:pos="720"/>
      </w:tabs>
      <w:spacing w:before="240" w:after="360" w:line="240" w:lineRule="auto"/>
    </w:pPr>
    <w:rPr>
      <w:rFonts w:eastAsia="Calibri" w:cstheme="minorHAnsi"/>
      <w:bCs/>
    </w:rPr>
  </w:style>
  <w:style w:type="paragraph" w:customStyle="1" w:styleId="Heading2HO">
    <w:name w:val="Heading 2 HO"/>
    <w:next w:val="Normal"/>
    <w:qFormat/>
    <w:rsid w:val="0021639D"/>
    <w:pPr>
      <w:spacing w:before="360" w:line="240" w:lineRule="auto"/>
      <w:outlineLvl w:val="1"/>
    </w:pPr>
    <w:rPr>
      <w:rFonts w:asciiTheme="majorHAnsi" w:eastAsiaTheme="majorEastAsia" w:hAnsiTheme="majorHAnsi" w:cstheme="majorBidi"/>
      <w:b/>
      <w:noProof/>
      <w:color w:val="00507F" w:themeColor="accent1"/>
      <w:sz w:val="32"/>
      <w:szCs w:val="32"/>
    </w:rPr>
  </w:style>
  <w:style w:type="paragraph" w:customStyle="1" w:styleId="RptBackAboutAIRText">
    <w:name w:val="Rpt Back About AIR Text"/>
    <w:basedOn w:val="RptBackAboutAIRHeading"/>
    <w:qFormat/>
    <w:rsid w:val="0021639D"/>
    <w:pPr>
      <w:spacing w:before="120" w:line="300" w:lineRule="auto"/>
      <w:jc w:val="both"/>
    </w:pPr>
    <w:rPr>
      <w:rFonts w:asciiTheme="minorHAnsi" w:hAnsiTheme="minorHAnsi"/>
      <w:b w:val="0"/>
      <w:sz w:val="21"/>
      <w:szCs w:val="21"/>
    </w:rPr>
  </w:style>
  <w:style w:type="paragraph" w:customStyle="1" w:styleId="RptBackAboutAIRHeading">
    <w:name w:val="Rpt Back About AIR Heading"/>
    <w:qFormat/>
    <w:rsid w:val="0021639D"/>
    <w:pPr>
      <w:ind w:left="360"/>
    </w:pPr>
    <w:rPr>
      <w:rFonts w:asciiTheme="majorHAnsi" w:hAnsiTheme="majorHAnsi" w:cstheme="majorHAnsi"/>
      <w:b/>
      <w:bCs/>
    </w:rPr>
  </w:style>
  <w:style w:type="paragraph" w:customStyle="1" w:styleId="AppxTitle">
    <w:name w:val="Appx Title"/>
    <w:basedOn w:val="Heading2"/>
    <w:next w:val="Normal"/>
    <w:qFormat/>
    <w:rsid w:val="0021639D"/>
    <w:pPr>
      <w:numPr>
        <w:numId w:val="12"/>
      </w:numPr>
      <w:spacing w:before="0" w:after="480" w:line="276" w:lineRule="auto"/>
    </w:pPr>
    <w:rPr>
      <w:sz w:val="44"/>
      <w:szCs w:val="24"/>
    </w:rPr>
  </w:style>
  <w:style w:type="numbering" w:customStyle="1" w:styleId="AppxCaptions">
    <w:name w:val="Appx Captions"/>
    <w:uiPriority w:val="99"/>
    <w:rsid w:val="0021639D"/>
    <w:pPr>
      <w:numPr>
        <w:numId w:val="11"/>
      </w:numPr>
    </w:pPr>
  </w:style>
  <w:style w:type="paragraph" w:customStyle="1" w:styleId="AppxExhibitTitle">
    <w:name w:val="Appx Exhibit Title"/>
    <w:basedOn w:val="ExhibitTitle"/>
    <w:qFormat/>
    <w:rsid w:val="001C47A8"/>
    <w:pPr>
      <w:numPr>
        <w:ilvl w:val="1"/>
        <w:numId w:val="12"/>
      </w:numPr>
    </w:pPr>
    <w:rPr>
      <w:bCs/>
    </w:rPr>
  </w:style>
  <w:style w:type="character" w:customStyle="1" w:styleId="RptBackAIRORGURL">
    <w:name w:val="Rpt Back AIR.ORG URL"/>
    <w:uiPriority w:val="1"/>
    <w:qFormat/>
    <w:rsid w:val="0021639D"/>
    <w:rPr>
      <w:b/>
      <w:color w:val="00507F" w:themeColor="accent1"/>
    </w:rPr>
  </w:style>
  <w:style w:type="paragraph" w:customStyle="1" w:styleId="RptBackAIRLogo">
    <w:name w:val="Rpt Back AIR Logo"/>
    <w:qFormat/>
    <w:rsid w:val="0021639D"/>
  </w:style>
  <w:style w:type="paragraph" w:customStyle="1" w:styleId="H2Line075-12-6">
    <w:name w:val="H2 Line 0.75&quot;-12-6"/>
    <w:next w:val="BodyTextPostHeading"/>
    <w:qFormat/>
    <w:rsid w:val="0021639D"/>
    <w:pPr>
      <w:keepNext/>
      <w:framePr w:w="1080" w:wrap="notBeside" w:vAnchor="text" w:hAnchor="text" w:y="1"/>
      <w:pBdr>
        <w:top w:val="single" w:sz="36" w:space="0" w:color="009DD7" w:themeColor="accent2"/>
        <w:left w:val="single" w:sz="6" w:space="0" w:color="FFFFFF" w:themeColor="background1"/>
        <w:bottom w:val="single" w:sz="36" w:space="0" w:color="FFFFFF" w:themeColor="background1"/>
        <w:right w:val="single" w:sz="6" w:space="0" w:color="FFFFFF" w:themeColor="background1"/>
      </w:pBdr>
      <w:spacing w:before="240" w:after="120" w:line="240" w:lineRule="auto"/>
    </w:pPr>
    <w:rPr>
      <w:rFonts w:eastAsiaTheme="minorEastAsia"/>
      <w:color w:val="auto"/>
      <w:sz w:val="2"/>
      <w:szCs w:val="2"/>
      <w:lang w:eastAsia="zh-CN"/>
    </w:rPr>
  </w:style>
  <w:style w:type="paragraph" w:customStyle="1" w:styleId="H2TOCLine1-12-6">
    <w:name w:val="H2 TOC Line 1&quot;-12-6"/>
    <w:basedOn w:val="H2Line075-12-6"/>
    <w:next w:val="TOC1"/>
    <w:qFormat/>
    <w:rsid w:val="0021639D"/>
    <w:pPr>
      <w:framePr w:w="1440" w:wrap="notBeside"/>
    </w:pPr>
  </w:style>
  <w:style w:type="paragraph" w:customStyle="1" w:styleId="Heading2Report">
    <w:name w:val="Heading 2 Report"/>
    <w:basedOn w:val="Heading2"/>
    <w:next w:val="H2Line075-12-6"/>
    <w:qFormat/>
    <w:rsid w:val="0021639D"/>
  </w:style>
  <w:style w:type="paragraph" w:customStyle="1" w:styleId="FirstPageHeaderBanner">
    <w:name w:val="First Page Header Banner"/>
    <w:qFormat/>
    <w:rsid w:val="0021639D"/>
    <w:pPr>
      <w:widowControl w:val="0"/>
      <w:spacing w:after="2520" w:line="240" w:lineRule="auto"/>
      <w:ind w:left="-1080" w:right="-1080"/>
    </w:pPr>
    <w:rPr>
      <w:sz w:val="20"/>
      <w:szCs w:val="2"/>
    </w:rPr>
  </w:style>
  <w:style w:type="paragraph" w:customStyle="1" w:styleId="Heading1-Handout">
    <w:name w:val="Heading 1-Handout"/>
    <w:qFormat/>
    <w:rsid w:val="0021639D"/>
    <w:rPr>
      <w:rFonts w:eastAsia="Perpetua" w:asciiTheme="majorHAnsi" w:hAnsiTheme="majorHAnsi" w:cstheme="majorHAnsi"/>
      <w:b/>
      <w:bCs/>
      <w:color w:val="FFFFFF" w:themeColor="background1"/>
      <w:sz w:val="56"/>
      <w:szCs w:val="56"/>
    </w:rPr>
  </w:style>
  <w:style w:type="paragraph" w:customStyle="1" w:styleId="Heading1-HandoutSpaceAfterH1Table">
    <w:name w:val="Heading 1-Handout Space After H1 Table"/>
    <w:basedOn w:val="Spacer-HeaderFooter"/>
    <w:next w:val="BodyTextPostHeading"/>
    <w:qFormat/>
    <w:rsid w:val="0021639D"/>
  </w:style>
  <w:style w:type="character" w:customStyle="1" w:styleId="Heading2NoTOCChar">
    <w:name w:val="Heading 2 No TOC Char"/>
    <w:basedOn w:val="DefaultParagraphFont"/>
    <w:link w:val="Heading2NoTOC"/>
    <w:rsid w:val="0021639D"/>
    <w:rPr>
      <w:rFonts w:asciiTheme="majorHAnsi" w:eastAsiaTheme="majorEastAsia" w:hAnsiTheme="majorHAnsi" w:cstheme="majorBidi"/>
      <w:b/>
      <w:color w:val="00507F" w:themeColor="accent1"/>
      <w:sz w:val="32"/>
      <w:szCs w:val="32"/>
    </w:rPr>
  </w:style>
  <w:style w:type="paragraph" w:customStyle="1" w:styleId="LastPageAIRORG">
    <w:name w:val="Last Page AIR.ORG"/>
    <w:next w:val="Normal"/>
    <w:qFormat/>
    <w:rsid w:val="0021639D"/>
    <w:pPr>
      <w:tabs>
        <w:tab w:val="right" w:pos="9696"/>
      </w:tabs>
      <w:spacing w:after="120" w:line="240" w:lineRule="auto"/>
      <w:ind w:right="360"/>
    </w:pPr>
    <w:rPr>
      <w:rFonts w:ascii="Calibri" w:eastAsia="Calibri" w:cstheme="minorHAnsi"/>
      <w:color w:val="FFFFFF" w:themeColor="background1"/>
      <w:sz w:val="20"/>
      <w:szCs w:val="20"/>
    </w:rPr>
  </w:style>
  <w:style w:type="paragraph" w:customStyle="1" w:styleId="LastPageCopyright">
    <w:name w:val="Last Page Copyright"/>
    <w:basedOn w:val="BodyText"/>
    <w:qFormat/>
    <w:rsid w:val="0021639D"/>
    <w:pPr>
      <w:shd w:val="clear" w:color="auto" w:fill="00507F" w:themeFill="accent1"/>
      <w:tabs>
        <w:tab w:val="right" w:pos="10080"/>
      </w:tabs>
      <w:spacing w:before="200" w:after="80" w:line="240" w:lineRule="auto"/>
    </w:pPr>
    <w:rPr>
      <w:rFonts w:asciiTheme="majorHAnsi" w:hAnsiTheme="majorHAnsi"/>
      <w:color w:val="D1EEFC" w:themeColor="background2"/>
      <w:kern w:val="24"/>
      <w:sz w:val="13"/>
      <w:szCs w:val="14"/>
    </w:rPr>
  </w:style>
  <w:style w:type="paragraph" w:customStyle="1" w:styleId="LastPageFileIDExternal">
    <w:name w:val="Last Page FileID (External)"/>
    <w:link w:val="LastPageFileIDExternalChar"/>
    <w:qFormat/>
    <w:rsid w:val="0021639D"/>
    <w:pPr>
      <w:shd w:val="clear" w:color="auto" w:fill="00507F" w:themeFill="accent1"/>
      <w:tabs>
        <w:tab w:val="right" w:pos="10080"/>
      </w:tabs>
      <w:spacing w:after="80" w:line="240" w:lineRule="auto"/>
    </w:pPr>
    <w:rPr>
      <w:rFonts w:eastAsia="Calibri" w:asciiTheme="majorHAnsi" w:hAnsiTheme="majorHAnsi"/>
      <w:color w:val="D1EEFC" w:themeColor="background2"/>
      <w:kern w:val="24"/>
      <w:sz w:val="13"/>
      <w:szCs w:val="14"/>
    </w:rPr>
  </w:style>
  <w:style w:type="character" w:customStyle="1" w:styleId="LastPageFileIDExternalChar">
    <w:name w:val="Last Page FileID (External) Char"/>
    <w:basedOn w:val="DefaultParagraphFont"/>
    <w:link w:val="LastPageFileIDExternal"/>
    <w:rsid w:val="0021639D"/>
    <w:rPr>
      <w:rFonts w:eastAsia="Calibri" w:asciiTheme="majorHAnsi" w:hAnsiTheme="majorHAnsi"/>
      <w:color w:val="D1EEFC" w:themeColor="background2"/>
      <w:kern w:val="24"/>
      <w:sz w:val="13"/>
      <w:szCs w:val="14"/>
      <w:shd w:val="clear" w:color="auto" w:fill="00507F" w:themeFill="accent1"/>
    </w:rPr>
  </w:style>
  <w:style w:type="paragraph" w:customStyle="1" w:styleId="LastPageFooter">
    <w:name w:val="Last Page Footer"/>
    <w:basedOn w:val="BodyText"/>
    <w:qFormat/>
    <w:rsid w:val="0021639D"/>
    <w:pPr>
      <w:ind w:left="-1080" w:right="-1080"/>
      <w:jc w:val="right"/>
    </w:pPr>
    <w:rPr>
      <w:rFonts w:asciiTheme="majorHAnsi" w:hAnsiTheme="majorHAnsi"/>
      <w:color w:val="00507F" w:themeColor="accent1"/>
    </w:rPr>
  </w:style>
  <w:style w:type="paragraph" w:customStyle="1" w:styleId="LastPageTrademark">
    <w:name w:val="Last Page Trademark"/>
    <w:link w:val="LastPageTrademarkChar"/>
    <w:qFormat/>
    <w:rsid w:val="0021639D"/>
    <w:pPr>
      <w:shd w:val="clear" w:color="auto" w:fill="00507F" w:themeFill="accent1"/>
      <w:tabs>
        <w:tab w:val="right" w:pos="10080"/>
      </w:tabs>
      <w:spacing w:line="240" w:lineRule="auto"/>
    </w:pPr>
    <w:rPr>
      <w:rFonts w:ascii="Calibri" w:eastAsia="Calibri" w:hAnsi="Calibri"/>
      <w:color w:val="D1EEFC" w:themeColor="background2"/>
      <w:kern w:val="24"/>
      <w:sz w:val="13"/>
      <w:szCs w:val="13"/>
    </w:rPr>
  </w:style>
  <w:style w:type="character" w:customStyle="1" w:styleId="LastPageTrademarkChar">
    <w:name w:val="Last Page Trademark Char"/>
    <w:basedOn w:val="DefaultParagraphFont"/>
    <w:link w:val="LastPageTrademark"/>
    <w:rsid w:val="0021639D"/>
    <w:rPr>
      <w:rFonts w:ascii="Calibri" w:eastAsia="Calibri" w:hAnsi="Calibri"/>
      <w:color w:val="D1EEFC" w:themeColor="background2"/>
      <w:kern w:val="24"/>
      <w:sz w:val="13"/>
      <w:szCs w:val="13"/>
      <w:shd w:val="clear" w:color="auto" w:fill="00507F" w:themeFill="accent1"/>
    </w:rPr>
  </w:style>
  <w:style w:type="table" w:styleId="GridTableLight">
    <w:name w:val="Grid Table Light"/>
    <w:basedOn w:val="TableNormal"/>
    <w:uiPriority w:val="40"/>
    <w:rsid w:val="0021639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OCPageHeading">
    <w:name w:val="TOC Page Heading"/>
    <w:basedOn w:val="DefaultParagraphFont"/>
    <w:uiPriority w:val="1"/>
    <w:qFormat/>
    <w:rsid w:val="0021639D"/>
    <w:rPr>
      <w:sz w:val="24"/>
    </w:rPr>
  </w:style>
  <w:style w:type="paragraph" w:styleId="ListParagraph">
    <w:name w:val="List Paragraph"/>
    <w:basedOn w:val="Normal"/>
    <w:uiPriority w:val="34"/>
    <w:qFormat/>
    <w:rsid w:val="00A21AD9"/>
    <w:pPr>
      <w:spacing w:after="200"/>
      <w:ind w:left="720"/>
      <w:contextualSpacing/>
    </w:pPr>
    <w:rPr>
      <w:rFonts w:eastAsiaTheme="minorEastAsia"/>
      <w:color w:val="auto"/>
      <w:sz w:val="22"/>
      <w:szCs w:val="22"/>
    </w:rPr>
  </w:style>
  <w:style w:type="table" w:customStyle="1" w:styleId="TableGrid2">
    <w:name w:val="Table Grid2"/>
    <w:basedOn w:val="TableNormal"/>
    <w:next w:val="TableGrid"/>
    <w:uiPriority w:val="59"/>
    <w:rsid w:val="00A21AD9"/>
    <w:pPr>
      <w:spacing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21AD9"/>
    <w:pPr>
      <w:spacing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rsid w:val="00A21AD9"/>
    <w:pPr>
      <w:spacing w:line="360" w:lineRule="atLeast"/>
      <w:ind w:firstLine="1152"/>
      <w:jc w:val="both"/>
    </w:pPr>
    <w:rPr>
      <w:rFonts w:ascii="Times New Roman" w:eastAsia="Times New Roman" w:hAnsi="Times New Roman" w:cs="Times New Roman"/>
      <w:color w:val="auto"/>
      <w:sz w:val="22"/>
      <w:szCs w:val="20"/>
    </w:rPr>
  </w:style>
  <w:style w:type="paragraph" w:customStyle="1" w:styleId="N2-2ndBullet">
    <w:name w:val="N2-2nd Bullet"/>
    <w:basedOn w:val="Normal"/>
    <w:uiPriority w:val="99"/>
    <w:rsid w:val="00A21AD9"/>
    <w:pPr>
      <w:tabs>
        <w:tab w:val="left" w:pos="1728"/>
      </w:tabs>
      <w:spacing w:after="240" w:line="240" w:lineRule="atLeast"/>
      <w:ind w:left="1440" w:hanging="360"/>
      <w:jc w:val="both"/>
    </w:pPr>
    <w:rPr>
      <w:rFonts w:ascii="Times New Roman" w:eastAsia="Times New Roman" w:hAnsi="Times New Roman" w:cs="Times New Roman"/>
      <w:color w:val="auto"/>
      <w:sz w:val="22"/>
      <w:szCs w:val="20"/>
    </w:rPr>
  </w:style>
  <w:style w:type="paragraph" w:styleId="Bibliography">
    <w:name w:val="Bibliography"/>
    <w:basedOn w:val="Normal"/>
    <w:next w:val="Normal"/>
    <w:uiPriority w:val="37"/>
    <w:unhideWhenUsed/>
    <w:rsid w:val="00A21AD9"/>
    <w:pPr>
      <w:spacing w:after="160" w:line="259" w:lineRule="auto"/>
    </w:pPr>
    <w:rPr>
      <w:color w:val="auto"/>
      <w:sz w:val="22"/>
      <w:szCs w:val="22"/>
    </w:rPr>
  </w:style>
  <w:style w:type="table" w:styleId="LightListAccent1">
    <w:name w:val="Light List Accent 1"/>
    <w:basedOn w:val="TableNormal"/>
    <w:uiPriority w:val="61"/>
    <w:rsid w:val="00A21AD9"/>
    <w:pPr>
      <w:spacing w:line="240" w:lineRule="auto"/>
    </w:pPr>
    <w:rPr>
      <w:color w:val="auto"/>
      <w:sz w:val="22"/>
      <w:szCs w:val="22"/>
    </w:rPr>
    <w:tblPr>
      <w:tblStyleRowBandSize w:val="1"/>
      <w:tblStyleColBandSize w:val="1"/>
      <w:tblBorders>
        <w:top w:val="single" w:sz="8" w:space="0" w:color="00507F" w:themeColor="accent1"/>
        <w:left w:val="single" w:sz="8" w:space="0" w:color="00507F" w:themeColor="accent1"/>
        <w:bottom w:val="single" w:sz="8" w:space="0" w:color="00507F" w:themeColor="accent1"/>
        <w:right w:val="single" w:sz="8" w:space="0" w:color="00507F" w:themeColor="accent1"/>
      </w:tblBorders>
    </w:tblPr>
    <w:tblStylePr w:type="firstRow">
      <w:pPr>
        <w:spacing w:before="0" w:after="0" w:line="240" w:lineRule="auto"/>
      </w:pPr>
      <w:rPr>
        <w:b/>
        <w:bCs/>
        <w:color w:val="FFFFFF" w:themeColor="background1"/>
      </w:rPr>
      <w:tblPr/>
      <w:tcPr>
        <w:shd w:val="clear" w:color="auto" w:fill="00507F" w:themeFill="accent1"/>
      </w:tcPr>
    </w:tblStylePr>
    <w:tblStylePr w:type="lastRow">
      <w:pPr>
        <w:spacing w:before="0" w:after="0" w:line="240" w:lineRule="auto"/>
      </w:pPr>
      <w:rPr>
        <w:b/>
        <w:bCs/>
      </w:rPr>
      <w:tblPr/>
      <w:tcPr>
        <w:tcBorders>
          <w:top w:val="double" w:sz="6" w:space="0" w:color="00507F" w:themeColor="accent1"/>
          <w:left w:val="single" w:sz="8" w:space="0" w:color="00507F" w:themeColor="accent1"/>
          <w:bottom w:val="single" w:sz="8" w:space="0" w:color="00507F" w:themeColor="accent1"/>
          <w:right w:val="single" w:sz="8" w:space="0" w:color="00507F" w:themeColor="accent1"/>
        </w:tcBorders>
      </w:tcPr>
    </w:tblStylePr>
    <w:tblStylePr w:type="firstCol">
      <w:rPr>
        <w:b/>
        <w:bCs/>
      </w:rPr>
    </w:tblStylePr>
    <w:tblStylePr w:type="lastCol">
      <w:rPr>
        <w:b/>
        <w:bCs/>
      </w:rPr>
    </w:tblStylePr>
    <w:tblStylePr w:type="band1Vert">
      <w:tblPr/>
      <w:tcPr>
        <w:tcBorders>
          <w:top w:val="single" w:sz="8" w:space="0" w:color="00507F" w:themeColor="accent1"/>
          <w:left w:val="single" w:sz="8" w:space="0" w:color="00507F" w:themeColor="accent1"/>
          <w:bottom w:val="single" w:sz="8" w:space="0" w:color="00507F" w:themeColor="accent1"/>
          <w:right w:val="single" w:sz="8" w:space="0" w:color="00507F" w:themeColor="accent1"/>
        </w:tcBorders>
      </w:tcPr>
    </w:tblStylePr>
    <w:tblStylePr w:type="band1Horz">
      <w:tblPr/>
      <w:tcPr>
        <w:tcBorders>
          <w:top w:val="single" w:sz="8" w:space="0" w:color="00507F" w:themeColor="accent1"/>
          <w:left w:val="single" w:sz="8" w:space="0" w:color="00507F" w:themeColor="accent1"/>
          <w:bottom w:val="single" w:sz="8" w:space="0" w:color="00507F" w:themeColor="accent1"/>
          <w:right w:val="single" w:sz="8" w:space="0" w:color="00507F" w:themeColor="accent1"/>
        </w:tcBorders>
      </w:tcPr>
    </w:tblStylePr>
  </w:style>
  <w:style w:type="paragraph" w:customStyle="1" w:styleId="paragraph">
    <w:name w:val="paragraph"/>
    <w:basedOn w:val="Normal"/>
    <w:rsid w:val="00A21AD9"/>
    <w:pPr>
      <w:spacing w:before="100" w:beforeAutospacing="1" w:after="100" w:afterAutospacing="1" w:line="240" w:lineRule="auto"/>
    </w:pPr>
    <w:rPr>
      <w:rFonts w:ascii="Calibri" w:hAnsi="Calibri" w:cs="Calibri"/>
      <w:color w:val="auto"/>
      <w:sz w:val="22"/>
      <w:szCs w:val="22"/>
    </w:rPr>
  </w:style>
  <w:style w:type="character" w:customStyle="1" w:styleId="normaltextrun">
    <w:name w:val="normaltextrun"/>
    <w:basedOn w:val="DefaultParagraphFont"/>
    <w:rsid w:val="00A21AD9"/>
  </w:style>
  <w:style w:type="character" w:customStyle="1" w:styleId="eop">
    <w:name w:val="eop"/>
    <w:basedOn w:val="DefaultParagraphFont"/>
    <w:rsid w:val="00A21AD9"/>
  </w:style>
  <w:style w:type="character" w:styleId="PageNumber">
    <w:name w:val="page number"/>
    <w:basedOn w:val="DefaultParagraphFont"/>
    <w:uiPriority w:val="99"/>
    <w:rsid w:val="00A21AD9"/>
    <w:rPr>
      <w:rFonts w:cs="Times New Roman"/>
    </w:rPr>
  </w:style>
  <w:style w:type="paragraph" w:customStyle="1" w:styleId="BodyText0">
    <w:name w:val="BodyText"/>
    <w:basedOn w:val="Normal"/>
    <w:link w:val="BodyTextChar0"/>
    <w:qFormat/>
    <w:rsid w:val="00A21AD9"/>
    <w:pPr>
      <w:spacing w:after="200"/>
    </w:pPr>
    <w:rPr>
      <w:rFonts w:ascii="Calibri" w:eastAsia="SimSun" w:hAnsi="Calibri" w:cs="Times New Roman"/>
      <w:color w:val="auto"/>
      <w:sz w:val="22"/>
      <w:szCs w:val="22"/>
    </w:rPr>
  </w:style>
  <w:style w:type="character" w:customStyle="1" w:styleId="BodyTextChar0">
    <w:name w:val="BodyText Char"/>
    <w:link w:val="BodyText0"/>
    <w:rsid w:val="00A21AD9"/>
    <w:rPr>
      <w:rFonts w:ascii="Calibri" w:eastAsia="SimSun" w:hAnsi="Calibri" w:cs="Times New Roman"/>
      <w:color w:val="auto"/>
      <w:sz w:val="22"/>
      <w:szCs w:val="22"/>
    </w:rPr>
  </w:style>
  <w:style w:type="table" w:styleId="PlainTable3">
    <w:name w:val="Plain Table 3"/>
    <w:basedOn w:val="TableNormal"/>
    <w:uiPriority w:val="43"/>
    <w:rsid w:val="00A21AD9"/>
    <w:pPr>
      <w:spacing w:line="240" w:lineRule="auto"/>
    </w:pPr>
    <w:rPr>
      <w:color w:val="auto"/>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A21AD9"/>
    <w:pPr>
      <w:spacing w:line="240" w:lineRule="auto"/>
    </w:pPr>
    <w:rPr>
      <w:color w:val="auto"/>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A21AD9"/>
    <w:rPr>
      <w:color w:val="2B579A"/>
      <w:shd w:val="clear" w:color="auto" w:fill="E1DFDD"/>
    </w:rPr>
  </w:style>
  <w:style w:type="paragraph" w:customStyle="1" w:styleId="aHeading1">
    <w:name w:val="aHeading1"/>
    <w:basedOn w:val="Heading1"/>
    <w:link w:val="aHeading1Char"/>
    <w:qFormat/>
    <w:rsid w:val="00A21AD9"/>
    <w:pPr>
      <w:keepNext/>
      <w:keepLines/>
      <w:widowControl w:val="0"/>
      <w:spacing w:before="240" w:after="240" w:line="240" w:lineRule="auto"/>
      <w:ind w:left="432" w:hanging="432"/>
    </w:pPr>
    <w:rPr>
      <w:rFonts w:eastAsia="Times New Roman" w:asciiTheme="minorHAnsi" w:hAnsiTheme="minorHAnsi" w:cs="Times New Roman"/>
      <w:smallCaps/>
      <w:noProof w:val="0"/>
      <w:color w:val="1F497D"/>
      <w:sz w:val="32"/>
      <w:szCs w:val="32"/>
    </w:rPr>
  </w:style>
  <w:style w:type="character" w:customStyle="1" w:styleId="aHeading1Char">
    <w:name w:val="aHeading1 Char"/>
    <w:link w:val="aHeading1"/>
    <w:locked/>
    <w:rsid w:val="00A21AD9"/>
    <w:rPr>
      <w:rFonts w:eastAsia="Times New Roman" w:cs="Times New Roman"/>
      <w:b/>
      <w:smallCaps/>
      <w:color w:val="1F497D"/>
      <w:sz w:val="32"/>
      <w:szCs w:val="32"/>
    </w:rPr>
  </w:style>
  <w:style w:type="paragraph" w:customStyle="1" w:styleId="pf0">
    <w:name w:val="pf0"/>
    <w:basedOn w:val="Normal"/>
    <w:rsid w:val="00A21AD9"/>
    <w:pPr>
      <w:spacing w:before="100" w:beforeAutospacing="1" w:after="100" w:afterAutospacing="1" w:line="240" w:lineRule="auto"/>
    </w:pPr>
    <w:rPr>
      <w:rFonts w:ascii="Times New Roman" w:eastAsia="Times New Roman" w:hAnsi="Times New Roman" w:cs="Times New Roman"/>
      <w:color w:val="auto"/>
    </w:rPr>
  </w:style>
  <w:style w:type="character" w:customStyle="1" w:styleId="cf01">
    <w:name w:val="cf01"/>
    <w:basedOn w:val="DefaultParagraphFont"/>
    <w:rsid w:val="00A21AD9"/>
    <w:rPr>
      <w:rFonts w:ascii="Segoe UI" w:hAnsi="Segoe UI" w:cs="Segoe UI" w:hint="default"/>
      <w:sz w:val="18"/>
      <w:szCs w:val="18"/>
    </w:rPr>
  </w:style>
  <w:style w:type="character" w:customStyle="1" w:styleId="ui-provider">
    <w:name w:val="ui-provider"/>
    <w:basedOn w:val="DefaultParagraphFont"/>
    <w:rsid w:val="00A21AD9"/>
  </w:style>
  <w:style w:type="character" w:customStyle="1" w:styleId="BodyTextPostHeadChar">
    <w:name w:val="Body Text Post Head Char"/>
    <w:aliases w:val="btp Char"/>
    <w:basedOn w:val="DefaultParagraphFont"/>
    <w:link w:val="BodyTextPostHeading"/>
    <w:rsid w:val="00A21AD9"/>
    <w:rPr>
      <w:rFonts w:eastAsia="Calibri" w:cs="Times New Roman"/>
    </w:rPr>
  </w:style>
  <w:style w:type="paragraph" w:customStyle="1" w:styleId="NormalSS12">
    <w:name w:val="NormalSS 12"/>
    <w:basedOn w:val="Normal"/>
    <w:uiPriority w:val="99"/>
    <w:rsid w:val="00A21AD9"/>
    <w:pPr>
      <w:spacing w:after="240" w:line="240" w:lineRule="auto"/>
      <w:ind w:firstLine="432"/>
      <w:jc w:val="both"/>
    </w:pPr>
    <w:rPr>
      <w:rFonts w:ascii="Times New Roman" w:hAnsi="Times New Roman" w:cs="Times New Roman"/>
      <w:color w:val="auto"/>
    </w:rPr>
  </w:style>
  <w:style w:type="paragraph" w:customStyle="1" w:styleId="L1-FlLSp12">
    <w:name w:val="L1-FlL Sp&amp;1/2"/>
    <w:link w:val="L1-FlLSp12Char"/>
    <w:rsid w:val="00A21AD9"/>
    <w:pPr>
      <w:tabs>
        <w:tab w:val="left" w:pos="1152"/>
      </w:tabs>
      <w:spacing w:before="120" w:after="120" w:line="252" w:lineRule="auto"/>
    </w:pPr>
    <w:rPr>
      <w:rFonts w:ascii="Times New Roman" w:eastAsia="Times New Roman" w:hAnsi="Times New Roman" w:cs="Times New Roman"/>
      <w:color w:val="auto"/>
      <w:sz w:val="22"/>
      <w:szCs w:val="20"/>
    </w:rPr>
  </w:style>
  <w:style w:type="character" w:customStyle="1" w:styleId="L1-FlLSp12Char">
    <w:name w:val="L1-FlL Sp&amp;1/2 Char"/>
    <w:link w:val="L1-FlLSp12"/>
    <w:locked/>
    <w:rsid w:val="00A21AD9"/>
    <w:rPr>
      <w:rFonts w:ascii="Times New Roman" w:eastAsia="Times New Roman" w:hAnsi="Times New Roman" w:cs="Times New Roman"/>
      <w:color w:val="auto"/>
      <w:sz w:val="22"/>
      <w:szCs w:val="20"/>
    </w:rPr>
  </w:style>
  <w:style w:type="character" w:customStyle="1" w:styleId="Hyperlink1">
    <w:name w:val="Hyperlink1"/>
    <w:basedOn w:val="DefaultParagraphFont"/>
    <w:uiPriority w:val="99"/>
    <w:unhideWhenUsed/>
    <w:qFormat/>
    <w:rsid w:val="00A21AD9"/>
    <w:rPr>
      <w:color w:val="00507F"/>
      <w:u w:val="single"/>
    </w:rPr>
  </w:style>
  <w:style w:type="numbering" w:customStyle="1" w:styleId="List-multilevel-Survey2">
    <w:name w:val="_List-multilevel-Survey2"/>
    <w:uiPriority w:val="99"/>
    <w:rsid w:val="00A21AD9"/>
    <w:pPr>
      <w:numPr>
        <w:numId w:val="23"/>
      </w:numPr>
    </w:pPr>
  </w:style>
  <w:style w:type="paragraph" w:customStyle="1" w:styleId="Heading3-Appendices">
    <w:name w:val="Heading 3 - Appendices"/>
    <w:basedOn w:val="Heading3"/>
    <w:qFormat/>
    <w:rsid w:val="00A21AD9"/>
    <w:pPr>
      <w:outlineLvl w:val="3"/>
    </w:pPr>
  </w:style>
  <w:style w:type="numbering" w:customStyle="1" w:styleId="NoList1">
    <w:name w:val="No List1"/>
    <w:next w:val="NoList"/>
    <w:uiPriority w:val="99"/>
    <w:semiHidden/>
    <w:unhideWhenUsed/>
    <w:rsid w:val="00A21AD9"/>
  </w:style>
  <w:style w:type="numbering" w:customStyle="1" w:styleId="ListOrdered-Body1">
    <w:name w:val="_List Ordered-Body1"/>
    <w:uiPriority w:val="99"/>
    <w:rsid w:val="00A21AD9"/>
  </w:style>
  <w:style w:type="table" w:customStyle="1" w:styleId="TableGrid3">
    <w:name w:val="Table Grid3"/>
    <w:basedOn w:val="TableNormal"/>
    <w:next w:val="TableGrid"/>
    <w:uiPriority w:val="39"/>
    <w:rsid w:val="00A21AD9"/>
    <w:pPr>
      <w:spacing w:line="240" w:lineRule="auto"/>
    </w:pPr>
    <w:rPr>
      <w:color w:val="1C252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HeadingFont"/>
    <w:next w:val="BodyText"/>
    <w:uiPriority w:val="35"/>
    <w:unhideWhenUsed/>
    <w:qFormat/>
    <w:rsid w:val="00A21AD9"/>
    <w:pPr>
      <w:keepLines/>
      <w:spacing w:before="240" w:after="120"/>
    </w:pPr>
    <w:rPr>
      <w:rFonts w:ascii="Calibri" w:eastAsia="Calibri" w:hAnsi="Calibri" w:cs="Times New Roman"/>
      <w:b/>
      <w:iCs/>
      <w:color w:val="00507F"/>
      <w:szCs w:val="18"/>
    </w:rPr>
  </w:style>
  <w:style w:type="paragraph" w:customStyle="1" w:styleId="TableofFigures1">
    <w:name w:val="Table of Figures1"/>
    <w:basedOn w:val="TOC1"/>
    <w:next w:val="TableofFigures"/>
    <w:uiPriority w:val="99"/>
    <w:unhideWhenUsed/>
    <w:rsid w:val="00A21AD9"/>
    <w:pPr>
      <w:tabs>
        <w:tab w:val="left" w:pos="360"/>
      </w:tabs>
      <w:spacing w:before="120"/>
      <w:ind w:left="450" w:hanging="450"/>
    </w:pPr>
    <w:rPr>
      <w:rFonts w:eastAsia="MS Gothic"/>
      <w:color w:val="auto"/>
    </w:rPr>
  </w:style>
  <w:style w:type="paragraph" w:customStyle="1" w:styleId="Heading2studio">
    <w:name w:val="Heading 2 studio"/>
    <w:next w:val="Normal"/>
    <w:qFormat/>
    <w:rsid w:val="00A21AD9"/>
    <w:pPr>
      <w:spacing w:before="360" w:line="240" w:lineRule="auto"/>
      <w:outlineLvl w:val="1"/>
    </w:pPr>
    <w:rPr>
      <w:rFonts w:ascii="Calibri" w:eastAsia="MS Gothic" w:hAnsi="Calibri" w:cs="Times New Roman"/>
      <w:b/>
      <w:color w:val="00507F"/>
      <w:sz w:val="32"/>
      <w:szCs w:val="32"/>
    </w:rPr>
  </w:style>
  <w:style w:type="paragraph" w:customStyle="1" w:styleId="Heading2Proposal">
    <w:name w:val="Heading 2 Proposal"/>
    <w:next w:val="H2Line075-12-6"/>
    <w:qFormat/>
    <w:rsid w:val="00A21AD9"/>
    <w:pPr>
      <w:spacing w:before="240" w:after="120"/>
    </w:pPr>
    <w:rPr>
      <w:rFonts w:ascii="Calibri" w:eastAsia="MS Gothic" w:hAnsi="Calibri" w:cs="Times New Roman"/>
      <w:b/>
      <w:color w:val="00507F"/>
      <w:sz w:val="32"/>
      <w:szCs w:val="32"/>
    </w:rPr>
  </w:style>
  <w:style w:type="paragraph" w:customStyle="1" w:styleId="Callout-InlineSource">
    <w:name w:val="Callout-Inline Source"/>
    <w:basedOn w:val="Callout-InlineText"/>
    <w:next w:val="Normal"/>
    <w:qFormat/>
    <w:rsid w:val="00A21AD9"/>
    <w:pPr>
      <w:pBdr>
        <w:top w:val="single" w:sz="12" w:space="4" w:color="C8D0D4"/>
        <w:bottom w:val="single" w:sz="12" w:space="4" w:color="C8D0D4"/>
      </w:pBdr>
      <w:tabs>
        <w:tab w:val="num" w:pos="360"/>
      </w:tabs>
      <w:spacing w:before="160" w:after="360" w:line="240" w:lineRule="auto"/>
      <w:ind w:left="720" w:hanging="360"/>
      <w:jc w:val="right"/>
    </w:pPr>
    <w:rPr>
      <w:rFonts w:cs="Calibri"/>
      <w:i/>
      <w:iCs w:val="0"/>
      <w:color w:val="006E9F"/>
    </w:rPr>
  </w:style>
  <w:style w:type="paragraph" w:customStyle="1" w:styleId="Heading2BorderAfter-Landscape">
    <w:name w:val="Heading 2 Border After-Landscape"/>
    <w:next w:val="Normal"/>
    <w:qFormat/>
    <w:rsid w:val="00A21AD9"/>
    <w:pPr>
      <w:keepNext/>
      <w:pBdr>
        <w:top w:val="single" w:sz="36" w:space="0" w:color="009DD7"/>
      </w:pBdr>
      <w:spacing w:before="180"/>
      <w:ind w:right="12600"/>
    </w:pPr>
    <w:rPr>
      <w:rFonts w:eastAsia="Calibri" w:cs="Times New Roman"/>
      <w:color w:val="1C252D"/>
      <w:sz w:val="12"/>
      <w:szCs w:val="12"/>
    </w:rPr>
  </w:style>
  <w:style w:type="paragraph" w:customStyle="1" w:styleId="Heading2BorderAfter-LandscapeHO">
    <w:name w:val="Heading 2 Border After-Landscape HO"/>
    <w:next w:val="Normal"/>
    <w:qFormat/>
    <w:rsid w:val="00A21AD9"/>
    <w:pPr>
      <w:keepNext/>
      <w:pBdr>
        <w:top w:val="single" w:sz="36" w:space="0" w:color="009DD7"/>
      </w:pBdr>
      <w:spacing w:before="180"/>
      <w:ind w:right="12780"/>
    </w:pPr>
    <w:rPr>
      <w:rFonts w:eastAsia="Calibri" w:cs="Times New Roman"/>
      <w:color w:val="1C252D"/>
      <w:sz w:val="12"/>
      <w:szCs w:val="12"/>
    </w:rPr>
  </w:style>
  <w:style w:type="paragraph" w:customStyle="1" w:styleId="Heading2BorderAfter-LandscapeRpt">
    <w:name w:val="Heading 2 Border After-Landscape Rpt"/>
    <w:basedOn w:val="Heading2BorderAfter-LandscapeHO"/>
    <w:qFormat/>
    <w:rsid w:val="00A21AD9"/>
    <w:pPr>
      <w:ind w:right="11880"/>
    </w:pPr>
  </w:style>
  <w:style w:type="paragraph" w:customStyle="1" w:styleId="Heading2BorderAfter-PortraitHO">
    <w:name w:val="Heading 2 Border After-Portrait HO"/>
    <w:next w:val="Normal"/>
    <w:qFormat/>
    <w:rsid w:val="00A21AD9"/>
    <w:pPr>
      <w:keepNext/>
      <w:pBdr>
        <w:top w:val="single" w:sz="36" w:space="0" w:color="009DD7"/>
      </w:pBdr>
      <w:spacing w:before="180"/>
      <w:ind w:right="9000"/>
    </w:pPr>
    <w:rPr>
      <w:rFonts w:eastAsia="Calibri" w:cs="Times New Roman"/>
      <w:color w:val="1C252D"/>
      <w:sz w:val="12"/>
      <w:szCs w:val="12"/>
    </w:rPr>
  </w:style>
  <w:style w:type="paragraph" w:customStyle="1" w:styleId="Heading2BorderAfter-PortraitRpt">
    <w:name w:val="Heading 2 Border After-Portrait Rpt"/>
    <w:basedOn w:val="Heading2BorderAfter-PortraitHO"/>
    <w:qFormat/>
    <w:rsid w:val="00A21AD9"/>
    <w:pPr>
      <w:ind w:right="8280"/>
    </w:pPr>
  </w:style>
  <w:style w:type="paragraph" w:customStyle="1" w:styleId="StyleProperties">
    <w:name w:val="Style Properties"/>
    <w:link w:val="StylePropertiesChar"/>
    <w:rsid w:val="00A21AD9"/>
    <w:pPr>
      <w:spacing w:line="240" w:lineRule="auto"/>
      <w:ind w:left="360"/>
    </w:pPr>
    <w:rPr>
      <w:rFonts w:ascii="Times New Roman" w:hAnsi="Times New Roman" w:cs="Times New Roman"/>
      <w:bCs/>
      <w:color w:val="999999"/>
      <w:sz w:val="18"/>
    </w:rPr>
  </w:style>
  <w:style w:type="character" w:customStyle="1" w:styleId="StylePropertiesChar">
    <w:name w:val="Style Properties Char"/>
    <w:basedOn w:val="DefaultParagraphFont"/>
    <w:link w:val="StyleProperties"/>
    <w:rsid w:val="00A21AD9"/>
    <w:rPr>
      <w:rFonts w:ascii="Times New Roman" w:hAnsi="Times New Roman" w:cs="Times New Roman"/>
      <w:bCs/>
      <w:color w:val="999999"/>
      <w:sz w:val="18"/>
    </w:rPr>
  </w:style>
  <w:style w:type="paragraph" w:customStyle="1" w:styleId="StylePropertiesHeading">
    <w:name w:val="Style Properties Heading"/>
    <w:next w:val="StyleProperties"/>
    <w:link w:val="StylePropertiesHeadingChar"/>
    <w:rsid w:val="00A21AD9"/>
    <w:pPr>
      <w:spacing w:before="360" w:line="240" w:lineRule="auto"/>
      <w:outlineLvl w:val="2"/>
    </w:pPr>
    <w:rPr>
      <w:rFonts w:ascii="Times New Roman" w:hAnsi="Times New Roman" w:cs="Times New Roman"/>
      <w:b/>
      <w:bCs/>
      <w:color w:val="010000"/>
      <w:sz w:val="28"/>
    </w:rPr>
  </w:style>
  <w:style w:type="character" w:customStyle="1" w:styleId="StylePropertiesHeadingChar">
    <w:name w:val="Style Properties Heading Char"/>
    <w:basedOn w:val="DefaultParagraphFont"/>
    <w:link w:val="StylePropertiesHeading"/>
    <w:rsid w:val="00A21AD9"/>
    <w:rPr>
      <w:rFonts w:ascii="Times New Roman" w:hAnsi="Times New Roman" w:cs="Times New Roman"/>
      <w:b/>
      <w:bCs/>
      <w:color w:val="010000"/>
      <w:sz w:val="28"/>
    </w:rPr>
  </w:style>
  <w:style w:type="table" w:customStyle="1" w:styleId="TableGridLight1">
    <w:name w:val="Table Grid Light1"/>
    <w:basedOn w:val="TableNormal"/>
    <w:next w:val="GridTableLight"/>
    <w:uiPriority w:val="40"/>
    <w:rsid w:val="00A21AD9"/>
    <w:pPr>
      <w:spacing w:line="240" w:lineRule="auto"/>
    </w:pPr>
    <w:rPr>
      <w:color w:val="1C252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Heading2-Letter">
    <w:name w:val="Heading 2-Letter"/>
    <w:basedOn w:val="Normal"/>
    <w:next w:val="Normal"/>
    <w:qFormat/>
    <w:rsid w:val="00A21AD9"/>
    <w:pPr>
      <w:keepNext/>
      <w:suppressAutoHyphens/>
      <w:spacing w:after="120"/>
      <w:outlineLvl w:val="0"/>
    </w:pPr>
    <w:rPr>
      <w:rFonts w:ascii="Calibri" w:hAnsi="Calibri"/>
      <w:b/>
      <w:bCs/>
      <w:color w:val="00507F"/>
      <w:sz w:val="30"/>
      <w:szCs w:val="30"/>
    </w:rPr>
  </w:style>
  <w:style w:type="paragraph" w:customStyle="1" w:styleId="TOC31">
    <w:name w:val="TOC 31"/>
    <w:basedOn w:val="Normal"/>
    <w:next w:val="Normal"/>
    <w:autoRedefine/>
    <w:uiPriority w:val="39"/>
    <w:unhideWhenUsed/>
    <w:rsid w:val="00A21AD9"/>
    <w:pPr>
      <w:ind w:left="480"/>
    </w:pPr>
    <w:rPr>
      <w:rFonts w:cs="Calibri"/>
      <w:color w:val="1C252D"/>
      <w:sz w:val="20"/>
      <w:szCs w:val="20"/>
    </w:rPr>
  </w:style>
  <w:style w:type="paragraph" w:customStyle="1" w:styleId="TOC41">
    <w:name w:val="TOC 41"/>
    <w:basedOn w:val="Normal"/>
    <w:next w:val="Normal"/>
    <w:autoRedefine/>
    <w:uiPriority w:val="39"/>
    <w:semiHidden/>
    <w:unhideWhenUsed/>
    <w:rsid w:val="00A21AD9"/>
    <w:pPr>
      <w:ind w:left="720"/>
    </w:pPr>
    <w:rPr>
      <w:rFonts w:cs="Calibri"/>
      <w:color w:val="1C252D"/>
      <w:sz w:val="20"/>
      <w:szCs w:val="20"/>
    </w:rPr>
  </w:style>
  <w:style w:type="paragraph" w:customStyle="1" w:styleId="TOC51">
    <w:name w:val="TOC 51"/>
    <w:basedOn w:val="Normal"/>
    <w:next w:val="Normal"/>
    <w:autoRedefine/>
    <w:uiPriority w:val="39"/>
    <w:semiHidden/>
    <w:unhideWhenUsed/>
    <w:rsid w:val="00A21AD9"/>
    <w:pPr>
      <w:ind w:left="960"/>
    </w:pPr>
    <w:rPr>
      <w:rFonts w:cs="Calibri"/>
      <w:color w:val="1C252D"/>
      <w:sz w:val="20"/>
      <w:szCs w:val="20"/>
    </w:rPr>
  </w:style>
  <w:style w:type="paragraph" w:customStyle="1" w:styleId="TOC61">
    <w:name w:val="TOC 61"/>
    <w:basedOn w:val="Normal"/>
    <w:next w:val="Normal"/>
    <w:autoRedefine/>
    <w:uiPriority w:val="39"/>
    <w:semiHidden/>
    <w:unhideWhenUsed/>
    <w:rsid w:val="00A21AD9"/>
    <w:pPr>
      <w:ind w:left="1200"/>
    </w:pPr>
    <w:rPr>
      <w:rFonts w:cs="Calibri"/>
      <w:color w:val="1C252D"/>
      <w:sz w:val="20"/>
      <w:szCs w:val="20"/>
    </w:rPr>
  </w:style>
  <w:style w:type="paragraph" w:customStyle="1" w:styleId="TOC71">
    <w:name w:val="TOC 71"/>
    <w:basedOn w:val="Normal"/>
    <w:next w:val="Normal"/>
    <w:autoRedefine/>
    <w:uiPriority w:val="39"/>
    <w:semiHidden/>
    <w:unhideWhenUsed/>
    <w:rsid w:val="00A21AD9"/>
    <w:pPr>
      <w:ind w:left="1440"/>
    </w:pPr>
    <w:rPr>
      <w:rFonts w:cs="Calibri"/>
      <w:color w:val="1C252D"/>
      <w:sz w:val="20"/>
      <w:szCs w:val="20"/>
    </w:rPr>
  </w:style>
  <w:style w:type="paragraph" w:customStyle="1" w:styleId="TOC81">
    <w:name w:val="TOC 81"/>
    <w:basedOn w:val="Normal"/>
    <w:next w:val="Normal"/>
    <w:autoRedefine/>
    <w:uiPriority w:val="39"/>
    <w:semiHidden/>
    <w:unhideWhenUsed/>
    <w:rsid w:val="00A21AD9"/>
    <w:pPr>
      <w:ind w:left="1680"/>
    </w:pPr>
    <w:rPr>
      <w:rFonts w:cs="Calibri"/>
      <w:color w:val="1C252D"/>
      <w:sz w:val="20"/>
      <w:szCs w:val="20"/>
    </w:rPr>
  </w:style>
  <w:style w:type="paragraph" w:customStyle="1" w:styleId="TOC91">
    <w:name w:val="TOC 91"/>
    <w:basedOn w:val="Normal"/>
    <w:next w:val="Normal"/>
    <w:autoRedefine/>
    <w:uiPriority w:val="39"/>
    <w:semiHidden/>
    <w:unhideWhenUsed/>
    <w:rsid w:val="00A21AD9"/>
    <w:pPr>
      <w:ind w:left="1920"/>
    </w:pPr>
    <w:rPr>
      <w:rFonts w:cs="Calibri"/>
      <w:color w:val="1C252D"/>
      <w:sz w:val="20"/>
      <w:szCs w:val="20"/>
    </w:rPr>
  </w:style>
  <w:style w:type="character" w:customStyle="1" w:styleId="Bullet1Char">
    <w:name w:val="Bullet 1 Char"/>
    <w:basedOn w:val="DefaultParagraphFont"/>
    <w:link w:val="Bullet1"/>
    <w:uiPriority w:val="4"/>
    <w:locked/>
    <w:rsid w:val="00A21AD9"/>
    <w:rPr>
      <w:rFonts w:eastAsia="Times New Roman" w:cs="Times New Roman"/>
    </w:rPr>
  </w:style>
  <w:style w:type="numbering" w:customStyle="1" w:styleId="CurrentList1">
    <w:name w:val="Current List1"/>
    <w:uiPriority w:val="99"/>
    <w:rsid w:val="00A21AD9"/>
    <w:pPr>
      <w:numPr>
        <w:numId w:val="25"/>
      </w:numPr>
    </w:pPr>
  </w:style>
  <w:style w:type="numbering" w:customStyle="1" w:styleId="CurrentList2">
    <w:name w:val="Current List2"/>
    <w:uiPriority w:val="99"/>
    <w:rsid w:val="00A21AD9"/>
    <w:pPr>
      <w:numPr>
        <w:numId w:val="26"/>
      </w:numPr>
    </w:pPr>
  </w:style>
  <w:style w:type="paragraph" w:customStyle="1" w:styleId="Heading11">
    <w:name w:val="Heading 11"/>
    <w:basedOn w:val="HeadingFont"/>
    <w:next w:val="BodyTextPostHeading"/>
    <w:uiPriority w:val="1"/>
    <w:qFormat/>
    <w:rsid w:val="00A21AD9"/>
    <w:pPr>
      <w:tabs>
        <w:tab w:val="left" w:pos="1080"/>
      </w:tabs>
      <w:spacing w:before="240"/>
      <w:ind w:left="1080" w:hanging="1080"/>
      <w:outlineLvl w:val="0"/>
    </w:pPr>
    <w:rPr>
      <w:rFonts w:ascii="Calibri" w:eastAsia="Perpetua" w:hAnsi="Calibri" w:cs="Calibri"/>
      <w:b/>
      <w:bCs/>
      <w:color w:val="auto"/>
      <w:szCs w:val="56"/>
    </w:rPr>
  </w:style>
  <w:style w:type="paragraph" w:customStyle="1" w:styleId="Heading21">
    <w:name w:val="Heading 21"/>
    <w:basedOn w:val="HeadingFont"/>
    <w:next w:val="BodyTextPostHeading"/>
    <w:uiPriority w:val="9"/>
    <w:unhideWhenUsed/>
    <w:qFormat/>
    <w:rsid w:val="00A21AD9"/>
    <w:pPr>
      <w:spacing w:before="240" w:after="120"/>
      <w:outlineLvl w:val="1"/>
    </w:pPr>
    <w:rPr>
      <w:rFonts w:ascii="Calibri" w:hAnsi="Calibri"/>
      <w:b/>
      <w:bCs/>
      <w:color w:val="00507F"/>
      <w:sz w:val="30"/>
      <w:szCs w:val="22"/>
    </w:rPr>
  </w:style>
  <w:style w:type="paragraph" w:customStyle="1" w:styleId="Heading71">
    <w:name w:val="Heading 71"/>
    <w:basedOn w:val="Normal"/>
    <w:next w:val="Normal"/>
    <w:uiPriority w:val="9"/>
    <w:unhideWhenUsed/>
    <w:qFormat/>
    <w:rsid w:val="00A21AD9"/>
    <w:pPr>
      <w:keepNext/>
      <w:keepLines/>
      <w:spacing w:before="40"/>
      <w:outlineLvl w:val="6"/>
    </w:pPr>
    <w:rPr>
      <w:rFonts w:ascii="Calibri" w:eastAsia="Times New Roman" w:hAnsi="Calibri" w:cs="Times New Roman"/>
      <w:i/>
      <w:iCs/>
      <w:color w:val="00273F"/>
      <w:sz w:val="20"/>
      <w:szCs w:val="20"/>
    </w:rPr>
  </w:style>
  <w:style w:type="paragraph" w:customStyle="1" w:styleId="Heading81">
    <w:name w:val="Heading 81"/>
    <w:basedOn w:val="Normal"/>
    <w:next w:val="Normal"/>
    <w:uiPriority w:val="9"/>
    <w:unhideWhenUsed/>
    <w:qFormat/>
    <w:rsid w:val="00A21AD9"/>
    <w:pPr>
      <w:keepNext/>
      <w:keepLines/>
      <w:spacing w:before="40"/>
      <w:outlineLvl w:val="7"/>
    </w:pPr>
    <w:rPr>
      <w:rFonts w:ascii="Calibri" w:eastAsia="Times New Roman" w:hAnsi="Calibri" w:cs="Times New Roman"/>
      <w:color w:val="272727"/>
      <w:sz w:val="21"/>
      <w:szCs w:val="21"/>
    </w:rPr>
  </w:style>
  <w:style w:type="paragraph" w:customStyle="1" w:styleId="Heading91">
    <w:name w:val="Heading 91"/>
    <w:basedOn w:val="Normal"/>
    <w:next w:val="Normal"/>
    <w:uiPriority w:val="9"/>
    <w:unhideWhenUsed/>
    <w:qFormat/>
    <w:rsid w:val="00A21AD9"/>
    <w:pPr>
      <w:keepNext/>
      <w:keepLines/>
      <w:spacing w:before="40"/>
      <w:outlineLvl w:val="8"/>
    </w:pPr>
    <w:rPr>
      <w:rFonts w:ascii="Calibri" w:eastAsia="Times New Roman" w:hAnsi="Calibri" w:cs="Times New Roman"/>
      <w:i/>
      <w:iCs/>
      <w:color w:val="272727"/>
      <w:sz w:val="21"/>
      <w:szCs w:val="21"/>
    </w:rPr>
  </w:style>
  <w:style w:type="numbering" w:customStyle="1" w:styleId="NoList11">
    <w:name w:val="No List11"/>
    <w:next w:val="NoList"/>
    <w:uiPriority w:val="99"/>
    <w:semiHidden/>
    <w:unhideWhenUsed/>
    <w:rsid w:val="00A21AD9"/>
  </w:style>
  <w:style w:type="character" w:customStyle="1" w:styleId="FollowedHyperlink1">
    <w:name w:val="FollowedHyperlink1"/>
    <w:basedOn w:val="DefaultParagraphFont"/>
    <w:uiPriority w:val="99"/>
    <w:unhideWhenUsed/>
    <w:rsid w:val="00A21AD9"/>
    <w:rPr>
      <w:color w:val="49134C"/>
      <w:u w:val="single"/>
    </w:rPr>
  </w:style>
  <w:style w:type="paragraph" w:customStyle="1" w:styleId="FigureTitle">
    <w:name w:val="Figure Title"/>
    <w:basedOn w:val="Caption"/>
    <w:qFormat/>
    <w:rsid w:val="00A21AD9"/>
    <w:rPr>
      <w:rFonts w:ascii="Calibri" w:eastAsia="Times New Roman" w:hAnsi="Calibri"/>
      <w:b w:val="0"/>
      <w:iCs w:val="0"/>
      <w:color w:val="1C252D"/>
      <w:szCs w:val="24"/>
    </w:rPr>
  </w:style>
  <w:style w:type="table" w:customStyle="1" w:styleId="TableStyle-Conclusion">
    <w:name w:val="_Table Style-Conclusion"/>
    <w:basedOn w:val="TableNormal"/>
    <w:uiPriority w:val="99"/>
    <w:rsid w:val="00A21AD9"/>
    <w:pPr>
      <w:spacing w:line="240" w:lineRule="auto"/>
    </w:pPr>
    <w:rPr>
      <w:color w:val="1C252D"/>
      <w:sz w:val="20"/>
      <w:szCs w:val="20"/>
    </w:rPr>
    <w:tblPr>
      <w:tblBorders>
        <w:top w:val="single" w:sz="48" w:space="0" w:color="00507F"/>
      </w:tblBorders>
      <w:tblCellMar>
        <w:left w:w="360" w:type="dxa"/>
        <w:bottom w:w="360" w:type="dxa"/>
        <w:right w:w="360" w:type="dxa"/>
      </w:tblCellMar>
    </w:tblPr>
    <w:tcPr>
      <w:shd w:val="clear" w:color="auto" w:fill="E3E8EE"/>
    </w:tcPr>
  </w:style>
  <w:style w:type="paragraph" w:customStyle="1" w:styleId="FooterLetterhead">
    <w:name w:val="Footer Letterhead"/>
    <w:basedOn w:val="Normal"/>
    <w:qFormat/>
    <w:rsid w:val="00A21AD9"/>
    <w:pPr>
      <w:pBdr>
        <w:top w:val="single" w:sz="8" w:space="10" w:color="009DD7"/>
      </w:pBdr>
      <w:tabs>
        <w:tab w:val="left" w:pos="1080"/>
        <w:tab w:val="center" w:pos="4680"/>
        <w:tab w:val="right" w:pos="9360"/>
      </w:tabs>
      <w:suppressAutoHyphens/>
      <w:spacing w:before="360"/>
      <w:jc w:val="center"/>
    </w:pPr>
    <w:rPr>
      <w:rFonts w:ascii="Calibri" w:eastAsia="MS Mincho" w:hAnsi="Calibri"/>
      <w:color w:val="00507F"/>
      <w:sz w:val="20"/>
      <w:szCs w:val="20"/>
    </w:rPr>
  </w:style>
  <w:style w:type="paragraph" w:customStyle="1" w:styleId="LTRDate">
    <w:name w:val="LTR.Date"/>
    <w:next w:val="LTRAddress"/>
    <w:qFormat/>
    <w:rsid w:val="00A21AD9"/>
    <w:pPr>
      <w:spacing w:before="240" w:after="120" w:line="240" w:lineRule="auto"/>
    </w:pPr>
    <w:rPr>
      <w:rFonts w:eastAsia="Times New Roman" w:cs="Times"/>
      <w:color w:val="auto"/>
    </w:rPr>
  </w:style>
  <w:style w:type="paragraph" w:customStyle="1" w:styleId="LTRAddress">
    <w:name w:val="LTR.Address"/>
    <w:next w:val="Heading1"/>
    <w:qFormat/>
    <w:rsid w:val="00A21AD9"/>
    <w:pPr>
      <w:spacing w:before="480" w:after="120" w:line="240" w:lineRule="auto"/>
      <w:contextualSpacing/>
    </w:pPr>
    <w:rPr>
      <w:rFonts w:eastAsia="Times New Roman" w:cs="Times"/>
      <w:color w:val="auto"/>
    </w:rPr>
  </w:style>
  <w:style w:type="paragraph" w:customStyle="1" w:styleId="Heading1-Letter">
    <w:name w:val="Heading 1-Letter"/>
    <w:basedOn w:val="HeadingFont"/>
    <w:next w:val="BodyText"/>
    <w:qFormat/>
    <w:rsid w:val="00A21AD9"/>
    <w:pPr>
      <w:spacing w:before="240"/>
      <w:ind w:left="1080" w:hanging="1080"/>
      <w:outlineLvl w:val="0"/>
    </w:pPr>
    <w:rPr>
      <w:rFonts w:ascii="Calibri" w:hAnsi="Calibri"/>
      <w:b/>
      <w:bCs/>
      <w:color w:val="1C252D"/>
    </w:rPr>
  </w:style>
  <w:style w:type="paragraph" w:customStyle="1" w:styleId="SignatureTitle">
    <w:name w:val="Signature/Title"/>
    <w:basedOn w:val="BodyText"/>
    <w:qFormat/>
    <w:rsid w:val="00A21AD9"/>
    <w:pPr>
      <w:spacing w:before="720" w:after="0"/>
      <w:contextualSpacing/>
    </w:pPr>
    <w:rPr>
      <w:rFonts w:cs="Times"/>
      <w:color w:val="auto"/>
    </w:rPr>
  </w:style>
  <w:style w:type="paragraph" w:styleId="Closing">
    <w:name w:val="Closing"/>
    <w:basedOn w:val="BodyText"/>
    <w:link w:val="ClosingChar"/>
    <w:rsid w:val="00A21AD9"/>
    <w:pPr>
      <w:spacing w:before="360"/>
    </w:pPr>
    <w:rPr>
      <w:rFonts w:cs="Times"/>
      <w:color w:val="auto"/>
    </w:rPr>
  </w:style>
  <w:style w:type="character" w:customStyle="1" w:styleId="ClosingChar">
    <w:name w:val="Closing Char"/>
    <w:basedOn w:val="DefaultParagraphFont"/>
    <w:link w:val="Closing"/>
    <w:rsid w:val="00A21AD9"/>
    <w:rPr>
      <w:rFonts w:eastAsia="Calibri" w:cs="Times"/>
      <w:color w:val="auto"/>
    </w:rPr>
  </w:style>
  <w:style w:type="paragraph" w:customStyle="1" w:styleId="MemoAddressHeading">
    <w:name w:val="MemoAddressHeading"/>
    <w:qFormat/>
    <w:rsid w:val="00A21AD9"/>
    <w:pPr>
      <w:spacing w:line="240" w:lineRule="auto"/>
    </w:pPr>
    <w:rPr>
      <w:rFonts w:ascii="Calibri" w:eastAsia="Times New Roman" w:hAnsi="Calibri"/>
      <w:b/>
      <w:color w:val="auto"/>
    </w:rPr>
  </w:style>
  <w:style w:type="paragraph" w:customStyle="1" w:styleId="MemoAddressText">
    <w:name w:val="MemoAddressText"/>
    <w:qFormat/>
    <w:rsid w:val="00A21AD9"/>
    <w:pPr>
      <w:spacing w:line="240" w:lineRule="auto"/>
    </w:pPr>
    <w:rPr>
      <w:rFonts w:eastAsia="Times New Roman"/>
      <w:color w:val="auto"/>
    </w:rPr>
  </w:style>
  <w:style w:type="paragraph" w:customStyle="1" w:styleId="MemoHeading">
    <w:name w:val="Memo Heading"/>
    <w:basedOn w:val="Normal"/>
    <w:qFormat/>
    <w:rsid w:val="00A21AD9"/>
    <w:pPr>
      <w:spacing w:after="300" w:line="240" w:lineRule="auto"/>
    </w:pPr>
    <w:rPr>
      <w:rFonts w:ascii="Calibri" w:eastAsia="Times New Roman" w:hAnsi="Calibri" w:cs="Times New Roman"/>
      <w:b/>
      <w:color w:val="00507F"/>
      <w:kern w:val="28"/>
      <w:sz w:val="48"/>
      <w:szCs w:val="40"/>
    </w:rPr>
  </w:style>
  <w:style w:type="paragraph" w:customStyle="1" w:styleId="BodyTextLeftIndent">
    <w:name w:val="Body Text Left Indent"/>
    <w:basedOn w:val="BodyText"/>
    <w:qFormat/>
    <w:rsid w:val="00A21AD9"/>
    <w:pPr>
      <w:ind w:left="360"/>
    </w:pPr>
    <w:rPr>
      <w:color w:val="1C252D"/>
      <w:szCs w:val="20"/>
    </w:rPr>
  </w:style>
  <w:style w:type="character" w:customStyle="1" w:styleId="Heading2Char1">
    <w:name w:val="Heading 2 Char1"/>
    <w:basedOn w:val="DefaultParagraphFont"/>
    <w:uiPriority w:val="9"/>
    <w:rsid w:val="00A21AD9"/>
    <w:rPr>
      <w:rFonts w:ascii="Calibri" w:eastAsia="MS Gothic" w:hAnsi="Calibri" w:cs="Times New Roman"/>
      <w:color w:val="003B5F"/>
      <w:sz w:val="26"/>
      <w:szCs w:val="26"/>
    </w:rPr>
  </w:style>
  <w:style w:type="character" w:customStyle="1" w:styleId="Heading1Char1">
    <w:name w:val="Heading 1 Char1"/>
    <w:basedOn w:val="DefaultParagraphFont"/>
    <w:uiPriority w:val="9"/>
    <w:rsid w:val="00A21AD9"/>
    <w:rPr>
      <w:rFonts w:ascii="Calibri" w:eastAsia="MS Gothic" w:hAnsi="Calibri" w:cs="Times New Roman"/>
      <w:color w:val="003B5F"/>
      <w:sz w:val="32"/>
      <w:szCs w:val="32"/>
    </w:rPr>
  </w:style>
  <w:style w:type="character" w:customStyle="1" w:styleId="Heading7Char1">
    <w:name w:val="Heading 7 Char1"/>
    <w:basedOn w:val="DefaultParagraphFont"/>
    <w:uiPriority w:val="9"/>
    <w:semiHidden/>
    <w:rsid w:val="00A21AD9"/>
    <w:rPr>
      <w:rFonts w:ascii="Calibri" w:eastAsia="MS Gothic" w:hAnsi="Calibri" w:cs="Times New Roman"/>
      <w:i/>
      <w:iCs/>
      <w:color w:val="00273F"/>
    </w:rPr>
  </w:style>
  <w:style w:type="character" w:customStyle="1" w:styleId="Heading8Char1">
    <w:name w:val="Heading 8 Char1"/>
    <w:basedOn w:val="DefaultParagraphFont"/>
    <w:uiPriority w:val="9"/>
    <w:semiHidden/>
    <w:rsid w:val="00A21AD9"/>
    <w:rPr>
      <w:rFonts w:ascii="Calibri" w:eastAsia="MS Gothic" w:hAnsi="Calibri" w:cs="Times New Roman"/>
      <w:color w:val="272727"/>
      <w:sz w:val="21"/>
      <w:szCs w:val="21"/>
    </w:rPr>
  </w:style>
  <w:style w:type="character" w:customStyle="1" w:styleId="Heading9Char1">
    <w:name w:val="Heading 9 Char1"/>
    <w:basedOn w:val="DefaultParagraphFont"/>
    <w:uiPriority w:val="9"/>
    <w:semiHidden/>
    <w:rsid w:val="00A21AD9"/>
    <w:rPr>
      <w:rFonts w:ascii="Calibri" w:eastAsia="MS Gothic" w:hAnsi="Calibri" w:cs="Times New Roman"/>
      <w:i/>
      <w:iCs/>
      <w:color w:val="272727"/>
      <w:sz w:val="21"/>
      <w:szCs w:val="21"/>
    </w:rPr>
  </w:style>
  <w:style w:type="paragraph" w:styleId="NormalWeb">
    <w:name w:val="Normal (Web)"/>
    <w:basedOn w:val="Normal"/>
    <w:uiPriority w:val="99"/>
    <w:unhideWhenUsed/>
    <w:rsid w:val="00A21AD9"/>
    <w:pPr>
      <w:spacing w:before="100" w:beforeAutospacing="1" w:after="100" w:afterAutospacing="1" w:line="240" w:lineRule="auto"/>
    </w:pPr>
    <w:rPr>
      <w:rFonts w:ascii="Times New Roman" w:eastAsia="Times New Roman" w:hAnsi="Times New Roman" w:cs="Times New Roman"/>
      <w:color w:val="auto"/>
    </w:rPr>
  </w:style>
  <w:style w:type="character" w:customStyle="1" w:styleId="cf11">
    <w:name w:val="cf11"/>
    <w:basedOn w:val="DefaultParagraphFont"/>
    <w:rsid w:val="00A21AD9"/>
    <w:rPr>
      <w:rFonts w:ascii="Segoe UI" w:hAnsi="Segoe UI" w:cs="Segoe UI" w:hint="default"/>
      <w:color w:val="1C252D"/>
      <w:sz w:val="18"/>
      <w:szCs w:val="18"/>
    </w:rPr>
  </w:style>
  <w:style w:type="paragraph" w:customStyle="1" w:styleId="Table10rightalign">
    <w:name w:val="Table 10 right align"/>
    <w:basedOn w:val="Table10Basic"/>
    <w:qFormat/>
    <w:rsid w:val="00A21AD9"/>
    <w:pPr>
      <w:spacing w:before="40" w:after="20" w:line="240" w:lineRule="auto"/>
      <w:jc w:val="right"/>
    </w:pPr>
    <w:rPr>
      <w:rFonts w:ascii="Calibri" w:hAnsi="Calibri"/>
      <w:color w:val="1C252D"/>
      <w:lang w:bidi="hi-IN"/>
    </w:rPr>
  </w:style>
  <w:style w:type="character" w:styleId="PlaceholderText">
    <w:name w:val="Placeholder Text"/>
    <w:basedOn w:val="DefaultParagraphFont"/>
    <w:uiPriority w:val="99"/>
    <w:semiHidden/>
    <w:rsid w:val="00A21AD9"/>
    <w:rPr>
      <w:color w:val="808080"/>
    </w:rPr>
  </w:style>
  <w:style w:type="character" w:customStyle="1" w:styleId="apple-converted-space">
    <w:name w:val="apple-converted-space"/>
    <w:basedOn w:val="DefaultParagraphFont"/>
    <w:rsid w:val="00A21AD9"/>
  </w:style>
  <w:style w:type="table" w:customStyle="1" w:styleId="GridTable4-Accent11">
    <w:name w:val="Grid Table 4 - Accent 11"/>
    <w:basedOn w:val="TableNormal"/>
    <w:next w:val="GridTable4Accent1"/>
    <w:uiPriority w:val="49"/>
    <w:rsid w:val="00A21AD9"/>
    <w:pPr>
      <w:spacing w:line="240" w:lineRule="auto"/>
    </w:pPr>
    <w:rPr>
      <w:color w:val="auto"/>
      <w:kern w:val="2"/>
      <w:sz w:val="22"/>
      <w:szCs w:val="22"/>
      <w14:ligatures w14:val="standardContextual"/>
    </w:rPr>
    <w:tblPr>
      <w:tblStyleRowBandSize w:val="1"/>
      <w:tblStyleColBandSize w:val="1"/>
      <w:tblBorders>
        <w:top w:val="single" w:sz="4" w:space="0" w:color="19A9FF"/>
        <w:left w:val="single" w:sz="4" w:space="0" w:color="19A9FF"/>
        <w:bottom w:val="single" w:sz="4" w:space="0" w:color="19A9FF"/>
        <w:right w:val="single" w:sz="4" w:space="0" w:color="19A9FF"/>
        <w:insideH w:val="single" w:sz="4" w:space="0" w:color="19A9FF"/>
        <w:insideV w:val="single" w:sz="4" w:space="0" w:color="19A9FF"/>
      </w:tblBorders>
    </w:tblPr>
    <w:tblStylePr w:type="firstRow">
      <w:rPr>
        <w:b/>
        <w:bCs/>
        <w:color w:val="FFFFFF"/>
      </w:rPr>
      <w:tblPr/>
      <w:tcPr>
        <w:tcBorders>
          <w:top w:val="single" w:sz="4" w:space="0" w:color="00507F"/>
          <w:left w:val="single" w:sz="4" w:space="0" w:color="00507F"/>
          <w:bottom w:val="single" w:sz="4" w:space="0" w:color="00507F"/>
          <w:right w:val="single" w:sz="4" w:space="0" w:color="00507F"/>
          <w:insideH w:val="nil"/>
          <w:insideV w:val="nil"/>
        </w:tcBorders>
        <w:shd w:val="clear" w:color="auto" w:fill="00507F"/>
      </w:tcPr>
    </w:tblStylePr>
    <w:tblStylePr w:type="lastRow">
      <w:rPr>
        <w:b/>
        <w:bCs/>
      </w:rPr>
      <w:tblPr/>
      <w:tcPr>
        <w:tcBorders>
          <w:top w:val="double" w:sz="4" w:space="0" w:color="00507F"/>
        </w:tcBorders>
      </w:tcPr>
    </w:tblStylePr>
    <w:tblStylePr w:type="firstCol">
      <w:rPr>
        <w:b/>
        <w:bCs/>
      </w:rPr>
    </w:tblStylePr>
    <w:tblStylePr w:type="lastCol">
      <w:rPr>
        <w:b/>
        <w:bCs/>
      </w:rPr>
    </w:tblStylePr>
    <w:tblStylePr w:type="band1Vert">
      <w:tblPr/>
      <w:tcPr>
        <w:shd w:val="clear" w:color="auto" w:fill="B2E2FF"/>
      </w:tcPr>
    </w:tblStylePr>
    <w:tblStylePr w:type="band1Horz">
      <w:tblPr/>
      <w:tcPr>
        <w:shd w:val="clear" w:color="auto" w:fill="B2E2FF"/>
      </w:tcPr>
    </w:tblStylePr>
  </w:style>
  <w:style w:type="paragraph" w:customStyle="1" w:styleId="xmsonormal">
    <w:name w:val="x_msonormal"/>
    <w:basedOn w:val="Normal"/>
    <w:rsid w:val="00A21AD9"/>
    <w:pPr>
      <w:spacing w:before="100" w:beforeAutospacing="1" w:after="100" w:afterAutospacing="1" w:line="240" w:lineRule="auto"/>
    </w:pPr>
    <w:rPr>
      <w:rFonts w:ascii="Times New Roman" w:eastAsia="Times New Roman" w:hAnsi="Times New Roman" w:cs="Times New Roman"/>
      <w:color w:val="auto"/>
    </w:rPr>
  </w:style>
  <w:style w:type="character" w:customStyle="1" w:styleId="Mention1">
    <w:name w:val="Mention1"/>
    <w:basedOn w:val="DefaultParagraphFont"/>
    <w:uiPriority w:val="99"/>
    <w:unhideWhenUsed/>
    <w:rsid w:val="00A21AD9"/>
    <w:rPr>
      <w:color w:val="2B579A"/>
      <w:shd w:val="clear" w:color="auto" w:fill="E1DFDD"/>
    </w:rPr>
  </w:style>
  <w:style w:type="character" w:customStyle="1" w:styleId="authorname">
    <w:name w:val="authorname"/>
    <w:basedOn w:val="DefaultParagraphFont"/>
    <w:rsid w:val="00A21AD9"/>
  </w:style>
  <w:style w:type="character" w:customStyle="1" w:styleId="separator">
    <w:name w:val="separator"/>
    <w:basedOn w:val="DefaultParagraphFont"/>
    <w:rsid w:val="00A21AD9"/>
  </w:style>
  <w:style w:type="character" w:customStyle="1" w:styleId="Date1">
    <w:name w:val="Date1"/>
    <w:basedOn w:val="DefaultParagraphFont"/>
    <w:rsid w:val="00A21AD9"/>
  </w:style>
  <w:style w:type="character" w:customStyle="1" w:styleId="arttitle">
    <w:name w:val="art_title"/>
    <w:basedOn w:val="DefaultParagraphFont"/>
    <w:rsid w:val="00A21AD9"/>
  </w:style>
  <w:style w:type="character" w:customStyle="1" w:styleId="serialtitle">
    <w:name w:val="serial_title"/>
    <w:basedOn w:val="DefaultParagraphFont"/>
    <w:rsid w:val="00A21AD9"/>
  </w:style>
  <w:style w:type="character" w:customStyle="1" w:styleId="volumeissue">
    <w:name w:val="volume_issue"/>
    <w:basedOn w:val="DefaultParagraphFont"/>
    <w:rsid w:val="00A21AD9"/>
  </w:style>
  <w:style w:type="character" w:customStyle="1" w:styleId="pagerange">
    <w:name w:val="page_range"/>
    <w:basedOn w:val="DefaultParagraphFont"/>
    <w:rsid w:val="00A21AD9"/>
  </w:style>
  <w:style w:type="paragraph" w:customStyle="1" w:styleId="Style1">
    <w:name w:val="Style1"/>
    <w:basedOn w:val="Normal"/>
    <w:qFormat/>
    <w:rsid w:val="00A21AD9"/>
    <w:pPr>
      <w:spacing w:line="240" w:lineRule="auto"/>
      <w:ind w:left="113" w:right="113"/>
      <w:jc w:val="center"/>
    </w:pPr>
    <w:rPr>
      <w:rFonts w:cs="Calibri"/>
      <w:color w:val="000000"/>
      <w:sz w:val="20"/>
      <w:szCs w:val="20"/>
      <w:shd w:val="clear" w:color="auto" w:fill="FFFFFF"/>
    </w:rPr>
  </w:style>
  <w:style w:type="paragraph" w:customStyle="1" w:styleId="Style2">
    <w:name w:val="Style2"/>
    <w:basedOn w:val="Style1"/>
    <w:qFormat/>
    <w:rsid w:val="00A21AD9"/>
  </w:style>
  <w:style w:type="paragraph" w:customStyle="1" w:styleId="Style3">
    <w:name w:val="Style3"/>
    <w:basedOn w:val="Normal"/>
    <w:next w:val="Normal"/>
    <w:qFormat/>
    <w:rsid w:val="00A21AD9"/>
    <w:pPr>
      <w:spacing w:line="240" w:lineRule="auto"/>
    </w:pPr>
    <w:rPr>
      <w:rFonts w:cs="Calibri"/>
      <w:color w:val="000000"/>
      <w:sz w:val="20"/>
      <w:szCs w:val="20"/>
      <w:shd w:val="clear" w:color="auto" w:fill="FFFFFF"/>
    </w:rPr>
  </w:style>
  <w:style w:type="paragraph" w:customStyle="1" w:styleId="Style4">
    <w:name w:val="Style4"/>
    <w:basedOn w:val="Normal"/>
    <w:next w:val="Normal"/>
    <w:qFormat/>
    <w:rsid w:val="00A21AD9"/>
    <w:pPr>
      <w:spacing w:line="240" w:lineRule="auto"/>
      <w:ind w:left="113" w:right="113"/>
      <w:jc w:val="center"/>
    </w:pPr>
    <w:rPr>
      <w:rFonts w:ascii="Calibri" w:hAnsi="Calibri" w:cs="Calibri"/>
      <w:color w:val="000000"/>
      <w:sz w:val="20"/>
      <w:szCs w:val="20"/>
      <w:shd w:val="clear" w:color="auto" w:fill="FFFFFF"/>
    </w:rPr>
  </w:style>
  <w:style w:type="character" w:customStyle="1" w:styleId="scxw262338673">
    <w:name w:val="scxw262338673"/>
    <w:basedOn w:val="DefaultParagraphFont"/>
    <w:rsid w:val="00A21AD9"/>
  </w:style>
  <w:style w:type="numbering" w:customStyle="1" w:styleId="OrderedList-Body">
    <w:name w:val="_OrderedList-Body"/>
    <w:uiPriority w:val="99"/>
    <w:rsid w:val="00A21AD9"/>
  </w:style>
  <w:style w:type="paragraph" w:customStyle="1" w:styleId="SurveySpecify4">
    <w:name w:val="Survey Specify 4&quot;"/>
    <w:basedOn w:val="Normal"/>
    <w:rsid w:val="00A21AD9"/>
    <w:pPr>
      <w:tabs>
        <w:tab w:val="left" w:leader="underscore" w:pos="5760"/>
      </w:tabs>
      <w:spacing w:before="120" w:after="120" w:line="240" w:lineRule="auto"/>
      <w:ind w:left="1152"/>
    </w:pPr>
    <w:rPr>
      <w:color w:val="1C252D"/>
      <w:sz w:val="20"/>
      <w:szCs w:val="20"/>
    </w:rPr>
  </w:style>
  <w:style w:type="paragraph" w:customStyle="1" w:styleId="SurveySpecify1">
    <w:name w:val="Survey Specify 1&quot;"/>
    <w:basedOn w:val="Normal"/>
    <w:qFormat/>
    <w:rsid w:val="00A21AD9"/>
    <w:pPr>
      <w:tabs>
        <w:tab w:val="left" w:leader="underscore" w:pos="1440"/>
      </w:tabs>
      <w:spacing w:before="40" w:after="40" w:line="240" w:lineRule="auto"/>
    </w:pPr>
    <w:rPr>
      <w:color w:val="1C252D"/>
      <w:sz w:val="20"/>
      <w:szCs w:val="20"/>
    </w:rPr>
  </w:style>
  <w:style w:type="paragraph" w:customStyle="1" w:styleId="SurveyASectionHead">
    <w:name w:val="Survey A. Section Head"/>
    <w:basedOn w:val="Normal"/>
    <w:rsid w:val="00A21AD9"/>
    <w:pPr>
      <w:tabs>
        <w:tab w:val="num" w:pos="360"/>
      </w:tabs>
      <w:spacing w:before="40" w:after="40" w:line="240" w:lineRule="auto"/>
      <w:ind w:left="720" w:hanging="360"/>
      <w:outlineLvl w:val="2"/>
    </w:pPr>
    <w:rPr>
      <w:color w:val="auto"/>
      <w:sz w:val="20"/>
      <w:szCs w:val="20"/>
    </w:rPr>
  </w:style>
  <w:style w:type="paragraph" w:customStyle="1" w:styleId="Surveysubheading">
    <w:name w:val="Survey subheading"/>
    <w:basedOn w:val="Normal"/>
    <w:qFormat/>
    <w:rsid w:val="00A21AD9"/>
    <w:pPr>
      <w:pBdr>
        <w:top w:val="single" w:sz="2" w:space="1" w:color="E8F7FE"/>
        <w:left w:val="single" w:sz="2" w:space="4" w:color="E8F7FE"/>
        <w:bottom w:val="single" w:sz="2" w:space="1" w:color="E8F7FE"/>
        <w:right w:val="single" w:sz="2" w:space="4" w:color="E8F7FE"/>
      </w:pBdr>
      <w:shd w:val="clear" w:color="auto" w:fill="E8F7FE"/>
      <w:spacing w:before="40" w:after="40" w:line="240" w:lineRule="auto"/>
    </w:pPr>
    <w:rPr>
      <w:color w:val="1C252D"/>
      <w:sz w:val="20"/>
      <w:szCs w:val="20"/>
    </w:rPr>
  </w:style>
  <w:style w:type="table" w:customStyle="1" w:styleId="TableStyle-Survey">
    <w:name w:val="_Table Style - Survey"/>
    <w:basedOn w:val="TableNormal"/>
    <w:uiPriority w:val="99"/>
    <w:rsid w:val="00A21AD9"/>
    <w:pPr>
      <w:spacing w:before="80" w:after="80" w:line="240" w:lineRule="auto"/>
    </w:pPr>
    <w:rPr>
      <w:color w:val="1C252D"/>
      <w:sz w:val="20"/>
      <w:szCs w:val="20"/>
    </w:rPr>
    <w:tblPr>
      <w:tblBorders>
        <w:top w:val="single" w:sz="8" w:space="0" w:color="D9D9D9"/>
        <w:bottom w:val="single" w:sz="6" w:space="0" w:color="00507F"/>
        <w:insideH w:val="single" w:sz="8" w:space="0" w:color="D9D9D9"/>
        <w:insideV w:val="single" w:sz="8" w:space="0" w:color="D9D9D9"/>
      </w:tblBorders>
      <w:tblCellMar>
        <w:left w:w="58" w:type="dxa"/>
        <w:right w:w="58" w:type="dxa"/>
      </w:tblCellMar>
    </w:tblPr>
    <w:tblStylePr w:type="firstRow">
      <w:pPr>
        <w:jc w:val="left"/>
      </w:pPr>
      <w:rPr>
        <w:b w:val="0"/>
        <w:color w:val="auto"/>
      </w:rPr>
    </w:tblStylePr>
  </w:style>
  <w:style w:type="numbering" w:customStyle="1" w:styleId="Survey1-a-i">
    <w:name w:val="_Survey 1-a-i"/>
    <w:uiPriority w:val="99"/>
    <w:rsid w:val="00A21AD9"/>
    <w:pPr>
      <w:numPr>
        <w:numId w:val="29"/>
      </w:numPr>
    </w:pPr>
  </w:style>
  <w:style w:type="paragraph" w:customStyle="1" w:styleId="SurveyL1IfYes">
    <w:name w:val="Survey L1 If Yes"/>
    <w:basedOn w:val="Normal"/>
    <w:rsid w:val="00A21AD9"/>
    <w:pPr>
      <w:spacing w:before="120" w:after="40" w:line="240" w:lineRule="auto"/>
      <w:ind w:left="576"/>
    </w:pPr>
    <w:rPr>
      <w:bCs/>
      <w:i/>
      <w:iCs/>
      <w:color w:val="auto"/>
      <w:sz w:val="20"/>
      <w:szCs w:val="20"/>
    </w:rPr>
  </w:style>
  <w:style w:type="paragraph" w:customStyle="1" w:styleId="SurveyLevel2a">
    <w:name w:val="Survey Level 2a"/>
    <w:basedOn w:val="Normal"/>
    <w:rsid w:val="00A21AD9"/>
    <w:pPr>
      <w:spacing w:line="240" w:lineRule="auto"/>
      <w:ind w:left="216"/>
    </w:pPr>
    <w:rPr>
      <w:color w:val="1C252D"/>
      <w:sz w:val="20"/>
      <w:szCs w:val="20"/>
    </w:rPr>
  </w:style>
  <w:style w:type="paragraph" w:customStyle="1" w:styleId="SurveyLevel2bforward">
    <w:name w:val="Survey Level 2b forward"/>
    <w:basedOn w:val="SurveyLevel2a"/>
    <w:rsid w:val="00A21AD9"/>
    <w:pPr>
      <w:adjustRightInd w:val="0"/>
      <w:spacing w:after="120"/>
      <w:contextualSpacing/>
    </w:pPr>
  </w:style>
  <w:style w:type="paragraph" w:customStyle="1" w:styleId="SurveyLevel1">
    <w:name w:val="Survey Level 1"/>
    <w:basedOn w:val="Normal"/>
    <w:rsid w:val="00A21AD9"/>
    <w:pPr>
      <w:spacing w:before="40" w:after="120" w:line="240" w:lineRule="auto"/>
    </w:pPr>
    <w:rPr>
      <w:color w:val="1C252D"/>
      <w:sz w:val="20"/>
      <w:szCs w:val="20"/>
    </w:rPr>
  </w:style>
  <w:style w:type="paragraph" w:customStyle="1" w:styleId="SurveyLevel1a">
    <w:name w:val="Survey Level 1a"/>
    <w:basedOn w:val="Normal"/>
    <w:rsid w:val="00A21AD9"/>
    <w:pPr>
      <w:spacing w:before="120" w:after="120" w:line="240" w:lineRule="auto"/>
    </w:pPr>
    <w:rPr>
      <w:color w:val="auto"/>
      <w:sz w:val="20"/>
      <w:szCs w:val="20"/>
    </w:rPr>
  </w:style>
  <w:style w:type="paragraph" w:customStyle="1" w:styleId="SurveyHeaderQ">
    <w:name w:val="Survey HeaderQ"/>
    <w:basedOn w:val="Normal"/>
    <w:rsid w:val="00A21AD9"/>
    <w:pPr>
      <w:spacing w:after="40" w:line="240" w:lineRule="auto"/>
      <w:ind w:left="216" w:hanging="216"/>
    </w:pPr>
    <w:rPr>
      <w:b/>
      <w:bCs/>
      <w:color w:val="auto"/>
      <w:sz w:val="20"/>
      <w:szCs w:val="20"/>
    </w:rPr>
  </w:style>
  <w:style w:type="paragraph" w:customStyle="1" w:styleId="SurveySectionTableHeading">
    <w:name w:val="Survey Section Table Heading"/>
    <w:basedOn w:val="Heading3"/>
    <w:rsid w:val="00A21AD9"/>
    <w:pPr>
      <w:numPr>
        <w:ilvl w:val="0"/>
      </w:numPr>
      <w:pBdr>
        <w:top w:val="single" w:sz="8" w:space="4" w:color="auto"/>
        <w:left w:val="single" w:sz="8" w:space="4" w:color="E2E6E8"/>
        <w:bottom w:val="single" w:sz="8" w:space="4" w:color="auto"/>
        <w:right w:val="single" w:sz="8" w:space="4" w:color="E2E6E8"/>
      </w:pBdr>
      <w:shd w:val="clear" w:color="auto" w:fill="E2E6E8"/>
      <w:suppressAutoHyphens/>
      <w:spacing w:before="0" w:after="0"/>
      <w:ind w:right="100"/>
      <w:contextualSpacing/>
    </w:pPr>
    <w:rPr>
      <w:bCs/>
      <w:color w:val="00507F"/>
      <w:sz w:val="20"/>
      <w:szCs w:val="24"/>
    </w:rPr>
  </w:style>
  <w:style w:type="paragraph" w:customStyle="1" w:styleId="SurveyLevel1acont">
    <w:name w:val="Survey Level 1a cont"/>
    <w:basedOn w:val="SurveyLevel1a"/>
    <w:rsid w:val="00A21AD9"/>
    <w:pPr>
      <w:ind w:left="576"/>
    </w:pPr>
  </w:style>
  <w:style w:type="paragraph" w:customStyle="1" w:styleId="SurveySpaceforfilling">
    <w:name w:val="Survey Space for filling"/>
    <w:basedOn w:val="Normal"/>
    <w:rsid w:val="00A21AD9"/>
    <w:pPr>
      <w:spacing w:before="160" w:after="40" w:line="240" w:lineRule="auto"/>
    </w:pPr>
    <w:rPr>
      <w:color w:val="1C252D"/>
      <w:sz w:val="20"/>
      <w:szCs w:val="20"/>
    </w:rPr>
  </w:style>
  <w:style w:type="numbering" w:customStyle="1" w:styleId="List-multilevel-Survey">
    <w:name w:val="_List-multilevel-Survey"/>
    <w:uiPriority w:val="99"/>
    <w:rsid w:val="00A21AD9"/>
    <w:pPr>
      <w:numPr>
        <w:numId w:val="30"/>
      </w:numPr>
    </w:pPr>
  </w:style>
  <w:style w:type="paragraph" w:customStyle="1" w:styleId="SurveyYesNo">
    <w:name w:val="Survey YesNo"/>
    <w:basedOn w:val="Normal"/>
    <w:rsid w:val="00A21AD9"/>
    <w:pPr>
      <w:spacing w:line="240" w:lineRule="auto"/>
      <w:ind w:left="576"/>
      <w:contextualSpacing/>
    </w:pPr>
    <w:rPr>
      <w:color w:val="1C252D"/>
      <w:sz w:val="20"/>
      <w:szCs w:val="20"/>
    </w:rPr>
  </w:style>
  <w:style w:type="paragraph" w:customStyle="1" w:styleId="SurveyabYesNo">
    <w:name w:val="Survey ab YesNo"/>
    <w:basedOn w:val="Normal"/>
    <w:rsid w:val="00A21AD9"/>
    <w:pPr>
      <w:spacing w:line="240" w:lineRule="auto"/>
    </w:pPr>
    <w:rPr>
      <w:color w:val="auto"/>
      <w:sz w:val="20"/>
      <w:szCs w:val="20"/>
    </w:rPr>
  </w:style>
  <w:style w:type="paragraph" w:customStyle="1" w:styleId="SurveyLevel2">
    <w:name w:val="Survey Level 2"/>
    <w:basedOn w:val="Normal"/>
    <w:rsid w:val="00A21AD9"/>
    <w:pPr>
      <w:spacing w:line="240" w:lineRule="auto"/>
    </w:pPr>
    <w:rPr>
      <w:color w:val="1C252D"/>
      <w:sz w:val="20"/>
      <w:szCs w:val="20"/>
    </w:rPr>
  </w:style>
  <w:style w:type="paragraph" w:customStyle="1" w:styleId="surveylevel3">
    <w:name w:val="survey level 3"/>
    <w:basedOn w:val="Normal"/>
    <w:rsid w:val="00A21AD9"/>
    <w:pPr>
      <w:spacing w:line="240" w:lineRule="auto"/>
    </w:pPr>
    <w:rPr>
      <w:color w:val="1C252D"/>
      <w:sz w:val="20"/>
      <w:szCs w:val="20"/>
    </w:rPr>
  </w:style>
  <w:style w:type="paragraph" w:customStyle="1" w:styleId="SurveyL1">
    <w:name w:val="Survey L1"/>
    <w:basedOn w:val="Normal"/>
    <w:rsid w:val="00A21AD9"/>
    <w:pPr>
      <w:spacing w:line="240" w:lineRule="auto"/>
    </w:pPr>
    <w:rPr>
      <w:color w:val="1C252D"/>
      <w:sz w:val="20"/>
      <w:szCs w:val="20"/>
    </w:rPr>
  </w:style>
  <w:style w:type="paragraph" w:customStyle="1" w:styleId="SurveyL2">
    <w:name w:val="Survey L2"/>
    <w:basedOn w:val="Normal"/>
    <w:rsid w:val="00A21AD9"/>
    <w:pPr>
      <w:tabs>
        <w:tab w:val="num" w:pos="360"/>
      </w:tabs>
      <w:spacing w:line="240" w:lineRule="auto"/>
      <w:ind w:left="216"/>
    </w:pPr>
    <w:rPr>
      <w:color w:val="1C252D"/>
      <w:sz w:val="20"/>
      <w:szCs w:val="20"/>
    </w:rPr>
  </w:style>
  <w:style w:type="paragraph" w:customStyle="1" w:styleId="SurveyLetterOnly">
    <w:name w:val="Survey Letter Only"/>
    <w:basedOn w:val="Normal"/>
    <w:rsid w:val="00A21AD9"/>
    <w:pPr>
      <w:tabs>
        <w:tab w:val="left" w:leader="underscore" w:pos="7200"/>
      </w:tabs>
      <w:spacing w:before="80" w:after="80" w:line="240" w:lineRule="auto"/>
      <w:ind w:left="288"/>
    </w:pPr>
    <w:rPr>
      <w:color w:val="1C252D"/>
      <w:sz w:val="20"/>
      <w:szCs w:val="20"/>
    </w:rPr>
  </w:style>
  <w:style w:type="paragraph" w:customStyle="1" w:styleId="SurveyNumberOnly">
    <w:name w:val="Survey Number Only"/>
    <w:basedOn w:val="Normal"/>
    <w:rsid w:val="00A21AD9"/>
    <w:pPr>
      <w:tabs>
        <w:tab w:val="right" w:leader="underscore" w:pos="7200"/>
      </w:tabs>
      <w:spacing w:before="120" w:after="120" w:line="240" w:lineRule="auto"/>
      <w:ind w:left="288"/>
    </w:pPr>
    <w:rPr>
      <w:color w:val="1C252D"/>
      <w:sz w:val="20"/>
      <w:szCs w:val="20"/>
    </w:rPr>
  </w:style>
  <w:style w:type="paragraph" w:customStyle="1" w:styleId="SurveySectionTableHeadingContinued">
    <w:name w:val="Survey Section Table Heading Continued"/>
    <w:basedOn w:val="SurveySectionTableHeading"/>
    <w:qFormat/>
    <w:rsid w:val="00A21AD9"/>
    <w:pPr>
      <w:ind w:left="360" w:hanging="360"/>
    </w:pPr>
  </w:style>
  <w:style w:type="numbering" w:customStyle="1" w:styleId="List-multilevel-Survey1">
    <w:name w:val="_List-multilevel-Survey1"/>
    <w:uiPriority w:val="99"/>
    <w:rsid w:val="00A21AD9"/>
  </w:style>
  <w:style w:type="numbering" w:customStyle="1" w:styleId="List-multilevel-Survey21">
    <w:name w:val="_List-multilevel-Survey21"/>
    <w:uiPriority w:val="99"/>
    <w:rsid w:val="00A21AD9"/>
  </w:style>
  <w:style w:type="numbering" w:customStyle="1" w:styleId="List-multilevel-Survey3">
    <w:name w:val="_List-multilevel-Survey3"/>
    <w:uiPriority w:val="99"/>
    <w:rsid w:val="00A21AD9"/>
  </w:style>
  <w:style w:type="numbering" w:customStyle="1" w:styleId="List-multilevel-Survey4">
    <w:name w:val="_List-multilevel-Survey4"/>
    <w:uiPriority w:val="99"/>
    <w:rsid w:val="00A21AD9"/>
  </w:style>
  <w:style w:type="character" w:customStyle="1" w:styleId="scxw17342876">
    <w:name w:val="scxw17342876"/>
    <w:basedOn w:val="DefaultParagraphFont"/>
    <w:rsid w:val="00A21AD9"/>
  </w:style>
  <w:style w:type="paragraph" w:customStyle="1" w:styleId="Table10Question">
    <w:name w:val="Table 10 Question"/>
    <w:basedOn w:val="Table10Basic"/>
    <w:qFormat/>
    <w:rsid w:val="00A21AD9"/>
    <w:pPr>
      <w:spacing w:before="120" w:after="20" w:line="240" w:lineRule="auto"/>
      <w:ind w:left="360" w:hanging="360"/>
    </w:pPr>
  </w:style>
  <w:style w:type="paragraph" w:customStyle="1" w:styleId="Table10Indent">
    <w:name w:val="Table 10 Indent"/>
    <w:basedOn w:val="Table10Basic"/>
    <w:qFormat/>
    <w:rsid w:val="00A21AD9"/>
    <w:pPr>
      <w:spacing w:before="40" w:after="20" w:line="240" w:lineRule="auto"/>
      <w:ind w:left="360"/>
    </w:pPr>
  </w:style>
  <w:style w:type="paragraph" w:customStyle="1" w:styleId="Table10-LargeSpaceBefore">
    <w:name w:val="Table 10-Large Space Before"/>
    <w:basedOn w:val="Table10Basic"/>
    <w:qFormat/>
    <w:rsid w:val="00A21AD9"/>
    <w:pPr>
      <w:spacing w:before="600" w:after="20" w:line="240" w:lineRule="auto"/>
    </w:pPr>
  </w:style>
  <w:style w:type="table" w:customStyle="1" w:styleId="TableStyle-AIR20211">
    <w:name w:val="__Table Style-AIR 20211"/>
    <w:basedOn w:val="TableNormal"/>
    <w:uiPriority w:val="99"/>
    <w:rsid w:val="00A21AD9"/>
    <w:pPr>
      <w:spacing w:line="240" w:lineRule="auto"/>
    </w:pPr>
    <w:rPr>
      <w:color w:val="1C252D"/>
      <w:sz w:val="20"/>
    </w:rPr>
    <w:tblPr>
      <w:tblStyleRowBandSize w:val="1"/>
      <w:tblBorders>
        <w:bottom w:val="single" w:sz="6" w:space="0" w:color="00507F"/>
        <w:insideH w:val="single" w:sz="8" w:space="0" w:color="D9D9D9"/>
        <w:insideV w:val="single" w:sz="8" w:space="0" w:color="D9D9D9"/>
      </w:tblBorders>
    </w:tblPr>
    <w:tblStylePr w:type="firstRow">
      <w:pPr>
        <w:jc w:val="center"/>
      </w:pPr>
      <w:rPr>
        <w:b w:val="0"/>
        <w:color w:val="FFFFFF"/>
      </w:rPr>
      <w:tblPr/>
      <w:tcPr>
        <w:tcBorders>
          <w:top w:val="single" w:sz="6" w:space="0" w:color="FFFFFF"/>
          <w:left w:val="nil"/>
          <w:bottom w:val="single" w:sz="24" w:space="0" w:color="009DD7"/>
          <w:right w:val="nil"/>
          <w:insideH w:val="single" w:sz="6" w:space="0" w:color="FFFFFF"/>
          <w:insideV w:val="single" w:sz="6" w:space="0" w:color="FFFFFF"/>
          <w:tl2br w:val="nil"/>
          <w:tr2bl w:val="nil"/>
        </w:tcBorders>
        <w:shd w:val="clear" w:color="auto" w:fill="00507F"/>
      </w:tcPr>
    </w:tblStylePr>
    <w:tblStylePr w:type="band2Horz">
      <w:tblPr/>
      <w:tcPr>
        <w:shd w:val="clear" w:color="auto" w:fill="F3FBFF"/>
      </w:tcPr>
    </w:tblStylePr>
  </w:style>
  <w:style w:type="table" w:customStyle="1" w:styleId="TableStyle-AIR20212">
    <w:name w:val="__Table Style-AIR 20212"/>
    <w:basedOn w:val="TableNormal"/>
    <w:uiPriority w:val="99"/>
    <w:rsid w:val="00A21AD9"/>
    <w:pPr>
      <w:spacing w:line="240" w:lineRule="auto"/>
    </w:pPr>
    <w:rPr>
      <w:color w:val="1C252D"/>
      <w:sz w:val="20"/>
    </w:rPr>
    <w:tblPr>
      <w:tblStyleRowBandSize w:val="1"/>
      <w:tblBorders>
        <w:bottom w:val="single" w:sz="6" w:space="0" w:color="00507F"/>
        <w:insideH w:val="single" w:sz="8" w:space="0" w:color="D9D9D9"/>
        <w:insideV w:val="single" w:sz="8" w:space="0" w:color="D9D9D9"/>
      </w:tblBorders>
    </w:tblPr>
    <w:tblStylePr w:type="firstRow">
      <w:pPr>
        <w:jc w:val="center"/>
      </w:pPr>
      <w:rPr>
        <w:b w:val="0"/>
        <w:color w:val="FFFFFF"/>
      </w:rPr>
      <w:tblPr/>
      <w:tcPr>
        <w:tcBorders>
          <w:top w:val="single" w:sz="6" w:space="0" w:color="FFFFFF"/>
          <w:left w:val="nil"/>
          <w:bottom w:val="single" w:sz="24" w:space="0" w:color="009DD7"/>
          <w:right w:val="nil"/>
          <w:insideH w:val="single" w:sz="6" w:space="0" w:color="FFFFFF"/>
          <w:insideV w:val="single" w:sz="6" w:space="0" w:color="FFFFFF"/>
          <w:tl2br w:val="nil"/>
          <w:tr2bl w:val="nil"/>
        </w:tcBorders>
        <w:shd w:val="clear" w:color="auto" w:fill="00507F"/>
      </w:tcPr>
    </w:tblStylePr>
    <w:tblStylePr w:type="band2Horz">
      <w:tblPr/>
      <w:tcPr>
        <w:shd w:val="clear" w:color="auto" w:fill="F3FBFF"/>
      </w:tcPr>
    </w:tblStylePr>
  </w:style>
  <w:style w:type="paragraph" w:customStyle="1" w:styleId="LastPageFooterPlacement">
    <w:name w:val="Last Page Footer Placement"/>
    <w:basedOn w:val="Normal"/>
    <w:rsid w:val="00A21AD9"/>
    <w:rPr>
      <w:noProof/>
      <w:color w:val="1C252D"/>
      <w:sz w:val="12"/>
      <w:szCs w:val="12"/>
    </w:rPr>
  </w:style>
  <w:style w:type="table" w:customStyle="1" w:styleId="TableGridLight11">
    <w:name w:val="Table Grid Light11"/>
    <w:basedOn w:val="TableNormal"/>
    <w:next w:val="GridTableLight"/>
    <w:uiPriority w:val="40"/>
    <w:rsid w:val="00A21AD9"/>
    <w:pPr>
      <w:spacing w:line="240" w:lineRule="auto"/>
    </w:pPr>
    <w:rPr>
      <w:color w:val="1C252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urveyCheckBullet">
    <w:name w:val="Survey Check Bullet"/>
    <w:basedOn w:val="Normal"/>
    <w:qFormat/>
    <w:rsid w:val="00A21AD9"/>
    <w:pPr>
      <w:spacing w:line="240" w:lineRule="auto"/>
      <w:ind w:left="360" w:hanging="360"/>
    </w:pPr>
    <w:rPr>
      <w:color w:val="1C252D"/>
      <w:sz w:val="18"/>
    </w:rPr>
  </w:style>
  <w:style w:type="character" w:customStyle="1" w:styleId="SurveyInstructionsinColumnHeader">
    <w:name w:val="Survey Instructions in Column Header"/>
    <w:basedOn w:val="DefaultParagraphFont"/>
    <w:uiPriority w:val="1"/>
    <w:qFormat/>
    <w:rsid w:val="00A21AD9"/>
    <w:rPr>
      <w:i/>
      <w:color w:val="FFFFFF"/>
      <w:sz w:val="18"/>
    </w:rPr>
  </w:style>
  <w:style w:type="paragraph" w:customStyle="1" w:styleId="SurveyText-ShortFill-in">
    <w:name w:val="Survey Text-Short Fill-in"/>
    <w:basedOn w:val="SurveyText"/>
    <w:rsid w:val="00A21AD9"/>
    <w:pPr>
      <w:tabs>
        <w:tab w:val="right" w:leader="underscore" w:pos="2880"/>
        <w:tab w:val="right" w:leader="underscore" w:pos="4320"/>
      </w:tabs>
    </w:pPr>
  </w:style>
  <w:style w:type="paragraph" w:customStyle="1" w:styleId="Survey1aCheckbox">
    <w:name w:val="Survey 1a (Checkbox)"/>
    <w:basedOn w:val="Normal"/>
    <w:rsid w:val="00A21AD9"/>
    <w:pPr>
      <w:numPr>
        <w:ilvl w:val="1"/>
        <w:numId w:val="37"/>
      </w:numPr>
      <w:tabs>
        <w:tab w:val="num" w:pos="360"/>
        <w:tab w:val="clear" w:pos="1080"/>
        <w:tab w:val="right" w:leader="underscore" w:pos="3600"/>
        <w:tab w:val="right" w:leader="underscore" w:pos="8640"/>
      </w:tabs>
      <w:spacing w:line="240" w:lineRule="auto"/>
      <w:ind w:left="1440" w:hanging="360"/>
    </w:pPr>
    <w:rPr>
      <w:color w:val="1C252D"/>
      <w:sz w:val="22"/>
    </w:rPr>
  </w:style>
  <w:style w:type="paragraph" w:customStyle="1" w:styleId="Survey1aNoCheck">
    <w:name w:val="Survey 1a (No Check)"/>
    <w:basedOn w:val="Normal"/>
    <w:rsid w:val="00A21AD9"/>
    <w:pPr>
      <w:numPr>
        <w:ilvl w:val="2"/>
        <w:numId w:val="37"/>
      </w:numPr>
      <w:tabs>
        <w:tab w:val="num" w:pos="360"/>
        <w:tab w:val="right" w:leader="underscore" w:pos="4320"/>
        <w:tab w:val="left" w:leader="underscore" w:pos="8640"/>
      </w:tabs>
      <w:spacing w:line="240" w:lineRule="auto"/>
      <w:ind w:left="2160" w:firstLine="0"/>
    </w:pPr>
    <w:rPr>
      <w:color w:val="1C252D"/>
      <w:sz w:val="22"/>
    </w:rPr>
  </w:style>
  <w:style w:type="table" w:customStyle="1" w:styleId="11ptBody-Accent1Hdr-LiteIceBands-CellPadding2pttopbottom4ptleftrt">
    <w:name w:val="_11pt Body-Accent1 Hdr-Lite Ice Bands-Cell Padding 2pt top/bottom 4 pt left/rt"/>
    <w:basedOn w:val="TableNormal"/>
    <w:uiPriority w:val="99"/>
    <w:rsid w:val="00A21AD9"/>
    <w:pPr>
      <w:spacing w:line="240" w:lineRule="auto"/>
    </w:pPr>
    <w:rPr>
      <w:color w:val="1C252D"/>
      <w:sz w:val="22"/>
    </w:rPr>
    <w:tblPr>
      <w:tblStyleRowBandSize w:val="1"/>
      <w:tblBorders>
        <w:top w:val="single" w:sz="8" w:space="0" w:color="A3AAAD"/>
        <w:left w:val="single" w:sz="8" w:space="0" w:color="A3AAAD"/>
        <w:bottom w:val="single" w:sz="8" w:space="0" w:color="A3AAAD"/>
        <w:right w:val="single" w:sz="8" w:space="0" w:color="A3AAAD"/>
        <w:insideH w:val="single" w:sz="8" w:space="0" w:color="A3AAAD"/>
        <w:insideV w:val="single" w:sz="8" w:space="0" w:color="A3AAAD"/>
      </w:tblBorders>
      <w:tblCellMar>
        <w:top w:w="29" w:type="dxa"/>
        <w:left w:w="58" w:type="dxa"/>
        <w:bottom w:w="29" w:type="dxa"/>
        <w:right w:w="58" w:type="dxa"/>
      </w:tblCellMar>
    </w:tblPr>
    <w:trPr>
      <w:cantSplit/>
    </w:trPr>
    <w:tblStylePr w:type="firstRow">
      <w:pPr>
        <w:wordWrap/>
        <w:jc w:val="center"/>
      </w:pPr>
      <w:rPr>
        <w:b/>
        <w:i w:val="0"/>
        <w:color w:val="FFFFFF"/>
      </w:rPr>
      <w:tblPr/>
      <w:tcPr>
        <w:tcBorders>
          <w:top w:val="single" w:sz="4" w:space="0" w:color="FFFFFF"/>
          <w:left w:val="nil"/>
          <w:bottom w:val="single" w:sz="4" w:space="0" w:color="FFFFFF"/>
          <w:right w:val="nil"/>
          <w:insideH w:val="nil"/>
          <w:insideV w:val="single" w:sz="4" w:space="0" w:color="FFFFFF"/>
          <w:tl2br w:val="nil"/>
          <w:tr2bl w:val="nil"/>
        </w:tcBorders>
        <w:shd w:val="clear" w:color="auto" w:fill="00507F"/>
        <w:vAlign w:val="bottom"/>
      </w:tcPr>
    </w:tblStylePr>
    <w:tblStylePr w:type="band2Horz">
      <w:tblPr/>
      <w:tcPr>
        <w:shd w:val="clear" w:color="auto" w:fill="E8F6FD"/>
      </w:tcPr>
    </w:tblStylePr>
  </w:style>
  <w:style w:type="paragraph" w:customStyle="1" w:styleId="SurveyHeading">
    <w:name w:val="Survey Heading"/>
    <w:basedOn w:val="Normal"/>
    <w:link w:val="SurveyHeadingChar"/>
    <w:rsid w:val="00A21AD9"/>
    <w:pPr>
      <w:widowControl w:val="0"/>
      <w:tabs>
        <w:tab w:val="right" w:leader="underscore" w:pos="8640"/>
      </w:tabs>
      <w:spacing w:before="60" w:line="240" w:lineRule="auto"/>
    </w:pPr>
    <w:rPr>
      <w:b/>
      <w:bCs/>
      <w:color w:val="1C252D"/>
      <w:sz w:val="22"/>
    </w:rPr>
  </w:style>
  <w:style w:type="paragraph" w:customStyle="1" w:styleId="SurveyText">
    <w:name w:val="Survey Text"/>
    <w:rsid w:val="00A21AD9"/>
    <w:pPr>
      <w:tabs>
        <w:tab w:val="right" w:leader="underscore" w:pos="8640"/>
      </w:tabs>
      <w:spacing w:after="60" w:line="240" w:lineRule="auto"/>
    </w:pPr>
    <w:rPr>
      <w:color w:val="1C252D"/>
      <w:sz w:val="22"/>
    </w:rPr>
  </w:style>
  <w:style w:type="paragraph" w:customStyle="1" w:styleId="SurveyCheckbox">
    <w:name w:val="Survey Checkbox"/>
    <w:basedOn w:val="Normal"/>
    <w:rsid w:val="00A21AD9"/>
    <w:pPr>
      <w:spacing w:before="60" w:line="240" w:lineRule="auto"/>
      <w:jc w:val="center"/>
    </w:pPr>
    <w:rPr>
      <w:color w:val="1C252D"/>
    </w:rPr>
  </w:style>
  <w:style w:type="character" w:customStyle="1" w:styleId="SurveyHeadingChar">
    <w:name w:val="Survey Heading Char"/>
    <w:basedOn w:val="DefaultParagraphFont"/>
    <w:link w:val="SurveyHeading"/>
    <w:rsid w:val="00A21AD9"/>
    <w:rPr>
      <w:b/>
      <w:bCs/>
      <w:color w:val="1C252D"/>
      <w:sz w:val="22"/>
    </w:rPr>
  </w:style>
  <w:style w:type="numbering" w:customStyle="1" w:styleId="ListStyle-Survey">
    <w:name w:val="_List Style-Survey"/>
    <w:uiPriority w:val="99"/>
    <w:rsid w:val="00A21AD9"/>
    <w:pPr>
      <w:numPr>
        <w:numId w:val="31"/>
      </w:numPr>
    </w:pPr>
  </w:style>
  <w:style w:type="paragraph" w:customStyle="1" w:styleId="Survey1">
    <w:name w:val="Survey 1"/>
    <w:basedOn w:val="SurveyText"/>
    <w:rsid w:val="00A21AD9"/>
    <w:pPr>
      <w:numPr>
        <w:numId w:val="37"/>
      </w:numPr>
      <w:tabs>
        <w:tab w:val="num" w:pos="360"/>
      </w:tabs>
      <w:spacing w:after="80"/>
      <w:ind w:left="720" w:firstLine="0"/>
    </w:pPr>
  </w:style>
  <w:style w:type="paragraph" w:customStyle="1" w:styleId="Survey1anonumber">
    <w:name w:val="Survey 1a (no number)"/>
    <w:basedOn w:val="Normal"/>
    <w:rsid w:val="00A21AD9"/>
    <w:pPr>
      <w:tabs>
        <w:tab w:val="right" w:leader="underscore" w:pos="8640"/>
      </w:tabs>
      <w:spacing w:before="80" w:after="80"/>
    </w:pPr>
    <w:rPr>
      <w:color w:val="1C252D"/>
    </w:rPr>
  </w:style>
  <w:style w:type="paragraph" w:customStyle="1" w:styleId="Survey1a">
    <w:name w:val="Survey 1a."/>
    <w:basedOn w:val="Normal"/>
    <w:rsid w:val="00A21AD9"/>
    <w:rPr>
      <w:color w:val="1C252D"/>
    </w:rPr>
  </w:style>
  <w:style w:type="paragraph" w:customStyle="1" w:styleId="Survey4Bullet">
    <w:name w:val="Survey 4 Bullet"/>
    <w:basedOn w:val="Normal"/>
    <w:rsid w:val="00A21AD9"/>
    <w:pPr>
      <w:numPr>
        <w:ilvl w:val="3"/>
        <w:numId w:val="37"/>
      </w:numPr>
      <w:tabs>
        <w:tab w:val="num" w:pos="360"/>
      </w:tabs>
      <w:ind w:left="2880" w:firstLine="0"/>
    </w:pPr>
    <w:rPr>
      <w:color w:val="1C252D"/>
    </w:rPr>
  </w:style>
  <w:style w:type="paragraph" w:customStyle="1" w:styleId="Survey5Dash">
    <w:name w:val="Survey 5 Dash"/>
    <w:basedOn w:val="Normal"/>
    <w:rsid w:val="00A21AD9"/>
    <w:pPr>
      <w:numPr>
        <w:ilvl w:val="4"/>
        <w:numId w:val="37"/>
      </w:numPr>
      <w:tabs>
        <w:tab w:val="num" w:pos="360"/>
      </w:tabs>
      <w:ind w:left="3600" w:firstLine="0"/>
    </w:pPr>
    <w:rPr>
      <w:color w:val="1C252D"/>
    </w:rPr>
  </w:style>
  <w:style w:type="paragraph" w:customStyle="1" w:styleId="Survey6Arrow">
    <w:name w:val="Survey 6 Arrow"/>
    <w:basedOn w:val="Normal"/>
    <w:rsid w:val="00A21AD9"/>
    <w:pPr>
      <w:numPr>
        <w:ilvl w:val="5"/>
        <w:numId w:val="37"/>
      </w:numPr>
      <w:tabs>
        <w:tab w:val="num" w:pos="360"/>
      </w:tabs>
      <w:ind w:left="4320" w:firstLine="0"/>
    </w:pPr>
    <w:rPr>
      <w:color w:val="1C252D"/>
    </w:rPr>
  </w:style>
  <w:style w:type="paragraph" w:customStyle="1" w:styleId="bulletindent">
    <w:name w:val="bullet indent"/>
    <w:basedOn w:val="Bullet1"/>
    <w:qFormat/>
    <w:rsid w:val="00A21AD9"/>
    <w:pPr>
      <w:spacing w:after="60" w:line="240" w:lineRule="auto"/>
      <w:ind w:left="720"/>
    </w:pPr>
  </w:style>
  <w:style w:type="paragraph" w:customStyle="1" w:styleId="numberedlistindent">
    <w:name w:val="numbered list indent"/>
    <w:basedOn w:val="NumberedList"/>
    <w:qFormat/>
    <w:rsid w:val="00A21AD9"/>
    <w:pPr>
      <w:numPr>
        <w:numId w:val="0"/>
      </w:numPr>
    </w:pPr>
    <w:rPr>
      <w:color w:val="auto"/>
    </w:rPr>
  </w:style>
  <w:style w:type="paragraph" w:customStyle="1" w:styleId="Title1">
    <w:name w:val="Title1"/>
    <w:basedOn w:val="Normal"/>
    <w:next w:val="Normal"/>
    <w:uiPriority w:val="10"/>
    <w:qFormat/>
    <w:rsid w:val="00A21AD9"/>
    <w:pPr>
      <w:spacing w:after="80" w:line="240" w:lineRule="auto"/>
      <w:contextualSpacing/>
    </w:pPr>
    <w:rPr>
      <w:rFonts w:ascii="Calibri" w:eastAsia="MS Gothic" w:hAnsi="Calibri" w:cs="Times New Roman"/>
      <w:color w:val="1C252D"/>
      <w:spacing w:val="-10"/>
      <w:kern w:val="28"/>
      <w:sz w:val="56"/>
      <w:szCs w:val="56"/>
    </w:rPr>
  </w:style>
  <w:style w:type="character" w:customStyle="1" w:styleId="TitleChar">
    <w:name w:val="Title Char"/>
    <w:basedOn w:val="DefaultParagraphFont"/>
    <w:link w:val="Title"/>
    <w:uiPriority w:val="10"/>
    <w:rsid w:val="00A21AD9"/>
    <w:rPr>
      <w:rFonts w:ascii="Calibri" w:eastAsia="MS Gothic" w:hAnsi="Calibri" w:cs="Times New Roman"/>
      <w:spacing w:val="-10"/>
      <w:kern w:val="28"/>
      <w:sz w:val="56"/>
      <w:szCs w:val="56"/>
    </w:rPr>
  </w:style>
  <w:style w:type="paragraph" w:customStyle="1" w:styleId="Subtitle1">
    <w:name w:val="Subtitle1"/>
    <w:basedOn w:val="Normal"/>
    <w:next w:val="Normal"/>
    <w:uiPriority w:val="11"/>
    <w:qFormat/>
    <w:rsid w:val="00A21AD9"/>
    <w:pPr>
      <w:numPr>
        <w:ilvl w:val="1"/>
      </w:numPr>
    </w:pPr>
    <w:rPr>
      <w:rFonts w:eastAsia="MS Gothic" w:cs="Times New Roman"/>
      <w:color w:val="595959"/>
      <w:spacing w:val="15"/>
      <w:sz w:val="28"/>
      <w:szCs w:val="28"/>
    </w:rPr>
  </w:style>
  <w:style w:type="character" w:customStyle="1" w:styleId="SubtitleChar">
    <w:name w:val="Subtitle Char"/>
    <w:basedOn w:val="DefaultParagraphFont"/>
    <w:link w:val="Subtitle"/>
    <w:uiPriority w:val="11"/>
    <w:rsid w:val="00A21AD9"/>
    <w:rPr>
      <w:rFonts w:eastAsia="MS Gothic" w:cs="Times New Roman"/>
      <w:color w:val="595959"/>
      <w:spacing w:val="15"/>
      <w:sz w:val="28"/>
      <w:szCs w:val="28"/>
    </w:rPr>
  </w:style>
  <w:style w:type="paragraph" w:customStyle="1" w:styleId="Quote1">
    <w:name w:val="Quote1"/>
    <w:basedOn w:val="Normal"/>
    <w:next w:val="Normal"/>
    <w:uiPriority w:val="29"/>
    <w:qFormat/>
    <w:rsid w:val="00A21AD9"/>
    <w:pPr>
      <w:spacing w:before="160"/>
      <w:jc w:val="center"/>
    </w:pPr>
    <w:rPr>
      <w:i/>
      <w:iCs/>
      <w:color w:val="404040"/>
      <w:sz w:val="20"/>
      <w:szCs w:val="20"/>
    </w:rPr>
  </w:style>
  <w:style w:type="character" w:customStyle="1" w:styleId="QuoteChar">
    <w:name w:val="Quote Char"/>
    <w:basedOn w:val="DefaultParagraphFont"/>
    <w:link w:val="Quote"/>
    <w:uiPriority w:val="29"/>
    <w:rsid w:val="00A21AD9"/>
    <w:rPr>
      <w:i/>
      <w:iCs/>
      <w:color w:val="404040"/>
      <w:sz w:val="20"/>
      <w:szCs w:val="20"/>
    </w:rPr>
  </w:style>
  <w:style w:type="character" w:customStyle="1" w:styleId="IntenseEmphasis1">
    <w:name w:val="Intense Emphasis1"/>
    <w:basedOn w:val="DefaultParagraphFont"/>
    <w:uiPriority w:val="21"/>
    <w:qFormat/>
    <w:rsid w:val="00A21AD9"/>
    <w:rPr>
      <w:i/>
      <w:iCs/>
      <w:color w:val="003B5F"/>
    </w:rPr>
  </w:style>
  <w:style w:type="paragraph" w:customStyle="1" w:styleId="IntenseQuote1">
    <w:name w:val="Intense Quote1"/>
    <w:basedOn w:val="Normal"/>
    <w:next w:val="Normal"/>
    <w:uiPriority w:val="30"/>
    <w:qFormat/>
    <w:rsid w:val="00A21AD9"/>
    <w:pPr>
      <w:pBdr>
        <w:top w:val="single" w:sz="4" w:space="10" w:color="003B5F"/>
        <w:bottom w:val="single" w:sz="4" w:space="10" w:color="003B5F"/>
      </w:pBdr>
      <w:spacing w:before="360" w:after="360"/>
      <w:ind w:left="864" w:right="864"/>
      <w:jc w:val="center"/>
    </w:pPr>
    <w:rPr>
      <w:i/>
      <w:iCs/>
      <w:color w:val="003B5F"/>
      <w:sz w:val="20"/>
      <w:szCs w:val="20"/>
    </w:rPr>
  </w:style>
  <w:style w:type="character" w:customStyle="1" w:styleId="IntenseQuoteChar">
    <w:name w:val="Intense Quote Char"/>
    <w:basedOn w:val="DefaultParagraphFont"/>
    <w:link w:val="IntenseQuote"/>
    <w:uiPriority w:val="30"/>
    <w:rsid w:val="00A21AD9"/>
    <w:rPr>
      <w:i/>
      <w:iCs/>
      <w:color w:val="003B5F"/>
      <w:sz w:val="20"/>
      <w:szCs w:val="20"/>
    </w:rPr>
  </w:style>
  <w:style w:type="character" w:customStyle="1" w:styleId="IntenseReference1">
    <w:name w:val="Intense Reference1"/>
    <w:basedOn w:val="DefaultParagraphFont"/>
    <w:uiPriority w:val="32"/>
    <w:qFormat/>
    <w:rsid w:val="00A21AD9"/>
    <w:rPr>
      <w:b/>
      <w:bCs/>
      <w:smallCaps/>
      <w:color w:val="003B5F"/>
      <w:spacing w:val="5"/>
    </w:rPr>
  </w:style>
  <w:style w:type="paragraph" w:customStyle="1" w:styleId="pf1">
    <w:name w:val="pf1"/>
    <w:basedOn w:val="Normal"/>
    <w:rsid w:val="00A21AD9"/>
    <w:pPr>
      <w:spacing w:before="100" w:beforeAutospacing="1" w:after="100" w:afterAutospacing="1" w:line="240" w:lineRule="auto"/>
      <w:ind w:left="720"/>
    </w:pPr>
    <w:rPr>
      <w:rFonts w:ascii="Times New Roman" w:eastAsia="Times New Roman" w:hAnsi="Times New Roman" w:cs="Times New Roman"/>
      <w:color w:val="auto"/>
    </w:rPr>
  </w:style>
  <w:style w:type="paragraph" w:customStyle="1" w:styleId="pf3">
    <w:name w:val="pf3"/>
    <w:basedOn w:val="Normal"/>
    <w:rsid w:val="00A21AD9"/>
    <w:pPr>
      <w:spacing w:before="100" w:beforeAutospacing="1" w:after="100" w:afterAutospacing="1" w:line="240" w:lineRule="auto"/>
      <w:ind w:left="1440"/>
    </w:pPr>
    <w:rPr>
      <w:rFonts w:ascii="Times New Roman" w:eastAsia="Times New Roman" w:hAnsi="Times New Roman" w:cs="Times New Roman"/>
      <w:color w:val="auto"/>
    </w:rPr>
  </w:style>
  <w:style w:type="paragraph" w:customStyle="1" w:styleId="pf5">
    <w:name w:val="pf5"/>
    <w:basedOn w:val="Normal"/>
    <w:rsid w:val="00A21AD9"/>
    <w:pPr>
      <w:spacing w:before="100" w:beforeAutospacing="1" w:after="100" w:afterAutospacing="1" w:line="240" w:lineRule="auto"/>
      <w:ind w:left="720"/>
    </w:pPr>
    <w:rPr>
      <w:rFonts w:ascii="Times New Roman" w:eastAsia="Times New Roman" w:hAnsi="Times New Roman" w:cs="Times New Roman"/>
      <w:color w:val="auto"/>
    </w:rPr>
  </w:style>
  <w:style w:type="paragraph" w:customStyle="1" w:styleId="pf6">
    <w:name w:val="pf6"/>
    <w:basedOn w:val="Normal"/>
    <w:rsid w:val="00A21AD9"/>
    <w:pPr>
      <w:spacing w:before="100" w:beforeAutospacing="1" w:after="100" w:afterAutospacing="1" w:line="240" w:lineRule="auto"/>
      <w:ind w:left="2160"/>
    </w:pPr>
    <w:rPr>
      <w:rFonts w:ascii="Times New Roman" w:eastAsia="Times New Roman" w:hAnsi="Times New Roman" w:cs="Times New Roman"/>
      <w:color w:val="auto"/>
    </w:rPr>
  </w:style>
  <w:style w:type="character" w:customStyle="1" w:styleId="cf21">
    <w:name w:val="cf21"/>
    <w:basedOn w:val="DefaultParagraphFont"/>
    <w:rsid w:val="00A21AD9"/>
    <w:rPr>
      <w:rFonts w:ascii="Segoe UI" w:hAnsi="Segoe UI" w:cs="Segoe UI" w:hint="default"/>
      <w:color w:val="212121"/>
      <w:sz w:val="18"/>
      <w:szCs w:val="18"/>
    </w:rPr>
  </w:style>
  <w:style w:type="character" w:customStyle="1" w:styleId="cf31">
    <w:name w:val="cf31"/>
    <w:basedOn w:val="DefaultParagraphFont"/>
    <w:rsid w:val="00A21AD9"/>
    <w:rPr>
      <w:rFonts w:ascii="Segoe UI" w:hAnsi="Segoe UI" w:cs="Segoe UI" w:hint="default"/>
      <w:b/>
      <w:bCs/>
      <w:color w:val="212121"/>
      <w:sz w:val="18"/>
      <w:szCs w:val="18"/>
    </w:rPr>
  </w:style>
  <w:style w:type="character" w:customStyle="1" w:styleId="cf41">
    <w:name w:val="cf41"/>
    <w:basedOn w:val="DefaultParagraphFont"/>
    <w:rsid w:val="00A21AD9"/>
    <w:rPr>
      <w:rFonts w:ascii="Segoe UI" w:hAnsi="Segoe UI" w:cs="Segoe UI" w:hint="default"/>
      <w:color w:val="FF0000"/>
      <w:sz w:val="18"/>
      <w:szCs w:val="18"/>
    </w:rPr>
  </w:style>
  <w:style w:type="character" w:customStyle="1" w:styleId="cf51">
    <w:name w:val="cf51"/>
    <w:basedOn w:val="DefaultParagraphFont"/>
    <w:rsid w:val="00A21AD9"/>
    <w:rPr>
      <w:rFonts w:ascii="Segoe UI" w:hAnsi="Segoe UI" w:cs="Segoe UI" w:hint="default"/>
      <w:b/>
      <w:bCs/>
      <w:color w:val="212121"/>
      <w:sz w:val="18"/>
      <w:szCs w:val="18"/>
      <w:u w:val="single"/>
    </w:rPr>
  </w:style>
  <w:style w:type="character" w:customStyle="1" w:styleId="cf61">
    <w:name w:val="cf61"/>
    <w:basedOn w:val="DefaultParagraphFont"/>
    <w:rsid w:val="00A21AD9"/>
    <w:rPr>
      <w:rFonts w:ascii="Segoe UI" w:hAnsi="Segoe UI" w:cs="Segoe UI" w:hint="default"/>
      <w:b/>
      <w:bCs/>
      <w:i/>
      <w:iCs/>
      <w:color w:val="212121"/>
      <w:sz w:val="18"/>
      <w:szCs w:val="18"/>
    </w:rPr>
  </w:style>
  <w:style w:type="character" w:customStyle="1" w:styleId="cf71">
    <w:name w:val="cf71"/>
    <w:basedOn w:val="DefaultParagraphFont"/>
    <w:rsid w:val="00A21AD9"/>
    <w:rPr>
      <w:rFonts w:ascii="Segoe UI" w:hAnsi="Segoe UI" w:cs="Segoe UI" w:hint="default"/>
      <w:color w:val="ED7D31"/>
      <w:sz w:val="18"/>
      <w:szCs w:val="18"/>
    </w:rPr>
  </w:style>
  <w:style w:type="table" w:customStyle="1" w:styleId="TableStyle-AIR20213">
    <w:name w:val="__Table Style-AIR 20213"/>
    <w:basedOn w:val="TableNormal"/>
    <w:uiPriority w:val="99"/>
    <w:rsid w:val="00A21AD9"/>
    <w:pPr>
      <w:spacing w:line="240" w:lineRule="auto"/>
    </w:pPr>
    <w:rPr>
      <w:color w:val="1C252D"/>
      <w:szCs w:val="20"/>
    </w:rPr>
    <w:tblPr>
      <w:tblStyleRowBandSize w:val="1"/>
      <w:tblBorders>
        <w:bottom w:val="single" w:sz="6" w:space="0" w:color="00507F"/>
        <w:insideH w:val="single" w:sz="8" w:space="0" w:color="D9D9D9"/>
        <w:insideV w:val="single" w:sz="8" w:space="0" w:color="D9D9D9"/>
      </w:tblBorders>
    </w:tblPr>
    <w:tblStylePr w:type="firstRow">
      <w:pPr>
        <w:jc w:val="center"/>
      </w:pPr>
      <w:rPr>
        <w:b w:val="0"/>
        <w:color w:val="FFFFFF"/>
      </w:rPr>
      <w:tblPr/>
      <w:tcPr>
        <w:tcBorders>
          <w:top w:val="single" w:sz="6" w:space="0" w:color="FFFFFF"/>
          <w:left w:val="single" w:sz="8" w:space="0" w:color="00507F"/>
          <w:bottom w:val="single" w:sz="36" w:space="0" w:color="009DD7"/>
          <w:right w:val="nil"/>
          <w:insideH w:val="single" w:sz="6" w:space="0" w:color="FFFFFF"/>
          <w:insideV w:val="single" w:sz="6" w:space="0" w:color="FFFFFF"/>
          <w:tl2br w:val="nil"/>
          <w:tr2bl w:val="nil"/>
        </w:tcBorders>
        <w:shd w:val="clear" w:color="auto" w:fill="00507F"/>
      </w:tcPr>
    </w:tblStylePr>
    <w:tblStylePr w:type="band1Horz">
      <w:tblPr/>
      <w:tcPr>
        <w:shd w:val="clear" w:color="auto" w:fill="F3FBFF"/>
      </w:tcPr>
    </w:tblStylePr>
  </w:style>
  <w:style w:type="paragraph" w:customStyle="1" w:styleId="Heading3NoTOC0">
    <w:name w:val="Heading 3 NoTOC"/>
    <w:basedOn w:val="Heading3"/>
    <w:qFormat/>
    <w:rsid w:val="00A21AD9"/>
    <w:pPr>
      <w:suppressAutoHyphens/>
      <w:spacing w:line="276" w:lineRule="auto"/>
    </w:pPr>
    <w:rPr>
      <w:rFonts w:eastAsia="Calibri"/>
      <w:bCs/>
      <w:color w:val="00507F"/>
    </w:rPr>
  </w:style>
  <w:style w:type="paragraph" w:customStyle="1" w:styleId="Heading2-Appendices">
    <w:name w:val="Heading 2 - Appendices"/>
    <w:basedOn w:val="Heading2"/>
    <w:qFormat/>
    <w:rsid w:val="00A21AD9"/>
    <w:pPr>
      <w:spacing w:before="240" w:after="120"/>
      <w:outlineLvl w:val="2"/>
    </w:pPr>
    <w:rPr>
      <w:color w:val="00507F"/>
    </w:rPr>
  </w:style>
  <w:style w:type="paragraph" w:customStyle="1" w:styleId="Heading4-Appendices">
    <w:name w:val="Heading 4 - Appendices"/>
    <w:basedOn w:val="Heading4"/>
    <w:qFormat/>
    <w:rsid w:val="00A21AD9"/>
    <w:pPr>
      <w:ind w:left="864" w:hanging="864"/>
      <w:outlineLvl w:val="4"/>
    </w:pPr>
    <w:rPr>
      <w:rFonts w:ascii="Calibri" w:eastAsia="Calibri" w:hAnsi="Calibri"/>
      <w:color w:val="00507F"/>
    </w:rPr>
  </w:style>
  <w:style w:type="paragraph" w:customStyle="1" w:styleId="Heading5-Appendices">
    <w:name w:val="Heading 5 - Appendices"/>
    <w:basedOn w:val="Heading5"/>
    <w:qFormat/>
    <w:rsid w:val="00A21AD9"/>
    <w:pPr>
      <w:spacing w:after="0"/>
      <w:ind w:left="3600" w:hanging="360"/>
      <w:outlineLvl w:val="5"/>
    </w:pPr>
    <w:rPr>
      <w:rFonts w:ascii="Calibri" w:eastAsia="Calibri" w:hAnsi="Calibri" w:cs="Times New Roman"/>
      <w:color w:val="1C252D"/>
    </w:rPr>
  </w:style>
  <w:style w:type="character" w:customStyle="1" w:styleId="gmail-normaltextrun">
    <w:name w:val="gmail-normaltextrun"/>
    <w:basedOn w:val="DefaultParagraphFont"/>
    <w:rsid w:val="00A21AD9"/>
  </w:style>
  <w:style w:type="paragraph" w:customStyle="1" w:styleId="gmail-paragraph">
    <w:name w:val="gmail-paragraph"/>
    <w:basedOn w:val="Normal"/>
    <w:rsid w:val="00A21AD9"/>
    <w:pPr>
      <w:spacing w:before="100" w:beforeAutospacing="1" w:after="100" w:afterAutospacing="1" w:line="240" w:lineRule="auto"/>
    </w:pPr>
    <w:rPr>
      <w:rFonts w:ascii="Calibri" w:hAnsi="Calibri" w:cs="Calibri"/>
      <w:color w:val="auto"/>
      <w:sz w:val="22"/>
      <w:szCs w:val="22"/>
    </w:rPr>
  </w:style>
  <w:style w:type="character" w:customStyle="1" w:styleId="gmail-eop">
    <w:name w:val="gmail-eop"/>
    <w:basedOn w:val="DefaultParagraphFont"/>
    <w:rsid w:val="00A21AD9"/>
  </w:style>
  <w:style w:type="table" w:styleId="GridTable4Accent1">
    <w:name w:val="Grid Table 4 Accent 1"/>
    <w:basedOn w:val="TableNormal"/>
    <w:uiPriority w:val="49"/>
    <w:rsid w:val="00A21AD9"/>
    <w:pPr>
      <w:spacing w:line="240" w:lineRule="auto"/>
    </w:pPr>
    <w:rPr>
      <w:color w:val="auto"/>
      <w:sz w:val="22"/>
      <w:szCs w:val="22"/>
    </w:rPr>
    <w:tblPr>
      <w:tblStyleRowBandSize w:val="1"/>
      <w:tblStyleColBandSize w:val="1"/>
      <w:tblBorders>
        <w:top w:val="single" w:sz="4" w:space="0" w:color="19A9FF" w:themeColor="accent1" w:themeTint="99"/>
        <w:left w:val="single" w:sz="4" w:space="0" w:color="19A9FF" w:themeColor="accent1" w:themeTint="99"/>
        <w:bottom w:val="single" w:sz="4" w:space="0" w:color="19A9FF" w:themeColor="accent1" w:themeTint="99"/>
        <w:right w:val="single" w:sz="4" w:space="0" w:color="19A9FF" w:themeColor="accent1" w:themeTint="99"/>
        <w:insideH w:val="single" w:sz="4" w:space="0" w:color="19A9FF" w:themeColor="accent1" w:themeTint="99"/>
        <w:insideV w:val="single" w:sz="4" w:space="0" w:color="19A9FF" w:themeColor="accent1" w:themeTint="99"/>
      </w:tblBorders>
    </w:tblPr>
    <w:tblStylePr w:type="firstRow">
      <w:rPr>
        <w:b/>
        <w:bCs/>
        <w:color w:val="FFFFFF" w:themeColor="background1"/>
      </w:rPr>
      <w:tblPr/>
      <w:tcPr>
        <w:tcBorders>
          <w:top w:val="single" w:sz="4" w:space="0" w:color="00507F" w:themeColor="accent1"/>
          <w:left w:val="single" w:sz="4" w:space="0" w:color="00507F" w:themeColor="accent1"/>
          <w:bottom w:val="single" w:sz="4" w:space="0" w:color="00507F" w:themeColor="accent1"/>
          <w:right w:val="single" w:sz="4" w:space="0" w:color="00507F" w:themeColor="accent1"/>
          <w:insideH w:val="nil"/>
          <w:insideV w:val="nil"/>
        </w:tcBorders>
        <w:shd w:val="clear" w:color="auto" w:fill="00507F" w:themeFill="accent1"/>
      </w:tcPr>
    </w:tblStylePr>
    <w:tblStylePr w:type="lastRow">
      <w:rPr>
        <w:b/>
        <w:bCs/>
      </w:rPr>
      <w:tblPr/>
      <w:tcPr>
        <w:tcBorders>
          <w:top w:val="double" w:sz="4" w:space="0" w:color="00507F" w:themeColor="accent1"/>
        </w:tcBorders>
      </w:tcPr>
    </w:tblStylePr>
    <w:tblStylePr w:type="firstCol">
      <w:rPr>
        <w:b/>
        <w:bCs/>
      </w:rPr>
    </w:tblStylePr>
    <w:tblStylePr w:type="lastCol">
      <w:rPr>
        <w:b/>
        <w:bCs/>
      </w:rPr>
    </w:tblStylePr>
    <w:tblStylePr w:type="band1Vert">
      <w:tblPr/>
      <w:tcPr>
        <w:shd w:val="clear" w:color="auto" w:fill="B2E2FF" w:themeFill="accent1" w:themeFillTint="33"/>
      </w:tcPr>
    </w:tblStylePr>
    <w:tblStylePr w:type="band1Horz">
      <w:tblPr/>
      <w:tcPr>
        <w:shd w:val="clear" w:color="auto" w:fill="B2E2FF" w:themeFill="accent1" w:themeFillTint="33"/>
      </w:tcPr>
    </w:tblStylePr>
  </w:style>
  <w:style w:type="paragraph" w:styleId="Title">
    <w:name w:val="Title"/>
    <w:basedOn w:val="Normal"/>
    <w:next w:val="Normal"/>
    <w:link w:val="TitleChar"/>
    <w:uiPriority w:val="10"/>
    <w:qFormat/>
    <w:rsid w:val="00A21AD9"/>
    <w:pPr>
      <w:spacing w:line="240" w:lineRule="auto"/>
      <w:contextualSpacing/>
    </w:pPr>
    <w:rPr>
      <w:rFonts w:ascii="Calibri" w:eastAsia="MS Gothic" w:hAnsi="Calibri" w:cs="Times New Roman"/>
      <w:spacing w:val="-10"/>
      <w:kern w:val="28"/>
      <w:sz w:val="56"/>
      <w:szCs w:val="56"/>
    </w:rPr>
  </w:style>
  <w:style w:type="character" w:customStyle="1" w:styleId="TitleChar1">
    <w:name w:val="Title Char1"/>
    <w:basedOn w:val="DefaultParagraphFont"/>
    <w:uiPriority w:val="10"/>
    <w:rsid w:val="00A21AD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A21AD9"/>
    <w:pPr>
      <w:numPr>
        <w:ilvl w:val="1"/>
      </w:numPr>
      <w:spacing w:after="160" w:line="259" w:lineRule="auto"/>
    </w:pPr>
    <w:rPr>
      <w:rFonts w:eastAsia="MS Gothic" w:cs="Times New Roman"/>
      <w:color w:val="595959"/>
      <w:spacing w:val="15"/>
      <w:sz w:val="28"/>
      <w:szCs w:val="28"/>
    </w:rPr>
  </w:style>
  <w:style w:type="character" w:customStyle="1" w:styleId="SubtitleChar1">
    <w:name w:val="Subtitle Char1"/>
    <w:basedOn w:val="DefaultParagraphFont"/>
    <w:uiPriority w:val="11"/>
    <w:rsid w:val="00A21AD9"/>
    <w:rPr>
      <w:rFonts w:eastAsiaTheme="minorEastAsia"/>
      <w:color w:val="5A5A5A" w:themeColor="text1" w:themeTint="A5"/>
      <w:spacing w:val="15"/>
      <w:sz w:val="22"/>
      <w:szCs w:val="22"/>
    </w:rPr>
  </w:style>
  <w:style w:type="paragraph" w:styleId="Quote">
    <w:name w:val="Quote"/>
    <w:basedOn w:val="Normal"/>
    <w:next w:val="Normal"/>
    <w:link w:val="QuoteChar"/>
    <w:uiPriority w:val="29"/>
    <w:qFormat/>
    <w:rsid w:val="00A21AD9"/>
    <w:pPr>
      <w:spacing w:before="200" w:after="160" w:line="259" w:lineRule="auto"/>
      <w:ind w:left="864" w:right="864"/>
      <w:jc w:val="center"/>
    </w:pPr>
    <w:rPr>
      <w:i/>
      <w:iCs/>
      <w:color w:val="404040"/>
      <w:sz w:val="20"/>
      <w:szCs w:val="20"/>
    </w:rPr>
  </w:style>
  <w:style w:type="character" w:customStyle="1" w:styleId="QuoteChar1">
    <w:name w:val="Quote Char1"/>
    <w:basedOn w:val="DefaultParagraphFont"/>
    <w:uiPriority w:val="29"/>
    <w:rsid w:val="00A21AD9"/>
    <w:rPr>
      <w:i/>
      <w:iCs/>
      <w:color w:val="404040" w:themeColor="text1" w:themeTint="BF"/>
    </w:rPr>
  </w:style>
  <w:style w:type="character" w:styleId="IntenseEmphasis">
    <w:name w:val="Intense Emphasis"/>
    <w:basedOn w:val="DefaultParagraphFont"/>
    <w:uiPriority w:val="21"/>
    <w:qFormat/>
    <w:rsid w:val="00A21AD9"/>
    <w:rPr>
      <w:i/>
      <w:iCs/>
      <w:color w:val="00507F" w:themeColor="accent1"/>
    </w:rPr>
  </w:style>
  <w:style w:type="paragraph" w:styleId="IntenseQuote">
    <w:name w:val="Intense Quote"/>
    <w:basedOn w:val="Normal"/>
    <w:next w:val="Normal"/>
    <w:link w:val="IntenseQuoteChar"/>
    <w:uiPriority w:val="30"/>
    <w:qFormat/>
    <w:rsid w:val="00A21AD9"/>
    <w:pPr>
      <w:pBdr>
        <w:top w:val="single" w:sz="4" w:space="10" w:color="00507F" w:themeColor="accent1"/>
        <w:bottom w:val="single" w:sz="4" w:space="10" w:color="00507F" w:themeColor="accent1"/>
      </w:pBdr>
      <w:spacing w:before="360" w:after="360" w:line="259" w:lineRule="auto"/>
      <w:ind w:left="864" w:right="864"/>
      <w:jc w:val="center"/>
    </w:pPr>
    <w:rPr>
      <w:i/>
      <w:iCs/>
      <w:color w:val="003B5F"/>
      <w:sz w:val="20"/>
      <w:szCs w:val="20"/>
    </w:rPr>
  </w:style>
  <w:style w:type="character" w:customStyle="1" w:styleId="IntenseQuoteChar1">
    <w:name w:val="Intense Quote Char1"/>
    <w:basedOn w:val="DefaultParagraphFont"/>
    <w:uiPriority w:val="30"/>
    <w:rsid w:val="00A21AD9"/>
    <w:rPr>
      <w:i/>
      <w:iCs/>
      <w:color w:val="00507F" w:themeColor="accent1"/>
    </w:rPr>
  </w:style>
  <w:style w:type="character" w:styleId="IntenseReference">
    <w:name w:val="Intense Reference"/>
    <w:basedOn w:val="DefaultParagraphFont"/>
    <w:uiPriority w:val="32"/>
    <w:qFormat/>
    <w:rsid w:val="00A21AD9"/>
    <w:rPr>
      <w:b/>
      <w:bCs/>
      <w:smallCaps/>
      <w:color w:val="00507F" w:themeColor="accent1"/>
      <w:spacing w:val="5"/>
    </w:rPr>
  </w:style>
  <w:style w:type="table" w:customStyle="1" w:styleId="TableStyle-AIR20214">
    <w:name w:val="__Table Style-AIR 20214"/>
    <w:basedOn w:val="TableNormal"/>
    <w:uiPriority w:val="99"/>
    <w:rsid w:val="00A21AD9"/>
    <w:pPr>
      <w:spacing w:line="240" w:lineRule="auto"/>
    </w:pPr>
    <w:rPr>
      <w:color w:val="1C252D"/>
      <w:szCs w:val="20"/>
    </w:rPr>
    <w:tblPr>
      <w:tblStyleRowBandSize w:val="1"/>
      <w:tblBorders>
        <w:bottom w:val="single" w:sz="6" w:space="0" w:color="00507F"/>
        <w:insideH w:val="single" w:sz="8" w:space="0" w:color="D9D9D9"/>
        <w:insideV w:val="single" w:sz="8" w:space="0" w:color="D9D9D9"/>
      </w:tblBorders>
    </w:tblPr>
    <w:tblStylePr w:type="firstRow">
      <w:pPr>
        <w:jc w:val="center"/>
      </w:pPr>
      <w:rPr>
        <w:b w:val="0"/>
        <w:color w:val="FFFFFF"/>
      </w:rPr>
      <w:tblPr/>
      <w:tcPr>
        <w:tcBorders>
          <w:top w:val="single" w:sz="6" w:space="0" w:color="FFFFFF"/>
          <w:left w:val="single" w:sz="8" w:space="0" w:color="00507F"/>
          <w:bottom w:val="single" w:sz="36" w:space="0" w:color="009DD7"/>
          <w:right w:val="nil"/>
          <w:insideH w:val="single" w:sz="6" w:space="0" w:color="FFFFFF"/>
          <w:insideV w:val="single" w:sz="6" w:space="0" w:color="FFFFFF"/>
          <w:tl2br w:val="nil"/>
          <w:tr2bl w:val="nil"/>
        </w:tcBorders>
        <w:shd w:val="clear" w:color="auto" w:fill="00507F"/>
      </w:tcPr>
    </w:tblStylePr>
    <w:tblStylePr w:type="band1Horz">
      <w:tblPr/>
      <w:tcPr>
        <w:shd w:val="clear" w:color="auto" w:fill="F3FBFF"/>
      </w:tcPr>
    </w:tblStylePr>
  </w:style>
  <w:style w:type="paragraph" w:customStyle="1" w:styleId="Exhibit">
    <w:name w:val="Exhibit"/>
    <w:basedOn w:val="Normal"/>
    <w:link w:val="ExhibitChar"/>
    <w:qFormat/>
    <w:rsid w:val="00A21AD9"/>
    <w:pPr>
      <w:keepNext/>
      <w:keepLines/>
      <w:suppressAutoHyphens/>
      <w:spacing w:before="240" w:after="120"/>
    </w:pPr>
    <w:rPr>
      <w:rFonts w:ascii="Calibri" w:eastAsia="Times New Roman" w:hAnsi="Calibri" w:cs="Times"/>
      <w:b/>
      <w:iCs/>
      <w:color w:val="00507F"/>
      <w:sz w:val="22"/>
      <w:szCs w:val="22"/>
    </w:rPr>
  </w:style>
  <w:style w:type="character" w:customStyle="1" w:styleId="ExhibitChar">
    <w:name w:val="Exhibit Char"/>
    <w:basedOn w:val="DefaultParagraphFont"/>
    <w:link w:val="Exhibit"/>
    <w:rsid w:val="00A21AD9"/>
    <w:rPr>
      <w:rFonts w:ascii="Calibri" w:eastAsia="Times New Roman" w:hAnsi="Calibri" w:cs="Times"/>
      <w:b/>
      <w:iCs/>
      <w:color w:val="00507F"/>
      <w:sz w:val="22"/>
      <w:szCs w:val="22"/>
    </w:rPr>
  </w:style>
  <w:style w:type="table" w:styleId="PlainTable1">
    <w:name w:val="Plain Table 1"/>
    <w:basedOn w:val="TableNormal"/>
    <w:uiPriority w:val="41"/>
    <w:rsid w:val="00A21AD9"/>
    <w:pPr>
      <w:spacing w:line="240" w:lineRule="auto"/>
    </w:pPr>
    <w:rPr>
      <w:color w:val="auto"/>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iteproc-title">
    <w:name w:val="citeproc-title"/>
    <w:basedOn w:val="DefaultParagraphFont"/>
    <w:rsid w:val="00AA72E0"/>
  </w:style>
  <w:style w:type="character" w:customStyle="1" w:styleId="vkekvd">
    <w:name w:val="vkekvd"/>
    <w:basedOn w:val="DefaultParagraphFont"/>
    <w:rsid w:val="00FF1163"/>
  </w:style>
  <w:style w:type="character" w:customStyle="1" w:styleId="t286pc">
    <w:name w:val="t286pc"/>
    <w:basedOn w:val="DefaultParagraphFont"/>
    <w:rsid w:val="00DD6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hyperlink" Target="https://ies.ed.gov/ncee/projects/evaluation/idea_spending.asp" TargetMode="External" /><Relationship Id="rId16" Type="http://schemas.openxmlformats.org/officeDocument/2006/relationships/hyperlink" Target="https://www.reginfo.gov/public/do/PRAViewIC?ref_nbr=202401-1850-007&amp;icID=268606" TargetMode="External" /><Relationship Id="rId17" Type="http://schemas.openxmlformats.org/officeDocument/2006/relationships/hyperlink" Target="https://www.reginfo.gov/public/do/PRAViewIC?ref_nbr=202508-1850-002&amp;icID=277175" TargetMode="External" /><Relationship Id="rId18" Type="http://schemas.openxmlformats.org/officeDocument/2006/relationships/header" Target="header4.xml" /><Relationship Id="rId19" Type="http://schemas.openxmlformats.org/officeDocument/2006/relationships/footer" Target="footer3.xml" /><Relationship Id="rId2" Type="http://schemas.openxmlformats.org/officeDocument/2006/relationships/endnotes" Target="endnotes.xml" /><Relationship Id="rId20" Type="http://schemas.openxmlformats.org/officeDocument/2006/relationships/hyperlink" Target="https://msair.sharepoint.com/sites/NationalSpecialEducationSpendingStudy/Shared%20Documents/General/T%205%20-%20Data%20Collection%20Approvals%20and%20Documentation/T5.2%20-%20Prepare%20OMB%20Clearance%20Packages/Full%20Study%20Recruitment/00%20Revised%20Full%20Scale%20Recruitment%20Package/01%20From%20Pubs/Sarah.brasiel@ed.gov" TargetMode="External" /><Relationship Id="rId21" Type="http://schemas.openxmlformats.org/officeDocument/2006/relationships/hyperlink" Target="mailto:tkolbe@air.org" TargetMode="External" /><Relationship Id="rId22" Type="http://schemas.openxmlformats.org/officeDocument/2006/relationships/hyperlink" Target="mailto:simko-cynthia@norc.org" TargetMode="External" /><Relationship Id="rId23" Type="http://schemas.openxmlformats.org/officeDocument/2006/relationships/image" Target="media/image2.png" /><Relationship Id="rId24" Type="http://schemas.openxmlformats.org/officeDocument/2006/relationships/hyperlink" Target="https://www.air.org" TargetMode="External" /><Relationship Id="rId25" Type="http://schemas.openxmlformats.org/officeDocument/2006/relationships/image" Target="media/image3.png" /><Relationship Id="rId26" Type="http://schemas.openxmlformats.org/officeDocument/2006/relationships/hyperlink" Target="https://www.air.org/" TargetMode="External" /><Relationship Id="rId27" Type="http://schemas.openxmlformats.org/officeDocument/2006/relationships/hyperlink" Target="http://www.air.org/" TargetMode="External" /><Relationship Id="rId28" Type="http://schemas.openxmlformats.org/officeDocument/2006/relationships/header" Target="header5.xml" /><Relationship Id="rId29" Type="http://schemas.openxmlformats.org/officeDocument/2006/relationships/footer" Target="footer4.xml" /><Relationship Id="rId3" Type="http://schemas.openxmlformats.org/officeDocument/2006/relationships/settings" Target="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seels.sri.com/designdocs/SEELS_Children_We_Serve_Report.pdf" TargetMode="External" /><Relationship Id="rId2" Type="http://schemas.openxmlformats.org/officeDocument/2006/relationships/hyperlink" Target="https://www.nationaldb.org/media/doc/2021_National_Deaf-Blind_Child_Count_Report_a.pdf" TargetMode="External" /><Relationship Id="rId3" Type="http://schemas.openxmlformats.org/officeDocument/2006/relationships/hyperlink" Target="https://ectacenter.org/topics/earlyid/partbelig.asp" TargetMode="External" /><Relationship Id="rId4" Type="http://schemas.openxmlformats.org/officeDocument/2006/relationships/hyperlink" Target="https://www.edweek.org/teaching-learning/how-much-does-special-education-truly-cost-finally-an-answer-is-on-the-horizon/2024/08"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AIR_2021_Corporate_MS-Office_Branding">
  <a:themeElements>
    <a:clrScheme name="AIR Blue-Green-Gray">
      <a:dk1>
        <a:srgbClr val="000000"/>
      </a:dk1>
      <a:lt1>
        <a:srgbClr val="FFFFFF"/>
      </a:lt1>
      <a:dk2>
        <a:srgbClr val="1C252D"/>
      </a:dk2>
      <a:lt2>
        <a:srgbClr val="D1EEFC"/>
      </a:lt2>
      <a:accent1>
        <a:srgbClr val="00507F"/>
      </a:accent1>
      <a:accent2>
        <a:srgbClr val="009DD7"/>
      </a:accent2>
      <a:accent3>
        <a:srgbClr val="006E9F"/>
      </a:accent3>
      <a:accent4>
        <a:srgbClr val="08A94F"/>
      </a:accent4>
      <a:accent5>
        <a:srgbClr val="028342"/>
      </a:accent5>
      <a:accent6>
        <a:srgbClr val="E2E6E8"/>
      </a:accent6>
      <a:hlink>
        <a:srgbClr val="00507F"/>
      </a:hlink>
      <a:folHlink>
        <a:srgbClr val="49134C"/>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custClrLst>
    <a:custClr name="Deep Blue">
      <a:srgbClr val="063C5C"/>
    </a:custClr>
    <a:custClr name="Classic Blue">
      <a:srgbClr val="00507F"/>
    </a:custClr>
    <a:custClr name="Ocean">
      <a:srgbClr val="006E9F"/>
    </a:custClr>
    <a:custClr name="Wedgewood">
      <a:srgbClr val="5393BD"/>
    </a:custClr>
    <a:custClr name="Hydrangea">
      <a:srgbClr val="98C7E9"/>
    </a:custClr>
    <a:custClr name="Ice">
      <a:srgbClr val="D1EEFC"/>
    </a:custClr>
    <a:custClr name="Blank">
      <a:srgbClr val="FFFFFF"/>
    </a:custClr>
    <a:custClr name="Classic Blue">
      <a:srgbClr val="00507F"/>
    </a:custClr>
    <a:custClr name="Pool">
      <a:srgbClr val="009DD7"/>
    </a:custClr>
    <a:custClr name="50 pct. Ice">
      <a:srgbClr val="E8F6FD"/>
    </a:custClr>
    <a:custClr name="Leaf">
      <a:srgbClr val="056233"/>
    </a:custClr>
    <a:custClr name="Grass">
      <a:srgbClr val="008341"/>
    </a:custClr>
    <a:custClr name="Lime">
      <a:srgbClr val="06A94F"/>
    </a:custClr>
    <a:custClr name="Mint">
      <a:srgbClr val="7AC79B"/>
    </a:custClr>
    <a:custClr name="Sage">
      <a:srgbClr val="B4D8BE"/>
    </a:custClr>
    <a:custClr name="Light Sage">
      <a:srgbClr val="D8ECDB"/>
    </a:custClr>
    <a:custClr name="Blank">
      <a:srgbClr val="FFFFFF"/>
    </a:custClr>
    <a:custClr name="Blank">
      <a:srgbClr val="FFFFFF"/>
    </a:custClr>
    <a:custClr name="Blank">
      <a:srgbClr val="FFFFFF"/>
    </a:custClr>
    <a:custClr name="Blank">
      <a:srgbClr val="FFFFFF"/>
    </a:custClr>
    <a:custClr name="Charcoal">
      <a:srgbClr val="1C252D"/>
    </a:custClr>
    <a:custClr name="Slate">
      <a:srgbClr val="333F48"/>
    </a:custClr>
    <a:custClr name="Stone">
      <a:srgbClr val="72808A"/>
    </a:custClr>
    <a:custClr name="Pewter">
      <a:srgbClr val="A3AAAD"/>
    </a:custClr>
    <a:custClr name="Fog">
      <a:srgbClr val="C6CDD1"/>
    </a:custClr>
    <a:custClr name="Cement">
      <a:srgbClr val="E2E6E8"/>
    </a:custClr>
    <a:custClr name="Blank">
      <a:srgbClr val="FFFFFF"/>
    </a:custClr>
    <a:custClr name="Blank">
      <a:srgbClr val="FFFFFF"/>
    </a:custClr>
    <a:custClr name="Blank">
      <a:srgbClr val="FFFFFF"/>
    </a:custClr>
    <a:custClr name="Blank">
      <a:srgbClr val="FFFFFF"/>
    </a:custClr>
    <a:custClr name="Amber">
      <a:srgbClr val="882E0A"/>
    </a:custClr>
    <a:custClr name="Pumpkin">
      <a:srgbClr val="BC4A26"/>
    </a:custClr>
    <a:custClr name="Tangerine">
      <a:srgbClr val="EA6A20"/>
    </a:custClr>
    <a:custClr name="Creamsicle">
      <a:srgbClr val="F9A872"/>
    </a:custClr>
    <a:custClr name="Peach">
      <a:srgbClr val="FDD1B0"/>
    </a:custClr>
    <a:custClr name="Pale Peach">
      <a:srgbClr val="FAECE7"/>
    </a:custClr>
    <a:custClr name="Blank">
      <a:srgbClr val="FFFFFF"/>
    </a:custClr>
    <a:custClr name="Bark">
      <a:srgbClr val="6A5204"/>
    </a:custClr>
    <a:custClr name="Caramel">
      <a:srgbClr val="946E29"/>
    </a:custClr>
    <a:custClr name="Gold">
      <a:srgbClr val="C6892B"/>
    </a:custClr>
    <a:custClr name="Eggplant">
      <a:srgbClr val="49124C"/>
    </a:custClr>
    <a:custClr name="Plum">
      <a:srgbClr val="602468"/>
    </a:custClr>
    <a:custClr name="Orchid">
      <a:srgbClr val="9A5EA6"/>
    </a:custClr>
    <a:custClr name="Heather">
      <a:srgbClr val="B888BD"/>
    </a:custClr>
    <a:custClr name="Lilac">
      <a:srgbClr val="E2C9E1"/>
    </a:custClr>
    <a:custClr name="Soft Lilac">
      <a:srgbClr val="F5E8F2"/>
    </a:custClr>
    <a:custClr name="Blank">
      <a:srgbClr val="FFFFFF"/>
    </a:custClr>
    <a:custClr name="Marigold">
      <a:srgbClr val="FEC553"/>
    </a:custClr>
    <a:custClr name="Flax">
      <a:srgbClr val="F7D880"/>
    </a:custClr>
    <a:custClr name="Cream">
      <a:srgbClr val="FFF6DC"/>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BA413-B164-43E8-8681-DF5B9BBD8F18}">
  <ds:schemaRefs>
    <ds:schemaRef ds:uri="http://schemas.openxmlformats.org/officeDocument/2006/bibliography"/>
  </ds:schemaRefs>
</ds:datastoreItem>
</file>

<file path=customXml/itemProps2.xml><?xml version="1.0" encoding="utf-8"?>
<ds:datastoreItem xmlns:ds="http://schemas.openxmlformats.org/officeDocument/2006/customXml" ds:itemID="{8D998B46-4096-4180-884C-E798C1969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08D8D-DF5C-4B4A-9264-70A315A069B0}">
  <ds:schemaRefs>
    <ds:schemaRef ds:uri="http://schemas.microsoft.com/sharepoint/v3/contenttype/forms"/>
  </ds:schemaRefs>
</ds:datastoreItem>
</file>

<file path=customXml/itemProps4.xml><?xml version="1.0" encoding="utf-8"?>
<ds:datastoreItem xmlns:ds="http://schemas.openxmlformats.org/officeDocument/2006/customXml" ds:itemID="{F4F4731E-60AE-4807-B61D-98864C2C76BF}">
  <ds:schemaRefs>
    <ds:schemaRef ds:uri="http://schemas.microsoft.com/office/2006/metadata/properties"/>
    <ds:schemaRef ds:uri="http://schemas.openxmlformats.org/package/2006/metadata/core-properties"/>
    <ds:schemaRef ds:uri="http://schemas.microsoft.com/office/infopath/2007/PartnerControls"/>
    <ds:schemaRef ds:uri="cbf09c1f-469b-4f71-a1cf-515b2476fa1e"/>
    <ds:schemaRef ds:uri="http://schemas.microsoft.com/office/2006/documentManagement/types"/>
    <ds:schemaRef ds:uri="http://purl.org/dc/term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5534</Words>
  <Characters>37638</Characters>
  <Application>Microsoft Office Word</Application>
  <DocSecurity>0</DocSecurity>
  <Lines>1568</Lines>
  <Paragraphs>464</Paragraphs>
  <ScaleCrop>false</ScaleCrop>
  <Company/>
  <LinksUpToDate>false</LinksUpToDate>
  <CharactersWithSpaces>42708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Rosenstein, Amy</dc:creator>
  <cp:lastModifiedBy>Soldner, Matthew</cp:lastModifiedBy>
  <cp:revision>25</cp:revision>
  <cp:lastPrinted>2025-12-23T02:31:00Z</cp:lastPrinted>
  <dcterms:created xsi:type="dcterms:W3CDTF">2025-12-23T03:42:00Z</dcterms:created>
  <dcterms:modified xsi:type="dcterms:W3CDTF">2026-04-21T13:10:00Z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docLang">
    <vt:lpwstr>en</vt:lpwstr>
  </property>
  <property fmtid="{D5CDD505-2E9C-101B-9397-08002B2CF9AE}" pid="4" name="MediaServiceImageTags">
    <vt:lpwstr/>
  </property>
</Properties>
</file>