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D512A" w:rsidRPr="0084502F" w:rsidP="00ED512A" w14:paraId="35405705" w14:textId="77777777">
      <w:pPr>
        <w:pStyle w:val="Heading1"/>
      </w:pPr>
      <w:bookmarkStart w:id="0" w:name="_Toc532370547"/>
      <w:bookmarkStart w:id="1" w:name="_Toc3447260"/>
      <w:bookmarkStart w:id="2" w:name="_Hlk20482643"/>
      <w:bookmarkStart w:id="3" w:name="_Hlk70187385"/>
      <w:bookmarkStart w:id="4" w:name="_Hlk64472213"/>
      <w:bookmarkStart w:id="5" w:name="_Hlk62477962"/>
      <w:bookmarkStart w:id="6" w:name="_Toc215310900"/>
      <w:bookmarkStart w:id="7" w:name="_Toc215312873"/>
      <w:r w:rsidRPr="00D67B9F">
        <w:drawing>
          <wp:anchor distT="0" distB="0" distL="114300" distR="114300" simplePos="0" relativeHeight="251658240" behindDoc="1" locked="0" layoutInCell="1" allowOverlap="1">
            <wp:simplePos x="0" y="0"/>
            <wp:positionH relativeFrom="page">
              <wp:align>right</wp:align>
            </wp:positionH>
            <wp:positionV relativeFrom="paragraph">
              <wp:posOffset>-1403245</wp:posOffset>
            </wp:positionV>
            <wp:extent cx="7772400" cy="10058400"/>
            <wp:effectExtent l="0" t="0" r="0" b="0"/>
            <wp:wrapNone/>
            <wp:docPr id="19" name="Picture 13" descr="A white background with blue and whit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descr="A white background with blue and white circles"/>
                    <pic:cNvPicPr>
                      <a:picLocks noChangeAspect="1" noChangeArrowheads="1"/>
                    </pic:cNvPicPr>
                  </pic:nvPicPr>
                  <pic:blipFill>
                    <a:blip xmlns:r="http://schemas.openxmlformats.org/officeDocument/2006/relationships" r:embed="rId10"/>
                    <a:stretch>
                      <a:fillRect/>
                    </a:stretch>
                  </pic:blipFill>
                  <pic:spPr bwMode="auto">
                    <a:xfrm>
                      <a:off x="0" y="0"/>
                      <a:ext cx="7772400" cy="10058400"/>
                    </a:xfrm>
                    <a:prstGeom prst="rect">
                      <a:avLst/>
                    </a:prstGeom>
                    <a:noFill/>
                    <a:ln>
                      <a:noFill/>
                    </a:ln>
                  </pic:spPr>
                </pic:pic>
              </a:graphicData>
            </a:graphic>
          </wp:anchor>
        </w:drawing>
      </w:r>
      <w:r w:rsidRPr="0084502F">
        <w:t>National Study of Special Education Spending</w:t>
      </w:r>
      <w:bookmarkEnd w:id="6"/>
      <w:bookmarkEnd w:id="7"/>
      <w:r>
        <w:t xml:space="preserve"> </w:t>
      </w:r>
    </w:p>
    <w:p w:rsidR="00ED512A" w:rsidP="00ED512A" w14:paraId="005724B3" w14:textId="79F600B7">
      <w:pPr>
        <w:pStyle w:val="DocumentSubtitle"/>
      </w:pPr>
      <w:bookmarkStart w:id="8" w:name="_Toc215310901"/>
      <w:r>
        <w:t>Supporting Statement for OMB Clearance Request for Full-Scale Study Recruitment Activities (Phase 1)</w:t>
      </w:r>
      <w:r>
        <w:br/>
        <w:t xml:space="preserve">Part </w:t>
      </w:r>
      <w:r>
        <w:t>F</w:t>
      </w:r>
      <w:r>
        <w:t xml:space="preserve">: </w:t>
      </w:r>
      <w:bookmarkEnd w:id="8"/>
      <w:r>
        <w:t>60 Day Comments and Responses</w:t>
      </w:r>
    </w:p>
    <w:p w:rsidR="00ED512A" w:rsidRPr="002B6C49" w:rsidP="00ED512A" w14:paraId="720E2473" w14:textId="77777777">
      <w:pPr>
        <w:pStyle w:val="MemoHeading"/>
        <w:rPr>
          <w:sz w:val="24"/>
          <w:szCs w:val="24"/>
        </w:rPr>
      </w:pPr>
      <w:r w:rsidRPr="002B6C49">
        <w:rPr>
          <w:sz w:val="24"/>
          <w:szCs w:val="24"/>
        </w:rPr>
        <w:t>April 2026</w:t>
      </w:r>
    </w:p>
    <w:p w:rsidR="00ED512A" w14:paraId="4A64D01A" w14:textId="77777777">
      <w:pPr>
        <w:spacing w:after="0"/>
        <w:rPr>
          <w:rFonts w:eastAsia="Times New Roman" w:asciiTheme="majorHAnsi" w:hAnsiTheme="majorHAnsi"/>
          <w:b/>
          <w:color w:val="003462"/>
          <w:kern w:val="28"/>
          <w:sz w:val="48"/>
          <w:szCs w:val="40"/>
        </w:rPr>
      </w:pPr>
      <w:r>
        <w:br w:type="page"/>
      </w:r>
    </w:p>
    <w:p w:rsidR="00BC5358" w:rsidP="00BC5358" w14:paraId="39FFC34D" w14:textId="2E4D7E83">
      <w:pPr>
        <w:pStyle w:val="BodyText"/>
        <w:rPr>
          <w:rFonts w:eastAsiaTheme="minorEastAsia"/>
        </w:rPr>
      </w:pPr>
      <w:bookmarkStart w:id="9" w:name="_Toc496018144"/>
      <w:bookmarkStart w:id="10" w:name="_Ref498435512"/>
      <w:bookmarkStart w:id="11" w:name="_Ref498435526"/>
      <w:bookmarkStart w:id="12" w:name="_Ref498435676"/>
      <w:bookmarkStart w:id="13" w:name="_Toc531789892"/>
      <w:bookmarkStart w:id="14" w:name="_Toc532370553"/>
      <w:bookmarkStart w:id="15" w:name="_Toc20312299"/>
      <w:bookmarkStart w:id="16" w:name="_Toc64877968"/>
      <w:bookmarkStart w:id="17" w:name="_Toc66965811"/>
      <w:bookmarkStart w:id="18" w:name="_Toc66968285"/>
      <w:bookmarkStart w:id="19" w:name="_Toc69836212"/>
      <w:bookmarkEnd w:id="0"/>
      <w:bookmarkEnd w:id="1"/>
      <w:bookmarkEnd w:id="2"/>
      <w:bookmarkEnd w:id="3"/>
      <w:bookmarkEnd w:id="4"/>
      <w:bookmarkEnd w:id="5"/>
      <w:r>
        <w:rPr>
          <w:rFonts w:eastAsiaTheme="minorEastAsia"/>
        </w:rPr>
        <w:t xml:space="preserve">This </w:t>
      </w:r>
      <w:r w:rsidR="002B6C49">
        <w:rPr>
          <w:rFonts w:eastAsiaTheme="minorEastAsia"/>
        </w:rPr>
        <w:t>attachment</w:t>
      </w:r>
      <w:r w:rsidR="002B6C49">
        <w:rPr>
          <w:rFonts w:eastAsiaTheme="minorEastAsia"/>
        </w:rPr>
        <w:t xml:space="preserve"> </w:t>
      </w:r>
      <w:r>
        <w:rPr>
          <w:rFonts w:eastAsiaTheme="minorEastAsia"/>
        </w:rPr>
        <w:t xml:space="preserve">summarizes comments received during the </w:t>
      </w:r>
      <w:r w:rsidR="002B6C49">
        <w:rPr>
          <w:rFonts w:eastAsiaTheme="minorEastAsia"/>
        </w:rPr>
        <w:t xml:space="preserve">60-Day </w:t>
      </w:r>
      <w:r w:rsidR="002B089D">
        <w:rPr>
          <w:rFonts w:eastAsiaTheme="minorEastAsia"/>
        </w:rPr>
        <w:t xml:space="preserve">public </w:t>
      </w:r>
      <w:r>
        <w:rPr>
          <w:rFonts w:eastAsiaTheme="minorEastAsia"/>
        </w:rPr>
        <w:t xml:space="preserve">comment period for the National Special Education Spending Study’s (NSSES) clearance package for study recruitment. </w:t>
      </w:r>
    </w:p>
    <w:p w:rsidR="00BC5358" w:rsidP="00BC5358" w14:paraId="2B5F482F" w14:textId="57BFB7E4">
      <w:pPr>
        <w:pStyle w:val="Heading2"/>
      </w:pPr>
      <w:r>
        <w:t>Overview</w:t>
      </w:r>
    </w:p>
    <w:bookmarkEnd w:id="9"/>
    <w:bookmarkEnd w:id="10"/>
    <w:bookmarkEnd w:id="11"/>
    <w:bookmarkEnd w:id="12"/>
    <w:bookmarkEnd w:id="13"/>
    <w:bookmarkEnd w:id="14"/>
    <w:bookmarkEnd w:id="15"/>
    <w:bookmarkEnd w:id="16"/>
    <w:bookmarkEnd w:id="17"/>
    <w:bookmarkEnd w:id="18"/>
    <w:bookmarkEnd w:id="19"/>
    <w:p w:rsidR="00EE2F6C" w:rsidP="00AC0D83" w14:paraId="661A7375" w14:textId="25839DEB">
      <w:pPr>
        <w:pStyle w:val="BodyText"/>
      </w:pPr>
      <w:r>
        <w:t>OMB received 17 comments on the NSSES’ recruitment plan</w:t>
      </w:r>
      <w:r w:rsidRPr="00EE2F6C">
        <w:t>, all of which expressed strong, broad</w:t>
      </w:r>
      <w:r w:rsidRPr="00EE2F6C">
        <w:noBreakHyphen/>
        <w:t>based support for the NSSES and the proposed data collection. No comments raised opposition or concerns</w:t>
      </w:r>
      <w:r>
        <w:t xml:space="preserve"> to the NSSES</w:t>
      </w:r>
      <w:r w:rsidR="004D0930">
        <w:t xml:space="preserve"> </w:t>
      </w:r>
      <w:r>
        <w:t xml:space="preserve">collection. </w:t>
      </w:r>
    </w:p>
    <w:p w:rsidR="00BC5358" w:rsidRPr="00EE2F6C" w:rsidP="00AC0D83" w14:paraId="0B90622A" w14:textId="768910DF">
      <w:pPr>
        <w:pStyle w:val="BlockText"/>
        <w:ind w:left="0"/>
      </w:pPr>
      <w:r>
        <w:t>Broadly, c</w:t>
      </w:r>
      <w:r w:rsidRPr="00BC5358">
        <w:t>ommenters:</w:t>
      </w:r>
    </w:p>
    <w:p w:rsidR="00BC5358" w:rsidRPr="00BC5358" w:rsidP="00AC0D83" w14:paraId="518663C2" w14:textId="611FE004">
      <w:pPr>
        <w:pStyle w:val="BlockText"/>
        <w:numPr>
          <w:ilvl w:val="0"/>
          <w:numId w:val="45"/>
        </w:numPr>
      </w:pPr>
      <w:r>
        <w:t>E</w:t>
      </w:r>
      <w:r w:rsidRPr="00BC5358">
        <w:t>mphasized the importance of high-quality, granular, and disaggregated data to understand special education spending and key cost drivers.</w:t>
      </w:r>
    </w:p>
    <w:p w:rsidR="00BC5358" w:rsidRPr="00BC5358" w:rsidP="00AC0D83" w14:paraId="2BADEABC" w14:textId="1EE1EFEB">
      <w:pPr>
        <w:pStyle w:val="BlockText"/>
        <w:numPr>
          <w:ilvl w:val="0"/>
          <w:numId w:val="45"/>
        </w:numPr>
      </w:pPr>
      <w:r>
        <w:t xml:space="preserve">Noted </w:t>
      </w:r>
      <w:r w:rsidRPr="00BC5358">
        <w:t>that district-level special education administrators and finance staff are appropriate respondents for providing accurate fiscal and programmatic data.</w:t>
      </w:r>
    </w:p>
    <w:p w:rsidR="00BC5358" w:rsidRPr="00BC5358" w:rsidP="00AC0D83" w14:paraId="4A12FF4B" w14:textId="303EF531">
      <w:pPr>
        <w:pStyle w:val="BlockText"/>
        <w:numPr>
          <w:ilvl w:val="0"/>
          <w:numId w:val="45"/>
        </w:numPr>
      </w:pPr>
      <w:r>
        <w:t>H</w:t>
      </w:r>
      <w:r w:rsidRPr="00BC5358">
        <w:t>ighlighted the need for clear definitions of cost categories, use of existing administrative data where feasible, and careful management of respondent burden.</w:t>
      </w:r>
    </w:p>
    <w:p w:rsidR="00AC0D83" w:rsidP="00EE2F6C" w14:paraId="67CC883B" w14:textId="77777777">
      <w:pPr>
        <w:pStyle w:val="BlockText"/>
        <w:numPr>
          <w:ilvl w:val="0"/>
          <w:numId w:val="45"/>
        </w:numPr>
      </w:pPr>
      <w:r>
        <w:t>U</w:t>
      </w:r>
      <w:r w:rsidRPr="00BC5358">
        <w:t>nderscored the importance of timely, accessible, and policy-relevant outputs to inform federal, state, and local decision-making.</w:t>
      </w:r>
    </w:p>
    <w:p w:rsidR="002B6C49" w:rsidRPr="002B6C49" w:rsidP="002B6C49" w14:paraId="2992B428" w14:textId="1D5E073D">
      <w:pPr>
        <w:pStyle w:val="BodyText"/>
      </w:pPr>
      <w:r>
        <w:t xml:space="preserve">One comment, </w:t>
      </w:r>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000</w:t>
      </w:r>
      <w:r>
        <w:t xml:space="preserve">8, is not included below. It is directed </w:t>
      </w:r>
      <w:r>
        <w:t>to</w:t>
      </w:r>
      <w:r>
        <w:t xml:space="preserve"> the Office of Management and </w:t>
      </w:r>
      <w:r>
        <w:t>Budget, and</w:t>
      </w:r>
      <w:r>
        <w:t xml:space="preserve"> speaks to the burden of ED data collections more broadly. Because it is not specifically relevant to the NSSES, we do not discuss it below.</w:t>
      </w:r>
    </w:p>
    <w:p w:rsidR="00EE2F6C" w:rsidP="00AC0D83" w14:paraId="27127AAA" w14:textId="2A0047BB">
      <w:pPr>
        <w:pStyle w:val="Heading2"/>
      </w:pPr>
      <w:r>
        <w:t>Responses to Comments</w:t>
      </w:r>
    </w:p>
    <w:p w:rsidR="00D609C8" w14:paraId="6206F6DB" w14:textId="77777777">
      <w:pPr>
        <w:pStyle w:val="BodyText"/>
      </w:pPr>
    </w:p>
    <w:p w:rsidR="00AC0D83" w14:paraId="525ADC82" w14:textId="77777777">
      <w:pPr>
        <w:spacing w:after="0"/>
        <w:rPr>
          <w:rFonts w:asciiTheme="majorHAnsi" w:eastAsiaTheme="minorHAnsi" w:hAnsiTheme="majorHAnsi"/>
          <w:b/>
          <w:bCs/>
          <w:color w:val="00507F" w:themeColor="accent1"/>
          <w:sz w:val="30"/>
          <w:szCs w:val="20"/>
        </w:rPr>
      </w:pPr>
      <w:r>
        <w:br w:type="page"/>
      </w:r>
    </w:p>
    <w:p w:rsidR="00BC5358" w:rsidP="00BC5358" w14:paraId="11E0C2BC" w14:textId="214BE51D">
      <w:pPr>
        <w:pStyle w:val="Heading2"/>
      </w:pPr>
      <w:r>
        <w:t>Table 1. Summary of K</w:t>
      </w:r>
      <w:r>
        <w:t>ey Themes</w:t>
      </w:r>
      <w:r>
        <w:t>, Actionable Feedback, and Department Responses</w:t>
      </w:r>
    </w:p>
    <w:p w:rsidR="002B6C49" w:rsidRPr="002B6C49" w:rsidP="002B6C49" w14:paraId="2AB3EF0C" w14:textId="77777777">
      <w:pPr>
        <w:pStyle w:val="BodyTextPostHead"/>
      </w:pPr>
    </w:p>
    <w:tbl>
      <w:tblPr>
        <w:tblStyle w:val="TableStyle-AIR2021"/>
        <w:tblW w:w="0" w:type="auto"/>
        <w:tblInd w:w="10" w:type="dxa"/>
        <w:tblLook w:val="04A0"/>
      </w:tblPr>
      <w:tblGrid>
        <w:gridCol w:w="2280"/>
        <w:gridCol w:w="2315"/>
        <w:gridCol w:w="2425"/>
        <w:gridCol w:w="2320"/>
      </w:tblGrid>
      <w:tr w14:paraId="6C85CE7E" w14:textId="77777777" w:rsidTr="002B6C49">
        <w:tblPrEx>
          <w:tblW w:w="0" w:type="auto"/>
          <w:tblInd w:w="10" w:type="dxa"/>
          <w:tblLook w:val="04A0"/>
        </w:tblPrEx>
        <w:trPr>
          <w:cantSplit/>
          <w:tblHeader/>
        </w:trPr>
        <w:tc>
          <w:tcPr>
            <w:tcW w:w="2427" w:type="dxa"/>
            <w:vAlign w:val="center"/>
          </w:tcPr>
          <w:p w:rsidR="002B6C49" w:rsidP="002B6C49" w14:paraId="217BA29D" w14:textId="4AAABE45">
            <w:pPr>
              <w:rPr>
                <w:b/>
                <w:bCs/>
                <w:color w:val="FFFFFF" w:themeColor="background1"/>
              </w:rPr>
            </w:pPr>
            <w:r w:rsidRPr="002304E8">
              <w:rPr>
                <w:b/>
                <w:bCs/>
                <w:color w:val="FFFFFF" w:themeColor="background1"/>
              </w:rPr>
              <w:t>Overall Feedback</w:t>
            </w:r>
          </w:p>
          <w:p w:rsidR="003625D0" w:rsidRPr="002304E8" w:rsidP="002B6C49" w14:paraId="769B5A85" w14:textId="7C0D3372">
            <w:pPr>
              <w:rPr>
                <w:b/>
                <w:bCs/>
                <w:color w:val="FFFFFF" w:themeColor="background1"/>
              </w:rPr>
            </w:pPr>
            <w:r w:rsidRPr="002304E8">
              <w:rPr>
                <w:b/>
                <w:bCs/>
                <w:color w:val="FFFFFF" w:themeColor="background1"/>
              </w:rPr>
              <w:t>(Key Theme)</w:t>
            </w:r>
          </w:p>
        </w:tc>
        <w:tc>
          <w:tcPr>
            <w:tcW w:w="2453" w:type="dxa"/>
            <w:vAlign w:val="center"/>
          </w:tcPr>
          <w:p w:rsidR="003625D0" w:rsidRPr="002304E8" w:rsidP="002B6C49" w14:paraId="40EC914F" w14:textId="77777777">
            <w:pPr>
              <w:rPr>
                <w:b/>
                <w:bCs/>
                <w:color w:val="FFFFFF" w:themeColor="background1"/>
              </w:rPr>
            </w:pPr>
            <w:r w:rsidRPr="002304E8">
              <w:rPr>
                <w:b/>
                <w:bCs/>
                <w:color w:val="FFFFFF" w:themeColor="background1"/>
              </w:rPr>
              <w:t>Actionable Feedback from Commenters</w:t>
            </w:r>
          </w:p>
        </w:tc>
        <w:tc>
          <w:tcPr>
            <w:tcW w:w="2013" w:type="dxa"/>
            <w:vAlign w:val="center"/>
          </w:tcPr>
          <w:p w:rsidR="003625D0" w:rsidRPr="0078223B" w:rsidP="002B6C49" w14:paraId="784AA74D" w14:textId="77A1537C">
            <w:pPr>
              <w:rPr>
                <w:b/>
                <w:bCs/>
                <w:color w:val="FFFFFF" w:themeColor="background1"/>
              </w:rPr>
            </w:pPr>
            <w:r w:rsidRPr="0078223B">
              <w:rPr>
                <w:b/>
                <w:bCs/>
                <w:color w:val="FFFFFF" w:themeColor="background1"/>
              </w:rPr>
              <w:t xml:space="preserve">Public </w:t>
            </w:r>
            <w:r w:rsidRPr="0078223B">
              <w:rPr>
                <w:b/>
                <w:bCs/>
                <w:color w:val="FFFFFF" w:themeColor="background1"/>
              </w:rPr>
              <w:t xml:space="preserve"> Comment</w:t>
            </w:r>
            <w:r w:rsidRPr="0078223B">
              <w:rPr>
                <w:b/>
                <w:bCs/>
                <w:color w:val="FFFFFF" w:themeColor="background1"/>
              </w:rPr>
              <w:t xml:space="preserve"> Reference</w:t>
            </w:r>
            <w:r w:rsidR="002B6C49">
              <w:rPr>
                <w:b/>
                <w:bCs/>
                <w:color w:val="FFFFFF" w:themeColor="background1"/>
              </w:rPr>
              <w:t>s</w:t>
            </w:r>
          </w:p>
        </w:tc>
        <w:tc>
          <w:tcPr>
            <w:tcW w:w="2457" w:type="dxa"/>
            <w:vAlign w:val="center"/>
          </w:tcPr>
          <w:p w:rsidR="003625D0" w:rsidRPr="002304E8" w:rsidP="002B6C49" w14:paraId="4E8F5A3E" w14:textId="030CC6F8">
            <w:pPr>
              <w:rPr>
                <w:b/>
                <w:bCs/>
                <w:color w:val="FFFFFF" w:themeColor="background1"/>
              </w:rPr>
            </w:pPr>
            <w:r w:rsidRPr="002304E8">
              <w:rPr>
                <w:b/>
                <w:bCs/>
                <w:color w:val="FFFFFF" w:themeColor="background1"/>
              </w:rPr>
              <w:t>Department Response</w:t>
            </w:r>
          </w:p>
        </w:tc>
      </w:tr>
      <w:tr w14:paraId="7B45CFC4" w14:textId="77777777" w:rsidTr="00D353C4">
        <w:tblPrEx>
          <w:tblW w:w="0" w:type="auto"/>
          <w:tblInd w:w="10" w:type="dxa"/>
          <w:tblLook w:val="04A0"/>
        </w:tblPrEx>
        <w:tc>
          <w:tcPr>
            <w:tcW w:w="2427" w:type="dxa"/>
          </w:tcPr>
          <w:p w:rsidR="003625D0" w:rsidP="00893ADF" w14:paraId="644FAD09" w14:textId="77777777">
            <w:r>
              <w:t>Strong support for NSSES and OMB approval</w:t>
            </w:r>
          </w:p>
        </w:tc>
        <w:tc>
          <w:tcPr>
            <w:tcW w:w="2453" w:type="dxa"/>
          </w:tcPr>
          <w:p w:rsidR="003625D0" w:rsidP="00893ADF" w14:paraId="5FAE1672" w14:textId="77777777">
            <w:r>
              <w:t>Commenters urged OMB to approve the data collection, noting that updated national data on special education spending are long overdue and critical for IDEA oversight and funding adequacy discussions.</w:t>
            </w:r>
          </w:p>
        </w:tc>
        <w:tc>
          <w:tcPr>
            <w:tcW w:w="2013" w:type="dxa"/>
          </w:tcPr>
          <w:p w:rsidR="00EB274C" w:rsidRPr="0078223B" w:rsidP="00EB274C" w14:paraId="6DEA8543" w14:textId="1C39C295">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0007 </w:t>
            </w:r>
          </w:p>
          <w:p w:rsidR="00EB274C" w:rsidRPr="0078223B" w:rsidP="00EB274C" w14:paraId="59075639" w14:textId="356CA0A2">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0011 </w:t>
            </w:r>
          </w:p>
          <w:p w:rsidR="00EB274C" w:rsidRPr="0078223B" w:rsidP="00EB274C" w14:paraId="09839E5B" w14:textId="7AB7470B">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0013</w:t>
            </w:r>
          </w:p>
          <w:p w:rsidR="00EB274C" w:rsidRPr="0078223B" w:rsidP="00EB274C" w14:paraId="195EADC7" w14:textId="3EE0BD53">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0015 </w:t>
            </w:r>
          </w:p>
          <w:p w:rsidR="00EB274C" w:rsidRPr="0078223B" w:rsidP="00EB274C" w14:paraId="603D5EEB" w14:textId="02861CD1">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0016 </w:t>
            </w:r>
          </w:p>
          <w:p w:rsidR="00EB274C" w:rsidRPr="0078223B" w:rsidP="00EB274C" w14:paraId="2D6F3CFB" w14:textId="6E0C4182">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0017 </w:t>
            </w:r>
          </w:p>
          <w:p w:rsidR="00EB274C" w:rsidRPr="0078223B" w:rsidP="00EB274C" w14:paraId="1F833A55" w14:textId="39DC673E">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0018</w:t>
            </w:r>
          </w:p>
          <w:p w:rsidR="00EB274C" w:rsidRPr="0078223B" w:rsidP="00EB274C" w14:paraId="08619DDB" w14:textId="57717E81">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0019 </w:t>
            </w:r>
          </w:p>
          <w:p w:rsidR="003625D0" w:rsidRPr="0078223B" w:rsidP="00EB274C" w14:paraId="6C47A51E" w14:textId="3055B47F">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0020 </w:t>
            </w:r>
          </w:p>
        </w:tc>
        <w:tc>
          <w:tcPr>
            <w:tcW w:w="2457" w:type="dxa"/>
          </w:tcPr>
          <w:p w:rsidR="003625D0" w:rsidP="00893ADF" w14:paraId="34A00DFF" w14:textId="3EDE2BEB">
            <w:r>
              <w:t xml:space="preserve">The Department acknowledges strong support for the NSSES and agrees that updated national data </w:t>
            </w:r>
            <w:r>
              <w:t>are</w:t>
            </w:r>
            <w:r>
              <w:t xml:space="preserve"> necessary to inform special education policy and programmatic decisions.</w:t>
            </w:r>
          </w:p>
        </w:tc>
      </w:tr>
      <w:tr w14:paraId="61648C4B" w14:textId="77777777" w:rsidTr="00D353C4">
        <w:tblPrEx>
          <w:tblW w:w="0" w:type="auto"/>
          <w:tblInd w:w="10" w:type="dxa"/>
          <w:tblLook w:val="04A0"/>
        </w:tblPrEx>
        <w:tc>
          <w:tcPr>
            <w:tcW w:w="2427" w:type="dxa"/>
          </w:tcPr>
          <w:p w:rsidR="003625D0" w:rsidP="00893ADF" w14:paraId="40409421" w14:textId="77777777">
            <w:r>
              <w:t>Need for granular and disaggregated data</w:t>
            </w:r>
          </w:p>
        </w:tc>
        <w:tc>
          <w:tcPr>
            <w:tcW w:w="2453" w:type="dxa"/>
          </w:tcPr>
          <w:p w:rsidR="003625D0" w:rsidP="00893ADF" w14:paraId="087F8E7B" w14:textId="77777777">
            <w:r>
              <w:t>Commenters recommended disaggregating spending by disability category, student demographics, placement setting, and service type to better understand variation in costs and equity.</w:t>
            </w:r>
          </w:p>
        </w:tc>
        <w:tc>
          <w:tcPr>
            <w:tcW w:w="2013" w:type="dxa"/>
          </w:tcPr>
          <w:p w:rsidR="004F3F7A" w:rsidRPr="0078223B" w:rsidP="004F3F7A" w14:paraId="3D49151F" w14:textId="337B7A9A">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0004 </w:t>
            </w:r>
          </w:p>
          <w:p w:rsidR="004F3F7A" w:rsidRPr="0078223B" w:rsidP="004F3F7A" w14:paraId="37BC29C4" w14:textId="6479B593">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0007 </w:t>
            </w:r>
          </w:p>
          <w:p w:rsidR="004F3F7A" w:rsidRPr="0078223B" w:rsidP="004F3F7A" w14:paraId="489B266F" w14:textId="6E1B6D66">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0014 </w:t>
            </w:r>
          </w:p>
          <w:p w:rsidR="004F3F7A" w:rsidRPr="0078223B" w:rsidP="004F3F7A" w14:paraId="031E4F30" w14:textId="2B6324AD">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0018</w:t>
            </w:r>
          </w:p>
          <w:p w:rsidR="004F3F7A" w:rsidRPr="0078223B" w:rsidP="004F3F7A" w14:paraId="3CD09644" w14:textId="5596DFEE">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0019 </w:t>
            </w:r>
          </w:p>
          <w:p w:rsidR="003625D0" w:rsidRPr="0078223B" w:rsidP="004F3F7A" w14:paraId="181135F5" w14:textId="295C64A2">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0016 </w:t>
            </w:r>
          </w:p>
        </w:tc>
        <w:tc>
          <w:tcPr>
            <w:tcW w:w="2457" w:type="dxa"/>
          </w:tcPr>
          <w:p w:rsidR="003625D0" w:rsidP="00893ADF" w14:paraId="2089CC04" w14:textId="51A73E63">
            <w:r>
              <w:t>The Department intends for the NSSES to produce detailed and disaggregated estimates to the extent feasible – including spending estimates disaggregated by IDEA’s 13 disability categories - consistent with study design, confidentiality protections, and statistical reliability.</w:t>
            </w:r>
          </w:p>
        </w:tc>
      </w:tr>
      <w:tr w14:paraId="26D2D12C" w14:textId="77777777" w:rsidTr="00D353C4">
        <w:tblPrEx>
          <w:tblW w:w="0" w:type="auto"/>
          <w:tblInd w:w="10" w:type="dxa"/>
          <w:tblLook w:val="04A0"/>
        </w:tblPrEx>
        <w:tc>
          <w:tcPr>
            <w:tcW w:w="2427" w:type="dxa"/>
          </w:tcPr>
          <w:p w:rsidR="003625D0" w:rsidP="00893ADF" w14:paraId="69670717" w14:textId="77777777">
            <w:r>
              <w:t>Capture</w:t>
            </w:r>
            <w:r>
              <w:t xml:space="preserve"> actual service delivery and cost drivers</w:t>
            </w:r>
          </w:p>
        </w:tc>
        <w:tc>
          <w:tcPr>
            <w:tcW w:w="2453" w:type="dxa"/>
          </w:tcPr>
          <w:p w:rsidR="003625D0" w:rsidP="00893ADF" w14:paraId="3087E223" w14:textId="77777777">
            <w:r>
              <w:t xml:space="preserve">Commenters emphasized capturing personnel costs, related services, contracted services, transportation, extended school year </w:t>
            </w:r>
            <w:r>
              <w:t>services, and assistive technology.</w:t>
            </w:r>
          </w:p>
        </w:tc>
        <w:tc>
          <w:tcPr>
            <w:tcW w:w="2013" w:type="dxa"/>
          </w:tcPr>
          <w:p w:rsidR="004F3F7A" w:rsidRPr="0078223B" w:rsidP="004F3F7A" w14:paraId="38ACD471" w14:textId="443E6D6F">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0014 </w:t>
            </w:r>
          </w:p>
          <w:p w:rsidR="004F3F7A" w:rsidRPr="0078223B" w:rsidP="004F3F7A" w14:paraId="595ECEE9" w14:textId="50BF7FAF">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0017</w:t>
            </w:r>
          </w:p>
          <w:p w:rsidR="004F3F7A" w:rsidRPr="0078223B" w:rsidP="004F3F7A" w14:paraId="2534B503" w14:textId="4D63B07F">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0018</w:t>
            </w:r>
          </w:p>
          <w:p w:rsidR="003625D0" w:rsidRPr="0078223B" w:rsidP="004F3F7A" w14:paraId="3108CCC4" w14:textId="60C92E4E">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0020 </w:t>
            </w:r>
          </w:p>
        </w:tc>
        <w:tc>
          <w:tcPr>
            <w:tcW w:w="2457" w:type="dxa"/>
          </w:tcPr>
          <w:p w:rsidR="003625D0" w:rsidP="00893ADF" w14:paraId="67FB17F4" w14:textId="47EED907">
            <w:r>
              <w:t xml:space="preserve">The study design includes data elements intended to capture major cost drivers associated with contemporary special </w:t>
            </w:r>
            <w:r>
              <w:t>education service delivery.</w:t>
            </w:r>
          </w:p>
        </w:tc>
      </w:tr>
      <w:tr w14:paraId="1EBF4E25" w14:textId="77777777" w:rsidTr="00D353C4">
        <w:tblPrEx>
          <w:tblW w:w="0" w:type="auto"/>
          <w:tblInd w:w="10" w:type="dxa"/>
          <w:tblLook w:val="04A0"/>
        </w:tblPrEx>
        <w:tc>
          <w:tcPr>
            <w:tcW w:w="2427" w:type="dxa"/>
          </w:tcPr>
          <w:p w:rsidR="003625D0" w:rsidP="00893ADF" w14:paraId="00AF3D2F" w14:textId="77777777">
            <w:r>
              <w:t>Who should provide data for the study</w:t>
            </w:r>
          </w:p>
        </w:tc>
        <w:tc>
          <w:tcPr>
            <w:tcW w:w="2453" w:type="dxa"/>
          </w:tcPr>
          <w:p w:rsidR="003625D0" w:rsidP="00893ADF" w14:paraId="5DCAF064" w14:textId="77777777">
            <w:r>
              <w:t>Commenters stressed that special education budgeting and service delivery are typically managed at the district level and recommended that district-level special education administrators and finance staff be primary respondents.</w:t>
            </w:r>
          </w:p>
        </w:tc>
        <w:tc>
          <w:tcPr>
            <w:tcW w:w="2013" w:type="dxa"/>
          </w:tcPr>
          <w:p w:rsidR="00ED2EF5" w:rsidRPr="0078223B" w:rsidP="00ED2EF5" w14:paraId="176300E9" w14:textId="24852241">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0005 </w:t>
            </w:r>
          </w:p>
          <w:p w:rsidR="00ED2EF5" w:rsidRPr="0078223B" w:rsidP="00ED2EF5" w14:paraId="4C26A084" w14:textId="1D960C66">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0018</w:t>
            </w:r>
          </w:p>
          <w:p w:rsidR="003625D0" w:rsidRPr="0078223B" w:rsidP="00ED2EF5" w14:paraId="7ADCE54F" w14:textId="1275FE89">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0014 </w:t>
            </w:r>
          </w:p>
        </w:tc>
        <w:tc>
          <w:tcPr>
            <w:tcW w:w="2457" w:type="dxa"/>
          </w:tcPr>
          <w:p w:rsidR="003625D0" w:rsidP="00893ADF" w14:paraId="4D750EA2" w14:textId="24AC238F">
            <w:r>
              <w:t>The Department agrees that engaging appropriate district-level personnel is critical for data accuracy and plans to identify respondents with direct responsibility for special education finance and program administration, including district special education directors or administrators.</w:t>
            </w:r>
          </w:p>
        </w:tc>
      </w:tr>
      <w:tr w14:paraId="0AB87EB3" w14:textId="77777777" w:rsidTr="00D353C4">
        <w:tblPrEx>
          <w:tblW w:w="0" w:type="auto"/>
          <w:tblInd w:w="10" w:type="dxa"/>
          <w:tblLook w:val="04A0"/>
        </w:tblPrEx>
        <w:tc>
          <w:tcPr>
            <w:tcW w:w="2427" w:type="dxa"/>
          </w:tcPr>
          <w:p w:rsidR="003625D0" w:rsidP="00893ADF" w14:paraId="2C25AD7F" w14:textId="77777777">
            <w:r>
              <w:t>Clarify inclusion and categorization of costs</w:t>
            </w:r>
          </w:p>
        </w:tc>
        <w:tc>
          <w:tcPr>
            <w:tcW w:w="2453" w:type="dxa"/>
          </w:tcPr>
          <w:p w:rsidR="003625D0" w:rsidP="00893ADF" w14:paraId="3C7DA2A0" w14:textId="77777777">
            <w:r>
              <w:t>Several commenters requested clearer guidance on categorizing administrative, legal, facilities, and unexpended fund costs.</w:t>
            </w:r>
          </w:p>
        </w:tc>
        <w:tc>
          <w:tcPr>
            <w:tcW w:w="2013" w:type="dxa"/>
          </w:tcPr>
          <w:p w:rsidR="00ED2EF5" w:rsidRPr="0078223B" w:rsidP="00ED2EF5" w14:paraId="29BCE991" w14:textId="055999EE">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0009</w:t>
            </w:r>
          </w:p>
          <w:p w:rsidR="00ED2EF5" w:rsidRPr="0078223B" w:rsidP="00ED2EF5" w14:paraId="4F591DF1" w14:textId="284F24D6">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0010</w:t>
            </w:r>
          </w:p>
          <w:p w:rsidR="00ED2EF5" w:rsidRPr="0078223B" w:rsidP="00ED2EF5" w14:paraId="28DE7E38" w14:textId="5E21D61A">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0012 </w:t>
            </w:r>
          </w:p>
          <w:p w:rsidR="003625D0" w:rsidRPr="0078223B" w:rsidP="00ED2EF5" w14:paraId="167261F0" w14:textId="7DF01ED4">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0016</w:t>
            </w:r>
          </w:p>
        </w:tc>
        <w:tc>
          <w:tcPr>
            <w:tcW w:w="2457" w:type="dxa"/>
          </w:tcPr>
          <w:p w:rsidR="003625D0" w:rsidRPr="002304E8" w:rsidP="002304E8" w14:paraId="3AD4A486" w14:textId="5841CAAD">
            <w:pPr>
              <w:rPr>
                <w:rFonts w:eastAsia="Times New Roman"/>
              </w:rPr>
            </w:pPr>
            <w:r>
              <w:t>The NSSES’ data collection instruments will provide clear definitions and instructions to promote consistent reporting of cost categories. Testing during the study design phase found that districts could not reliably report disaggregated legal costs related to due process and mediation, so these expenditures are captured within overall special education administrative spending.</w:t>
            </w:r>
          </w:p>
        </w:tc>
      </w:tr>
      <w:tr w14:paraId="568F7889" w14:textId="77777777" w:rsidTr="00D353C4">
        <w:tblPrEx>
          <w:tblW w:w="0" w:type="auto"/>
          <w:tblInd w:w="10" w:type="dxa"/>
          <w:tblLook w:val="04A0"/>
        </w:tblPrEx>
        <w:tc>
          <w:tcPr>
            <w:tcW w:w="2427" w:type="dxa"/>
          </w:tcPr>
          <w:p w:rsidR="003625D0" w:rsidP="00893ADF" w14:paraId="62E16095" w14:textId="77777777">
            <w:r>
              <w:t>Leverage existing data and manage respondent burden</w:t>
            </w:r>
          </w:p>
        </w:tc>
        <w:tc>
          <w:tcPr>
            <w:tcW w:w="2453" w:type="dxa"/>
          </w:tcPr>
          <w:p w:rsidR="003625D0" w:rsidP="00893ADF" w14:paraId="7B431FDF" w14:textId="77777777">
            <w:r>
              <w:t>Commenters encouraged leveraging existing administrative data, pilot testing instruments, and validating burden estimates.</w:t>
            </w:r>
          </w:p>
        </w:tc>
        <w:tc>
          <w:tcPr>
            <w:tcW w:w="2013" w:type="dxa"/>
          </w:tcPr>
          <w:p w:rsidR="001015C6" w:rsidRPr="0078223B" w:rsidP="001015C6" w14:paraId="18A5DF48" w14:textId="2F9285F0">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0012 </w:t>
            </w:r>
          </w:p>
          <w:p w:rsidR="003625D0" w:rsidRPr="0078223B" w:rsidP="001015C6" w14:paraId="52500EB6" w14:textId="29DB29BD"/>
        </w:tc>
        <w:tc>
          <w:tcPr>
            <w:tcW w:w="2457" w:type="dxa"/>
          </w:tcPr>
          <w:p w:rsidR="003625D0" w:rsidP="00893ADF" w14:paraId="592AB5DB" w14:textId="2DF2AFD3">
            <w:r>
              <w:t xml:space="preserve">The NSSES’ study design leverages existing data sources where feasible, including district financial data and personnel administrative data files. The study’s overall data collection approach was </w:t>
            </w:r>
            <w:r>
              <w:t>designed the study</w:t>
            </w:r>
            <w:r>
              <w:t xml:space="preserve"> to minimize burden while maintaining data quality, consistent with Paperwork Reduction Act (PRA) requirements.</w:t>
            </w:r>
          </w:p>
        </w:tc>
      </w:tr>
      <w:tr w14:paraId="019121C1" w14:textId="77777777" w:rsidTr="00D353C4">
        <w:tblPrEx>
          <w:tblW w:w="0" w:type="auto"/>
          <w:tblInd w:w="10" w:type="dxa"/>
          <w:tblLook w:val="04A0"/>
        </w:tblPrEx>
        <w:tc>
          <w:tcPr>
            <w:tcW w:w="2427" w:type="dxa"/>
          </w:tcPr>
          <w:p w:rsidR="003625D0" w:rsidP="00893ADF" w14:paraId="591001C6" w14:textId="77777777">
            <w:r>
              <w:t>Produce timely, accessible, and usable outputs</w:t>
            </w:r>
          </w:p>
        </w:tc>
        <w:tc>
          <w:tcPr>
            <w:tcW w:w="2453" w:type="dxa"/>
          </w:tcPr>
          <w:p w:rsidR="003625D0" w:rsidP="00893ADF" w14:paraId="5620F93F" w14:textId="77777777">
            <w:r>
              <w:t>Commenters urged timely release of findings and dissemination in user-friendly formats.</w:t>
            </w:r>
          </w:p>
        </w:tc>
        <w:tc>
          <w:tcPr>
            <w:tcW w:w="2013" w:type="dxa"/>
          </w:tcPr>
          <w:p w:rsidR="00BB7052" w:rsidRPr="0078223B" w:rsidP="00BB7052" w14:paraId="5F33408E" w14:textId="79B2733E">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0017 </w:t>
            </w:r>
          </w:p>
          <w:p w:rsidR="003625D0" w:rsidRPr="0078223B" w:rsidP="00BB7052" w14:paraId="24118F6F" w14:textId="5707E35C">
            <w:r w:rsidRPr="0078223B">
              <w:t>ED</w:t>
            </w:r>
            <w:r w:rsidRPr="0078223B">
              <w:rPr>
                <w:rFonts w:ascii="Cambria Math" w:hAnsi="Cambria Math" w:cs="Cambria Math"/>
              </w:rPr>
              <w:t>‑</w:t>
            </w:r>
            <w:r w:rsidRPr="0078223B">
              <w:t>2026</w:t>
            </w:r>
            <w:r w:rsidRPr="0078223B">
              <w:rPr>
                <w:rFonts w:ascii="Cambria Math" w:hAnsi="Cambria Math" w:cs="Cambria Math"/>
              </w:rPr>
              <w:t>‑</w:t>
            </w:r>
            <w:r w:rsidRPr="0078223B">
              <w:t>SCC</w:t>
            </w:r>
            <w:r w:rsidRPr="0078223B">
              <w:rPr>
                <w:rFonts w:ascii="Cambria Math" w:hAnsi="Cambria Math" w:cs="Cambria Math"/>
              </w:rPr>
              <w:t>‑</w:t>
            </w:r>
            <w:r w:rsidRPr="0078223B">
              <w:t>0034</w:t>
            </w:r>
            <w:r w:rsidRPr="0078223B">
              <w:rPr>
                <w:rFonts w:ascii="Cambria Math" w:hAnsi="Cambria Math" w:cs="Cambria Math"/>
              </w:rPr>
              <w:t>‑</w:t>
            </w:r>
            <w:r w:rsidRPr="0078223B">
              <w:t xml:space="preserve">0020 </w:t>
            </w:r>
          </w:p>
        </w:tc>
        <w:tc>
          <w:tcPr>
            <w:tcW w:w="2457" w:type="dxa"/>
          </w:tcPr>
          <w:p w:rsidR="003625D0" w:rsidP="00893ADF" w14:paraId="4A06CA71" w14:textId="69635DC7">
            <w:r>
              <w:t>The Department plans to disseminate findings in accessible formats and on a timeline that supports policy and programmatic use.</w:t>
            </w:r>
          </w:p>
        </w:tc>
      </w:tr>
    </w:tbl>
    <w:p w:rsidR="00BC5358" w:rsidP="00BC5358" w14:paraId="37C88E47" w14:textId="77777777"/>
    <w:p w:rsidR="000A119B" w:rsidP="00BC5358" w14:paraId="5931F513" w14:textId="77777777">
      <w:pPr>
        <w:pStyle w:val="BodyText"/>
      </w:pPr>
    </w:p>
    <w:sectPr w:rsidSect="0062711D">
      <w:headerReference w:type="default" r:id="rId11"/>
      <w:headerReference w:type="first" r:id="rId12"/>
      <w:pgSz w:w="12240" w:h="15840" w:code="1"/>
      <w:pgMar w:top="1440" w:right="1440" w:bottom="1440" w:left="1440" w:header="50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10B21" w:rsidP="00005082" w14:paraId="62DB7299" w14:textId="77777777">
      <w:pPr>
        <w:spacing w:line="240" w:lineRule="auto"/>
      </w:pPr>
      <w:r>
        <w:separator/>
      </w:r>
    </w:p>
    <w:p w:rsidR="00310B21" w14:paraId="17C842A8" w14:textId="77777777"/>
  </w:endnote>
  <w:endnote w:type="continuationSeparator" w:id="1">
    <w:p w:rsidR="00310B21" w:rsidP="00005082" w14:paraId="5D573986" w14:textId="77777777">
      <w:pPr>
        <w:spacing w:line="240" w:lineRule="auto"/>
      </w:pPr>
      <w:r>
        <w:continuationSeparator/>
      </w:r>
    </w:p>
    <w:p w:rsidR="00310B21" w14:paraId="7646A16B" w14:textId="77777777"/>
  </w:endnote>
  <w:endnote w:type="continuationNotice" w:id="2">
    <w:p w:rsidR="00310B21" w14:paraId="638B8C8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0B21" w:rsidP="007D4B67" w14:paraId="197DD97F" w14:textId="77777777">
      <w:pPr>
        <w:pStyle w:val="NoSpacing"/>
      </w:pPr>
      <w:r>
        <w:separator/>
      </w:r>
    </w:p>
  </w:footnote>
  <w:footnote w:type="continuationSeparator" w:id="1">
    <w:p w:rsidR="00310B21" w:rsidP="007D4B67" w14:paraId="0376BA6A" w14:textId="77777777">
      <w:pPr>
        <w:pStyle w:val="NoSpacing"/>
      </w:pPr>
      <w:r>
        <w:continuationSeparator/>
      </w:r>
    </w:p>
  </w:footnote>
  <w:footnote w:type="continuationNotice" w:id="2">
    <w:p w:rsidR="00310B21" w:rsidP="007D4B67" w14:paraId="558ADF42" w14:textId="7777777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C49" w:rsidRPr="002B6C49" w:rsidP="007A4420" w14:paraId="62FCC097" w14:textId="09367716">
    <w:pPr>
      <w:pStyle w:val="Header"/>
    </w:pPr>
    <w:r w:rsidRPr="002B6C49">
      <w:t>NSSES</w:t>
    </w:r>
  </w:p>
  <w:p w:rsidR="002B6C49" w:rsidRPr="002B6C49" w:rsidP="007A4420" w14:paraId="12C5215A" w14:textId="09832ABD">
    <w:pPr>
      <w:pStyle w:val="Header"/>
      <w:rPr>
        <w:noProof/>
      </w:rPr>
    </w:pPr>
    <w:r w:rsidRPr="002B6C49">
      <w:rPr>
        <w:noProof/>
      </w:rPr>
      <w:t>Attachment F</w:t>
    </w:r>
  </w:p>
  <w:p w:rsidR="0062711D" w:rsidRPr="007A4420" w:rsidP="007A4420" w14:paraId="12EF03AC" w14:textId="77777777">
    <w:pPr>
      <w:pStyle w:val="Header"/>
      <w:rPr>
        <w:noProof/>
      </w:rPr>
    </w:pPr>
    <w:r w:rsidRPr="002B6C49">
      <w:t xml:space="preserve">Page </w:t>
    </w:r>
    <w:r w:rsidRPr="002B6C49">
      <w:fldChar w:fldCharType="begin"/>
    </w:r>
    <w:r w:rsidRPr="002B6C49">
      <w:instrText xml:space="preserve"> PAGE </w:instrText>
    </w:r>
    <w:r w:rsidRPr="002B6C49">
      <w:fldChar w:fldCharType="separate"/>
    </w:r>
    <w:r w:rsidRPr="002B6C49">
      <w:t>2</w:t>
    </w:r>
    <w:r w:rsidRPr="002B6C49">
      <w:rPr>
        <w:noProof/>
      </w:rPr>
      <w:fldChar w:fldCharType="end"/>
    </w:r>
    <w:r w:rsidRPr="002B6C49">
      <w:t xml:space="preserve"> of </w:t>
    </w:r>
    <w:r w:rsidRPr="002B6C49">
      <w:rPr>
        <w:noProof/>
      </w:rPr>
      <w:fldChar w:fldCharType="begin"/>
    </w:r>
    <w:r w:rsidRPr="002B6C49">
      <w:rPr>
        <w:noProof/>
      </w:rPr>
      <w:instrText xml:space="preserve"> NUMPAGES  </w:instrText>
    </w:r>
    <w:r w:rsidRPr="002B6C49">
      <w:rPr>
        <w:noProof/>
      </w:rPr>
      <w:fldChar w:fldCharType="separate"/>
    </w:r>
    <w:r w:rsidRPr="002B6C49">
      <w:rPr>
        <w:noProof/>
      </w:rPr>
      <w:t>2</w:t>
    </w:r>
    <w:r w:rsidRPr="002B6C4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420" w:rsidP="007A4420" w14:paraId="0C0F211C" w14:textId="74DBC862">
    <w:pPr>
      <w:pStyle w:val="Header"/>
      <w:spacing w:before="1440" w:after="0"/>
      <w:ind w:left="-1440" w:right="-14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DE802E0"/>
    <w:lvl w:ilvl="0">
      <w:start w:val="1"/>
      <w:numFmt w:val="decimal"/>
      <w:lvlText w:val="%1."/>
      <w:lvlJc w:val="left"/>
      <w:pPr>
        <w:tabs>
          <w:tab w:val="num" w:pos="1800"/>
        </w:tabs>
        <w:ind w:left="1800" w:hanging="360"/>
      </w:pPr>
    </w:lvl>
  </w:abstractNum>
  <w:abstractNum w:abstractNumId="1">
    <w:nsid w:val="FFFFFF7D"/>
    <w:multiLevelType w:val="singleLevel"/>
    <w:tmpl w:val="A6BE5226"/>
    <w:lvl w:ilvl="0">
      <w:start w:val="1"/>
      <w:numFmt w:val="decimal"/>
      <w:lvlText w:val="%1."/>
      <w:lvlJc w:val="left"/>
      <w:pPr>
        <w:tabs>
          <w:tab w:val="num" w:pos="1440"/>
        </w:tabs>
        <w:ind w:left="1440" w:hanging="360"/>
      </w:pPr>
    </w:lvl>
  </w:abstractNum>
  <w:abstractNum w:abstractNumId="2">
    <w:nsid w:val="FFFFFF7E"/>
    <w:multiLevelType w:val="singleLevel"/>
    <w:tmpl w:val="3F7E5650"/>
    <w:lvl w:ilvl="0">
      <w:start w:val="1"/>
      <w:numFmt w:val="decimal"/>
      <w:lvlText w:val="%1."/>
      <w:lvlJc w:val="left"/>
      <w:pPr>
        <w:tabs>
          <w:tab w:val="num" w:pos="1080"/>
        </w:tabs>
        <w:ind w:left="1080" w:hanging="360"/>
      </w:pPr>
    </w:lvl>
  </w:abstractNum>
  <w:abstractNum w:abstractNumId="3">
    <w:nsid w:val="FFFFFF7F"/>
    <w:multiLevelType w:val="singleLevel"/>
    <w:tmpl w:val="57A49FD6"/>
    <w:lvl w:ilvl="0">
      <w:start w:val="1"/>
      <w:numFmt w:val="decimal"/>
      <w:lvlText w:val="%1."/>
      <w:lvlJc w:val="left"/>
      <w:pPr>
        <w:tabs>
          <w:tab w:val="num" w:pos="720"/>
        </w:tabs>
        <w:ind w:left="720" w:hanging="360"/>
      </w:pPr>
    </w:lvl>
  </w:abstractNum>
  <w:abstractNum w:abstractNumId="4">
    <w:nsid w:val="FFFFFF80"/>
    <w:multiLevelType w:val="singleLevel"/>
    <w:tmpl w:val="DE2CBF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76B5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EC84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35248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4EE7EE"/>
    <w:lvl w:ilvl="0">
      <w:start w:val="1"/>
      <w:numFmt w:val="decimal"/>
      <w:lvlText w:val="%1."/>
      <w:lvlJc w:val="left"/>
      <w:pPr>
        <w:tabs>
          <w:tab w:val="num" w:pos="360"/>
        </w:tabs>
        <w:ind w:left="360" w:hanging="360"/>
      </w:pPr>
    </w:lvl>
  </w:abstractNum>
  <w:abstractNum w:abstractNumId="9">
    <w:nsid w:val="FFFFFF89"/>
    <w:multiLevelType w:val="singleLevel"/>
    <w:tmpl w:val="EAB02026"/>
    <w:lvl w:ilvl="0">
      <w:start w:val="1"/>
      <w:numFmt w:val="bullet"/>
      <w:lvlText w:val=""/>
      <w:lvlJc w:val="left"/>
      <w:pPr>
        <w:tabs>
          <w:tab w:val="num" w:pos="360"/>
        </w:tabs>
        <w:ind w:left="360" w:hanging="360"/>
      </w:pPr>
      <w:rPr>
        <w:rFonts w:ascii="Symbol" w:hAnsi="Symbol" w:hint="default"/>
      </w:rPr>
    </w:lvl>
  </w:abstractNum>
  <w:abstractNum w:abstractNumId="10">
    <w:nsid w:val="019A3036"/>
    <w:multiLevelType w:val="multilevel"/>
    <w:tmpl w:val="80D4DD62"/>
    <w:numStyleLink w:val="ListOrdered-Table10"/>
  </w:abstractNum>
  <w:abstractNum w:abstractNumId="11">
    <w:nsid w:val="03324B80"/>
    <w:multiLevelType w:val="multilevel"/>
    <w:tmpl w:val="B7247B38"/>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nsid w:val="06E81BDB"/>
    <w:multiLevelType w:val="hybridMultilevel"/>
    <w:tmpl w:val="D27C8C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B2964FF"/>
    <w:multiLevelType w:val="multilevel"/>
    <w:tmpl w:val="80D4DD62"/>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4">
    <w:nsid w:val="0D330BA4"/>
    <w:multiLevelType w:val="hybridMultilevel"/>
    <w:tmpl w:val="C8505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16">
    <w:nsid w:val="125B5049"/>
    <w:multiLevelType w:val="multilevel"/>
    <w:tmpl w:val="894E1C92"/>
    <w:numStyleLink w:val="ListBullets-Table11"/>
  </w:abstractNum>
  <w:abstractNum w:abstractNumId="17">
    <w:nsid w:val="135C768C"/>
    <w:multiLevelType w:val="multilevel"/>
    <w:tmpl w:val="D4705556"/>
    <w:numStyleLink w:val="ListBullets-Table10"/>
  </w:abstractNum>
  <w:abstractNum w:abstractNumId="18">
    <w:nsid w:val="1B5F551D"/>
    <w:multiLevelType w:val="multilevel"/>
    <w:tmpl w:val="80D4DD62"/>
    <w:numStyleLink w:val="ListOrdered-Table10"/>
  </w:abstractNum>
  <w:abstractNum w:abstractNumId="19">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pStyle w:val="Bullet3"/>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20">
    <w:nsid w:val="1DE21612"/>
    <w:multiLevelType w:val="multilevel"/>
    <w:tmpl w:val="D4705556"/>
    <w:numStyleLink w:val="ListBullets-Table10"/>
  </w:abstractNum>
  <w:abstractNum w:abstractNumId="21">
    <w:nsid w:val="1E4B5DE4"/>
    <w:multiLevelType w:val="multilevel"/>
    <w:tmpl w:val="B94E7818"/>
    <w:lvl w:ilvl="0">
      <w:start w:val="1"/>
      <w:numFmt w:val="bullet"/>
      <w:lvlText w:val="•"/>
      <w:lvlJc w:val="left"/>
      <w:pPr>
        <w:ind w:left="288" w:hanging="288"/>
      </w:pPr>
      <w:rPr>
        <w:rFonts w:ascii="Calibri" w:hAnsi="Calibri" w:hint="default"/>
        <w:color w:val="00507F" w:themeColor="accent1"/>
        <w:sz w:val="20"/>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22">
    <w:nsid w:val="21795F3B"/>
    <w:multiLevelType w:val="multilevel"/>
    <w:tmpl w:val="C1B2594C"/>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23">
    <w:nsid w:val="235D666F"/>
    <w:multiLevelType w:val="multilevel"/>
    <w:tmpl w:val="B7247B38"/>
    <w:numStyleLink w:val="ListOrdered-Table11"/>
  </w:abstractNum>
  <w:abstractNum w:abstractNumId="24">
    <w:nsid w:val="23ED69CC"/>
    <w:multiLevelType w:val="multilevel"/>
    <w:tmpl w:val="80D4DD62"/>
    <w:styleLink w:val="ListOrdered-Table10"/>
    <w:lvl w:ilvl="0">
      <w:start w:val="1"/>
      <w:numFmt w:val="decimal"/>
      <w:lvlText w:val="%1."/>
      <w:lvlJc w:val="left"/>
      <w:pPr>
        <w:ind w:left="288" w:hanging="288"/>
      </w:pPr>
      <w:rPr>
        <w:rFonts w:asciiTheme="majorHAnsi" w:hAnsiTheme="majorHAnsi" w:hint="default"/>
        <w:sz w:val="24"/>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5">
    <w:nsid w:val="250315C7"/>
    <w:multiLevelType w:val="multilevel"/>
    <w:tmpl w:val="4A309696"/>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6">
    <w:nsid w:val="27257D78"/>
    <w:multiLevelType w:val="multilevel"/>
    <w:tmpl w:val="4F96990A"/>
    <w:lvl w:ilvl="0">
      <w:start w:val="1"/>
      <w:numFmt w:val="none"/>
      <w:suff w:val="nothing"/>
      <w:lvlJc w:val="left"/>
      <w:pPr>
        <w:ind w:left="0" w:firstLine="0"/>
      </w:pPr>
      <w:rPr>
        <w:rFonts w:hint="default"/>
      </w:rPr>
    </w:lvl>
    <w:lvl w:ilvl="1">
      <w:start w:val="1"/>
      <w:numFmt w:val="upperLetter"/>
      <w:suff w:val="space"/>
      <w:lvlText w:val="Appendix %2."/>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7">
    <w:nsid w:val="27A23B34"/>
    <w:multiLevelType w:val="multilevel"/>
    <w:tmpl w:val="4A309696"/>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8">
    <w:nsid w:val="322F6907"/>
    <w:multiLevelType w:val="multilevel"/>
    <w:tmpl w:val="4A309696"/>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9">
    <w:nsid w:val="32F80E9D"/>
    <w:multiLevelType w:val="multilevel"/>
    <w:tmpl w:val="B94E7818"/>
    <w:lvl w:ilvl="0">
      <w:start w:val="1"/>
      <w:numFmt w:val="bullet"/>
      <w:lvlText w:val="•"/>
      <w:lvlJc w:val="left"/>
      <w:pPr>
        <w:ind w:left="288" w:hanging="288"/>
      </w:pPr>
      <w:rPr>
        <w:rFonts w:ascii="Calibri" w:hAnsi="Calibri" w:hint="default"/>
        <w:color w:val="00507F" w:themeColor="accent1"/>
        <w:sz w:val="20"/>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30">
    <w:nsid w:val="337F4244"/>
    <w:multiLevelType w:val="multilevel"/>
    <w:tmpl w:val="80D4DD62"/>
    <w:numStyleLink w:val="ListOrdered-Table10"/>
  </w:abstractNum>
  <w:abstractNum w:abstractNumId="31">
    <w:nsid w:val="35036543"/>
    <w:multiLevelType w:val="multilevel"/>
    <w:tmpl w:val="2940034C"/>
    <w:numStyleLink w:val="ListOrdered-Body"/>
  </w:abstractNum>
  <w:abstractNum w:abstractNumId="32">
    <w:nsid w:val="40553A1B"/>
    <w:multiLevelType w:val="multilevel"/>
    <w:tmpl w:val="894E1C92"/>
    <w:numStyleLink w:val="ListBullets-Table11"/>
  </w:abstractNum>
  <w:abstractNum w:abstractNumId="33">
    <w:nsid w:val="46480D06"/>
    <w:multiLevelType w:val="multilevel"/>
    <w:tmpl w:val="B7247B38"/>
    <w:numStyleLink w:val="ListOrdered-Table11"/>
  </w:abstractNum>
  <w:abstractNum w:abstractNumId="34">
    <w:nsid w:val="4C8D08AF"/>
    <w:multiLevelType w:val="hybridMultilevel"/>
    <w:tmpl w:val="A44EC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E1006D3"/>
    <w:multiLevelType w:val="multilevel"/>
    <w:tmpl w:val="C47673D2"/>
    <w:numStyleLink w:val="ListBullets-Body"/>
  </w:abstractNum>
  <w:abstractNum w:abstractNumId="36">
    <w:nsid w:val="4FA6608F"/>
    <w:multiLevelType w:val="multilevel"/>
    <w:tmpl w:val="80D4DD62"/>
    <w:numStyleLink w:val="ListOrdered-Table10"/>
  </w:abstractNum>
  <w:abstractNum w:abstractNumId="37">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8">
    <w:nsid w:val="5CBD0429"/>
    <w:multiLevelType w:val="multilevel"/>
    <w:tmpl w:val="C47673D2"/>
    <w:numStyleLink w:val="ListBullets-Body"/>
  </w:abstractNum>
  <w:abstractNum w:abstractNumId="39">
    <w:nsid w:val="6A0756DB"/>
    <w:multiLevelType w:val="multilevel"/>
    <w:tmpl w:val="D470555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40">
    <w:nsid w:val="6B2711F2"/>
    <w:multiLevelType w:val="multilevel"/>
    <w:tmpl w:val="2940034C"/>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41">
    <w:nsid w:val="7AE27659"/>
    <w:multiLevelType w:val="multilevel"/>
    <w:tmpl w:val="05E2E84C"/>
    <w:lvl w:ilvl="0">
      <w:start w:val="1"/>
      <w:numFmt w:val="upperLetter"/>
      <w:suff w:val="space"/>
      <w:lvlText w:val="Appendix %1."/>
      <w:lvlJc w:val="left"/>
      <w:pPr>
        <w:ind w:left="0" w:firstLine="0"/>
      </w:pPr>
      <w:rPr>
        <w:rFonts w:asciiTheme="majorHAnsi" w:hAnsiTheme="majorHAnsi" w:hint="default"/>
        <w:b/>
        <w:i w:val="0"/>
        <w:color w:val="00507F" w:themeColor="accent1"/>
        <w:sz w:val="36"/>
      </w:rPr>
    </w:lvl>
    <w:lvl w:ilvl="1">
      <w:start w:val="1"/>
      <w:numFmt w:val="decimal"/>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42">
    <w:nsid w:val="7B146F60"/>
    <w:multiLevelType w:val="multilevel"/>
    <w:tmpl w:val="D4705556"/>
    <w:numStyleLink w:val="ListBullets-Table10"/>
  </w:abstractNum>
  <w:abstractNum w:abstractNumId="43">
    <w:nsid w:val="7EA60515"/>
    <w:multiLevelType w:val="multilevel"/>
    <w:tmpl w:val="4A309696"/>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num w:numId="1" w16cid:durableId="199821649">
    <w:abstractNumId w:val="35"/>
  </w:num>
  <w:num w:numId="2" w16cid:durableId="1378506158">
    <w:abstractNumId w:val="31"/>
  </w:num>
  <w:num w:numId="3" w16cid:durableId="1396929371">
    <w:abstractNumId w:val="23"/>
  </w:num>
  <w:num w:numId="4" w16cid:durableId="1210453203">
    <w:abstractNumId w:val="19"/>
  </w:num>
  <w:num w:numId="5" w16cid:durableId="1054113684">
    <w:abstractNumId w:val="39"/>
  </w:num>
  <w:num w:numId="6" w16cid:durableId="1890611965">
    <w:abstractNumId w:val="15"/>
  </w:num>
  <w:num w:numId="7" w16cid:durableId="956178150">
    <w:abstractNumId w:val="37"/>
  </w:num>
  <w:num w:numId="8" w16cid:durableId="622075709">
    <w:abstractNumId w:val="24"/>
  </w:num>
  <w:num w:numId="9" w16cid:durableId="817573910">
    <w:abstractNumId w:val="11"/>
  </w:num>
  <w:num w:numId="10" w16cid:durableId="1784691961">
    <w:abstractNumId w:val="38"/>
  </w:num>
  <w:num w:numId="11" w16cid:durableId="1427069137">
    <w:abstractNumId w:val="20"/>
  </w:num>
  <w:num w:numId="12" w16cid:durableId="331029758">
    <w:abstractNumId w:val="10"/>
  </w:num>
  <w:num w:numId="13" w16cid:durableId="1743719227">
    <w:abstractNumId w:val="16"/>
  </w:num>
  <w:num w:numId="14" w16cid:durableId="3295278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548955">
    <w:abstractNumId w:val="27"/>
  </w:num>
  <w:num w:numId="16" w16cid:durableId="1982080313">
    <w:abstractNumId w:val="28"/>
    <w:lvlOverride w:ilvl="0">
      <w:lvl w:ilvl="0">
        <w:start w:val="1"/>
        <w:numFmt w:val="none"/>
        <w:suff w:val="nothing"/>
        <w:lvlJc w:val="left"/>
        <w:pPr>
          <w:ind w:left="0" w:firstLine="0"/>
        </w:pPr>
        <w:rPr>
          <w:rFonts w:hint="default"/>
        </w:rPr>
      </w:lvl>
    </w:lvlOverride>
    <w:lvlOverride w:ilvl="1">
      <w:lvl w:ilvl="1">
        <w:start w:val="1"/>
        <w:numFmt w:val="upperLetter"/>
        <w:suff w:val="space"/>
        <w:lvlText w:val="Appendix %2."/>
        <w:lvlJc w:val="left"/>
        <w:pPr>
          <w:ind w:left="0" w:firstLine="0"/>
        </w:pPr>
        <w:rPr>
          <w:rFonts w:hint="default"/>
        </w:rPr>
      </w:lvl>
    </w:lvlOverride>
    <w:lvlOverride w:ilvl="2">
      <w:lvl w:ilvl="2">
        <w:start w:val="1"/>
        <w:numFmt w:val="none"/>
        <w:suff w:val="nothing"/>
        <w:lvlJc w:val="left"/>
        <w:pPr>
          <w:ind w:left="0" w:firstLine="0"/>
        </w:pPr>
        <w:rPr>
          <w:rFonts w:hint="default"/>
        </w:rPr>
      </w:lvl>
    </w:lvlOverride>
    <w:lvlOverride w:ilvl="3">
      <w:lvl w:ilvl="3">
        <w:start w:val="1"/>
        <w:numFmt w:val="none"/>
        <w:suff w:val="nothing"/>
        <w:lvlJc w:val="left"/>
        <w:pPr>
          <w:ind w:left="0" w:firstLine="0"/>
        </w:pPr>
        <w:rPr>
          <w:rFonts w:hint="default"/>
        </w:rPr>
      </w:lvl>
    </w:lvlOverride>
    <w:lvlOverride w:ilvl="4">
      <w:lvl w:ilvl="4">
        <w:start w:val="1"/>
        <w:numFmt w:val="none"/>
        <w:suff w:val="nothing"/>
        <w:lvlJc w:val="left"/>
        <w:pPr>
          <w:ind w:left="0" w:firstLine="0"/>
        </w:pPr>
        <w:rPr>
          <w:rFonts w:hint="default"/>
        </w:rPr>
      </w:lvl>
    </w:lvlOverride>
    <w:lvlOverride w:ilvl="5">
      <w:lvl w:ilvl="5">
        <w:start w:val="1"/>
        <w:numFmt w:val="none"/>
        <w:suff w:val="nothing"/>
        <w:lvlJc w:val="left"/>
        <w:pPr>
          <w:ind w:left="0" w:firstLine="0"/>
        </w:pPr>
        <w:rPr>
          <w:rFonts w:hint="default"/>
        </w:rPr>
      </w:lvl>
    </w:lvlOverride>
    <w:lvlOverride w:ilvl="6">
      <w:lvl w:ilvl="6">
        <w:start w:val="1"/>
        <w:numFmt w:val="none"/>
        <w:suff w:val="nothing"/>
        <w:lvlJc w:val="left"/>
        <w:pPr>
          <w:ind w:left="0" w:firstLine="0"/>
        </w:pPr>
        <w:rPr>
          <w:rFonts w:hint="default"/>
        </w:rPr>
      </w:lvl>
    </w:lvlOverride>
    <w:lvlOverride w:ilvl="7">
      <w:lvl w:ilvl="7">
        <w:start w:val="1"/>
        <w:numFmt w:val="none"/>
        <w:suff w:val="nothing"/>
        <w:lvlJc w:val="left"/>
        <w:pPr>
          <w:ind w:left="0" w:firstLine="0"/>
        </w:pPr>
        <w:rPr>
          <w:rFonts w:hint="default"/>
        </w:rPr>
      </w:lvl>
    </w:lvlOverride>
    <w:lvlOverride w:ilvl="8">
      <w:lvl w:ilvl="8">
        <w:start w:val="1"/>
        <w:numFmt w:val="none"/>
        <w:suff w:val="nothing"/>
        <w:lvlJc w:val="left"/>
        <w:pPr>
          <w:ind w:left="0" w:firstLine="0"/>
        </w:pPr>
        <w:rPr>
          <w:rFonts w:hint="default"/>
        </w:rPr>
      </w:lvl>
    </w:lvlOverride>
  </w:num>
  <w:num w:numId="17" w16cid:durableId="680082501">
    <w:abstractNumId w:val="43"/>
  </w:num>
  <w:num w:numId="18" w16cid:durableId="737552088">
    <w:abstractNumId w:val="25"/>
  </w:num>
  <w:num w:numId="19" w16cid:durableId="1662350859">
    <w:abstractNumId w:val="26"/>
  </w:num>
  <w:num w:numId="20" w16cid:durableId="761412231">
    <w:abstractNumId w:val="18"/>
  </w:num>
  <w:num w:numId="21" w16cid:durableId="1658729254">
    <w:abstractNumId w:val="29"/>
  </w:num>
  <w:num w:numId="22" w16cid:durableId="1132403671">
    <w:abstractNumId w:val="13"/>
  </w:num>
  <w:num w:numId="23" w16cid:durableId="2116434949">
    <w:abstractNumId w:val="41"/>
  </w:num>
  <w:num w:numId="24" w16cid:durableId="1135563997">
    <w:abstractNumId w:val="42"/>
  </w:num>
  <w:num w:numId="25" w16cid:durableId="466052984">
    <w:abstractNumId w:val="30"/>
  </w:num>
  <w:num w:numId="26" w16cid:durableId="1618215105">
    <w:abstractNumId w:val="22"/>
  </w:num>
  <w:num w:numId="27" w16cid:durableId="1556546355">
    <w:abstractNumId w:val="9"/>
  </w:num>
  <w:num w:numId="28" w16cid:durableId="341127194">
    <w:abstractNumId w:val="7"/>
  </w:num>
  <w:num w:numId="29" w16cid:durableId="2063630158">
    <w:abstractNumId w:val="6"/>
  </w:num>
  <w:num w:numId="30" w16cid:durableId="2137019920">
    <w:abstractNumId w:val="5"/>
  </w:num>
  <w:num w:numId="31" w16cid:durableId="1498881939">
    <w:abstractNumId w:val="4"/>
  </w:num>
  <w:num w:numId="32" w16cid:durableId="1600025392">
    <w:abstractNumId w:val="8"/>
  </w:num>
  <w:num w:numId="33" w16cid:durableId="1996906506">
    <w:abstractNumId w:val="3"/>
  </w:num>
  <w:num w:numId="34" w16cid:durableId="1334068218">
    <w:abstractNumId w:val="2"/>
  </w:num>
  <w:num w:numId="35" w16cid:durableId="2056082210">
    <w:abstractNumId w:val="1"/>
  </w:num>
  <w:num w:numId="36" w16cid:durableId="1327706558">
    <w:abstractNumId w:val="0"/>
  </w:num>
  <w:num w:numId="37" w16cid:durableId="844169995">
    <w:abstractNumId w:val="36"/>
  </w:num>
  <w:num w:numId="38" w16cid:durableId="1269267566">
    <w:abstractNumId w:val="34"/>
  </w:num>
  <w:num w:numId="39" w16cid:durableId="1645742014">
    <w:abstractNumId w:val="17"/>
  </w:num>
  <w:num w:numId="40" w16cid:durableId="309557177">
    <w:abstractNumId w:val="32"/>
  </w:num>
  <w:num w:numId="41" w16cid:durableId="1570113196">
    <w:abstractNumId w:val="33"/>
  </w:num>
  <w:num w:numId="42" w16cid:durableId="1064790083">
    <w:abstractNumId w:val="21"/>
  </w:num>
  <w:num w:numId="43" w16cid:durableId="28918202">
    <w:abstractNumId w:val="40"/>
  </w:num>
  <w:num w:numId="44" w16cid:durableId="389572401">
    <w:abstractNumId w:val="14"/>
  </w:num>
  <w:num w:numId="45" w16cid:durableId="157092003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D2"/>
    <w:rsid w:val="00000B51"/>
    <w:rsid w:val="00004792"/>
    <w:rsid w:val="00005082"/>
    <w:rsid w:val="00005AB1"/>
    <w:rsid w:val="0000695C"/>
    <w:rsid w:val="00006CA2"/>
    <w:rsid w:val="0001197F"/>
    <w:rsid w:val="00016CDB"/>
    <w:rsid w:val="00022FF0"/>
    <w:rsid w:val="000250C0"/>
    <w:rsid w:val="00032A3D"/>
    <w:rsid w:val="0004214F"/>
    <w:rsid w:val="0004651B"/>
    <w:rsid w:val="00047B33"/>
    <w:rsid w:val="00056BCA"/>
    <w:rsid w:val="0006178A"/>
    <w:rsid w:val="000709D0"/>
    <w:rsid w:val="00071F5C"/>
    <w:rsid w:val="00073958"/>
    <w:rsid w:val="000851AA"/>
    <w:rsid w:val="00085675"/>
    <w:rsid w:val="000861B1"/>
    <w:rsid w:val="00087C83"/>
    <w:rsid w:val="00090F12"/>
    <w:rsid w:val="00094A4E"/>
    <w:rsid w:val="00094F13"/>
    <w:rsid w:val="00095D69"/>
    <w:rsid w:val="000979A9"/>
    <w:rsid w:val="000A119B"/>
    <w:rsid w:val="000A3AFD"/>
    <w:rsid w:val="000B0039"/>
    <w:rsid w:val="000B0462"/>
    <w:rsid w:val="000B2DD8"/>
    <w:rsid w:val="000B3127"/>
    <w:rsid w:val="000C23D1"/>
    <w:rsid w:val="000C47CF"/>
    <w:rsid w:val="000C4A0B"/>
    <w:rsid w:val="000C5403"/>
    <w:rsid w:val="000C7D87"/>
    <w:rsid w:val="000D0C71"/>
    <w:rsid w:val="000D2900"/>
    <w:rsid w:val="000E268F"/>
    <w:rsid w:val="000E4C78"/>
    <w:rsid w:val="000E7F65"/>
    <w:rsid w:val="000F0681"/>
    <w:rsid w:val="000F2437"/>
    <w:rsid w:val="000F366A"/>
    <w:rsid w:val="000F7223"/>
    <w:rsid w:val="001015C6"/>
    <w:rsid w:val="00101CB6"/>
    <w:rsid w:val="00102C90"/>
    <w:rsid w:val="00105FBF"/>
    <w:rsid w:val="00106060"/>
    <w:rsid w:val="001152E0"/>
    <w:rsid w:val="00126609"/>
    <w:rsid w:val="001266E6"/>
    <w:rsid w:val="00127041"/>
    <w:rsid w:val="0013388B"/>
    <w:rsid w:val="00134961"/>
    <w:rsid w:val="00136336"/>
    <w:rsid w:val="0013695A"/>
    <w:rsid w:val="00150B7A"/>
    <w:rsid w:val="00150EC3"/>
    <w:rsid w:val="001534EA"/>
    <w:rsid w:val="00153AAE"/>
    <w:rsid w:val="001558E5"/>
    <w:rsid w:val="00155B83"/>
    <w:rsid w:val="00156B6C"/>
    <w:rsid w:val="00157B84"/>
    <w:rsid w:val="00160BC2"/>
    <w:rsid w:val="001627C7"/>
    <w:rsid w:val="00163C1E"/>
    <w:rsid w:val="0017072D"/>
    <w:rsid w:val="0017150A"/>
    <w:rsid w:val="00172424"/>
    <w:rsid w:val="00176922"/>
    <w:rsid w:val="00176E33"/>
    <w:rsid w:val="001771B1"/>
    <w:rsid w:val="00181EA9"/>
    <w:rsid w:val="001876F3"/>
    <w:rsid w:val="00191C87"/>
    <w:rsid w:val="00193317"/>
    <w:rsid w:val="001958DD"/>
    <w:rsid w:val="0019688C"/>
    <w:rsid w:val="001971A9"/>
    <w:rsid w:val="001A0E10"/>
    <w:rsid w:val="001A10B3"/>
    <w:rsid w:val="001A6AF1"/>
    <w:rsid w:val="001A7724"/>
    <w:rsid w:val="001B073A"/>
    <w:rsid w:val="001B2A16"/>
    <w:rsid w:val="001D1D91"/>
    <w:rsid w:val="001D7CB7"/>
    <w:rsid w:val="001E044C"/>
    <w:rsid w:val="001E225C"/>
    <w:rsid w:val="001E3916"/>
    <w:rsid w:val="0020780D"/>
    <w:rsid w:val="0021518C"/>
    <w:rsid w:val="00216BB4"/>
    <w:rsid w:val="00222828"/>
    <w:rsid w:val="00224FA2"/>
    <w:rsid w:val="002304E8"/>
    <w:rsid w:val="00242F59"/>
    <w:rsid w:val="00245CFF"/>
    <w:rsid w:val="0024600B"/>
    <w:rsid w:val="00250113"/>
    <w:rsid w:val="0025328A"/>
    <w:rsid w:val="002553B6"/>
    <w:rsid w:val="00255602"/>
    <w:rsid w:val="00261C61"/>
    <w:rsid w:val="00261D15"/>
    <w:rsid w:val="00264955"/>
    <w:rsid w:val="00264ACF"/>
    <w:rsid w:val="00264FC0"/>
    <w:rsid w:val="00270243"/>
    <w:rsid w:val="00273AEB"/>
    <w:rsid w:val="002759E2"/>
    <w:rsid w:val="0027634F"/>
    <w:rsid w:val="00281AB9"/>
    <w:rsid w:val="00286122"/>
    <w:rsid w:val="00293424"/>
    <w:rsid w:val="002942B4"/>
    <w:rsid w:val="00295EAA"/>
    <w:rsid w:val="002A12F9"/>
    <w:rsid w:val="002A46D5"/>
    <w:rsid w:val="002B089D"/>
    <w:rsid w:val="002B180E"/>
    <w:rsid w:val="002B6C49"/>
    <w:rsid w:val="002B6DBC"/>
    <w:rsid w:val="002B7EAF"/>
    <w:rsid w:val="002C003F"/>
    <w:rsid w:val="002C0456"/>
    <w:rsid w:val="002C278F"/>
    <w:rsid w:val="002C2C64"/>
    <w:rsid w:val="002C2E7B"/>
    <w:rsid w:val="002C60C1"/>
    <w:rsid w:val="002D1E1A"/>
    <w:rsid w:val="002D2053"/>
    <w:rsid w:val="002D2C52"/>
    <w:rsid w:val="002D3C9A"/>
    <w:rsid w:val="002D6894"/>
    <w:rsid w:val="002E1079"/>
    <w:rsid w:val="002E1171"/>
    <w:rsid w:val="002E3722"/>
    <w:rsid w:val="002E3742"/>
    <w:rsid w:val="002E6710"/>
    <w:rsid w:val="002F0E2D"/>
    <w:rsid w:val="002F7CEE"/>
    <w:rsid w:val="00304D20"/>
    <w:rsid w:val="00306DAC"/>
    <w:rsid w:val="00310B21"/>
    <w:rsid w:val="00315BDA"/>
    <w:rsid w:val="00320A13"/>
    <w:rsid w:val="003250E7"/>
    <w:rsid w:val="003259E4"/>
    <w:rsid w:val="003312BF"/>
    <w:rsid w:val="00332970"/>
    <w:rsid w:val="003416FB"/>
    <w:rsid w:val="00343A7C"/>
    <w:rsid w:val="0034759C"/>
    <w:rsid w:val="00353147"/>
    <w:rsid w:val="003549A1"/>
    <w:rsid w:val="00357128"/>
    <w:rsid w:val="0036122F"/>
    <w:rsid w:val="003625D0"/>
    <w:rsid w:val="003630AE"/>
    <w:rsid w:val="0036694A"/>
    <w:rsid w:val="003724C5"/>
    <w:rsid w:val="00375FBC"/>
    <w:rsid w:val="00377216"/>
    <w:rsid w:val="003806F4"/>
    <w:rsid w:val="00383592"/>
    <w:rsid w:val="00384256"/>
    <w:rsid w:val="00395F20"/>
    <w:rsid w:val="003A0024"/>
    <w:rsid w:val="003A501C"/>
    <w:rsid w:val="003B132A"/>
    <w:rsid w:val="003B2FFA"/>
    <w:rsid w:val="003B3566"/>
    <w:rsid w:val="003C4AA3"/>
    <w:rsid w:val="003C71C4"/>
    <w:rsid w:val="003D0D01"/>
    <w:rsid w:val="003D2C79"/>
    <w:rsid w:val="003D4493"/>
    <w:rsid w:val="003E1DB8"/>
    <w:rsid w:val="003E2894"/>
    <w:rsid w:val="003F3F47"/>
    <w:rsid w:val="00404DA2"/>
    <w:rsid w:val="00405D07"/>
    <w:rsid w:val="00405DAD"/>
    <w:rsid w:val="00421D99"/>
    <w:rsid w:val="00424D7D"/>
    <w:rsid w:val="0042534E"/>
    <w:rsid w:val="0042547A"/>
    <w:rsid w:val="00426F6B"/>
    <w:rsid w:val="004310E7"/>
    <w:rsid w:val="004315C5"/>
    <w:rsid w:val="004343E3"/>
    <w:rsid w:val="00434F4E"/>
    <w:rsid w:val="004379F2"/>
    <w:rsid w:val="00443969"/>
    <w:rsid w:val="004511E6"/>
    <w:rsid w:val="004667EF"/>
    <w:rsid w:val="004723C3"/>
    <w:rsid w:val="00472ECE"/>
    <w:rsid w:val="00483B32"/>
    <w:rsid w:val="00490907"/>
    <w:rsid w:val="00492D1C"/>
    <w:rsid w:val="0049464B"/>
    <w:rsid w:val="00496239"/>
    <w:rsid w:val="00496D16"/>
    <w:rsid w:val="00497734"/>
    <w:rsid w:val="004A4E9C"/>
    <w:rsid w:val="004A535A"/>
    <w:rsid w:val="004B0EFE"/>
    <w:rsid w:val="004B3361"/>
    <w:rsid w:val="004C12C7"/>
    <w:rsid w:val="004C4C36"/>
    <w:rsid w:val="004C53B9"/>
    <w:rsid w:val="004C7143"/>
    <w:rsid w:val="004D074D"/>
    <w:rsid w:val="004D0930"/>
    <w:rsid w:val="004D0D24"/>
    <w:rsid w:val="004D6157"/>
    <w:rsid w:val="004D7077"/>
    <w:rsid w:val="004D7C88"/>
    <w:rsid w:val="004E0514"/>
    <w:rsid w:val="004E3EB0"/>
    <w:rsid w:val="004E4D42"/>
    <w:rsid w:val="004E5ADF"/>
    <w:rsid w:val="004E7DE9"/>
    <w:rsid w:val="004F27B0"/>
    <w:rsid w:val="004F3F7A"/>
    <w:rsid w:val="00503A31"/>
    <w:rsid w:val="005049B6"/>
    <w:rsid w:val="0050676A"/>
    <w:rsid w:val="00525D15"/>
    <w:rsid w:val="00526DCF"/>
    <w:rsid w:val="005334CC"/>
    <w:rsid w:val="005351D5"/>
    <w:rsid w:val="005477BA"/>
    <w:rsid w:val="0055139F"/>
    <w:rsid w:val="005522F0"/>
    <w:rsid w:val="0055448D"/>
    <w:rsid w:val="00556C55"/>
    <w:rsid w:val="00562361"/>
    <w:rsid w:val="005666F3"/>
    <w:rsid w:val="005770F8"/>
    <w:rsid w:val="00580F3D"/>
    <w:rsid w:val="00581F92"/>
    <w:rsid w:val="005849A7"/>
    <w:rsid w:val="005856D0"/>
    <w:rsid w:val="00590DC6"/>
    <w:rsid w:val="00590F97"/>
    <w:rsid w:val="005912EA"/>
    <w:rsid w:val="0059314A"/>
    <w:rsid w:val="005934A4"/>
    <w:rsid w:val="005A0A21"/>
    <w:rsid w:val="005B04E3"/>
    <w:rsid w:val="005B58DA"/>
    <w:rsid w:val="005C2FA3"/>
    <w:rsid w:val="005C722B"/>
    <w:rsid w:val="005C753E"/>
    <w:rsid w:val="005D7DB6"/>
    <w:rsid w:val="005E6AD6"/>
    <w:rsid w:val="0060167B"/>
    <w:rsid w:val="00604D79"/>
    <w:rsid w:val="00606E6C"/>
    <w:rsid w:val="00607046"/>
    <w:rsid w:val="006119E5"/>
    <w:rsid w:val="006132BE"/>
    <w:rsid w:val="00614B5A"/>
    <w:rsid w:val="006235D0"/>
    <w:rsid w:val="00625129"/>
    <w:rsid w:val="00625E85"/>
    <w:rsid w:val="0062711D"/>
    <w:rsid w:val="00633952"/>
    <w:rsid w:val="00636F1A"/>
    <w:rsid w:val="00640757"/>
    <w:rsid w:val="00640BFC"/>
    <w:rsid w:val="00643C42"/>
    <w:rsid w:val="0064416D"/>
    <w:rsid w:val="0064595C"/>
    <w:rsid w:val="0065203D"/>
    <w:rsid w:val="00656841"/>
    <w:rsid w:val="0065773F"/>
    <w:rsid w:val="006675AA"/>
    <w:rsid w:val="0067069F"/>
    <w:rsid w:val="00672843"/>
    <w:rsid w:val="006826D9"/>
    <w:rsid w:val="006831B6"/>
    <w:rsid w:val="00684357"/>
    <w:rsid w:val="0068560E"/>
    <w:rsid w:val="00686095"/>
    <w:rsid w:val="00690ED2"/>
    <w:rsid w:val="00694956"/>
    <w:rsid w:val="00697FBD"/>
    <w:rsid w:val="006A08E8"/>
    <w:rsid w:val="006A5284"/>
    <w:rsid w:val="006A6CDB"/>
    <w:rsid w:val="006B3FF8"/>
    <w:rsid w:val="006C66C9"/>
    <w:rsid w:val="006D36DA"/>
    <w:rsid w:val="006D5F97"/>
    <w:rsid w:val="006D7512"/>
    <w:rsid w:val="006E6B48"/>
    <w:rsid w:val="006F18C2"/>
    <w:rsid w:val="006F21B0"/>
    <w:rsid w:val="006F3C4D"/>
    <w:rsid w:val="00700FB7"/>
    <w:rsid w:val="007025ED"/>
    <w:rsid w:val="00703720"/>
    <w:rsid w:val="00707EB7"/>
    <w:rsid w:val="00710C3E"/>
    <w:rsid w:val="007115B2"/>
    <w:rsid w:val="00711658"/>
    <w:rsid w:val="007176E3"/>
    <w:rsid w:val="00721F29"/>
    <w:rsid w:val="007224BB"/>
    <w:rsid w:val="007224DF"/>
    <w:rsid w:val="00724390"/>
    <w:rsid w:val="00725361"/>
    <w:rsid w:val="00731814"/>
    <w:rsid w:val="00737417"/>
    <w:rsid w:val="00737EC6"/>
    <w:rsid w:val="0074086B"/>
    <w:rsid w:val="007415EF"/>
    <w:rsid w:val="00743CB9"/>
    <w:rsid w:val="0074400D"/>
    <w:rsid w:val="00745241"/>
    <w:rsid w:val="00751416"/>
    <w:rsid w:val="007519C4"/>
    <w:rsid w:val="0075385E"/>
    <w:rsid w:val="007540CE"/>
    <w:rsid w:val="00754401"/>
    <w:rsid w:val="00755CAE"/>
    <w:rsid w:val="00763DA1"/>
    <w:rsid w:val="007642C7"/>
    <w:rsid w:val="0076467B"/>
    <w:rsid w:val="00767F32"/>
    <w:rsid w:val="0077306D"/>
    <w:rsid w:val="00773361"/>
    <w:rsid w:val="00773A11"/>
    <w:rsid w:val="00776B75"/>
    <w:rsid w:val="00776C00"/>
    <w:rsid w:val="007805F2"/>
    <w:rsid w:val="0078223B"/>
    <w:rsid w:val="007841AF"/>
    <w:rsid w:val="00784617"/>
    <w:rsid w:val="00790786"/>
    <w:rsid w:val="0079100E"/>
    <w:rsid w:val="00791DF9"/>
    <w:rsid w:val="007A0072"/>
    <w:rsid w:val="007A1BC5"/>
    <w:rsid w:val="007A4420"/>
    <w:rsid w:val="007A6A6A"/>
    <w:rsid w:val="007A6D2A"/>
    <w:rsid w:val="007A72B1"/>
    <w:rsid w:val="007C4808"/>
    <w:rsid w:val="007C51A2"/>
    <w:rsid w:val="007D4B67"/>
    <w:rsid w:val="007D716E"/>
    <w:rsid w:val="007D7DD2"/>
    <w:rsid w:val="007E1EDA"/>
    <w:rsid w:val="007E7233"/>
    <w:rsid w:val="007F13DC"/>
    <w:rsid w:val="007F2344"/>
    <w:rsid w:val="007F4DF7"/>
    <w:rsid w:val="007F4FD8"/>
    <w:rsid w:val="007F511B"/>
    <w:rsid w:val="007F5315"/>
    <w:rsid w:val="008035D2"/>
    <w:rsid w:val="00814666"/>
    <w:rsid w:val="00816159"/>
    <w:rsid w:val="00816E34"/>
    <w:rsid w:val="008202EC"/>
    <w:rsid w:val="00820D95"/>
    <w:rsid w:val="00821A55"/>
    <w:rsid w:val="00821D35"/>
    <w:rsid w:val="0082475D"/>
    <w:rsid w:val="008269AD"/>
    <w:rsid w:val="00830584"/>
    <w:rsid w:val="00831DE5"/>
    <w:rsid w:val="00831E13"/>
    <w:rsid w:val="008357C8"/>
    <w:rsid w:val="00835EAF"/>
    <w:rsid w:val="008372DB"/>
    <w:rsid w:val="0084502F"/>
    <w:rsid w:val="00854B56"/>
    <w:rsid w:val="0085652D"/>
    <w:rsid w:val="00856F09"/>
    <w:rsid w:val="00857882"/>
    <w:rsid w:val="008643EF"/>
    <w:rsid w:val="00865961"/>
    <w:rsid w:val="0086747F"/>
    <w:rsid w:val="008712BF"/>
    <w:rsid w:val="00871B87"/>
    <w:rsid w:val="00872596"/>
    <w:rsid w:val="00874204"/>
    <w:rsid w:val="00883517"/>
    <w:rsid w:val="00885A38"/>
    <w:rsid w:val="00893ADF"/>
    <w:rsid w:val="008A02B0"/>
    <w:rsid w:val="008A1BC1"/>
    <w:rsid w:val="008A295E"/>
    <w:rsid w:val="008A370F"/>
    <w:rsid w:val="008A4CAB"/>
    <w:rsid w:val="008A5EF4"/>
    <w:rsid w:val="008A7225"/>
    <w:rsid w:val="008A7419"/>
    <w:rsid w:val="008B2244"/>
    <w:rsid w:val="008B449A"/>
    <w:rsid w:val="008B602D"/>
    <w:rsid w:val="008C02DB"/>
    <w:rsid w:val="008D104F"/>
    <w:rsid w:val="008D4512"/>
    <w:rsid w:val="008D6CBD"/>
    <w:rsid w:val="008E3089"/>
    <w:rsid w:val="008E3450"/>
    <w:rsid w:val="00904ADC"/>
    <w:rsid w:val="00913C89"/>
    <w:rsid w:val="0091653E"/>
    <w:rsid w:val="0091760C"/>
    <w:rsid w:val="009215DA"/>
    <w:rsid w:val="00921B72"/>
    <w:rsid w:val="009241B7"/>
    <w:rsid w:val="00924570"/>
    <w:rsid w:val="00925F30"/>
    <w:rsid w:val="00926AF6"/>
    <w:rsid w:val="00926BD2"/>
    <w:rsid w:val="009321F2"/>
    <w:rsid w:val="00932963"/>
    <w:rsid w:val="00933051"/>
    <w:rsid w:val="009351C4"/>
    <w:rsid w:val="00940879"/>
    <w:rsid w:val="0094298E"/>
    <w:rsid w:val="00943362"/>
    <w:rsid w:val="009443C4"/>
    <w:rsid w:val="00945EA1"/>
    <w:rsid w:val="00951470"/>
    <w:rsid w:val="00962CC4"/>
    <w:rsid w:val="009655A9"/>
    <w:rsid w:val="00985B50"/>
    <w:rsid w:val="00987326"/>
    <w:rsid w:val="0098738B"/>
    <w:rsid w:val="009A3463"/>
    <w:rsid w:val="009A3A73"/>
    <w:rsid w:val="009A71A8"/>
    <w:rsid w:val="009A7D2C"/>
    <w:rsid w:val="009B6B5C"/>
    <w:rsid w:val="009B6C95"/>
    <w:rsid w:val="009B6E9C"/>
    <w:rsid w:val="009C65E0"/>
    <w:rsid w:val="009C6F88"/>
    <w:rsid w:val="009C70A1"/>
    <w:rsid w:val="009D0BBC"/>
    <w:rsid w:val="009D1700"/>
    <w:rsid w:val="009D1C0A"/>
    <w:rsid w:val="009D7030"/>
    <w:rsid w:val="009E39B7"/>
    <w:rsid w:val="009E7F45"/>
    <w:rsid w:val="009F2360"/>
    <w:rsid w:val="00A00DA1"/>
    <w:rsid w:val="00A06109"/>
    <w:rsid w:val="00A1149F"/>
    <w:rsid w:val="00A16968"/>
    <w:rsid w:val="00A237A8"/>
    <w:rsid w:val="00A243A6"/>
    <w:rsid w:val="00A249B9"/>
    <w:rsid w:val="00A25D7B"/>
    <w:rsid w:val="00A269C1"/>
    <w:rsid w:val="00A275E8"/>
    <w:rsid w:val="00A3026D"/>
    <w:rsid w:val="00A32A01"/>
    <w:rsid w:val="00A400E3"/>
    <w:rsid w:val="00A5014A"/>
    <w:rsid w:val="00A512C1"/>
    <w:rsid w:val="00A56181"/>
    <w:rsid w:val="00A62352"/>
    <w:rsid w:val="00A625CF"/>
    <w:rsid w:val="00A62C14"/>
    <w:rsid w:val="00A71A7E"/>
    <w:rsid w:val="00A77A85"/>
    <w:rsid w:val="00A77DA4"/>
    <w:rsid w:val="00A80A69"/>
    <w:rsid w:val="00A80D9C"/>
    <w:rsid w:val="00A81C8C"/>
    <w:rsid w:val="00A82CEC"/>
    <w:rsid w:val="00A8795A"/>
    <w:rsid w:val="00A926C4"/>
    <w:rsid w:val="00A964EE"/>
    <w:rsid w:val="00AA4D91"/>
    <w:rsid w:val="00AA7CF6"/>
    <w:rsid w:val="00AB51AD"/>
    <w:rsid w:val="00AB78A5"/>
    <w:rsid w:val="00AC0C2B"/>
    <w:rsid w:val="00AC0D83"/>
    <w:rsid w:val="00AC24EE"/>
    <w:rsid w:val="00AC666F"/>
    <w:rsid w:val="00AD05BF"/>
    <w:rsid w:val="00AD0A44"/>
    <w:rsid w:val="00AD3B01"/>
    <w:rsid w:val="00AD5377"/>
    <w:rsid w:val="00AD6250"/>
    <w:rsid w:val="00AD7327"/>
    <w:rsid w:val="00AD7ADB"/>
    <w:rsid w:val="00AE1E5E"/>
    <w:rsid w:val="00AE6E71"/>
    <w:rsid w:val="00AE7249"/>
    <w:rsid w:val="00AF62E9"/>
    <w:rsid w:val="00AF6763"/>
    <w:rsid w:val="00AF7CDC"/>
    <w:rsid w:val="00B00C00"/>
    <w:rsid w:val="00B06B17"/>
    <w:rsid w:val="00B11E56"/>
    <w:rsid w:val="00B14508"/>
    <w:rsid w:val="00B2046D"/>
    <w:rsid w:val="00B22810"/>
    <w:rsid w:val="00B24D98"/>
    <w:rsid w:val="00B30CA1"/>
    <w:rsid w:val="00B323F2"/>
    <w:rsid w:val="00B3792B"/>
    <w:rsid w:val="00B41455"/>
    <w:rsid w:val="00B57141"/>
    <w:rsid w:val="00B60182"/>
    <w:rsid w:val="00B60254"/>
    <w:rsid w:val="00B61AB1"/>
    <w:rsid w:val="00B63251"/>
    <w:rsid w:val="00B70BC9"/>
    <w:rsid w:val="00B71A12"/>
    <w:rsid w:val="00B76ED9"/>
    <w:rsid w:val="00B774DF"/>
    <w:rsid w:val="00B865EB"/>
    <w:rsid w:val="00B90825"/>
    <w:rsid w:val="00B91713"/>
    <w:rsid w:val="00B951B6"/>
    <w:rsid w:val="00B96B38"/>
    <w:rsid w:val="00B96D57"/>
    <w:rsid w:val="00BA1128"/>
    <w:rsid w:val="00BB07C7"/>
    <w:rsid w:val="00BB61B3"/>
    <w:rsid w:val="00BB7052"/>
    <w:rsid w:val="00BC4836"/>
    <w:rsid w:val="00BC5358"/>
    <w:rsid w:val="00BC5F88"/>
    <w:rsid w:val="00BC5FF2"/>
    <w:rsid w:val="00BD5713"/>
    <w:rsid w:val="00BD61D0"/>
    <w:rsid w:val="00BD7778"/>
    <w:rsid w:val="00BE0233"/>
    <w:rsid w:val="00BE0CC3"/>
    <w:rsid w:val="00BE18C9"/>
    <w:rsid w:val="00BE549D"/>
    <w:rsid w:val="00BF21FF"/>
    <w:rsid w:val="00BF31AF"/>
    <w:rsid w:val="00BF6C8D"/>
    <w:rsid w:val="00C00710"/>
    <w:rsid w:val="00C07AB5"/>
    <w:rsid w:val="00C1162F"/>
    <w:rsid w:val="00C14FDD"/>
    <w:rsid w:val="00C21CF5"/>
    <w:rsid w:val="00C2708E"/>
    <w:rsid w:val="00C33D24"/>
    <w:rsid w:val="00C34435"/>
    <w:rsid w:val="00C35732"/>
    <w:rsid w:val="00C54E97"/>
    <w:rsid w:val="00C55F2C"/>
    <w:rsid w:val="00C63492"/>
    <w:rsid w:val="00C648DE"/>
    <w:rsid w:val="00C650BA"/>
    <w:rsid w:val="00C65178"/>
    <w:rsid w:val="00C773E5"/>
    <w:rsid w:val="00C83066"/>
    <w:rsid w:val="00C837CE"/>
    <w:rsid w:val="00C8404E"/>
    <w:rsid w:val="00C919A6"/>
    <w:rsid w:val="00C93186"/>
    <w:rsid w:val="00CA07B4"/>
    <w:rsid w:val="00CA326E"/>
    <w:rsid w:val="00CB07F3"/>
    <w:rsid w:val="00CB0E07"/>
    <w:rsid w:val="00CB1E96"/>
    <w:rsid w:val="00CB23C9"/>
    <w:rsid w:val="00CC7EFD"/>
    <w:rsid w:val="00CD013E"/>
    <w:rsid w:val="00CD525C"/>
    <w:rsid w:val="00CD5C27"/>
    <w:rsid w:val="00CE1BEF"/>
    <w:rsid w:val="00CE3146"/>
    <w:rsid w:val="00CE439F"/>
    <w:rsid w:val="00CE7F51"/>
    <w:rsid w:val="00CF03A6"/>
    <w:rsid w:val="00CF349A"/>
    <w:rsid w:val="00CF54DA"/>
    <w:rsid w:val="00CF5B64"/>
    <w:rsid w:val="00CF6ABD"/>
    <w:rsid w:val="00CF78AB"/>
    <w:rsid w:val="00D04BF5"/>
    <w:rsid w:val="00D073CB"/>
    <w:rsid w:val="00D07BE6"/>
    <w:rsid w:val="00D17EB9"/>
    <w:rsid w:val="00D2000C"/>
    <w:rsid w:val="00D201C6"/>
    <w:rsid w:val="00D210DF"/>
    <w:rsid w:val="00D212AD"/>
    <w:rsid w:val="00D23A21"/>
    <w:rsid w:val="00D2492A"/>
    <w:rsid w:val="00D25887"/>
    <w:rsid w:val="00D2623E"/>
    <w:rsid w:val="00D26785"/>
    <w:rsid w:val="00D311D7"/>
    <w:rsid w:val="00D3193F"/>
    <w:rsid w:val="00D325C6"/>
    <w:rsid w:val="00D353C4"/>
    <w:rsid w:val="00D3672F"/>
    <w:rsid w:val="00D3688A"/>
    <w:rsid w:val="00D37FFE"/>
    <w:rsid w:val="00D400FD"/>
    <w:rsid w:val="00D41AEF"/>
    <w:rsid w:val="00D41F12"/>
    <w:rsid w:val="00D45FB8"/>
    <w:rsid w:val="00D50CEB"/>
    <w:rsid w:val="00D51CAB"/>
    <w:rsid w:val="00D545E6"/>
    <w:rsid w:val="00D567D1"/>
    <w:rsid w:val="00D609C8"/>
    <w:rsid w:val="00D61974"/>
    <w:rsid w:val="00D61DEC"/>
    <w:rsid w:val="00D62B3A"/>
    <w:rsid w:val="00D65A06"/>
    <w:rsid w:val="00D660B1"/>
    <w:rsid w:val="00D71ED0"/>
    <w:rsid w:val="00D72B3E"/>
    <w:rsid w:val="00D73DE3"/>
    <w:rsid w:val="00D741D8"/>
    <w:rsid w:val="00D74D14"/>
    <w:rsid w:val="00D76CCF"/>
    <w:rsid w:val="00D77D30"/>
    <w:rsid w:val="00D81A10"/>
    <w:rsid w:val="00D86AD5"/>
    <w:rsid w:val="00D87EB8"/>
    <w:rsid w:val="00D93953"/>
    <w:rsid w:val="00D97FF1"/>
    <w:rsid w:val="00DA1A9C"/>
    <w:rsid w:val="00DA3BAD"/>
    <w:rsid w:val="00DB5DF3"/>
    <w:rsid w:val="00DB7E49"/>
    <w:rsid w:val="00DC4C65"/>
    <w:rsid w:val="00DD10B0"/>
    <w:rsid w:val="00DD4F04"/>
    <w:rsid w:val="00DD6CE9"/>
    <w:rsid w:val="00DE06EC"/>
    <w:rsid w:val="00DE0BA0"/>
    <w:rsid w:val="00E03D05"/>
    <w:rsid w:val="00E070AF"/>
    <w:rsid w:val="00E14978"/>
    <w:rsid w:val="00E14F60"/>
    <w:rsid w:val="00E16BC4"/>
    <w:rsid w:val="00E22D94"/>
    <w:rsid w:val="00E31B76"/>
    <w:rsid w:val="00E33353"/>
    <w:rsid w:val="00E33A99"/>
    <w:rsid w:val="00E33C27"/>
    <w:rsid w:val="00E34B0D"/>
    <w:rsid w:val="00E369BE"/>
    <w:rsid w:val="00E44B56"/>
    <w:rsid w:val="00E46C11"/>
    <w:rsid w:val="00E47B1F"/>
    <w:rsid w:val="00E502F7"/>
    <w:rsid w:val="00E52FF9"/>
    <w:rsid w:val="00E56438"/>
    <w:rsid w:val="00E570DE"/>
    <w:rsid w:val="00E571C8"/>
    <w:rsid w:val="00E67922"/>
    <w:rsid w:val="00E74012"/>
    <w:rsid w:val="00E816DD"/>
    <w:rsid w:val="00E8351E"/>
    <w:rsid w:val="00E84DAF"/>
    <w:rsid w:val="00E92DC3"/>
    <w:rsid w:val="00E936D0"/>
    <w:rsid w:val="00EA2D5C"/>
    <w:rsid w:val="00EA34D3"/>
    <w:rsid w:val="00EA3A53"/>
    <w:rsid w:val="00EA4746"/>
    <w:rsid w:val="00EB274C"/>
    <w:rsid w:val="00EB4AB1"/>
    <w:rsid w:val="00EB518D"/>
    <w:rsid w:val="00EB5A8C"/>
    <w:rsid w:val="00EB76BA"/>
    <w:rsid w:val="00EC1995"/>
    <w:rsid w:val="00EC74A9"/>
    <w:rsid w:val="00ED2A9F"/>
    <w:rsid w:val="00ED2EF5"/>
    <w:rsid w:val="00ED512A"/>
    <w:rsid w:val="00ED6558"/>
    <w:rsid w:val="00EE04F5"/>
    <w:rsid w:val="00EE10FD"/>
    <w:rsid w:val="00EE2F6C"/>
    <w:rsid w:val="00EE4BA5"/>
    <w:rsid w:val="00EE4E0F"/>
    <w:rsid w:val="00EE7FD2"/>
    <w:rsid w:val="00EF6385"/>
    <w:rsid w:val="00F025B5"/>
    <w:rsid w:val="00F04879"/>
    <w:rsid w:val="00F10791"/>
    <w:rsid w:val="00F12197"/>
    <w:rsid w:val="00F15E90"/>
    <w:rsid w:val="00F21E09"/>
    <w:rsid w:val="00F23E1F"/>
    <w:rsid w:val="00F26DE8"/>
    <w:rsid w:val="00F4050E"/>
    <w:rsid w:val="00F42973"/>
    <w:rsid w:val="00F444B0"/>
    <w:rsid w:val="00F46BF8"/>
    <w:rsid w:val="00F5075E"/>
    <w:rsid w:val="00F52215"/>
    <w:rsid w:val="00F527DF"/>
    <w:rsid w:val="00F538AF"/>
    <w:rsid w:val="00F54FB5"/>
    <w:rsid w:val="00F559E2"/>
    <w:rsid w:val="00F55F56"/>
    <w:rsid w:val="00F573B5"/>
    <w:rsid w:val="00F63767"/>
    <w:rsid w:val="00F65EBE"/>
    <w:rsid w:val="00F66350"/>
    <w:rsid w:val="00F677A1"/>
    <w:rsid w:val="00F71BEB"/>
    <w:rsid w:val="00F8231F"/>
    <w:rsid w:val="00F84C6D"/>
    <w:rsid w:val="00F85308"/>
    <w:rsid w:val="00F905B6"/>
    <w:rsid w:val="00F932F1"/>
    <w:rsid w:val="00F96D7E"/>
    <w:rsid w:val="00FA505D"/>
    <w:rsid w:val="00FB0EF7"/>
    <w:rsid w:val="00FB222A"/>
    <w:rsid w:val="00FB4F8B"/>
    <w:rsid w:val="00FB51C5"/>
    <w:rsid w:val="00FC1CF7"/>
    <w:rsid w:val="00FC2121"/>
    <w:rsid w:val="00FC329A"/>
    <w:rsid w:val="00FC4216"/>
    <w:rsid w:val="00FD18CD"/>
    <w:rsid w:val="00FD2E65"/>
    <w:rsid w:val="00FD4446"/>
    <w:rsid w:val="00FD7FB4"/>
    <w:rsid w:val="00FE6739"/>
    <w:rsid w:val="00FF146F"/>
    <w:rsid w:val="00FF1D28"/>
  </w:rsids>
  <w:docVars>
    <w:docVar w:name="__Grammarly_42___1" w:val="H4sIAAAAAAAEAKtWcslP9kxRslIyNDYyMzc0NDcxMjEwMbQ0NbJU0lEKTi0uzszPAykwrgUAz1O7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10F4F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358"/>
    <w:pPr>
      <w:spacing w:after="200"/>
    </w:pPr>
    <w:rPr>
      <w:rFonts w:eastAsiaTheme="minorEastAsia"/>
      <w:color w:val="auto"/>
      <w:sz w:val="22"/>
      <w:szCs w:val="22"/>
    </w:rPr>
  </w:style>
  <w:style w:type="paragraph" w:styleId="Heading1">
    <w:name w:val="heading 1"/>
    <w:basedOn w:val="HeadingFont"/>
    <w:next w:val="BodyTextPostHead"/>
    <w:link w:val="Heading1Char"/>
    <w:uiPriority w:val="1"/>
    <w:qFormat/>
    <w:rsid w:val="008D104F"/>
    <w:pPr>
      <w:tabs>
        <w:tab w:val="left" w:pos="1080"/>
      </w:tabs>
      <w:spacing w:before="240"/>
      <w:ind w:left="1080" w:hanging="1080"/>
      <w:outlineLvl w:val="0"/>
    </w:pPr>
    <w:rPr>
      <w:rFonts w:eastAsia="Perpetua" w:cstheme="majorHAnsi"/>
      <w:b/>
      <w:bCs/>
      <w:color w:val="auto"/>
      <w:sz w:val="24"/>
      <w:szCs w:val="56"/>
    </w:rPr>
  </w:style>
  <w:style w:type="paragraph" w:styleId="Heading2">
    <w:name w:val="heading 2"/>
    <w:basedOn w:val="HeadingFont"/>
    <w:next w:val="BodyTextPostHead"/>
    <w:link w:val="Heading2Char"/>
    <w:uiPriority w:val="9"/>
    <w:unhideWhenUsed/>
    <w:qFormat/>
    <w:rsid w:val="0059314A"/>
    <w:pPr>
      <w:spacing w:before="240" w:after="120"/>
      <w:outlineLvl w:val="1"/>
    </w:pPr>
    <w:rPr>
      <w:b/>
      <w:bCs/>
      <w:color w:val="00507F" w:themeColor="accent1"/>
      <w:sz w:val="30"/>
    </w:rPr>
  </w:style>
  <w:style w:type="paragraph" w:styleId="Heading3">
    <w:name w:val="heading 3"/>
    <w:basedOn w:val="Heading2"/>
    <w:next w:val="BodyTextPostHead"/>
    <w:link w:val="Heading3Char"/>
    <w:uiPriority w:val="9"/>
    <w:unhideWhenUsed/>
    <w:qFormat/>
    <w:rsid w:val="0059314A"/>
    <w:pPr>
      <w:numPr>
        <w:ilvl w:val="2"/>
      </w:numPr>
      <w:spacing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26"/>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26"/>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26"/>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AB1"/>
    <w:pPr>
      <w:tabs>
        <w:tab w:val="center" w:pos="4680"/>
        <w:tab w:val="right" w:pos="9360"/>
      </w:tabs>
      <w:spacing w:after="360" w:line="240" w:lineRule="auto"/>
      <w:contextualSpacing/>
    </w:pPr>
    <w:rPr>
      <w:sz w:val="24"/>
      <w:szCs w:val="24"/>
    </w:rPr>
  </w:style>
  <w:style w:type="character" w:customStyle="1" w:styleId="HeaderChar">
    <w:name w:val="Header Char"/>
    <w:basedOn w:val="DefaultParagraphFont"/>
    <w:link w:val="Header"/>
    <w:uiPriority w:val="99"/>
    <w:rsid w:val="00B61AB1"/>
    <w:rPr>
      <w:sz w:val="24"/>
      <w:szCs w:val="24"/>
    </w:rPr>
  </w:style>
  <w:style w:type="paragraph" w:styleId="Footer">
    <w:name w:val="footer"/>
    <w:basedOn w:val="HeadingFont"/>
    <w:link w:val="FooterChar"/>
    <w:uiPriority w:val="99"/>
    <w:unhideWhenUsed/>
    <w:qFormat/>
    <w:rsid w:val="0085652D"/>
    <w:pPr>
      <w:keepNext w:val="0"/>
      <w:tabs>
        <w:tab w:val="center" w:pos="4680"/>
        <w:tab w:val="right" w:pos="9360"/>
      </w:tabs>
    </w:pPr>
  </w:style>
  <w:style w:type="character" w:customStyle="1" w:styleId="FooterChar">
    <w:name w:val="Footer Char"/>
    <w:basedOn w:val="DefaultParagraphFont"/>
    <w:link w:val="Footer"/>
    <w:uiPriority w:val="99"/>
    <w:rsid w:val="0085652D"/>
    <w:rPr>
      <w:rFonts w:asciiTheme="majorHAnsi" w:hAnsiTheme="majorHAnsi"/>
      <w:sz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00507F"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59314A"/>
    <w:rPr>
      <w:rFonts w:eastAsia="Times New Roman" w:asciiTheme="majorHAnsi" w:hAnsiTheme="majorHAnsi" w:cs="Times New Roman"/>
      <w:b/>
      <w:bCs/>
      <w:color w:val="00507F" w:themeColor="accent1"/>
      <w:sz w:val="28"/>
      <w:szCs w:val="26"/>
    </w:rPr>
  </w:style>
  <w:style w:type="paragraph" w:styleId="BodyText">
    <w:name w:val="Body Text"/>
    <w:aliases w:val="bt"/>
    <w:link w:val="BodyTextChar"/>
    <w:uiPriority w:val="99"/>
    <w:unhideWhenUsed/>
    <w:qFormat/>
    <w:rsid w:val="006D5F97"/>
    <w:pPr>
      <w:suppressAutoHyphens/>
      <w:spacing w:before="240" w:after="120"/>
    </w:pPr>
    <w:rPr>
      <w:rFonts w:eastAsia="Calibri" w:cs="Times New Roman"/>
      <w:sz w:val="24"/>
    </w:rPr>
  </w:style>
  <w:style w:type="character" w:customStyle="1" w:styleId="BodyTextChar">
    <w:name w:val="Body Text Char"/>
    <w:aliases w:val="bt Char"/>
    <w:basedOn w:val="DefaultParagraphFont"/>
    <w:link w:val="BodyText"/>
    <w:rsid w:val="006D5F97"/>
    <w:rPr>
      <w:rFonts w:eastAsia="Calibri" w:cs="Times New Roman"/>
      <w:sz w:val="24"/>
    </w:rPr>
  </w:style>
  <w:style w:type="paragraph" w:customStyle="1" w:styleId="BodyTextPostHead">
    <w:name w:val="Body Text Post Head"/>
    <w:aliases w:val="btp"/>
    <w:basedOn w:val="BodyText"/>
    <w:next w:val="BodyText"/>
    <w:qFormat/>
    <w:rsid w:val="006D5F97"/>
    <w:pPr>
      <w:spacing w:before="60"/>
    </w:pPr>
  </w:style>
  <w:style w:type="character" w:customStyle="1" w:styleId="Heading2Char">
    <w:name w:val="Heading 2 Char"/>
    <w:basedOn w:val="DefaultParagraphFont"/>
    <w:link w:val="Heading2"/>
    <w:uiPriority w:val="9"/>
    <w:rsid w:val="0059314A"/>
    <w:rPr>
      <w:rFonts w:asciiTheme="majorHAnsi" w:hAnsiTheme="majorHAnsi"/>
      <w:b/>
      <w:bCs/>
      <w:color w:val="00507F" w:themeColor="accent1"/>
      <w:sz w:val="30"/>
    </w:rPr>
  </w:style>
  <w:style w:type="character" w:customStyle="1" w:styleId="Heading4Char">
    <w:name w:val="Heading 4 Char"/>
    <w:basedOn w:val="DefaultParagraphFont"/>
    <w:link w:val="Heading4"/>
    <w:uiPriority w:val="9"/>
    <w:rsid w:val="0085652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6D5F97"/>
    <w:rPr>
      <w:rFonts w:eastAsia="Calibri" w:cs="Calibri"/>
      <w:b/>
      <w:sz w:val="24"/>
    </w:rPr>
  </w:style>
  <w:style w:type="character" w:customStyle="1" w:styleId="Heading6Char">
    <w:name w:val="Heading 6 Char"/>
    <w:basedOn w:val="DefaultParagraphFont"/>
    <w:link w:val="Heading6"/>
    <w:uiPriority w:val="9"/>
    <w:rsid w:val="006D5F97"/>
    <w:rPr>
      <w:rFonts w:eastAsia="Calibri" w:cs="Times New Roman"/>
      <w:b/>
      <w:i/>
      <w:sz w:val="24"/>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85652D"/>
    <w:pPr>
      <w:numPr>
        <w:numId w:val="4"/>
      </w:numPr>
    </w:pPr>
  </w:style>
  <w:style w:type="numbering" w:customStyle="1" w:styleId="ListBullets-Table11">
    <w:name w:val="_List Bullets-Table 11"/>
    <w:uiPriority w:val="99"/>
    <w:rsid w:val="0085652D"/>
    <w:pPr>
      <w:numPr>
        <w:numId w:val="6"/>
      </w:numPr>
    </w:pPr>
  </w:style>
  <w:style w:type="numbering" w:customStyle="1" w:styleId="ListOrdered-Body">
    <w:name w:val="_List Ordered-Body"/>
    <w:uiPriority w:val="99"/>
    <w:rsid w:val="0085652D"/>
    <w:pPr>
      <w:numPr>
        <w:numId w:val="7"/>
      </w:numPr>
    </w:pPr>
  </w:style>
  <w:style w:type="numbering" w:customStyle="1" w:styleId="ListOrdered-Table11">
    <w:name w:val="_List Ordered-Table 11"/>
    <w:uiPriority w:val="99"/>
    <w:rsid w:val="00E84DAF"/>
    <w:pPr>
      <w:numPr>
        <w:numId w:val="9"/>
      </w:numPr>
    </w:pPr>
  </w:style>
  <w:style w:type="paragraph" w:customStyle="1" w:styleId="Bullet1">
    <w:name w:val="Bullet 1"/>
    <w:basedOn w:val="BodyText"/>
    <w:uiPriority w:val="4"/>
    <w:qFormat/>
    <w:rsid w:val="0085652D"/>
    <w:pPr>
      <w:numPr>
        <w:numId w:val="10"/>
      </w:numPr>
      <w:spacing w:before="120"/>
    </w:pPr>
    <w:rPr>
      <w:rFonts w:eastAsia="Times New Roman"/>
    </w:rPr>
  </w:style>
  <w:style w:type="paragraph" w:customStyle="1" w:styleId="Bullet2">
    <w:name w:val="Bullet 2"/>
    <w:basedOn w:val="BodyText"/>
    <w:uiPriority w:val="4"/>
    <w:qFormat/>
    <w:rsid w:val="0085652D"/>
    <w:pPr>
      <w:numPr>
        <w:ilvl w:val="1"/>
        <w:numId w:val="10"/>
      </w:numPr>
      <w:spacing w:before="120"/>
    </w:pPr>
    <w:rPr>
      <w:rFonts w:eastAsia="Times New Roman"/>
    </w:rPr>
  </w:style>
  <w:style w:type="paragraph" w:customStyle="1" w:styleId="Bullet3">
    <w:name w:val="Bullet 3"/>
    <w:basedOn w:val="BodyText"/>
    <w:uiPriority w:val="4"/>
    <w:qFormat/>
    <w:rsid w:val="0085652D"/>
    <w:pPr>
      <w:numPr>
        <w:ilvl w:val="2"/>
        <w:numId w:val="10"/>
      </w:numPr>
      <w:spacing w:before="120"/>
    </w:pPr>
    <w:rPr>
      <w:rFonts w:eastAsiaTheme="minorEastAsia"/>
    </w:rPr>
  </w:style>
  <w:style w:type="paragraph" w:customStyle="1" w:styleId="NumberedList">
    <w:name w:val="Numbered List"/>
    <w:basedOn w:val="BodyText"/>
    <w:qFormat/>
    <w:rsid w:val="000F2437"/>
    <w:pPr>
      <w:numPr>
        <w:numId w:val="2"/>
      </w:numPr>
      <w:spacing w:before="120" w:after="0"/>
    </w:pPr>
    <w:rPr>
      <w:rFonts w:eastAsia="Times New Roman"/>
    </w:rPr>
  </w:style>
  <w:style w:type="paragraph" w:customStyle="1" w:styleId="Table11Bullet1">
    <w:name w:val="Table 11 Bullet 1"/>
    <w:basedOn w:val="Table11Basic"/>
    <w:qFormat/>
    <w:rsid w:val="0085652D"/>
    <w:pPr>
      <w:numPr>
        <w:numId w:val="40"/>
      </w:numPr>
    </w:pPr>
  </w:style>
  <w:style w:type="paragraph" w:customStyle="1" w:styleId="Table11Bullet2">
    <w:name w:val="Table 11 Bullet 2"/>
    <w:basedOn w:val="Table11Basic"/>
    <w:qFormat/>
    <w:rsid w:val="0085652D"/>
    <w:pPr>
      <w:numPr>
        <w:ilvl w:val="1"/>
        <w:numId w:val="40"/>
      </w:numPr>
    </w:pPr>
  </w:style>
  <w:style w:type="paragraph" w:customStyle="1" w:styleId="Table11Bullet3">
    <w:name w:val="Table 11 Bullet 3"/>
    <w:basedOn w:val="Table11Basic"/>
    <w:qFormat/>
    <w:rsid w:val="0085652D"/>
    <w:pPr>
      <w:numPr>
        <w:ilvl w:val="2"/>
        <w:numId w:val="40"/>
      </w:numPr>
    </w:pPr>
    <w:rPr>
      <w:rFonts w:eastAsia="Times New Roman"/>
    </w:rPr>
  </w:style>
  <w:style w:type="paragraph" w:customStyle="1" w:styleId="Table11Numbering">
    <w:name w:val="Table 11 Numbering"/>
    <w:basedOn w:val="Table11Basic"/>
    <w:qFormat/>
    <w:rsid w:val="00E84DAF"/>
    <w:pPr>
      <w:numPr>
        <w:numId w:val="41"/>
      </w:numPr>
    </w:pPr>
  </w:style>
  <w:style w:type="paragraph" w:customStyle="1" w:styleId="Callout-InlineText">
    <w:name w:val="Callout-Inline Text"/>
    <w:basedOn w:val="BodyText"/>
    <w:next w:val="BodyText"/>
    <w:rsid w:val="00172424"/>
    <w:pPr>
      <w:keepLines/>
      <w:spacing w:before="120"/>
      <w:ind w:left="360"/>
    </w:pPr>
    <w:rPr>
      <w:rFonts w:eastAsia="Times New Roman" w:asciiTheme="majorHAnsi" w:hAnsiTheme="majorHAnsi"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496239"/>
    <w:pPr>
      <w:framePr w:hSpace="187" w:wrap="around" w:vAnchor="text" w:hAnchor="margin" w:xAlign="right" w:y="361"/>
      <w:spacing w:before="120"/>
      <w:ind w:left="72" w:right="72"/>
      <w:suppressOverlap/>
    </w:pPr>
    <w:rPr>
      <w:rFonts w:ascii="Arial Narrow" w:hAnsi="Arial Narrow"/>
      <w:sz w:val="22"/>
      <w:szCs w:val="22"/>
    </w:rPr>
  </w:style>
  <w:style w:type="paragraph" w:customStyle="1" w:styleId="Table11Basic">
    <w:name w:val="Table 11 Basic"/>
    <w:basedOn w:val="HeadingFont"/>
    <w:qFormat/>
    <w:rsid w:val="0085652D"/>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264ACF"/>
    <w:pPr>
      <w:numPr>
        <w:numId w:val="5"/>
      </w:numPr>
    </w:pPr>
  </w:style>
  <w:style w:type="numbering" w:customStyle="1" w:styleId="ListOrdered-Table10">
    <w:name w:val="_List Ordered-Table 10"/>
    <w:uiPriority w:val="99"/>
    <w:rsid w:val="0085652D"/>
    <w:pPr>
      <w:numPr>
        <w:numId w:val="8"/>
      </w:numPr>
    </w:pPr>
  </w:style>
  <w:style w:type="paragraph" w:customStyle="1" w:styleId="TableNote">
    <w:name w:val="Table Note"/>
    <w:aliases w:val="Exhibit Note,Figure Note"/>
    <w:basedOn w:val="HeadingFont"/>
    <w:qFormat/>
    <w:rsid w:val="0085652D"/>
    <w:pPr>
      <w:keepNext w:val="0"/>
      <w:spacing w:before="120" w:after="360"/>
      <w:contextualSpacing/>
    </w:pPr>
    <w:rPr>
      <w:rFonts w:eastAsia="Times New Roman" w:cs="Times New Roman"/>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0B2DD8"/>
    <w:pPr>
      <w:keepLines/>
      <w:spacing w:before="240" w:after="120"/>
    </w:pPr>
    <w:rPr>
      <w:rFonts w:eastAsia="Calibri" w:cs="Times New Roman"/>
      <w:b/>
      <w:iCs/>
      <w:sz w:val="24"/>
      <w:szCs w:val="18"/>
    </w:rPr>
  </w:style>
  <w:style w:type="paragraph" w:customStyle="1" w:styleId="HeadingFont">
    <w:name w:val="Heading Font"/>
    <w:qFormat/>
    <w:rsid w:val="0085652D"/>
    <w:pPr>
      <w:keepNext/>
      <w:suppressAutoHyphens/>
    </w:pPr>
    <w:rPr>
      <w:rFonts w:asciiTheme="majorHAnsi" w:hAnsiTheme="majorHAnsi"/>
    </w:rPr>
  </w:style>
  <w:style w:type="character" w:customStyle="1" w:styleId="Heading1Char">
    <w:name w:val="Heading 1 Char"/>
    <w:basedOn w:val="DefaultParagraphFont"/>
    <w:link w:val="Heading1"/>
    <w:uiPriority w:val="1"/>
    <w:rsid w:val="008D104F"/>
    <w:rPr>
      <w:rFonts w:eastAsia="Perpetua" w:asciiTheme="majorHAnsi" w:hAnsiTheme="majorHAnsi" w:cstheme="majorHAnsi"/>
      <w:b/>
      <w:bCs/>
      <w:color w:val="auto"/>
      <w:sz w:val="24"/>
      <w:szCs w:val="56"/>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85652D"/>
    <w:pPr>
      <w:spacing w:before="120"/>
      <w:jc w:val="center"/>
    </w:pPr>
  </w:style>
  <w:style w:type="paragraph" w:customStyle="1" w:styleId="Spacer-HeaderFooter">
    <w:name w:val="Spacer-HeaderFooter"/>
    <w:rsid w:val="0085652D"/>
    <w:pPr>
      <w:spacing w:line="20" w:lineRule="exact"/>
    </w:pPr>
    <w:rPr>
      <w:sz w:val="2"/>
      <w:szCs w:val="2"/>
    </w:rPr>
  </w:style>
  <w:style w:type="paragraph" w:customStyle="1" w:styleId="ExhibitTitle">
    <w:name w:val="Exhibit Title"/>
    <w:basedOn w:val="HeadingFont"/>
    <w:next w:val="FigurePlacement"/>
    <w:qFormat/>
    <w:rsid w:val="00306DAC"/>
    <w:pPr>
      <w:keepLines/>
      <w:spacing w:before="240" w:after="120"/>
    </w:pPr>
    <w:rPr>
      <w:rFonts w:eastAsia="Times New Roman" w:cs="Times"/>
      <w:b/>
      <w:iCs/>
      <w:color w:val="00507F" w:themeColor="accent1"/>
      <w:sz w:val="24"/>
    </w:r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85652D"/>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85652D"/>
  </w:style>
  <w:style w:type="character" w:styleId="FollowedHyperlink">
    <w:name w:val="FollowedHyperlink"/>
    <w:basedOn w:val="DefaultParagraphFont"/>
    <w:uiPriority w:val="99"/>
    <w:unhideWhenUsed/>
    <w:rsid w:val="0085652D"/>
    <w:rPr>
      <w:color w:val="49134C"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0B2DD8"/>
    <w:rPr>
      <w:rFonts w:eastAsia="Calibri" w:asciiTheme="majorHAnsi" w:hAnsiTheme="majorHAnsi" w:cs="Times New Roman"/>
      <w:b/>
      <w:iCs/>
      <w:sz w:val="24"/>
      <w:szCs w:val="18"/>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paragraph" w:customStyle="1" w:styleId="FigureTitle">
    <w:name w:val="Figure Title"/>
    <w:basedOn w:val="Caption"/>
    <w:qFormat/>
    <w:rsid w:val="0085652D"/>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272727" w:themeColor="text1" w:themeTint="D8"/>
      <w:sz w:val="21"/>
      <w:szCs w:val="21"/>
    </w:rPr>
  </w:style>
  <w:style w:type="paragraph" w:customStyle="1" w:styleId="SidebarHeading">
    <w:name w:val="Sidebar Heading"/>
    <w:basedOn w:val="SidebarText"/>
    <w:qFormat/>
    <w:rsid w:val="00496239"/>
    <w:pPr>
      <w:framePr w:wrap="around"/>
      <w:suppressOverlap w:val="0"/>
    </w:pPr>
    <w:rPr>
      <w:b/>
      <w:bCs/>
      <w:color w:val="00507F" w:themeColor="accent1"/>
      <w:sz w:val="28"/>
      <w:szCs w:val="28"/>
    </w:rPr>
  </w:style>
  <w:style w:type="table" w:customStyle="1" w:styleId="TableStyle-Conclusion">
    <w:name w:val="_Table Style-Conclusion"/>
    <w:basedOn w:val="TableNormal"/>
    <w:uiPriority w:val="99"/>
    <w:rsid w:val="000250C0"/>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customStyle="1" w:styleId="CommentTextChar">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table" w:customStyle="1" w:styleId="TableStyle-AIR2021">
    <w:name w:val="__Table Style-AIR 2021"/>
    <w:basedOn w:val="TableNormal"/>
    <w:uiPriority w:val="99"/>
    <w:rsid w:val="008D104F"/>
    <w:pPr>
      <w:spacing w:line="240" w:lineRule="auto"/>
    </w:pPr>
    <w:rPr>
      <w:sz w:val="24"/>
    </w:r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single" w:sz="8" w:space="0" w:color="00507F" w:themeColor="accent1"/>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1Horz">
      <w:tblPr/>
      <w:tcPr>
        <w:shd w:val="clear" w:color="auto" w:fill="F3FBFF"/>
      </w:tcPr>
    </w:tblStylePr>
  </w:style>
  <w:style w:type="paragraph" w:customStyle="1" w:styleId="FooterLetterhead">
    <w:name w:val="Footer Letterhead"/>
    <w:basedOn w:val="Normal"/>
    <w:qFormat/>
    <w:rsid w:val="00357128"/>
    <w:pPr>
      <w:pBdr>
        <w:top w:val="single" w:sz="8" w:space="10" w:color="009DD7" w:themeColor="accent2"/>
      </w:pBdr>
      <w:tabs>
        <w:tab w:val="left" w:pos="1080"/>
        <w:tab w:val="center" w:pos="4680"/>
        <w:tab w:val="right" w:pos="9360"/>
      </w:tabs>
      <w:suppressAutoHyphens/>
      <w:spacing w:before="360"/>
      <w:jc w:val="center"/>
    </w:pPr>
    <w:rPr>
      <w:rFonts w:asciiTheme="majorHAnsi" w:hAnsiTheme="majorHAnsi"/>
      <w:color w:val="00507F" w:themeColor="accent1"/>
    </w:rPr>
  </w:style>
  <w:style w:type="paragraph" w:customStyle="1" w:styleId="Table10Basic">
    <w:name w:val="Table 10 Basic"/>
    <w:basedOn w:val="Table11Basic"/>
    <w:qFormat/>
    <w:rsid w:val="00264ACF"/>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264ACF"/>
    <w:pPr>
      <w:numPr>
        <w:numId w:val="39"/>
      </w:numPr>
    </w:pPr>
  </w:style>
  <w:style w:type="paragraph" w:customStyle="1" w:styleId="Table10Bullet2">
    <w:name w:val="Table 10 Bullet 2"/>
    <w:basedOn w:val="Table10Basic"/>
    <w:rsid w:val="00264ACF"/>
    <w:pPr>
      <w:numPr>
        <w:ilvl w:val="1"/>
        <w:numId w:val="39"/>
      </w:numPr>
    </w:pPr>
  </w:style>
  <w:style w:type="paragraph" w:customStyle="1" w:styleId="Table10Bullet3">
    <w:name w:val="Table 10 Bullet 3"/>
    <w:basedOn w:val="Table10Basic"/>
    <w:rsid w:val="00264ACF"/>
    <w:pPr>
      <w:numPr>
        <w:ilvl w:val="2"/>
        <w:numId w:val="39"/>
      </w:numPr>
    </w:pPr>
  </w:style>
  <w:style w:type="paragraph" w:customStyle="1" w:styleId="Table10Numbering">
    <w:name w:val="Table 10 Numbering"/>
    <w:basedOn w:val="Table10Basic"/>
    <w:rsid w:val="00264ACF"/>
    <w:pPr>
      <w:ind w:left="288" w:hanging="288"/>
    </w:p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paragraph" w:customStyle="1" w:styleId="LTRDate">
    <w:name w:val="LTR.Date"/>
    <w:next w:val="LTRAddress"/>
    <w:qFormat/>
    <w:rsid w:val="00156B6C"/>
    <w:pPr>
      <w:spacing w:before="240" w:after="120" w:line="240" w:lineRule="auto"/>
    </w:pPr>
    <w:rPr>
      <w:rFonts w:eastAsia="Times New Roman" w:cs="Times"/>
      <w:color w:val="auto"/>
      <w:sz w:val="24"/>
      <w:szCs w:val="24"/>
    </w:rPr>
  </w:style>
  <w:style w:type="paragraph" w:customStyle="1" w:styleId="LTRAddress">
    <w:name w:val="LTR.Address"/>
    <w:next w:val="Heading1"/>
    <w:qFormat/>
    <w:rsid w:val="00156B6C"/>
    <w:pPr>
      <w:spacing w:before="480" w:after="120" w:line="240" w:lineRule="auto"/>
      <w:contextualSpacing/>
    </w:pPr>
    <w:rPr>
      <w:rFonts w:eastAsia="Times New Roman" w:cs="Times"/>
      <w:color w:val="auto"/>
      <w:sz w:val="24"/>
      <w:szCs w:val="24"/>
    </w:rPr>
  </w:style>
  <w:style w:type="paragraph" w:customStyle="1" w:styleId="Heading1-Letter">
    <w:name w:val="Heading 1-Letter"/>
    <w:basedOn w:val="HeadingFont"/>
    <w:next w:val="BodyText"/>
    <w:qFormat/>
    <w:rsid w:val="00CF03A6"/>
    <w:pPr>
      <w:spacing w:before="240"/>
      <w:ind w:left="1080" w:hanging="1080"/>
      <w:outlineLvl w:val="0"/>
    </w:pPr>
    <w:rPr>
      <w:b/>
      <w:bCs/>
      <w:sz w:val="24"/>
      <w:szCs w:val="24"/>
    </w:rPr>
  </w:style>
  <w:style w:type="paragraph" w:customStyle="1" w:styleId="Heading2-Letter">
    <w:name w:val="Heading 2-Letter"/>
    <w:basedOn w:val="HeadingFont"/>
    <w:next w:val="BodyTextPostHead"/>
    <w:qFormat/>
    <w:rsid w:val="00B61AB1"/>
    <w:pPr>
      <w:spacing w:after="120"/>
      <w:outlineLvl w:val="0"/>
    </w:pPr>
    <w:rPr>
      <w:b/>
      <w:bCs/>
      <w:color w:val="00507F" w:themeColor="accent1"/>
      <w:sz w:val="30"/>
      <w:szCs w:val="30"/>
    </w:rPr>
  </w:style>
  <w:style w:type="paragraph" w:customStyle="1" w:styleId="SignatureTitle">
    <w:name w:val="Signature/Title"/>
    <w:basedOn w:val="BodyText"/>
    <w:qFormat/>
    <w:rsid w:val="0059314A"/>
    <w:pPr>
      <w:spacing w:before="720" w:after="0"/>
      <w:contextualSpacing/>
    </w:pPr>
    <w:rPr>
      <w:rFonts w:cs="Times"/>
      <w:color w:val="auto"/>
      <w:szCs w:val="24"/>
    </w:rPr>
  </w:style>
  <w:style w:type="paragraph" w:styleId="Closing">
    <w:name w:val="Closing"/>
    <w:basedOn w:val="BodyText"/>
    <w:link w:val="ClosingChar"/>
    <w:rsid w:val="0059314A"/>
    <w:pPr>
      <w:spacing w:before="360"/>
    </w:pPr>
    <w:rPr>
      <w:rFonts w:cs="Times"/>
      <w:color w:val="auto"/>
      <w:szCs w:val="24"/>
    </w:rPr>
  </w:style>
  <w:style w:type="character" w:customStyle="1" w:styleId="ClosingChar">
    <w:name w:val="Closing Char"/>
    <w:basedOn w:val="DefaultParagraphFont"/>
    <w:link w:val="Closing"/>
    <w:rsid w:val="0059314A"/>
    <w:rPr>
      <w:rFonts w:eastAsia="Calibri" w:cs="Times"/>
      <w:color w:val="auto"/>
      <w:sz w:val="24"/>
      <w:szCs w:val="24"/>
    </w:rPr>
  </w:style>
  <w:style w:type="paragraph" w:styleId="BalloonText">
    <w:name w:val="Balloon Text"/>
    <w:basedOn w:val="Normal"/>
    <w:link w:val="BalloonTextChar"/>
    <w:uiPriority w:val="99"/>
    <w:semiHidden/>
    <w:unhideWhenUsed/>
    <w:rsid w:val="00D04B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F5"/>
    <w:rPr>
      <w:rFonts w:ascii="Segoe UI" w:hAnsi="Segoe UI" w:cs="Segoe UI"/>
      <w:sz w:val="18"/>
      <w:szCs w:val="18"/>
    </w:rPr>
  </w:style>
  <w:style w:type="paragraph" w:customStyle="1" w:styleId="MemoAddressHeading">
    <w:name w:val="MemoAddressHeading"/>
    <w:qFormat/>
    <w:rsid w:val="00925F30"/>
    <w:pPr>
      <w:spacing w:line="240" w:lineRule="auto"/>
    </w:pPr>
    <w:rPr>
      <w:rFonts w:eastAsia="Times New Roman" w:asciiTheme="majorHAnsi" w:hAnsiTheme="majorHAnsi"/>
      <w:b/>
      <w:color w:val="auto"/>
      <w:sz w:val="24"/>
      <w:szCs w:val="24"/>
    </w:rPr>
  </w:style>
  <w:style w:type="paragraph" w:customStyle="1" w:styleId="MemoAddressText">
    <w:name w:val="MemoAddressText"/>
    <w:qFormat/>
    <w:rsid w:val="00925F30"/>
    <w:pPr>
      <w:spacing w:line="240" w:lineRule="auto"/>
    </w:pPr>
    <w:rPr>
      <w:rFonts w:eastAsia="Times New Roman"/>
      <w:color w:val="auto"/>
      <w:sz w:val="24"/>
      <w:szCs w:val="24"/>
    </w:rPr>
  </w:style>
  <w:style w:type="paragraph" w:customStyle="1" w:styleId="MemoHeading">
    <w:name w:val="Memo Heading"/>
    <w:qFormat/>
    <w:rsid w:val="00925F30"/>
    <w:pPr>
      <w:spacing w:after="300" w:line="240" w:lineRule="auto"/>
    </w:pPr>
    <w:rPr>
      <w:rFonts w:eastAsia="Times New Roman" w:asciiTheme="majorHAnsi" w:hAnsiTheme="majorHAnsi"/>
      <w:b/>
      <w:color w:val="003462"/>
      <w:kern w:val="28"/>
      <w:sz w:val="48"/>
      <w:szCs w:val="40"/>
    </w:rPr>
  </w:style>
  <w:style w:type="paragraph" w:styleId="ListBullet">
    <w:name w:val="List Bullet"/>
    <w:basedOn w:val="Normal"/>
    <w:uiPriority w:val="99"/>
    <w:unhideWhenUsed/>
    <w:rsid w:val="00BC5358"/>
    <w:pPr>
      <w:tabs>
        <w:tab w:val="num" w:pos="360"/>
      </w:tabs>
      <w:ind w:left="360" w:hanging="360"/>
      <w:contextualSpacing/>
    </w:pPr>
  </w:style>
  <w:style w:type="paragraph" w:styleId="NormalWeb">
    <w:name w:val="Normal (Web)"/>
    <w:basedOn w:val="Normal"/>
    <w:uiPriority w:val="99"/>
    <w:semiHidden/>
    <w:unhideWhenUsed/>
    <w:rsid w:val="00784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D83"/>
  </w:style>
  <w:style w:type="paragraph" w:styleId="ListParagraph">
    <w:name w:val="List Paragraph"/>
    <w:basedOn w:val="Normal"/>
    <w:uiPriority w:val="34"/>
    <w:qFormat/>
    <w:rsid w:val="00261D15"/>
    <w:pPr>
      <w:ind w:left="720"/>
      <w:contextualSpacing/>
    </w:pPr>
  </w:style>
  <w:style w:type="paragraph" w:customStyle="1" w:styleId="DocumentSubtitle">
    <w:name w:val="Document Subtitle"/>
    <w:next w:val="Normal"/>
    <w:qFormat/>
    <w:rsid w:val="00ED512A"/>
    <w:pPr>
      <w:outlineLvl w:val="0"/>
    </w:pPr>
    <w:rPr>
      <w:rFonts w:eastAsia="Perpetua" w:cs="Arial"/>
      <w:noProo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2019_AIR_Corporate_MS-Office_Branding">
  <a:themeElements>
    <a:clrScheme name="GMMB-SwapCement for Light Sage">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50 pct. Ice">
      <a:srgbClr val="E8F7FE"/>
    </a:custClr>
    <a:custClr name="Ocean">
      <a:srgbClr val="006E9F"/>
    </a:custClr>
    <a:custClr name="Blank">
      <a:srgbClr val="FFFFFF"/>
    </a:custClr>
    <a:custClr name="Light Sage">
      <a:srgbClr val="D8ECDB"/>
    </a:custClr>
    <a:custClr name="Leaf">
      <a:srgbClr val="056233"/>
    </a:custClr>
    <a:custClr name="Blank">
      <a:srgbClr val="FFFFFF"/>
    </a:custClr>
    <a:custClr name="Cement">
      <a:srgbClr val="E2E6E8"/>
    </a:custClr>
    <a:custClr name="Charcoal">
      <a:srgbClr val="1C252D"/>
    </a:custClr>
    <a:custClr name="Blank">
      <a:srgbClr val="FFFFFF"/>
    </a:custClr>
    <a:custClr name="Blank">
      <a:srgbClr val="FFFFFF"/>
    </a:custClr>
    <a:custClr name="Ice">
      <a:srgbClr val="D1EEFC"/>
    </a:custClr>
    <a:custClr name="Classic Blue">
      <a:srgbClr val="00507F"/>
    </a:custClr>
    <a:custClr name="Blank">
      <a:srgbClr val="FFFFFF"/>
    </a:custClr>
    <a:custClr name="Sage">
      <a:srgbClr val="B4D8BE"/>
    </a:custClr>
    <a:custClr name="Blank">
      <a:srgbClr val="FFFFFF"/>
    </a:custClr>
    <a:custClr name="Blank">
      <a:srgbClr val="FFFFFF"/>
    </a:custClr>
    <a:custClr name="Fog">
      <a:srgbClr val="C6CDD1"/>
    </a:custClr>
    <a:custClr name="Blank">
      <a:srgbClr val="FFFFFF"/>
    </a:custClr>
    <a:custClr name="Blank">
      <a:srgbClr val="FFFFFF"/>
    </a:custClr>
    <a:custClr name="Blank">
      <a:srgbClr val="FFFFFF"/>
    </a:custClr>
    <a:custClr name="Hydrangea">
      <a:srgbClr val="98C7E9"/>
    </a:custClr>
    <a:custClr name="Deep Blue">
      <a:srgbClr val="063C5C"/>
    </a:custClr>
    <a:custClr name="Blank">
      <a:srgbClr val="FFFFFF"/>
    </a:custClr>
    <a:custClr name="Mint">
      <a:srgbClr val="7AC79B"/>
    </a:custClr>
    <a:custClr name="Blank">
      <a:srgbClr val="FFFFFF"/>
    </a:custClr>
    <a:custClr name="Blank">
      <a:srgbClr val="FFFFFF"/>
    </a:custClr>
    <a:custClr name="Pewter">
      <a:srgbClr val="A3AAAD"/>
    </a:custClr>
    <a:custClr name="Blank">
      <a:srgbClr val="FFFFFF"/>
    </a:custClr>
    <a:custClr name="Blank">
      <a:srgbClr val="FFFFFF"/>
    </a:custClr>
    <a:custClr name="Blank">
      <a:srgbClr val="FFFFFF"/>
    </a:custClr>
    <a:custClr name="Wedgewood">
      <a:srgbClr val="5393BD"/>
    </a:custClr>
    <a:custClr name="Blank">
      <a:srgbClr val="FFFFFF"/>
    </a:custClr>
    <a:custClr name="Blank">
      <a:srgbClr val="FFFFFF"/>
    </a:custClr>
    <a:custClr name="Lime">
      <a:srgbClr val="06A94F"/>
    </a:custClr>
    <a:custClr name="Blank">
      <a:srgbClr val="FFFFFF"/>
    </a:custClr>
    <a:custClr name="Blank">
      <a:srgbClr val="FFFFFF"/>
    </a:custClr>
    <a:custClr name="Stone">
      <a:srgbClr val="72808A"/>
    </a:custClr>
    <a:custClr name="Blank">
      <a:srgbClr val="FFFFFF"/>
    </a:custClr>
    <a:custClr name="Blank">
      <a:srgbClr val="FFFFFF"/>
    </a:custClr>
    <a:custClr name="Blank">
      <a:srgbClr val="FFFFFF"/>
    </a:custClr>
    <a:custClr name="Pool">
      <a:srgbClr val="009DD7"/>
    </a:custClr>
    <a:custClr name="Blank">
      <a:srgbClr val="FFFFFF"/>
    </a:custClr>
    <a:custClr name="Blank">
      <a:srgbClr val="FFFFFF"/>
    </a:custClr>
    <a:custClr name="Grass">
      <a:srgbClr val="008341"/>
    </a:custClr>
    <a:custClr name="Blank">
      <a:srgbClr val="FFFFFF"/>
    </a:custClr>
    <a:custClr name="Blank">
      <a:srgbClr val="FFFFFF"/>
    </a:custClr>
    <a:custClr name="Slate">
      <a:srgbClr val="333F48"/>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D9F0-B8CC-485A-8D65-96AA23C34BA2}">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cbf09c1f-469b-4f71-a1cf-515b2476fa1e"/>
    <ds:schemaRef ds:uri="http://purl.org/dc/dcmitype/"/>
    <ds:schemaRef ds:uri="http://purl.org/dc/elements/1.1/"/>
  </ds:schemaRefs>
</ds:datastoreItem>
</file>

<file path=customXml/itemProps2.xml><?xml version="1.0" encoding="utf-8"?>
<ds:datastoreItem xmlns:ds="http://schemas.openxmlformats.org/officeDocument/2006/customXml" ds:itemID="{75F3218F-1485-4C63-8172-BDA878D92349}">
  <ds:schemaRefs>
    <ds:schemaRef ds:uri="http://schemas.microsoft.com/sharepoint/v3/contenttype/forms"/>
  </ds:schemaRefs>
</ds:datastoreItem>
</file>

<file path=customXml/itemProps3.xml><?xml version="1.0" encoding="utf-8"?>
<ds:datastoreItem xmlns:ds="http://schemas.openxmlformats.org/officeDocument/2006/customXml" ds:itemID="{EC441758-B3FE-46C2-A291-90FEB6047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AE1BB-BBA6-436F-B67A-72EB6CAE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4803</Characters>
  <Application>Microsoft Office Word</Application>
  <DocSecurity>0</DocSecurity>
  <Lines>200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2026-04-21T12:33:00Z</dcterms:created>
  <dcterms:modified xsi:type="dcterms:W3CDTF">2026-04-21T13:09:00Z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