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86890" w:rsidRPr="00416142" w:rsidP="00F86890" w14:paraId="6857541B" w14:textId="176E7FD1">
      <w:pPr>
        <w:jc w:val="center"/>
        <w:rPr>
          <w:szCs w:val="26"/>
        </w:rPr>
      </w:pPr>
      <w:r w:rsidRPr="00416142">
        <w:rPr>
          <w:szCs w:val="26"/>
        </w:rPr>
        <w:t>UNITED STATES OF AMERICA</w:t>
      </w:r>
    </w:p>
    <w:p w:rsidR="00F86890" w:rsidRPr="00416142" w:rsidP="00F86890" w14:paraId="79428585" w14:textId="77777777">
      <w:pPr>
        <w:jc w:val="center"/>
        <w:rPr>
          <w:szCs w:val="26"/>
        </w:rPr>
      </w:pPr>
      <w:r w:rsidRPr="00416142">
        <w:rPr>
          <w:szCs w:val="26"/>
        </w:rPr>
        <w:t>FEDERAL ENERGY REGULATORY COMMISSION</w:t>
      </w:r>
    </w:p>
    <w:p w:rsidR="00F86890" w:rsidRPr="00416142" w:rsidP="00F86890" w14:paraId="080926DF" w14:textId="77777777">
      <w:pPr>
        <w:rPr>
          <w:szCs w:val="26"/>
        </w:rPr>
      </w:pPr>
    </w:p>
    <w:p w:rsidR="00F86890" w:rsidRPr="00416142" w:rsidP="00F86890" w14:paraId="6224EDAF" w14:textId="1435AFD0">
      <w:pPr>
        <w:jc w:val="center"/>
        <w:rPr>
          <w:szCs w:val="26"/>
        </w:rPr>
      </w:pPr>
      <w:r w:rsidRPr="00416142">
        <w:rPr>
          <w:szCs w:val="26"/>
        </w:rPr>
        <w:t>[</w:t>
      </w:r>
      <w:r w:rsidRPr="00416142" w:rsidR="00EB5C89">
        <w:rPr>
          <w:szCs w:val="26"/>
        </w:rPr>
        <w:t>IC25-</w:t>
      </w:r>
      <w:r w:rsidRPr="00416142" w:rsidR="007C577A">
        <w:rPr>
          <w:szCs w:val="26"/>
        </w:rPr>
        <w:t>17-000</w:t>
      </w:r>
      <w:r w:rsidRPr="00416142">
        <w:rPr>
          <w:szCs w:val="26"/>
        </w:rPr>
        <w:t>]</w:t>
      </w:r>
    </w:p>
    <w:p w:rsidR="00F86890" w:rsidRPr="00416142" w:rsidP="00F86890" w14:paraId="3DBF4703" w14:textId="77777777">
      <w:pPr>
        <w:rPr>
          <w:szCs w:val="26"/>
        </w:rPr>
      </w:pPr>
    </w:p>
    <w:p w:rsidR="005054E9" w:rsidRPr="00416142" w:rsidP="00F86890" w14:paraId="6E142244" w14:textId="77777777">
      <w:pPr>
        <w:jc w:val="center"/>
        <w:rPr>
          <w:szCs w:val="26"/>
        </w:rPr>
      </w:pPr>
      <w:r w:rsidRPr="00416142">
        <w:rPr>
          <w:szCs w:val="26"/>
        </w:rPr>
        <w:t xml:space="preserve">COMMISSION INFORMATION COLLECTION ACTIVITIES </w:t>
      </w:r>
    </w:p>
    <w:p w:rsidR="00F86890" w:rsidRPr="00416142" w:rsidP="00F86890" w14:paraId="1573854A" w14:textId="59C144B1">
      <w:pPr>
        <w:jc w:val="center"/>
        <w:rPr>
          <w:szCs w:val="26"/>
        </w:rPr>
      </w:pPr>
      <w:r w:rsidRPr="00416142">
        <w:rPr>
          <w:szCs w:val="26"/>
        </w:rPr>
        <w:t>(FERC</w:t>
      </w:r>
      <w:r w:rsidRPr="00416142" w:rsidR="00D92CDB">
        <w:rPr>
          <w:szCs w:val="26"/>
        </w:rPr>
        <w:t>-920</w:t>
      </w:r>
      <w:r w:rsidRPr="00416142" w:rsidR="0035625E">
        <w:rPr>
          <w:szCs w:val="26"/>
        </w:rPr>
        <w:t>,</w:t>
      </w:r>
      <w:r w:rsidRPr="00416142" w:rsidR="00F616B1">
        <w:rPr>
          <w:szCs w:val="26"/>
        </w:rPr>
        <w:t xml:space="preserve"> </w:t>
      </w:r>
      <w:r w:rsidRPr="00416142" w:rsidR="009743F4">
        <w:rPr>
          <w:szCs w:val="26"/>
        </w:rPr>
        <w:t>ELECTRIC QUARTERLY REPORT</w:t>
      </w:r>
      <w:r w:rsidRPr="00416142">
        <w:rPr>
          <w:szCs w:val="26"/>
        </w:rPr>
        <w:t>);</w:t>
      </w:r>
    </w:p>
    <w:p w:rsidR="00F86890" w:rsidRPr="00416142" w:rsidP="00F86890" w14:paraId="0BCD21A8" w14:textId="4DF27E78">
      <w:pPr>
        <w:jc w:val="center"/>
        <w:rPr>
          <w:szCs w:val="26"/>
        </w:rPr>
      </w:pPr>
      <w:r w:rsidRPr="00416142">
        <w:rPr>
          <w:szCs w:val="26"/>
        </w:rPr>
        <w:t>COMMENT REQUEST; EXTENSION</w:t>
      </w:r>
    </w:p>
    <w:p w:rsidR="00F86890" w:rsidRPr="00416142" w:rsidP="00F86890" w14:paraId="5790DF3B" w14:textId="77777777">
      <w:pPr>
        <w:rPr>
          <w:szCs w:val="26"/>
        </w:rPr>
      </w:pPr>
    </w:p>
    <w:p w:rsidR="006D43D5" w:rsidP="00416142" w14:paraId="40395325" w14:textId="75506991">
      <w:pPr>
        <w:jc w:val="center"/>
        <w:rPr>
          <w:szCs w:val="26"/>
        </w:rPr>
      </w:pPr>
      <w:r w:rsidRPr="00416142">
        <w:rPr>
          <w:szCs w:val="26"/>
        </w:rPr>
        <w:t>(October 15, 2025)</w:t>
      </w:r>
    </w:p>
    <w:p w:rsidR="00416142" w:rsidRPr="00416142" w:rsidP="00416142" w14:paraId="4168009A" w14:textId="77777777">
      <w:pPr>
        <w:rPr>
          <w:szCs w:val="26"/>
        </w:rPr>
      </w:pPr>
    </w:p>
    <w:p w:rsidR="00F86890" w:rsidRPr="00416142" w:rsidP="00CE64F2" w14:paraId="406CF56E" w14:textId="57B3BFD7">
      <w:pPr>
        <w:spacing w:line="480" w:lineRule="auto"/>
        <w:rPr>
          <w:szCs w:val="26"/>
        </w:rPr>
      </w:pPr>
      <w:r w:rsidRPr="00416142">
        <w:rPr>
          <w:b/>
          <w:szCs w:val="26"/>
        </w:rPr>
        <w:t>AGENCY:</w:t>
      </w:r>
      <w:r w:rsidRPr="00416142" w:rsidR="00A36A88">
        <w:rPr>
          <w:szCs w:val="26"/>
        </w:rPr>
        <w:t xml:space="preserve"> </w:t>
      </w:r>
      <w:r w:rsidRPr="00416142">
        <w:rPr>
          <w:szCs w:val="26"/>
        </w:rPr>
        <w:t>Federal Energy Regulatory Commission</w:t>
      </w:r>
    </w:p>
    <w:p w:rsidR="00F86890" w:rsidRPr="00416142" w:rsidP="00CE64F2" w14:paraId="2F1053CE" w14:textId="25D38654">
      <w:pPr>
        <w:spacing w:line="480" w:lineRule="auto"/>
        <w:rPr>
          <w:szCs w:val="26"/>
        </w:rPr>
      </w:pPr>
      <w:r w:rsidRPr="00416142">
        <w:rPr>
          <w:b/>
          <w:szCs w:val="26"/>
        </w:rPr>
        <w:t>ACTION:</w:t>
      </w:r>
      <w:r w:rsidRPr="00416142" w:rsidR="00A36A88">
        <w:rPr>
          <w:szCs w:val="26"/>
        </w:rPr>
        <w:t xml:space="preserve"> </w:t>
      </w:r>
      <w:r w:rsidRPr="00416142">
        <w:rPr>
          <w:szCs w:val="26"/>
        </w:rPr>
        <w:t>Notice of information collection and request for comments.</w:t>
      </w:r>
    </w:p>
    <w:p w:rsidR="005054E9" w:rsidRPr="00416142" w:rsidP="00CE64F2" w14:paraId="206BCD52" w14:textId="634C3B46">
      <w:pPr>
        <w:spacing w:line="480" w:lineRule="auto"/>
        <w:rPr>
          <w:szCs w:val="26"/>
        </w:rPr>
      </w:pPr>
      <w:r w:rsidRPr="00416142">
        <w:rPr>
          <w:b/>
          <w:szCs w:val="26"/>
        </w:rPr>
        <w:t>SUMMARY:</w:t>
      </w:r>
      <w:r w:rsidRPr="00416142" w:rsidR="00A36A88">
        <w:rPr>
          <w:szCs w:val="26"/>
        </w:rPr>
        <w:t xml:space="preserve"> </w:t>
      </w:r>
      <w:r w:rsidRPr="00416142">
        <w:rPr>
          <w:szCs w:val="26"/>
        </w:rPr>
        <w:t xml:space="preserve">In compliance with the requirements of </w:t>
      </w:r>
      <w:r w:rsidRPr="00416142" w:rsidR="00DA7F57">
        <w:rPr>
          <w:szCs w:val="26"/>
        </w:rPr>
        <w:t xml:space="preserve">the </w:t>
      </w:r>
      <w:r w:rsidRPr="00416142" w:rsidR="0005366B">
        <w:rPr>
          <w:szCs w:val="26"/>
        </w:rPr>
        <w:t>Paperwork Reduction Act of 1995</w:t>
      </w:r>
      <w:r w:rsidRPr="00416142" w:rsidR="00F616B1">
        <w:rPr>
          <w:szCs w:val="26"/>
        </w:rPr>
        <w:t xml:space="preserve"> (PRA)</w:t>
      </w:r>
      <w:r w:rsidRPr="00416142" w:rsidR="00002127">
        <w:rPr>
          <w:szCs w:val="26"/>
        </w:rPr>
        <w:t xml:space="preserve">, </w:t>
      </w:r>
      <w:r w:rsidRPr="00416142">
        <w:rPr>
          <w:szCs w:val="26"/>
        </w:rPr>
        <w:t xml:space="preserve">the Federal Energy Regulatory Commission (Commission or FERC) is soliciting public comment on the </w:t>
      </w:r>
      <w:r w:rsidRPr="00416142" w:rsidR="00F616B1">
        <w:rPr>
          <w:szCs w:val="26"/>
        </w:rPr>
        <w:t>currently approved in</w:t>
      </w:r>
      <w:r w:rsidRPr="00416142" w:rsidR="00E6218B">
        <w:rPr>
          <w:szCs w:val="26"/>
        </w:rPr>
        <w:t xml:space="preserve">formation collection, FERC-920 </w:t>
      </w:r>
      <w:r w:rsidRPr="00416142" w:rsidR="0002024D">
        <w:rPr>
          <w:szCs w:val="26"/>
        </w:rPr>
        <w:t>(</w:t>
      </w:r>
      <w:r w:rsidRPr="00416142" w:rsidR="00F616B1">
        <w:rPr>
          <w:szCs w:val="26"/>
        </w:rPr>
        <w:t>Electric Quarterly Report</w:t>
      </w:r>
      <w:r w:rsidRPr="00416142" w:rsidR="00E6218B">
        <w:rPr>
          <w:szCs w:val="26"/>
        </w:rPr>
        <w:t xml:space="preserve"> (EQR</w:t>
      </w:r>
      <w:r w:rsidRPr="00416142" w:rsidR="0002024D">
        <w:rPr>
          <w:szCs w:val="26"/>
        </w:rPr>
        <w:t>)</w:t>
      </w:r>
      <w:r w:rsidRPr="00416142" w:rsidR="00F616B1">
        <w:rPr>
          <w:szCs w:val="26"/>
        </w:rPr>
        <w:t>)</w:t>
      </w:r>
      <w:r w:rsidRPr="00416142" w:rsidR="0002024D">
        <w:rPr>
          <w:szCs w:val="26"/>
        </w:rPr>
        <w:t xml:space="preserve">, which will be submitted to the Office of Management and Budget (OMB) for a review of the information collection requirements. </w:t>
      </w:r>
      <w:r w:rsidRPr="00416142" w:rsidR="008F7CD3">
        <w:rPr>
          <w:szCs w:val="26"/>
        </w:rPr>
        <w:t>This</w:t>
      </w:r>
      <w:r w:rsidRPr="00416142" w:rsidR="00E47A06">
        <w:rPr>
          <w:szCs w:val="26"/>
        </w:rPr>
        <w:t xml:space="preserve"> </w:t>
      </w:r>
      <w:r w:rsidRPr="00416142" w:rsidR="004634FC">
        <w:rPr>
          <w:szCs w:val="26"/>
        </w:rPr>
        <w:t xml:space="preserve">renewal request </w:t>
      </w:r>
      <w:r w:rsidRPr="00416142" w:rsidR="00E47A06">
        <w:rPr>
          <w:szCs w:val="26"/>
        </w:rPr>
        <w:t xml:space="preserve">does not include any </w:t>
      </w:r>
      <w:r w:rsidRPr="00416142" w:rsidR="00E91F8C">
        <w:rPr>
          <w:szCs w:val="26"/>
        </w:rPr>
        <w:t>changes</w:t>
      </w:r>
      <w:r w:rsidRPr="00416142" w:rsidR="00A4393E">
        <w:rPr>
          <w:szCs w:val="26"/>
        </w:rPr>
        <w:t xml:space="preserve"> to the reporting requirements</w:t>
      </w:r>
      <w:r w:rsidRPr="00416142" w:rsidR="000A1BB7">
        <w:rPr>
          <w:szCs w:val="26"/>
        </w:rPr>
        <w:t>.</w:t>
      </w:r>
    </w:p>
    <w:p w:rsidR="00A34E33" w:rsidRPr="00416142" w:rsidP="00FA4EB0" w14:paraId="0CAC5FA6" w14:textId="3F526CC4">
      <w:pPr>
        <w:spacing w:line="480" w:lineRule="auto"/>
        <w:rPr>
          <w:szCs w:val="26"/>
        </w:rPr>
      </w:pPr>
      <w:r w:rsidRPr="00416142">
        <w:rPr>
          <w:b/>
          <w:bCs/>
          <w:szCs w:val="26"/>
        </w:rPr>
        <w:t>DATES</w:t>
      </w:r>
      <w:r w:rsidRPr="00416142">
        <w:rPr>
          <w:szCs w:val="26"/>
        </w:rPr>
        <w:t>:</w:t>
      </w:r>
      <w:r w:rsidRPr="00416142" w:rsidR="00A36A88">
        <w:rPr>
          <w:szCs w:val="26"/>
        </w:rPr>
        <w:t xml:space="preserve"> </w:t>
      </w:r>
      <w:r w:rsidRPr="00416142">
        <w:rPr>
          <w:szCs w:val="26"/>
        </w:rPr>
        <w:t xml:space="preserve">Comments on the collections of information are due </w:t>
      </w:r>
      <w:r w:rsidRPr="00416142">
        <w:rPr>
          <w:b/>
          <w:bCs/>
          <w:szCs w:val="26"/>
        </w:rPr>
        <w:t>[</w:t>
      </w:r>
      <w:r w:rsidRPr="00416142" w:rsidR="00416142">
        <w:rPr>
          <w:b/>
          <w:bCs/>
          <w:szCs w:val="26"/>
        </w:rPr>
        <w:t xml:space="preserve">INSERT DATE </w:t>
      </w:r>
      <w:r w:rsidRPr="00416142">
        <w:rPr>
          <w:b/>
          <w:bCs/>
          <w:szCs w:val="26"/>
        </w:rPr>
        <w:t xml:space="preserve">60 </w:t>
      </w:r>
      <w:r w:rsidRPr="00416142" w:rsidR="00416142">
        <w:rPr>
          <w:b/>
          <w:bCs/>
          <w:szCs w:val="26"/>
        </w:rPr>
        <w:t xml:space="preserve">DAYS </w:t>
      </w:r>
      <w:r w:rsidRPr="00416142">
        <w:rPr>
          <w:b/>
          <w:bCs/>
          <w:szCs w:val="26"/>
        </w:rPr>
        <w:t xml:space="preserve">AFTER DATE OF </w:t>
      </w:r>
      <w:r w:rsidRPr="00416142" w:rsidR="00416142">
        <w:rPr>
          <w:b/>
          <w:bCs/>
          <w:szCs w:val="26"/>
        </w:rPr>
        <w:t>PUBLICATION IN THE FEDERAL REGISTER</w:t>
      </w:r>
      <w:r w:rsidRPr="00416142">
        <w:rPr>
          <w:b/>
          <w:bCs/>
          <w:szCs w:val="26"/>
        </w:rPr>
        <w:t>]</w:t>
      </w:r>
      <w:r w:rsidRPr="00416142">
        <w:rPr>
          <w:szCs w:val="26"/>
        </w:rPr>
        <w:t>.</w:t>
      </w:r>
      <w:r w:rsidRPr="00416142" w:rsidR="00A36A88">
        <w:rPr>
          <w:szCs w:val="26"/>
        </w:rPr>
        <w:t xml:space="preserve"> </w:t>
      </w:r>
    </w:p>
    <w:p w:rsidR="00A34E33" w:rsidRPr="00416142" w:rsidP="00FA4EB0" w14:paraId="4BDE0F4A" w14:textId="518E0216">
      <w:pPr>
        <w:spacing w:line="480" w:lineRule="auto"/>
        <w:rPr>
          <w:szCs w:val="26"/>
        </w:rPr>
      </w:pPr>
      <w:r w:rsidRPr="00416142">
        <w:rPr>
          <w:b/>
          <w:bCs/>
          <w:szCs w:val="26"/>
        </w:rPr>
        <w:t>ADDRESSES</w:t>
      </w:r>
      <w:r w:rsidRPr="00416142">
        <w:rPr>
          <w:szCs w:val="26"/>
        </w:rPr>
        <w:t>:</w:t>
      </w:r>
      <w:r w:rsidRPr="00416142" w:rsidR="00A36A88">
        <w:rPr>
          <w:szCs w:val="26"/>
        </w:rPr>
        <w:t xml:space="preserve"> </w:t>
      </w:r>
      <w:r w:rsidRPr="00416142">
        <w:rPr>
          <w:szCs w:val="26"/>
        </w:rPr>
        <w:t xml:space="preserve">Please submit comments via email to </w:t>
      </w:r>
      <w:hyperlink r:id="rId10" w:tgtFrame="_blank" w:history="1">
        <w:r w:rsidRPr="00416142">
          <w:rPr>
            <w:rStyle w:val="Hyperlink"/>
            <w:szCs w:val="26"/>
          </w:rPr>
          <w:t>DataClearance@FERC.gov</w:t>
        </w:r>
      </w:hyperlink>
      <w:r w:rsidRPr="00416142">
        <w:rPr>
          <w:szCs w:val="26"/>
        </w:rPr>
        <w:t>. You must specify the Docket No. (IC25-</w:t>
      </w:r>
      <w:r w:rsidRPr="00416142" w:rsidR="007C577A">
        <w:rPr>
          <w:szCs w:val="26"/>
        </w:rPr>
        <w:t>1</w:t>
      </w:r>
      <w:r w:rsidRPr="00416142">
        <w:rPr>
          <w:szCs w:val="26"/>
        </w:rPr>
        <w:t>7-000) and the FERC Information Collection number (FERC-</w:t>
      </w:r>
      <w:r w:rsidRPr="00416142" w:rsidR="009E60A1">
        <w:rPr>
          <w:szCs w:val="26"/>
        </w:rPr>
        <w:t>920</w:t>
      </w:r>
      <w:r w:rsidRPr="00416142">
        <w:rPr>
          <w:szCs w:val="26"/>
        </w:rPr>
        <w:t>) in your email. If you are unable to file electronically, comments may be filed by USPS mail or by hand (including courier) delivery: </w:t>
      </w:r>
    </w:p>
    <w:p w:rsidR="00A34E33" w:rsidRPr="00416142" w:rsidP="009E60A1" w14:paraId="20FD5543" w14:textId="77777777">
      <w:pPr>
        <w:pStyle w:val="ListParagraph"/>
        <w:numPr>
          <w:ilvl w:val="0"/>
          <w:numId w:val="19"/>
        </w:numPr>
        <w:spacing w:line="480" w:lineRule="auto"/>
        <w:rPr>
          <w:szCs w:val="26"/>
        </w:rPr>
      </w:pPr>
      <w:r w:rsidRPr="00416142">
        <w:rPr>
          <w:szCs w:val="26"/>
        </w:rPr>
        <w:t>Mail via U.S. Postal Service only, addressed to: Federal Energy Regulatory Commission, Secretary of the Commission, 888 First Street, N.E., Washington, DC 20426. </w:t>
      </w:r>
    </w:p>
    <w:p w:rsidR="00A34E33" w:rsidRPr="00416142" w:rsidP="009E60A1" w14:paraId="31BCBAD7" w14:textId="77777777">
      <w:pPr>
        <w:pStyle w:val="ListParagraph"/>
        <w:numPr>
          <w:ilvl w:val="0"/>
          <w:numId w:val="19"/>
        </w:numPr>
        <w:spacing w:line="480" w:lineRule="auto"/>
        <w:rPr>
          <w:szCs w:val="26"/>
        </w:rPr>
      </w:pPr>
      <w:r w:rsidRPr="00416142">
        <w:rPr>
          <w:szCs w:val="26"/>
        </w:rPr>
        <w:t>Hand (including courier) delivery to: Federal Energy Regulatory Commission, 12225 Wilkins Avenue, Rockville, MD 20852. </w:t>
      </w:r>
    </w:p>
    <w:p w:rsidR="00A34E33" w:rsidRPr="00416142" w:rsidP="00FA4EB0" w14:paraId="3058993B" w14:textId="77777777">
      <w:pPr>
        <w:spacing w:line="480" w:lineRule="auto"/>
        <w:rPr>
          <w:szCs w:val="26"/>
        </w:rPr>
      </w:pPr>
      <w:r w:rsidRPr="00416142">
        <w:rPr>
          <w:i/>
          <w:iCs/>
          <w:szCs w:val="26"/>
        </w:rPr>
        <w:t>Docket:</w:t>
      </w:r>
      <w:r w:rsidRPr="00416142">
        <w:rPr>
          <w:szCs w:val="26"/>
        </w:rPr>
        <w:t xml:space="preserve"> To view comments and issuances in this docket, please visit </w:t>
      </w:r>
      <w:hyperlink r:id="rId11" w:tgtFrame="_blank" w:history="1">
        <w:r w:rsidRPr="00416142">
          <w:rPr>
            <w:rStyle w:val="Hyperlink"/>
            <w:szCs w:val="26"/>
          </w:rPr>
          <w:t>https://elibrary.ferc.gov/eLibrary/search</w:t>
        </w:r>
      </w:hyperlink>
      <w:r w:rsidRPr="00416142">
        <w:rPr>
          <w:szCs w:val="26"/>
        </w:rPr>
        <w:t>. Once there, you can also sign-up for automatic notification of activity in this docket. </w:t>
      </w:r>
    </w:p>
    <w:p w:rsidR="00A34E33" w:rsidRPr="00416142" w:rsidP="00FA4EB0" w14:paraId="51FB3F14" w14:textId="289F20EE">
      <w:pPr>
        <w:spacing w:line="480" w:lineRule="auto"/>
        <w:rPr>
          <w:szCs w:val="26"/>
        </w:rPr>
      </w:pPr>
      <w:r w:rsidRPr="00416142">
        <w:rPr>
          <w:b/>
          <w:bCs/>
          <w:szCs w:val="26"/>
        </w:rPr>
        <w:t>FOR FURTHER INFORMATION CONTACT</w:t>
      </w:r>
      <w:r w:rsidRPr="00416142">
        <w:rPr>
          <w:szCs w:val="26"/>
        </w:rPr>
        <w:t>:</w:t>
      </w:r>
      <w:r w:rsidRPr="00416142" w:rsidR="00A36A88">
        <w:rPr>
          <w:szCs w:val="26"/>
        </w:rPr>
        <w:t xml:space="preserve"> </w:t>
      </w:r>
      <w:r w:rsidRPr="00416142">
        <w:rPr>
          <w:szCs w:val="26"/>
        </w:rPr>
        <w:t xml:space="preserve">Kayla Williams, (202) 502-6468. </w:t>
      </w:r>
      <w:hyperlink r:id="rId10" w:tgtFrame="_blank" w:history="1">
        <w:r w:rsidRPr="00416142">
          <w:rPr>
            <w:rStyle w:val="Hyperlink"/>
            <w:szCs w:val="26"/>
          </w:rPr>
          <w:t>DataClearance@FERC.gov</w:t>
        </w:r>
      </w:hyperlink>
      <w:r w:rsidRPr="00416142">
        <w:rPr>
          <w:szCs w:val="26"/>
        </w:rPr>
        <w:t> </w:t>
      </w:r>
    </w:p>
    <w:p w:rsidR="00C056FE" w:rsidRPr="00416142" w:rsidP="00CE64F2" w14:paraId="216D93AD" w14:textId="7BBF116A">
      <w:pPr>
        <w:spacing w:line="480" w:lineRule="auto"/>
        <w:rPr>
          <w:szCs w:val="26"/>
        </w:rPr>
      </w:pPr>
      <w:r w:rsidRPr="00416142">
        <w:rPr>
          <w:b/>
          <w:szCs w:val="26"/>
        </w:rPr>
        <w:t>SUPPLEMENTARY INFORMATION:</w:t>
      </w:r>
      <w:r w:rsidRPr="00416142" w:rsidR="00A36A88">
        <w:rPr>
          <w:szCs w:val="26"/>
        </w:rPr>
        <w:t xml:space="preserve"> </w:t>
      </w:r>
    </w:p>
    <w:p w:rsidR="000751DA" w:rsidRPr="00416142" w:rsidP="000751DA" w14:paraId="2E65A938" w14:textId="733FA47E">
      <w:pPr>
        <w:spacing w:line="480" w:lineRule="auto"/>
        <w:rPr>
          <w:i/>
          <w:szCs w:val="26"/>
        </w:rPr>
      </w:pPr>
      <w:r w:rsidRPr="00416142">
        <w:rPr>
          <w:i/>
          <w:szCs w:val="26"/>
        </w:rPr>
        <w:t xml:space="preserve">Title: </w:t>
      </w:r>
      <w:r w:rsidRPr="00416142">
        <w:rPr>
          <w:szCs w:val="26"/>
        </w:rPr>
        <w:t>FERC</w:t>
      </w:r>
      <w:r w:rsidRPr="00416142" w:rsidR="005359ED">
        <w:rPr>
          <w:szCs w:val="26"/>
        </w:rPr>
        <w:t>-920</w:t>
      </w:r>
      <w:r w:rsidRPr="00416142" w:rsidR="004F1D80">
        <w:rPr>
          <w:szCs w:val="26"/>
        </w:rPr>
        <w:t xml:space="preserve"> </w:t>
      </w:r>
      <w:r w:rsidRPr="00416142" w:rsidR="005359ED">
        <w:rPr>
          <w:szCs w:val="26"/>
        </w:rPr>
        <w:t>Electric Quarterly Reports</w:t>
      </w:r>
      <w:r w:rsidRPr="00416142" w:rsidR="00DE0D07">
        <w:rPr>
          <w:szCs w:val="26"/>
        </w:rPr>
        <w:t xml:space="preserve"> (EQR</w:t>
      </w:r>
      <w:r w:rsidRPr="00416142" w:rsidR="005359ED">
        <w:rPr>
          <w:szCs w:val="26"/>
        </w:rPr>
        <w:t>)</w:t>
      </w:r>
    </w:p>
    <w:p w:rsidR="000751DA" w:rsidRPr="00416142" w:rsidP="000751DA" w14:paraId="0D199F5D" w14:textId="2C26D533">
      <w:pPr>
        <w:spacing w:line="480" w:lineRule="auto"/>
        <w:rPr>
          <w:szCs w:val="26"/>
        </w:rPr>
      </w:pPr>
      <w:r w:rsidRPr="00416142">
        <w:rPr>
          <w:i/>
          <w:szCs w:val="26"/>
        </w:rPr>
        <w:t>OMB Control No.:</w:t>
      </w:r>
      <w:r w:rsidRPr="00416142">
        <w:rPr>
          <w:szCs w:val="26"/>
        </w:rPr>
        <w:t xml:space="preserve"> </w:t>
      </w:r>
      <w:r w:rsidRPr="00416142" w:rsidR="00DE0D07">
        <w:rPr>
          <w:szCs w:val="26"/>
        </w:rPr>
        <w:t>1902-0255</w:t>
      </w:r>
    </w:p>
    <w:p w:rsidR="000751DA" w:rsidRPr="00416142" w:rsidP="000751DA" w14:paraId="2B037A58" w14:textId="6FD88766">
      <w:pPr>
        <w:spacing w:line="480" w:lineRule="auto"/>
        <w:rPr>
          <w:i/>
          <w:szCs w:val="26"/>
        </w:rPr>
      </w:pPr>
      <w:r w:rsidRPr="00416142">
        <w:rPr>
          <w:i/>
          <w:szCs w:val="26"/>
        </w:rPr>
        <w:t xml:space="preserve">Type of Respondent: </w:t>
      </w:r>
      <w:r w:rsidRPr="00416142" w:rsidR="005359ED">
        <w:rPr>
          <w:szCs w:val="26"/>
        </w:rPr>
        <w:t>Public</w:t>
      </w:r>
      <w:r w:rsidRPr="00416142">
        <w:rPr>
          <w:szCs w:val="26"/>
        </w:rPr>
        <w:t xml:space="preserve"> utilities</w:t>
      </w:r>
      <w:r w:rsidRPr="00416142" w:rsidR="003E6777">
        <w:rPr>
          <w:szCs w:val="26"/>
        </w:rPr>
        <w:t>,</w:t>
      </w:r>
      <w:r w:rsidRPr="00416142">
        <w:rPr>
          <w:szCs w:val="26"/>
        </w:rPr>
        <w:t xml:space="preserve"> and non-public utilities with more than a </w:t>
      </w:r>
      <w:r w:rsidRPr="00416142">
        <w:rPr>
          <w:i/>
          <w:szCs w:val="26"/>
        </w:rPr>
        <w:t>de minim</w:t>
      </w:r>
      <w:r w:rsidRPr="00416142" w:rsidR="00F65DD1">
        <w:rPr>
          <w:i/>
          <w:szCs w:val="26"/>
        </w:rPr>
        <w:t>i</w:t>
      </w:r>
      <w:r w:rsidRPr="00416142">
        <w:rPr>
          <w:i/>
          <w:szCs w:val="26"/>
        </w:rPr>
        <w:t>s</w:t>
      </w:r>
      <w:r w:rsidRPr="00416142">
        <w:rPr>
          <w:szCs w:val="26"/>
        </w:rPr>
        <w:t xml:space="preserve"> market presence.</w:t>
      </w:r>
    </w:p>
    <w:p w:rsidR="00493451" w:rsidRPr="00416142" w:rsidP="00CE64F2" w14:paraId="03C7284C" w14:textId="04CE7354">
      <w:pPr>
        <w:spacing w:line="480" w:lineRule="auto"/>
        <w:rPr>
          <w:szCs w:val="26"/>
        </w:rPr>
      </w:pPr>
      <w:bookmarkStart w:id="0" w:name="_Hlk82610322"/>
      <w:r w:rsidRPr="00416142">
        <w:rPr>
          <w:i/>
          <w:szCs w:val="26"/>
        </w:rPr>
        <w:t>Type of Request:</w:t>
      </w:r>
      <w:r w:rsidRPr="00416142">
        <w:rPr>
          <w:szCs w:val="26"/>
        </w:rPr>
        <w:t xml:space="preserve"> Three-year extension of the </w:t>
      </w:r>
      <w:r w:rsidRPr="00416142" w:rsidR="005359ED">
        <w:rPr>
          <w:szCs w:val="26"/>
        </w:rPr>
        <w:t xml:space="preserve">FERC-920 </w:t>
      </w:r>
      <w:r w:rsidRPr="00416142">
        <w:rPr>
          <w:szCs w:val="26"/>
        </w:rPr>
        <w:t>information collection with no changes to the current reporting requirements.</w:t>
      </w:r>
      <w:r>
        <w:rPr>
          <w:rStyle w:val="FootnoteReference"/>
          <w:b w:val="0"/>
          <w:bCs/>
        </w:rPr>
        <w:footnoteReference w:id="3"/>
      </w:r>
      <w:r w:rsidRPr="00416142" w:rsidR="00152FDA">
        <w:rPr>
          <w:b/>
          <w:bCs/>
          <w:szCs w:val="26"/>
        </w:rPr>
        <w:t xml:space="preserve"> </w:t>
      </w:r>
    </w:p>
    <w:bookmarkEnd w:id="0"/>
    <w:p w:rsidR="00871390" w:rsidRPr="00416142" w:rsidP="7EAFF583" w14:paraId="4114AB92" w14:textId="082261D4">
      <w:pPr>
        <w:spacing w:line="480" w:lineRule="auto"/>
        <w:rPr>
          <w:szCs w:val="26"/>
        </w:rPr>
      </w:pPr>
      <w:r w:rsidRPr="00416142">
        <w:rPr>
          <w:i/>
          <w:iCs/>
          <w:szCs w:val="26"/>
        </w:rPr>
        <w:t>Abstract:</w:t>
      </w:r>
      <w:r w:rsidRPr="00416142">
        <w:rPr>
          <w:szCs w:val="26"/>
        </w:rPr>
        <w:t xml:space="preserve"> </w:t>
      </w:r>
      <w:r w:rsidRPr="00416142" w:rsidR="005B58F4">
        <w:rPr>
          <w:szCs w:val="26"/>
        </w:rPr>
        <w:t xml:space="preserve">The Commission </w:t>
      </w:r>
      <w:r w:rsidRPr="00416142" w:rsidR="00301E17">
        <w:rPr>
          <w:szCs w:val="26"/>
        </w:rPr>
        <w:t xml:space="preserve">originally </w:t>
      </w:r>
      <w:r w:rsidRPr="00416142" w:rsidR="005B58F4">
        <w:rPr>
          <w:szCs w:val="26"/>
        </w:rPr>
        <w:t>set forth the EQR filing requirements in Order No. 2001</w:t>
      </w:r>
      <w:r w:rsidRPr="00416142" w:rsidR="002D3818">
        <w:rPr>
          <w:szCs w:val="26"/>
        </w:rPr>
        <w:t xml:space="preserve"> (Docket No. RM01-8-000)</w:t>
      </w:r>
      <w:r w:rsidRPr="00416142" w:rsidR="005B58F4">
        <w:rPr>
          <w:szCs w:val="26"/>
        </w:rPr>
        <w:t xml:space="preserve"> </w:t>
      </w:r>
      <w:r w:rsidRPr="00416142" w:rsidR="00CD173A">
        <w:rPr>
          <w:szCs w:val="26"/>
        </w:rPr>
        <w:t>which</w:t>
      </w:r>
      <w:r w:rsidRPr="00416142" w:rsidR="005B58F4">
        <w:rPr>
          <w:szCs w:val="26"/>
        </w:rPr>
        <w:t xml:space="preserve"> required public utilities to electronically file EQRs summarizing transaction information for short-term and long-term cost-based sales </w:t>
      </w:r>
      <w:r w:rsidRPr="00416142" w:rsidR="005B58F4">
        <w:rPr>
          <w:szCs w:val="26"/>
        </w:rPr>
        <w:t>and market-based rate sales and the contractual terms and conditions in their agreements for all jurisdictional services.</w:t>
      </w:r>
      <w:r>
        <w:rPr>
          <w:szCs w:val="26"/>
          <w:vertAlign w:val="superscript"/>
        </w:rPr>
        <w:footnoteReference w:id="4"/>
      </w:r>
      <w:r w:rsidRPr="00416142" w:rsidR="00A36A88">
        <w:rPr>
          <w:szCs w:val="26"/>
        </w:rPr>
        <w:t xml:space="preserve"> </w:t>
      </w:r>
      <w:r w:rsidRPr="00416142" w:rsidR="005B58F4">
        <w:rPr>
          <w:szCs w:val="26"/>
        </w:rPr>
        <w:t>The Commission established the EQR reporting requirements to help ensure the collection of information needed to perform its regulatory functions over transmission and sales</w:t>
      </w:r>
      <w:r w:rsidRPr="00416142" w:rsidR="2DE6F22C">
        <w:rPr>
          <w:szCs w:val="26"/>
        </w:rPr>
        <w:t xml:space="preserve"> of electric power</w:t>
      </w:r>
      <w:r w:rsidRPr="00416142" w:rsidR="005B58F4">
        <w:rPr>
          <w:szCs w:val="26"/>
        </w:rPr>
        <w:t xml:space="preserve">, while making data </w:t>
      </w:r>
      <w:r w:rsidRPr="00416142" w:rsidR="2668BE08">
        <w:rPr>
          <w:szCs w:val="26"/>
        </w:rPr>
        <w:t>available</w:t>
      </w:r>
      <w:r w:rsidRPr="00416142" w:rsidR="005B58F4">
        <w:rPr>
          <w:szCs w:val="26"/>
        </w:rPr>
        <w:t xml:space="preserve"> to the public and allowing public utilities to better fulfill their responsibility under </w:t>
      </w:r>
      <w:bookmarkStart w:id="2" w:name="_Hlk83028220"/>
      <w:r w:rsidRPr="00416142" w:rsidR="005B58F4">
        <w:rPr>
          <w:szCs w:val="26"/>
        </w:rPr>
        <w:t>F</w:t>
      </w:r>
      <w:r w:rsidRPr="00416142" w:rsidR="002D3818">
        <w:rPr>
          <w:szCs w:val="26"/>
        </w:rPr>
        <w:t>ederal Power Act (FP</w:t>
      </w:r>
      <w:r w:rsidRPr="00416142" w:rsidR="005B58F4">
        <w:rPr>
          <w:szCs w:val="26"/>
        </w:rPr>
        <w:t>A</w:t>
      </w:r>
      <w:r w:rsidRPr="00416142" w:rsidR="002D3818">
        <w:rPr>
          <w:szCs w:val="26"/>
        </w:rPr>
        <w:t>)</w:t>
      </w:r>
      <w:r w:rsidRPr="00416142" w:rsidR="005B58F4">
        <w:rPr>
          <w:szCs w:val="26"/>
        </w:rPr>
        <w:t xml:space="preserve"> section 205(c)</w:t>
      </w:r>
      <w:bookmarkEnd w:id="2"/>
      <w:r>
        <w:rPr>
          <w:rStyle w:val="FootnoteReference"/>
          <w:b w:val="0"/>
          <w:bCs/>
        </w:rPr>
        <w:footnoteReference w:id="5"/>
      </w:r>
      <w:r w:rsidRPr="00416142" w:rsidR="005B58F4">
        <w:rPr>
          <w:b/>
          <w:bCs/>
          <w:szCs w:val="26"/>
        </w:rPr>
        <w:t xml:space="preserve"> </w:t>
      </w:r>
      <w:r w:rsidRPr="00416142" w:rsidR="005B58F4">
        <w:rPr>
          <w:szCs w:val="26"/>
        </w:rPr>
        <w:t>to have rates on file in a convenient form and place.</w:t>
      </w:r>
      <w:r w:rsidRPr="00416142" w:rsidR="00A36A88">
        <w:rPr>
          <w:szCs w:val="26"/>
        </w:rPr>
        <w:t xml:space="preserve"> </w:t>
      </w:r>
      <w:r w:rsidRPr="00416142" w:rsidR="005B58F4">
        <w:rPr>
          <w:szCs w:val="26"/>
        </w:rPr>
        <w:t>As noted in Order No. 2001, the EQR data is designed to “provide greater price transparency, promote competition, enhance confidence in the fairness of the markets, and provide a better means to detect and discourage discriminatory practices.”</w:t>
      </w:r>
      <w:r>
        <w:rPr>
          <w:rStyle w:val="FootnoteReference"/>
          <w:b w:val="0"/>
          <w:bCs/>
        </w:rPr>
        <w:footnoteReference w:id="6"/>
      </w:r>
      <w:r w:rsidRPr="00416142" w:rsidR="005B58F4">
        <w:rPr>
          <w:b/>
          <w:bCs/>
          <w:szCs w:val="26"/>
        </w:rPr>
        <w:t xml:space="preserve"> </w:t>
      </w:r>
    </w:p>
    <w:p w:rsidR="5C77149E" w:rsidRPr="00416142" w:rsidP="00B557B4" w14:paraId="20FD8DCF" w14:textId="29E4889F">
      <w:pPr>
        <w:spacing w:line="480" w:lineRule="auto"/>
        <w:ind w:firstLine="720"/>
        <w:rPr>
          <w:b/>
          <w:bCs/>
          <w:color w:val="0000FF"/>
          <w:szCs w:val="26"/>
          <w:u w:val="single"/>
          <w:vertAlign w:val="superscript"/>
        </w:rPr>
      </w:pPr>
      <w:r w:rsidRPr="00416142">
        <w:rPr>
          <w:szCs w:val="26"/>
        </w:rPr>
        <w:t xml:space="preserve">Moreover, collecting data in the EQR is consistent with the Ninth Circuit Court of Appeals’ decisions upholding the Commission’s market-based rate program on the basis of the “dual requirement of an ex ante finding of the absence of market power </w:t>
      </w:r>
      <w:r w:rsidRPr="00416142">
        <w:rPr>
          <w:i/>
          <w:iCs/>
          <w:szCs w:val="26"/>
        </w:rPr>
        <w:t>and</w:t>
      </w:r>
      <w:r w:rsidRPr="00416142">
        <w:rPr>
          <w:szCs w:val="26"/>
        </w:rPr>
        <w:t xml:space="preserve"> sufficient post-approval reporting requirements.”</w:t>
      </w:r>
      <w:r>
        <w:rPr>
          <w:szCs w:val="26"/>
          <w:vertAlign w:val="superscript"/>
        </w:rPr>
        <w:footnoteReference w:id="7"/>
      </w:r>
      <w:r w:rsidRPr="00416142">
        <w:rPr>
          <w:szCs w:val="26"/>
        </w:rPr>
        <w:t xml:space="preserve"> Specifically, the court upheld the Commission’s market-based rate program because it relies on a “system [that] consists of a finding that the applicant lacks market power (or has taken steps to mitigate market </w:t>
      </w:r>
      <w:r w:rsidRPr="00416142">
        <w:rPr>
          <w:szCs w:val="26"/>
        </w:rPr>
        <w:t>power), coupled with strict reporting to ensure that the rate is ‘just and reasonable’ and that markets are not subject to manipulation.”</w:t>
      </w:r>
      <w:r>
        <w:rPr>
          <w:rStyle w:val="FootnoteReference"/>
          <w:b w:val="0"/>
          <w:bCs/>
        </w:rPr>
        <w:footnoteReference w:id="8"/>
      </w:r>
    </w:p>
    <w:p w:rsidR="005B58F4" w:rsidRPr="00416142" w:rsidP="0019791F" w14:paraId="68F867F3" w14:textId="2D2A9CE5">
      <w:pPr>
        <w:spacing w:line="480" w:lineRule="auto"/>
        <w:ind w:firstLine="720"/>
        <w:rPr>
          <w:szCs w:val="26"/>
        </w:rPr>
      </w:pPr>
      <w:r w:rsidRPr="00416142">
        <w:rPr>
          <w:szCs w:val="26"/>
        </w:rPr>
        <w:t>Since issuing Order No. 2001, the Commission has provided guidance and refined the reporting requirements, as necessary, to reflect changes in the Commission’s rules and regulations.</w:t>
      </w:r>
      <w:r>
        <w:rPr>
          <w:szCs w:val="26"/>
          <w:vertAlign w:val="superscript"/>
        </w:rPr>
        <w:footnoteReference w:id="9"/>
      </w:r>
      <w:r w:rsidRPr="00416142" w:rsidR="00A36A88">
        <w:rPr>
          <w:b/>
          <w:bCs/>
          <w:szCs w:val="26"/>
        </w:rPr>
        <w:t xml:space="preserve"> </w:t>
      </w:r>
      <w:r w:rsidRPr="00416142" w:rsidR="00F671A2">
        <w:rPr>
          <w:szCs w:val="26"/>
        </w:rPr>
        <w:t xml:space="preserve">The Commission also </w:t>
      </w:r>
      <w:r w:rsidRPr="00416142">
        <w:rPr>
          <w:szCs w:val="26"/>
        </w:rPr>
        <w:t xml:space="preserve">adopted an </w:t>
      </w:r>
      <w:r w:rsidRPr="00416142" w:rsidR="00695084">
        <w:rPr>
          <w:szCs w:val="26"/>
        </w:rPr>
        <w:t>EQR</w:t>
      </w:r>
      <w:r w:rsidRPr="00416142">
        <w:rPr>
          <w:szCs w:val="26"/>
        </w:rPr>
        <w:t xml:space="preserve"> Data Dictionary, which provides in one document the definitions of certain terms and values used in filing EQR data.</w:t>
      </w:r>
      <w:r>
        <w:rPr>
          <w:rStyle w:val="FootnoteReference"/>
          <w:b w:val="0"/>
          <w:bCs/>
        </w:rPr>
        <w:footnoteReference w:id="10"/>
      </w:r>
      <w:r w:rsidRPr="00416142" w:rsidR="00A36A88">
        <w:rPr>
          <w:szCs w:val="26"/>
        </w:rPr>
        <w:t xml:space="preserve"> </w:t>
      </w:r>
    </w:p>
    <w:p w:rsidR="005B58F4" w:rsidRPr="00416142" w:rsidP="0019791F" w14:paraId="6CEFA2BC" w14:textId="4A4D80CF">
      <w:pPr>
        <w:spacing w:line="480" w:lineRule="auto"/>
        <w:ind w:firstLine="720"/>
        <w:rPr>
          <w:szCs w:val="26"/>
        </w:rPr>
      </w:pPr>
      <w:r w:rsidRPr="00416142">
        <w:rPr>
          <w:szCs w:val="26"/>
        </w:rPr>
        <w:t xml:space="preserve">To increase transparency broadly across all wholesale markets subject to the Commission’s jurisdiction, </w:t>
      </w:r>
      <w:r w:rsidRPr="00416142" w:rsidR="00652CB9">
        <w:rPr>
          <w:szCs w:val="26"/>
        </w:rPr>
        <w:t>the Commission issued Order No. 768</w:t>
      </w:r>
      <w:r w:rsidRPr="00416142">
        <w:rPr>
          <w:szCs w:val="26"/>
        </w:rPr>
        <w:t xml:space="preserve"> in 2012.</w:t>
      </w:r>
      <w:r>
        <w:rPr>
          <w:rStyle w:val="FootnoteReference"/>
          <w:b w:val="0"/>
          <w:bCs/>
        </w:rPr>
        <w:footnoteReference w:id="11"/>
      </w:r>
      <w:r w:rsidRPr="00416142" w:rsidR="00A36A88">
        <w:rPr>
          <w:b/>
          <w:bCs/>
          <w:szCs w:val="26"/>
        </w:rPr>
        <w:t xml:space="preserve"> </w:t>
      </w:r>
      <w:r w:rsidRPr="00416142">
        <w:rPr>
          <w:szCs w:val="26"/>
        </w:rPr>
        <w:t>Order No. 768</w:t>
      </w:r>
      <w:r w:rsidRPr="00416142" w:rsidR="00652CB9">
        <w:rPr>
          <w:szCs w:val="26"/>
        </w:rPr>
        <w:t xml:space="preserve"> required market participants that are excluded from the Commission’s jurisdiction </w:t>
      </w:r>
      <w:r w:rsidRPr="00416142" w:rsidR="002762DE">
        <w:rPr>
          <w:szCs w:val="26"/>
        </w:rPr>
        <w:t xml:space="preserve">under </w:t>
      </w:r>
      <w:r w:rsidRPr="00416142" w:rsidR="00CA7574">
        <w:rPr>
          <w:szCs w:val="26"/>
        </w:rPr>
        <w:t>FPA</w:t>
      </w:r>
      <w:r w:rsidRPr="00416142">
        <w:rPr>
          <w:szCs w:val="26"/>
        </w:rPr>
        <w:t xml:space="preserve"> section 205 (</w:t>
      </w:r>
      <w:r w:rsidRPr="00416142" w:rsidR="002762DE">
        <w:rPr>
          <w:szCs w:val="26"/>
        </w:rPr>
        <w:t xml:space="preserve">non-public utilities) and have more than a </w:t>
      </w:r>
      <w:r w:rsidRPr="00416142" w:rsidR="002762DE">
        <w:rPr>
          <w:i/>
          <w:szCs w:val="26"/>
        </w:rPr>
        <w:t>de minimis</w:t>
      </w:r>
      <w:r w:rsidRPr="00416142" w:rsidR="002762DE">
        <w:rPr>
          <w:szCs w:val="26"/>
        </w:rPr>
        <w:t xml:space="preserve"> market presence to file EQRs with the Commission.</w:t>
      </w:r>
      <w:r w:rsidRPr="00416142" w:rsidR="00A36A88">
        <w:rPr>
          <w:szCs w:val="26"/>
        </w:rPr>
        <w:t xml:space="preserve"> </w:t>
      </w:r>
      <w:r w:rsidRPr="00416142" w:rsidR="002762DE">
        <w:rPr>
          <w:szCs w:val="26"/>
        </w:rPr>
        <w:t>In addition, Order No. 768 revised the EQR filing requirements</w:t>
      </w:r>
      <w:r w:rsidRPr="00416142">
        <w:rPr>
          <w:szCs w:val="26"/>
        </w:rPr>
        <w:t xml:space="preserve"> to</w:t>
      </w:r>
      <w:r w:rsidRPr="00416142" w:rsidR="002762DE">
        <w:rPr>
          <w:szCs w:val="26"/>
        </w:rPr>
        <w:t xml:space="preserve"> </w:t>
      </w:r>
      <w:r w:rsidRPr="00416142" w:rsidR="000322A9">
        <w:rPr>
          <w:szCs w:val="26"/>
        </w:rPr>
        <w:t>build upon the Commission’s prior improvements to the reporting requirements and further enhance the goals of providing greater price transparency, promoting competition, instilling confidence in the fairness of the markets, and providing a better means to detect and discourage anti-competitive, discriminatory, and manipulative practices.</w:t>
      </w:r>
      <w:r w:rsidRPr="00416142" w:rsidR="00A36A88">
        <w:rPr>
          <w:szCs w:val="26"/>
        </w:rPr>
        <w:t xml:space="preserve"> </w:t>
      </w:r>
    </w:p>
    <w:p w:rsidR="005B58F4" w:rsidRPr="00416142" w:rsidP="003C5B35" w14:paraId="5C57E2B8" w14:textId="5CD5BAD9">
      <w:pPr>
        <w:spacing w:line="480" w:lineRule="auto"/>
        <w:ind w:firstLine="720"/>
        <w:rPr>
          <w:szCs w:val="26"/>
        </w:rPr>
      </w:pPr>
      <w:r w:rsidRPr="00416142">
        <w:rPr>
          <w:szCs w:val="26"/>
        </w:rPr>
        <w:t xml:space="preserve">EQR information allows the public to assess </w:t>
      </w:r>
      <w:r w:rsidRPr="00416142" w:rsidR="006931AF">
        <w:rPr>
          <w:szCs w:val="26"/>
        </w:rPr>
        <w:t xml:space="preserve">market </w:t>
      </w:r>
      <w:r w:rsidRPr="00416142">
        <w:rPr>
          <w:szCs w:val="26"/>
        </w:rPr>
        <w:t>fundamentals and to price interstate wholesale market transactions.</w:t>
      </w:r>
      <w:r w:rsidRPr="00416142" w:rsidR="00A36A88">
        <w:rPr>
          <w:szCs w:val="26"/>
        </w:rPr>
        <w:t xml:space="preserve"> </w:t>
      </w:r>
      <w:r w:rsidRPr="00416142">
        <w:rPr>
          <w:szCs w:val="26"/>
        </w:rPr>
        <w:t>This</w:t>
      </w:r>
      <w:r w:rsidRPr="00416142" w:rsidR="00EF4F2A">
        <w:rPr>
          <w:szCs w:val="26"/>
        </w:rPr>
        <w:t>,</w:t>
      </w:r>
      <w:r w:rsidRPr="00416142">
        <w:rPr>
          <w:szCs w:val="26"/>
        </w:rPr>
        <w:t xml:space="preserve"> in turn</w:t>
      </w:r>
      <w:r w:rsidRPr="00416142" w:rsidR="00EF4F2A">
        <w:rPr>
          <w:szCs w:val="26"/>
        </w:rPr>
        <w:t>,</w:t>
      </w:r>
      <w:r w:rsidRPr="00416142">
        <w:rPr>
          <w:szCs w:val="26"/>
        </w:rPr>
        <w:t xml:space="preserve"> results in greater market confidence, lower transaction costs, and ultimately support</w:t>
      </w:r>
      <w:r w:rsidRPr="00416142" w:rsidR="00786D54">
        <w:rPr>
          <w:szCs w:val="26"/>
        </w:rPr>
        <w:t>s</w:t>
      </w:r>
      <w:r w:rsidRPr="00416142">
        <w:rPr>
          <w:szCs w:val="26"/>
        </w:rPr>
        <w:t xml:space="preserve"> competitive markets.</w:t>
      </w:r>
      <w:r w:rsidRPr="00416142" w:rsidR="00A36A88">
        <w:rPr>
          <w:szCs w:val="26"/>
        </w:rPr>
        <w:t xml:space="preserve"> </w:t>
      </w:r>
      <w:r w:rsidRPr="00416142">
        <w:rPr>
          <w:szCs w:val="26"/>
        </w:rPr>
        <w:t xml:space="preserve">In </w:t>
      </w:r>
      <w:r w:rsidRPr="00416142">
        <w:rPr>
          <w:szCs w:val="26"/>
        </w:rPr>
        <w:t xml:space="preserve">addition, the data filed in the EQR strengthens the Commission’s ability to exercise its wholesale electric rate and electric power transmission oversight and enforcement responsibilities in accordance with the </w:t>
      </w:r>
      <w:r w:rsidRPr="00416142" w:rsidR="00985FA5">
        <w:rPr>
          <w:szCs w:val="26"/>
        </w:rPr>
        <w:t>FPA</w:t>
      </w:r>
      <w:r w:rsidRPr="00416142">
        <w:rPr>
          <w:szCs w:val="26"/>
        </w:rPr>
        <w:t>.</w:t>
      </w:r>
      <w:r w:rsidRPr="00416142" w:rsidR="00A36A88">
        <w:rPr>
          <w:szCs w:val="26"/>
        </w:rPr>
        <w:t xml:space="preserve"> </w:t>
      </w:r>
      <w:r w:rsidRPr="00416142">
        <w:rPr>
          <w:szCs w:val="26"/>
        </w:rPr>
        <w:t xml:space="preserve">Without this information, the Commission would lack some of the data it needs to </w:t>
      </w:r>
      <w:r w:rsidRPr="00416142" w:rsidR="0031589B">
        <w:rPr>
          <w:szCs w:val="26"/>
        </w:rPr>
        <w:t>support its regulatory function over transmission and sales</w:t>
      </w:r>
      <w:r w:rsidRPr="00416142" w:rsidR="00216AAE">
        <w:rPr>
          <w:szCs w:val="26"/>
        </w:rPr>
        <w:t xml:space="preserve"> of electric power</w:t>
      </w:r>
      <w:r w:rsidRPr="00416142">
        <w:rPr>
          <w:szCs w:val="26"/>
        </w:rPr>
        <w:t>.</w:t>
      </w:r>
      <w:r w:rsidRPr="00416142" w:rsidR="00A36A88">
        <w:rPr>
          <w:szCs w:val="26"/>
        </w:rPr>
        <w:t xml:space="preserve"> </w:t>
      </w:r>
    </w:p>
    <w:p w:rsidR="00871390" w:rsidRPr="00416142" w:rsidP="00871390" w14:paraId="5106E843" w14:textId="1275A1E3">
      <w:pPr>
        <w:spacing w:line="480" w:lineRule="auto"/>
        <w:rPr>
          <w:szCs w:val="26"/>
        </w:rPr>
      </w:pPr>
      <w:r w:rsidRPr="00416142">
        <w:rPr>
          <w:i/>
          <w:szCs w:val="26"/>
        </w:rPr>
        <w:t xml:space="preserve">Type of Respondent: </w:t>
      </w:r>
      <w:r w:rsidRPr="00416142" w:rsidR="00CB5045">
        <w:rPr>
          <w:szCs w:val="26"/>
        </w:rPr>
        <w:t xml:space="preserve">Public </w:t>
      </w:r>
      <w:r w:rsidRPr="00416142" w:rsidR="009743F4">
        <w:rPr>
          <w:szCs w:val="26"/>
        </w:rPr>
        <w:t xml:space="preserve">utilities, </w:t>
      </w:r>
      <w:r w:rsidRPr="00416142" w:rsidR="00CB5045">
        <w:rPr>
          <w:szCs w:val="26"/>
        </w:rPr>
        <w:t xml:space="preserve">and non-public utilities with more than a </w:t>
      </w:r>
      <w:r w:rsidRPr="00416142" w:rsidR="00CB5045">
        <w:rPr>
          <w:i/>
          <w:szCs w:val="26"/>
        </w:rPr>
        <w:t>de minim</w:t>
      </w:r>
      <w:r w:rsidRPr="00416142" w:rsidR="00F65DD1">
        <w:rPr>
          <w:i/>
          <w:szCs w:val="26"/>
        </w:rPr>
        <w:t>i</w:t>
      </w:r>
      <w:r w:rsidRPr="00416142" w:rsidR="00CB5045">
        <w:rPr>
          <w:i/>
          <w:szCs w:val="26"/>
        </w:rPr>
        <w:t>s</w:t>
      </w:r>
      <w:r w:rsidRPr="00416142" w:rsidR="00CB5045">
        <w:rPr>
          <w:szCs w:val="26"/>
        </w:rPr>
        <w:t xml:space="preserve"> market presence.</w:t>
      </w:r>
    </w:p>
    <w:p w:rsidR="00D53545" w:rsidRPr="00416142" w:rsidP="00ED7AAA" w14:paraId="618BED95" w14:textId="68DB6C85">
      <w:pPr>
        <w:spacing w:line="480" w:lineRule="auto"/>
        <w:rPr>
          <w:szCs w:val="26"/>
        </w:rPr>
      </w:pPr>
      <w:r w:rsidRPr="00416142">
        <w:rPr>
          <w:i/>
          <w:szCs w:val="26"/>
        </w:rPr>
        <w:t>Estimate of Annual Burden</w:t>
      </w:r>
      <w:r w:rsidRPr="00416142" w:rsidR="001244E0">
        <w:rPr>
          <w:i/>
          <w:szCs w:val="26"/>
        </w:rPr>
        <w:t xml:space="preserve"> and Cost</w:t>
      </w:r>
      <w:r>
        <w:rPr>
          <w:rStyle w:val="FootnoteReference"/>
          <w:i/>
        </w:rPr>
        <w:footnoteReference w:id="12"/>
      </w:r>
      <w:r w:rsidRPr="00416142">
        <w:rPr>
          <w:i/>
          <w:szCs w:val="26"/>
        </w:rPr>
        <w:t xml:space="preserve">: </w:t>
      </w:r>
      <w:r w:rsidRPr="00416142">
        <w:rPr>
          <w:szCs w:val="26"/>
        </w:rPr>
        <w:t>The Commission estimates the annual public reporting burden</w:t>
      </w:r>
      <w:r>
        <w:rPr>
          <w:rStyle w:val="FootnoteReference"/>
        </w:rPr>
        <w:footnoteReference w:id="13"/>
      </w:r>
      <w:r w:rsidRPr="00416142">
        <w:rPr>
          <w:szCs w:val="26"/>
        </w:rPr>
        <w:t xml:space="preserve"> for the information collection as:</w:t>
      </w:r>
    </w:p>
    <w:p w:rsidR="00536F90" w:rsidRPr="00416142" w:rsidP="3112F8A5" w14:paraId="655EC749" w14:textId="54E84F94">
      <w:pPr>
        <w:spacing w:line="480" w:lineRule="auto"/>
        <w:rPr>
          <w:b/>
          <w:bCs/>
          <w:color w:val="000000"/>
          <w:szCs w:val="26"/>
        </w:rPr>
      </w:pPr>
      <w:r w:rsidRPr="00416142">
        <w:rPr>
          <w:b/>
          <w:bCs/>
          <w:color w:val="000000" w:themeColor="text1"/>
          <w:szCs w:val="26"/>
        </w:rPr>
        <w:t>FERC-920: Electric Quarterly Report (EQR)</w:t>
      </w:r>
    </w:p>
    <w:tbl>
      <w:tblPr>
        <w:tblW w:w="10011" w:type="dxa"/>
        <w:tblLayout w:type="fixed"/>
        <w:tblLook w:val="04A0"/>
      </w:tblPr>
      <w:tblGrid>
        <w:gridCol w:w="1656"/>
        <w:gridCol w:w="1523"/>
        <w:gridCol w:w="1430"/>
        <w:gridCol w:w="1313"/>
        <w:gridCol w:w="1243"/>
        <w:gridCol w:w="1416"/>
        <w:gridCol w:w="1430"/>
      </w:tblGrid>
      <w:tr w14:paraId="41E8FFFC" w14:textId="77777777" w:rsidTr="00D429F4">
        <w:tblPrEx>
          <w:tblW w:w="10011" w:type="dxa"/>
          <w:tblLayout w:type="fixed"/>
          <w:tblLook w:val="04A0"/>
        </w:tblPrEx>
        <w:trPr>
          <w:trHeight w:val="1320"/>
        </w:trPr>
        <w:tc>
          <w:tcPr>
            <w:tcW w:w="1656" w:type="dxa"/>
            <w:vMerge w:val="restart"/>
            <w:tcBorders>
              <w:top w:val="single" w:sz="4" w:space="0" w:color="auto"/>
              <w:left w:val="single" w:sz="8" w:space="0" w:color="auto"/>
              <w:bottom w:val="single" w:sz="8" w:space="0" w:color="000000"/>
              <w:right w:val="single" w:sz="8" w:space="0" w:color="auto"/>
            </w:tcBorders>
            <w:shd w:val="clear" w:color="000000" w:fill="D9D9D9"/>
            <w:vAlign w:val="center"/>
            <w:hideMark/>
          </w:tcPr>
          <w:p w:rsidR="00EB788E" w:rsidRPr="00416142" w:rsidP="00EB788E" w14:paraId="22E63D4F" w14:textId="77777777">
            <w:pPr>
              <w:jc w:val="center"/>
              <w:rPr>
                <w:b/>
                <w:bCs/>
                <w:color w:val="000000"/>
                <w:szCs w:val="26"/>
              </w:rPr>
            </w:pPr>
            <w:bookmarkStart w:id="3" w:name="OLE_LINK2"/>
            <w:bookmarkEnd w:id="3"/>
            <w:r w:rsidRPr="00416142">
              <w:rPr>
                <w:b/>
                <w:bCs/>
                <w:color w:val="000000"/>
                <w:szCs w:val="26"/>
              </w:rPr>
              <w:t>Requirements</w:t>
            </w:r>
          </w:p>
        </w:tc>
        <w:tc>
          <w:tcPr>
            <w:tcW w:w="1523" w:type="dxa"/>
            <w:tcBorders>
              <w:top w:val="single" w:sz="4" w:space="0" w:color="auto"/>
              <w:left w:val="nil"/>
              <w:bottom w:val="nil"/>
              <w:right w:val="single" w:sz="8" w:space="0" w:color="auto"/>
            </w:tcBorders>
            <w:shd w:val="clear" w:color="000000" w:fill="D9D9D9"/>
            <w:vAlign w:val="center"/>
            <w:hideMark/>
          </w:tcPr>
          <w:p w:rsidR="00EB788E" w:rsidRPr="00416142" w:rsidP="00EB788E" w14:paraId="75CAB38C" w14:textId="77777777">
            <w:pPr>
              <w:jc w:val="center"/>
              <w:rPr>
                <w:b/>
                <w:bCs/>
                <w:color w:val="000000"/>
                <w:szCs w:val="26"/>
              </w:rPr>
            </w:pPr>
            <w:r w:rsidRPr="00416142">
              <w:rPr>
                <w:b/>
                <w:bCs/>
                <w:color w:val="000000"/>
                <w:szCs w:val="26"/>
              </w:rPr>
              <w:t>Number of Respondents</w:t>
            </w:r>
          </w:p>
        </w:tc>
        <w:tc>
          <w:tcPr>
            <w:tcW w:w="1430" w:type="dxa"/>
            <w:tcBorders>
              <w:top w:val="single" w:sz="4" w:space="0" w:color="auto"/>
              <w:left w:val="nil"/>
              <w:bottom w:val="nil"/>
              <w:right w:val="single" w:sz="8" w:space="0" w:color="auto"/>
            </w:tcBorders>
            <w:shd w:val="clear" w:color="000000" w:fill="D9D9D9"/>
            <w:vAlign w:val="center"/>
            <w:hideMark/>
          </w:tcPr>
          <w:p w:rsidR="00EB788E" w:rsidRPr="00416142" w:rsidP="00EB788E" w14:paraId="7C56F65F" w14:textId="2D6F35D8">
            <w:pPr>
              <w:jc w:val="center"/>
              <w:rPr>
                <w:b/>
                <w:bCs/>
                <w:color w:val="000000"/>
                <w:szCs w:val="26"/>
              </w:rPr>
            </w:pPr>
            <w:r w:rsidRPr="00416142">
              <w:rPr>
                <w:b/>
                <w:bCs/>
                <w:color w:val="000000"/>
                <w:szCs w:val="26"/>
              </w:rPr>
              <w:t>Annual Number of Responses per Respondent</w:t>
            </w:r>
          </w:p>
        </w:tc>
        <w:tc>
          <w:tcPr>
            <w:tcW w:w="1313" w:type="dxa"/>
            <w:tcBorders>
              <w:top w:val="single" w:sz="4" w:space="0" w:color="auto"/>
              <w:left w:val="nil"/>
              <w:bottom w:val="nil"/>
              <w:right w:val="single" w:sz="8" w:space="0" w:color="auto"/>
            </w:tcBorders>
            <w:shd w:val="clear" w:color="000000" w:fill="D9D9D9"/>
            <w:vAlign w:val="center"/>
            <w:hideMark/>
          </w:tcPr>
          <w:p w:rsidR="00EB788E" w:rsidRPr="00416142" w:rsidP="00EB788E" w14:paraId="2F3685BC" w14:textId="77777777">
            <w:pPr>
              <w:jc w:val="center"/>
              <w:rPr>
                <w:b/>
                <w:bCs/>
                <w:color w:val="000000"/>
                <w:szCs w:val="26"/>
              </w:rPr>
            </w:pPr>
            <w:r w:rsidRPr="00416142">
              <w:rPr>
                <w:b/>
                <w:bCs/>
                <w:color w:val="000000"/>
                <w:szCs w:val="26"/>
              </w:rPr>
              <w:t>Total Number of Responses</w:t>
            </w:r>
          </w:p>
        </w:tc>
        <w:tc>
          <w:tcPr>
            <w:tcW w:w="1243" w:type="dxa"/>
            <w:tcBorders>
              <w:top w:val="single" w:sz="4" w:space="0" w:color="auto"/>
              <w:left w:val="nil"/>
              <w:bottom w:val="nil"/>
              <w:right w:val="single" w:sz="8" w:space="0" w:color="auto"/>
            </w:tcBorders>
            <w:shd w:val="clear" w:color="000000" w:fill="D9D9D9"/>
            <w:vAlign w:val="center"/>
            <w:hideMark/>
          </w:tcPr>
          <w:p w:rsidR="00EB788E" w:rsidRPr="00416142" w:rsidP="00EB788E" w14:paraId="59B55470" w14:textId="11387004">
            <w:pPr>
              <w:jc w:val="center"/>
              <w:rPr>
                <w:b/>
                <w:bCs/>
                <w:color w:val="000000"/>
                <w:szCs w:val="26"/>
              </w:rPr>
            </w:pPr>
            <w:r w:rsidRPr="00416142">
              <w:rPr>
                <w:b/>
                <w:bCs/>
                <w:color w:val="000000"/>
                <w:szCs w:val="26"/>
              </w:rPr>
              <w:t xml:space="preserve">Average Annual Burden Hrs. &amp; Cost </w:t>
            </w:r>
            <w:r w:rsidRPr="00416142" w:rsidR="006F3D6F">
              <w:rPr>
                <w:b/>
                <w:bCs/>
                <w:color w:val="000000"/>
                <w:szCs w:val="26"/>
              </w:rPr>
              <w:t xml:space="preserve">($) </w:t>
            </w:r>
            <w:r w:rsidRPr="00416142">
              <w:rPr>
                <w:b/>
                <w:bCs/>
                <w:color w:val="000000"/>
                <w:szCs w:val="26"/>
              </w:rPr>
              <w:t>Per Response</w:t>
            </w:r>
            <w:r w:rsidRPr="00416142" w:rsidR="00B629F0">
              <w:rPr>
                <w:b/>
                <w:bCs/>
                <w:color w:val="000000"/>
                <w:szCs w:val="26"/>
              </w:rPr>
              <w:t xml:space="preserve"> (rounded)</w:t>
            </w:r>
          </w:p>
        </w:tc>
        <w:tc>
          <w:tcPr>
            <w:tcW w:w="1416" w:type="dxa"/>
            <w:tcBorders>
              <w:top w:val="single" w:sz="4" w:space="0" w:color="auto"/>
              <w:left w:val="nil"/>
              <w:bottom w:val="nil"/>
              <w:right w:val="single" w:sz="8" w:space="0" w:color="auto"/>
            </w:tcBorders>
            <w:shd w:val="clear" w:color="000000" w:fill="D9D9D9"/>
            <w:vAlign w:val="center"/>
            <w:hideMark/>
          </w:tcPr>
          <w:p w:rsidR="00B629F0" w:rsidRPr="00416142" w:rsidP="00EB788E" w14:paraId="2769F25A" w14:textId="77777777">
            <w:pPr>
              <w:jc w:val="center"/>
              <w:rPr>
                <w:b/>
                <w:bCs/>
                <w:color w:val="000000"/>
                <w:szCs w:val="26"/>
              </w:rPr>
            </w:pPr>
            <w:r w:rsidRPr="00416142">
              <w:rPr>
                <w:b/>
                <w:bCs/>
                <w:color w:val="000000"/>
                <w:szCs w:val="26"/>
              </w:rPr>
              <w:t>Total Average Annual Burden Hours &amp; Total Annual Cost</w:t>
            </w:r>
            <w:r w:rsidRPr="00416142" w:rsidR="006F3D6F">
              <w:rPr>
                <w:b/>
                <w:bCs/>
                <w:color w:val="000000"/>
                <w:szCs w:val="26"/>
              </w:rPr>
              <w:t xml:space="preserve"> ($)</w:t>
            </w:r>
          </w:p>
          <w:p w:rsidR="00EB788E" w:rsidRPr="00416142" w:rsidP="00EB788E" w14:paraId="1C75300B" w14:textId="58B13235">
            <w:pPr>
              <w:jc w:val="center"/>
              <w:rPr>
                <w:b/>
                <w:bCs/>
                <w:color w:val="000000"/>
                <w:szCs w:val="26"/>
              </w:rPr>
            </w:pPr>
            <w:r w:rsidRPr="00416142">
              <w:rPr>
                <w:b/>
                <w:bCs/>
                <w:color w:val="000000"/>
                <w:szCs w:val="26"/>
              </w:rPr>
              <w:t>(rounded)</w:t>
            </w:r>
          </w:p>
        </w:tc>
        <w:tc>
          <w:tcPr>
            <w:tcW w:w="1430" w:type="dxa"/>
            <w:tcBorders>
              <w:top w:val="single" w:sz="4" w:space="0" w:color="auto"/>
              <w:left w:val="nil"/>
              <w:bottom w:val="nil"/>
              <w:right w:val="single" w:sz="8" w:space="0" w:color="auto"/>
            </w:tcBorders>
            <w:shd w:val="clear" w:color="000000" w:fill="D9D9D9"/>
            <w:vAlign w:val="center"/>
            <w:hideMark/>
          </w:tcPr>
          <w:p w:rsidR="00B629F0" w:rsidRPr="00416142" w:rsidP="00EB788E" w14:paraId="38AD28D3" w14:textId="77777777">
            <w:pPr>
              <w:jc w:val="center"/>
              <w:rPr>
                <w:b/>
                <w:bCs/>
                <w:color w:val="000000"/>
                <w:szCs w:val="26"/>
              </w:rPr>
            </w:pPr>
            <w:r w:rsidRPr="00416142">
              <w:rPr>
                <w:b/>
                <w:bCs/>
                <w:color w:val="000000"/>
                <w:szCs w:val="26"/>
              </w:rPr>
              <w:t>Cost per Respondent ($)</w:t>
            </w:r>
            <w:r w:rsidRPr="00416142">
              <w:rPr>
                <w:b/>
                <w:bCs/>
                <w:color w:val="000000"/>
                <w:szCs w:val="26"/>
              </w:rPr>
              <w:t xml:space="preserve"> </w:t>
            </w:r>
          </w:p>
          <w:p w:rsidR="00EB788E" w:rsidRPr="00416142" w:rsidP="00EB788E" w14:paraId="56C0EA4A" w14:textId="1BD44022">
            <w:pPr>
              <w:jc w:val="center"/>
              <w:rPr>
                <w:b/>
                <w:bCs/>
                <w:color w:val="000000"/>
                <w:szCs w:val="26"/>
              </w:rPr>
            </w:pPr>
            <w:r w:rsidRPr="00416142">
              <w:rPr>
                <w:b/>
                <w:bCs/>
                <w:color w:val="000000"/>
                <w:szCs w:val="26"/>
              </w:rPr>
              <w:t>(rounded)</w:t>
            </w:r>
          </w:p>
        </w:tc>
      </w:tr>
      <w:tr w14:paraId="0FE924BC" w14:textId="77777777" w:rsidTr="00D429F4">
        <w:tblPrEx>
          <w:tblW w:w="10011" w:type="dxa"/>
          <w:tblLayout w:type="fixed"/>
          <w:tblLook w:val="04A0"/>
        </w:tblPrEx>
        <w:trPr>
          <w:trHeight w:val="300"/>
        </w:trPr>
        <w:tc>
          <w:tcPr>
            <w:tcW w:w="1656" w:type="dxa"/>
            <w:vMerge/>
            <w:tcBorders>
              <w:top w:val="nil"/>
              <w:left w:val="single" w:sz="8" w:space="0" w:color="auto"/>
              <w:bottom w:val="single" w:sz="8" w:space="0" w:color="000000"/>
              <w:right w:val="single" w:sz="8" w:space="0" w:color="auto"/>
            </w:tcBorders>
            <w:vAlign w:val="center"/>
            <w:hideMark/>
          </w:tcPr>
          <w:p w:rsidR="00EB788E" w:rsidRPr="00416142" w:rsidP="00EB788E" w14:paraId="22B13DFE" w14:textId="77777777">
            <w:pPr>
              <w:rPr>
                <w:b/>
                <w:bCs/>
                <w:color w:val="000000"/>
                <w:szCs w:val="26"/>
              </w:rPr>
            </w:pPr>
          </w:p>
        </w:tc>
        <w:tc>
          <w:tcPr>
            <w:tcW w:w="1523" w:type="dxa"/>
            <w:tcBorders>
              <w:top w:val="nil"/>
              <w:left w:val="nil"/>
              <w:bottom w:val="single" w:sz="8" w:space="0" w:color="auto"/>
              <w:right w:val="single" w:sz="8" w:space="0" w:color="auto"/>
            </w:tcBorders>
            <w:shd w:val="clear" w:color="000000" w:fill="D9D9D9"/>
            <w:vAlign w:val="center"/>
            <w:hideMark/>
          </w:tcPr>
          <w:p w:rsidR="00EB788E" w:rsidRPr="00416142" w:rsidP="00EB788E" w14:paraId="04A3EBC7" w14:textId="77777777">
            <w:pPr>
              <w:jc w:val="center"/>
              <w:rPr>
                <w:b/>
                <w:bCs/>
                <w:color w:val="000000"/>
                <w:szCs w:val="26"/>
              </w:rPr>
            </w:pPr>
            <w:r w:rsidRPr="00416142">
              <w:rPr>
                <w:b/>
                <w:bCs/>
                <w:color w:val="000000"/>
                <w:szCs w:val="26"/>
              </w:rPr>
              <w:t>1</w:t>
            </w:r>
          </w:p>
        </w:tc>
        <w:tc>
          <w:tcPr>
            <w:tcW w:w="1430" w:type="dxa"/>
            <w:tcBorders>
              <w:top w:val="nil"/>
              <w:left w:val="nil"/>
              <w:bottom w:val="single" w:sz="8" w:space="0" w:color="auto"/>
              <w:right w:val="single" w:sz="8" w:space="0" w:color="auto"/>
            </w:tcBorders>
            <w:shd w:val="clear" w:color="000000" w:fill="D9D9D9"/>
            <w:vAlign w:val="center"/>
            <w:hideMark/>
          </w:tcPr>
          <w:p w:rsidR="00EB788E" w:rsidRPr="00416142" w:rsidP="00EB788E" w14:paraId="1F98F51B" w14:textId="77777777">
            <w:pPr>
              <w:jc w:val="center"/>
              <w:rPr>
                <w:b/>
                <w:bCs/>
                <w:color w:val="000000"/>
                <w:szCs w:val="26"/>
              </w:rPr>
            </w:pPr>
            <w:r w:rsidRPr="00416142">
              <w:rPr>
                <w:b/>
                <w:bCs/>
                <w:color w:val="000000"/>
                <w:szCs w:val="26"/>
              </w:rPr>
              <w:t>2</w:t>
            </w:r>
          </w:p>
        </w:tc>
        <w:tc>
          <w:tcPr>
            <w:tcW w:w="1313" w:type="dxa"/>
            <w:tcBorders>
              <w:top w:val="nil"/>
              <w:left w:val="nil"/>
              <w:bottom w:val="single" w:sz="8" w:space="0" w:color="auto"/>
              <w:right w:val="single" w:sz="8" w:space="0" w:color="auto"/>
            </w:tcBorders>
            <w:shd w:val="clear" w:color="000000" w:fill="D9D9D9"/>
            <w:vAlign w:val="center"/>
            <w:hideMark/>
          </w:tcPr>
          <w:p w:rsidR="00EB788E" w:rsidRPr="00416142" w:rsidP="00EB788E" w14:paraId="49FFCF0C" w14:textId="77777777">
            <w:pPr>
              <w:jc w:val="center"/>
              <w:rPr>
                <w:b/>
                <w:bCs/>
                <w:color w:val="000000"/>
                <w:szCs w:val="26"/>
              </w:rPr>
            </w:pPr>
            <w:r w:rsidRPr="00416142">
              <w:rPr>
                <w:b/>
                <w:bCs/>
                <w:color w:val="000000"/>
                <w:szCs w:val="26"/>
              </w:rPr>
              <w:t>(1)*(2)=(3)</w:t>
            </w:r>
          </w:p>
        </w:tc>
        <w:tc>
          <w:tcPr>
            <w:tcW w:w="1243" w:type="dxa"/>
            <w:tcBorders>
              <w:top w:val="nil"/>
              <w:left w:val="nil"/>
              <w:bottom w:val="single" w:sz="8" w:space="0" w:color="auto"/>
              <w:right w:val="single" w:sz="8" w:space="0" w:color="auto"/>
            </w:tcBorders>
            <w:shd w:val="clear" w:color="000000" w:fill="D9D9D9"/>
            <w:vAlign w:val="center"/>
            <w:hideMark/>
          </w:tcPr>
          <w:p w:rsidR="00EB788E" w:rsidRPr="00416142" w:rsidP="00EB788E" w14:paraId="75B6C8B6" w14:textId="77777777">
            <w:pPr>
              <w:jc w:val="center"/>
              <w:rPr>
                <w:b/>
                <w:bCs/>
                <w:color w:val="000000"/>
                <w:szCs w:val="26"/>
              </w:rPr>
            </w:pPr>
            <w:r w:rsidRPr="00416142">
              <w:rPr>
                <w:b/>
                <w:bCs/>
                <w:color w:val="000000"/>
                <w:szCs w:val="26"/>
              </w:rPr>
              <w:t>4</w:t>
            </w:r>
          </w:p>
        </w:tc>
        <w:tc>
          <w:tcPr>
            <w:tcW w:w="1416" w:type="dxa"/>
            <w:tcBorders>
              <w:top w:val="nil"/>
              <w:left w:val="nil"/>
              <w:bottom w:val="single" w:sz="8" w:space="0" w:color="auto"/>
              <w:right w:val="single" w:sz="8" w:space="0" w:color="auto"/>
            </w:tcBorders>
            <w:shd w:val="clear" w:color="000000" w:fill="D9D9D9"/>
            <w:vAlign w:val="center"/>
            <w:hideMark/>
          </w:tcPr>
          <w:p w:rsidR="00EB788E" w:rsidRPr="00416142" w:rsidP="00EB788E" w14:paraId="003EE7A8" w14:textId="77777777">
            <w:pPr>
              <w:jc w:val="center"/>
              <w:rPr>
                <w:b/>
                <w:bCs/>
                <w:color w:val="000000"/>
                <w:szCs w:val="26"/>
              </w:rPr>
            </w:pPr>
            <w:r w:rsidRPr="00416142">
              <w:rPr>
                <w:b/>
                <w:bCs/>
                <w:color w:val="000000"/>
                <w:szCs w:val="26"/>
              </w:rPr>
              <w:t>(3)*(4)=(5)</w:t>
            </w:r>
          </w:p>
        </w:tc>
        <w:tc>
          <w:tcPr>
            <w:tcW w:w="1430" w:type="dxa"/>
            <w:tcBorders>
              <w:top w:val="nil"/>
              <w:left w:val="nil"/>
              <w:bottom w:val="single" w:sz="8" w:space="0" w:color="auto"/>
              <w:right w:val="single" w:sz="8" w:space="0" w:color="auto"/>
            </w:tcBorders>
            <w:shd w:val="clear" w:color="000000" w:fill="D9D9D9"/>
            <w:vAlign w:val="center"/>
            <w:hideMark/>
          </w:tcPr>
          <w:p w:rsidR="00EB788E" w:rsidRPr="00416142" w:rsidP="00EB788E" w14:paraId="0849BD20" w14:textId="77777777">
            <w:pPr>
              <w:jc w:val="center"/>
              <w:rPr>
                <w:b/>
                <w:bCs/>
                <w:color w:val="000000"/>
                <w:szCs w:val="26"/>
              </w:rPr>
            </w:pPr>
            <w:r w:rsidRPr="00416142">
              <w:rPr>
                <w:b/>
                <w:bCs/>
                <w:color w:val="000000"/>
                <w:szCs w:val="26"/>
              </w:rPr>
              <w:t>(5)÷(1)</w:t>
            </w:r>
          </w:p>
        </w:tc>
      </w:tr>
      <w:tr w14:paraId="74DAB53A" w14:textId="77777777" w:rsidTr="00D429F4">
        <w:tblPrEx>
          <w:tblW w:w="10011" w:type="dxa"/>
          <w:tblLayout w:type="fixed"/>
          <w:tblLook w:val="04A0"/>
        </w:tblPrEx>
        <w:trPr>
          <w:trHeight w:val="288"/>
        </w:trPr>
        <w:tc>
          <w:tcPr>
            <w:tcW w:w="1656" w:type="dxa"/>
            <w:vMerge w:val="restart"/>
            <w:tcBorders>
              <w:top w:val="nil"/>
              <w:left w:val="single" w:sz="8" w:space="0" w:color="auto"/>
              <w:bottom w:val="single" w:sz="8" w:space="0" w:color="000000"/>
              <w:right w:val="single" w:sz="8" w:space="0" w:color="auto"/>
            </w:tcBorders>
            <w:vAlign w:val="center"/>
            <w:hideMark/>
          </w:tcPr>
          <w:p w:rsidR="00EB788E" w:rsidRPr="00416142" w:rsidP="00EB788E" w14:paraId="7E32F34F" w14:textId="77777777">
            <w:pPr>
              <w:jc w:val="right"/>
              <w:rPr>
                <w:color w:val="000000"/>
                <w:szCs w:val="26"/>
              </w:rPr>
            </w:pPr>
            <w:r w:rsidRPr="00416142">
              <w:rPr>
                <w:color w:val="000000"/>
                <w:szCs w:val="26"/>
              </w:rPr>
              <w:t>Electric Quarterly Report</w:t>
            </w:r>
          </w:p>
        </w:tc>
        <w:tc>
          <w:tcPr>
            <w:tcW w:w="1523" w:type="dxa"/>
            <w:tcBorders>
              <w:top w:val="nil"/>
              <w:left w:val="nil"/>
              <w:bottom w:val="nil"/>
              <w:right w:val="single" w:sz="8" w:space="0" w:color="auto"/>
            </w:tcBorders>
            <w:vAlign w:val="center"/>
            <w:hideMark/>
          </w:tcPr>
          <w:p w:rsidR="00EB788E" w:rsidRPr="00416142" w:rsidP="00B629F0" w14:paraId="03AD2968" w14:textId="77777777">
            <w:pPr>
              <w:jc w:val="right"/>
              <w:rPr>
                <w:color w:val="000000"/>
                <w:szCs w:val="26"/>
              </w:rPr>
            </w:pPr>
            <w:r w:rsidRPr="00416142">
              <w:rPr>
                <w:color w:val="000000"/>
                <w:szCs w:val="26"/>
              </w:rPr>
              <w:t> </w:t>
            </w:r>
          </w:p>
        </w:tc>
        <w:tc>
          <w:tcPr>
            <w:tcW w:w="1430" w:type="dxa"/>
            <w:tcBorders>
              <w:top w:val="nil"/>
              <w:left w:val="nil"/>
              <w:bottom w:val="nil"/>
              <w:right w:val="single" w:sz="8" w:space="0" w:color="auto"/>
            </w:tcBorders>
            <w:vAlign w:val="center"/>
            <w:hideMark/>
          </w:tcPr>
          <w:p w:rsidR="00EB788E" w:rsidRPr="00416142" w:rsidP="00B629F0" w14:paraId="251A34DA" w14:textId="77777777">
            <w:pPr>
              <w:jc w:val="right"/>
              <w:rPr>
                <w:color w:val="000000"/>
                <w:szCs w:val="26"/>
              </w:rPr>
            </w:pPr>
            <w:r w:rsidRPr="00416142">
              <w:rPr>
                <w:color w:val="000000"/>
                <w:szCs w:val="26"/>
              </w:rPr>
              <w:t> </w:t>
            </w:r>
          </w:p>
        </w:tc>
        <w:tc>
          <w:tcPr>
            <w:tcW w:w="1313" w:type="dxa"/>
            <w:tcBorders>
              <w:top w:val="nil"/>
              <w:left w:val="nil"/>
              <w:bottom w:val="nil"/>
              <w:right w:val="single" w:sz="8" w:space="0" w:color="auto"/>
            </w:tcBorders>
            <w:vAlign w:val="center"/>
            <w:hideMark/>
          </w:tcPr>
          <w:p w:rsidR="00EB788E" w:rsidRPr="00416142" w:rsidP="00B629F0" w14:paraId="796A6044" w14:textId="77777777">
            <w:pPr>
              <w:jc w:val="right"/>
              <w:rPr>
                <w:color w:val="000000"/>
                <w:szCs w:val="26"/>
              </w:rPr>
            </w:pPr>
            <w:r w:rsidRPr="00416142">
              <w:rPr>
                <w:color w:val="000000"/>
                <w:szCs w:val="26"/>
              </w:rPr>
              <w:t> </w:t>
            </w:r>
          </w:p>
        </w:tc>
        <w:tc>
          <w:tcPr>
            <w:tcW w:w="1243" w:type="dxa"/>
            <w:tcBorders>
              <w:top w:val="nil"/>
              <w:left w:val="nil"/>
              <w:bottom w:val="nil"/>
              <w:right w:val="single" w:sz="8" w:space="0" w:color="auto"/>
            </w:tcBorders>
            <w:vAlign w:val="center"/>
            <w:hideMark/>
          </w:tcPr>
          <w:p w:rsidR="00EB788E" w:rsidRPr="00416142" w:rsidP="00B629F0" w14:paraId="00FBFF14" w14:textId="4C12339C">
            <w:pPr>
              <w:jc w:val="right"/>
              <w:rPr>
                <w:szCs w:val="26"/>
              </w:rPr>
            </w:pPr>
            <w:r w:rsidRPr="00416142">
              <w:rPr>
                <w:szCs w:val="26"/>
              </w:rPr>
              <w:t>18.1</w:t>
            </w:r>
            <w:r w:rsidRPr="00416142" w:rsidR="00B629F0">
              <w:rPr>
                <w:szCs w:val="26"/>
              </w:rPr>
              <w:t xml:space="preserve"> hrs.</w:t>
            </w:r>
          </w:p>
        </w:tc>
        <w:tc>
          <w:tcPr>
            <w:tcW w:w="1416" w:type="dxa"/>
            <w:tcBorders>
              <w:top w:val="nil"/>
              <w:left w:val="nil"/>
              <w:bottom w:val="nil"/>
              <w:right w:val="single" w:sz="8" w:space="0" w:color="auto"/>
            </w:tcBorders>
            <w:vAlign w:val="center"/>
            <w:hideMark/>
          </w:tcPr>
          <w:p w:rsidR="00EB788E" w:rsidRPr="00416142" w:rsidP="00C562B9" w14:paraId="5E7544CE" w14:textId="4D6C1148">
            <w:pPr>
              <w:rPr>
                <w:szCs w:val="26"/>
              </w:rPr>
            </w:pPr>
            <w:r w:rsidRPr="00416142">
              <w:rPr>
                <w:szCs w:val="26"/>
              </w:rPr>
              <w:t>265,853</w:t>
            </w:r>
            <w:r w:rsidRPr="00416142" w:rsidR="00B629F0">
              <w:rPr>
                <w:szCs w:val="26"/>
              </w:rPr>
              <w:t xml:space="preserve"> hrs.</w:t>
            </w:r>
            <w:r w:rsidRPr="00416142">
              <w:rPr>
                <w:szCs w:val="26"/>
              </w:rPr>
              <w:t xml:space="preserve"> </w:t>
            </w:r>
          </w:p>
        </w:tc>
        <w:tc>
          <w:tcPr>
            <w:tcW w:w="1430" w:type="dxa"/>
            <w:tcBorders>
              <w:top w:val="nil"/>
              <w:left w:val="nil"/>
              <w:bottom w:val="nil"/>
              <w:right w:val="single" w:sz="8" w:space="0" w:color="auto"/>
            </w:tcBorders>
            <w:vAlign w:val="center"/>
            <w:hideMark/>
          </w:tcPr>
          <w:p w:rsidR="00EB788E" w:rsidRPr="00416142" w:rsidP="00B629F0" w14:paraId="53DD88EC" w14:textId="77777777">
            <w:pPr>
              <w:jc w:val="right"/>
              <w:rPr>
                <w:color w:val="000000"/>
                <w:szCs w:val="26"/>
              </w:rPr>
            </w:pPr>
            <w:r w:rsidRPr="00416142">
              <w:rPr>
                <w:color w:val="000000"/>
                <w:szCs w:val="26"/>
              </w:rPr>
              <w:t> </w:t>
            </w:r>
          </w:p>
        </w:tc>
      </w:tr>
      <w:tr w14:paraId="253C539A" w14:textId="77777777" w:rsidTr="00D429F4">
        <w:tblPrEx>
          <w:tblW w:w="10011" w:type="dxa"/>
          <w:tblLayout w:type="fixed"/>
          <w:tblLook w:val="04A0"/>
        </w:tblPrEx>
        <w:trPr>
          <w:trHeight w:val="288"/>
        </w:trPr>
        <w:tc>
          <w:tcPr>
            <w:tcW w:w="1656" w:type="dxa"/>
            <w:vMerge/>
            <w:tcBorders>
              <w:top w:val="nil"/>
              <w:left w:val="single" w:sz="8" w:space="0" w:color="auto"/>
              <w:bottom w:val="single" w:sz="8" w:space="0" w:color="000000"/>
              <w:right w:val="single" w:sz="8" w:space="0" w:color="auto"/>
            </w:tcBorders>
            <w:vAlign w:val="center"/>
            <w:hideMark/>
          </w:tcPr>
          <w:p w:rsidR="00EB788E" w:rsidRPr="00416142" w:rsidP="00EB788E" w14:paraId="056756B4" w14:textId="77777777">
            <w:pPr>
              <w:rPr>
                <w:color w:val="000000"/>
                <w:szCs w:val="26"/>
              </w:rPr>
            </w:pPr>
          </w:p>
        </w:tc>
        <w:tc>
          <w:tcPr>
            <w:tcW w:w="1523" w:type="dxa"/>
            <w:tcBorders>
              <w:top w:val="nil"/>
              <w:left w:val="nil"/>
              <w:bottom w:val="nil"/>
              <w:right w:val="single" w:sz="8" w:space="0" w:color="auto"/>
            </w:tcBorders>
            <w:vAlign w:val="center"/>
            <w:hideMark/>
          </w:tcPr>
          <w:p w:rsidR="00EB788E" w:rsidRPr="00416142" w:rsidP="00B629F0" w14:paraId="6875E8C4" w14:textId="1DAD375F">
            <w:pPr>
              <w:jc w:val="right"/>
              <w:rPr>
                <w:szCs w:val="26"/>
              </w:rPr>
            </w:pPr>
            <w:r w:rsidRPr="00416142">
              <w:rPr>
                <w:szCs w:val="26"/>
              </w:rPr>
              <w:t>3,672</w:t>
            </w:r>
          </w:p>
        </w:tc>
        <w:tc>
          <w:tcPr>
            <w:tcW w:w="1430" w:type="dxa"/>
            <w:tcBorders>
              <w:top w:val="nil"/>
              <w:left w:val="nil"/>
              <w:bottom w:val="nil"/>
              <w:right w:val="single" w:sz="8" w:space="0" w:color="auto"/>
            </w:tcBorders>
            <w:vAlign w:val="center"/>
            <w:hideMark/>
          </w:tcPr>
          <w:p w:rsidR="00EB788E" w:rsidRPr="00416142" w:rsidP="00B629F0" w14:paraId="0E6F9BF2" w14:textId="77777777">
            <w:pPr>
              <w:jc w:val="right"/>
              <w:rPr>
                <w:szCs w:val="26"/>
              </w:rPr>
            </w:pPr>
            <w:r w:rsidRPr="00416142">
              <w:rPr>
                <w:szCs w:val="26"/>
              </w:rPr>
              <w:t>4</w:t>
            </w:r>
          </w:p>
        </w:tc>
        <w:tc>
          <w:tcPr>
            <w:tcW w:w="1313" w:type="dxa"/>
            <w:tcBorders>
              <w:top w:val="nil"/>
              <w:left w:val="nil"/>
              <w:bottom w:val="nil"/>
              <w:right w:val="single" w:sz="8" w:space="0" w:color="auto"/>
            </w:tcBorders>
            <w:vAlign w:val="center"/>
            <w:hideMark/>
          </w:tcPr>
          <w:p w:rsidR="00EB788E" w:rsidRPr="00416142" w:rsidP="00B629F0" w14:paraId="6ABE463D" w14:textId="0918DDA8">
            <w:pPr>
              <w:jc w:val="right"/>
              <w:rPr>
                <w:szCs w:val="26"/>
              </w:rPr>
            </w:pPr>
            <w:r w:rsidRPr="00416142">
              <w:rPr>
                <w:szCs w:val="26"/>
              </w:rPr>
              <w:t>14,688</w:t>
            </w:r>
          </w:p>
        </w:tc>
        <w:tc>
          <w:tcPr>
            <w:tcW w:w="1243" w:type="dxa"/>
            <w:tcBorders>
              <w:top w:val="nil"/>
              <w:left w:val="nil"/>
              <w:bottom w:val="nil"/>
              <w:right w:val="single" w:sz="8" w:space="0" w:color="auto"/>
            </w:tcBorders>
            <w:vAlign w:val="center"/>
            <w:hideMark/>
          </w:tcPr>
          <w:p w:rsidR="00EB788E" w:rsidRPr="00416142" w:rsidP="00B629F0" w14:paraId="20997C43" w14:textId="5DDA203E">
            <w:pPr>
              <w:jc w:val="right"/>
              <w:rPr>
                <w:color w:val="000000"/>
                <w:szCs w:val="26"/>
              </w:rPr>
            </w:pPr>
            <w:r w:rsidRPr="00416142">
              <w:rPr>
                <w:color w:val="000000"/>
                <w:szCs w:val="26"/>
              </w:rPr>
              <w:t>$1,</w:t>
            </w:r>
            <w:r w:rsidRPr="00416142" w:rsidR="00A25BF7">
              <w:rPr>
                <w:color w:val="000000"/>
                <w:szCs w:val="26"/>
              </w:rPr>
              <w:t>864</w:t>
            </w:r>
            <w:r w:rsidRPr="00416142">
              <w:rPr>
                <w:color w:val="000000"/>
                <w:szCs w:val="26"/>
              </w:rPr>
              <w:t xml:space="preserve"> </w:t>
            </w:r>
          </w:p>
        </w:tc>
        <w:tc>
          <w:tcPr>
            <w:tcW w:w="1416" w:type="dxa"/>
            <w:tcBorders>
              <w:top w:val="nil"/>
              <w:left w:val="nil"/>
              <w:bottom w:val="nil"/>
              <w:right w:val="single" w:sz="8" w:space="0" w:color="auto"/>
            </w:tcBorders>
            <w:vAlign w:val="center"/>
            <w:hideMark/>
          </w:tcPr>
          <w:p w:rsidR="00EB788E" w:rsidRPr="00416142" w:rsidP="00B629F0" w14:paraId="3B40D19C" w14:textId="4F4E0C11">
            <w:pPr>
              <w:jc w:val="right"/>
              <w:rPr>
                <w:color w:val="000000"/>
                <w:szCs w:val="26"/>
              </w:rPr>
            </w:pPr>
            <w:r w:rsidRPr="00416142">
              <w:rPr>
                <w:color w:val="000000"/>
                <w:szCs w:val="26"/>
              </w:rPr>
              <w:t>$</w:t>
            </w:r>
            <w:r w:rsidRPr="00416142" w:rsidR="009D5B2F">
              <w:rPr>
                <w:szCs w:val="26"/>
              </w:rPr>
              <w:t xml:space="preserve"> </w:t>
            </w:r>
            <w:r w:rsidRPr="00416142" w:rsidR="009D5B2F">
              <w:rPr>
                <w:color w:val="000000"/>
                <w:szCs w:val="26"/>
              </w:rPr>
              <w:t>27,382,8</w:t>
            </w:r>
            <w:r w:rsidRPr="00416142" w:rsidR="006229BB">
              <w:rPr>
                <w:color w:val="000000"/>
                <w:szCs w:val="26"/>
              </w:rPr>
              <w:t>59</w:t>
            </w:r>
          </w:p>
        </w:tc>
        <w:tc>
          <w:tcPr>
            <w:tcW w:w="1430" w:type="dxa"/>
            <w:tcBorders>
              <w:top w:val="nil"/>
              <w:left w:val="nil"/>
              <w:bottom w:val="nil"/>
              <w:right w:val="single" w:sz="8" w:space="0" w:color="auto"/>
            </w:tcBorders>
            <w:vAlign w:val="center"/>
            <w:hideMark/>
          </w:tcPr>
          <w:p w:rsidR="00EB788E" w:rsidRPr="00416142" w:rsidP="00B629F0" w14:paraId="40B61B26" w14:textId="34512E18">
            <w:pPr>
              <w:jc w:val="right"/>
              <w:rPr>
                <w:color w:val="000000"/>
                <w:szCs w:val="26"/>
              </w:rPr>
            </w:pPr>
            <w:r w:rsidRPr="00416142">
              <w:rPr>
                <w:color w:val="000000"/>
                <w:szCs w:val="26"/>
              </w:rPr>
              <w:t>$</w:t>
            </w:r>
            <w:r w:rsidRPr="00416142" w:rsidR="004F18E9">
              <w:rPr>
                <w:color w:val="000000"/>
                <w:szCs w:val="26"/>
              </w:rPr>
              <w:t>7,45</w:t>
            </w:r>
            <w:r w:rsidRPr="00416142" w:rsidR="00303D08">
              <w:rPr>
                <w:color w:val="000000"/>
                <w:szCs w:val="26"/>
              </w:rPr>
              <w:t>6</w:t>
            </w:r>
            <w:r w:rsidRPr="00416142">
              <w:rPr>
                <w:color w:val="000000"/>
                <w:szCs w:val="26"/>
              </w:rPr>
              <w:t xml:space="preserve"> </w:t>
            </w:r>
          </w:p>
        </w:tc>
      </w:tr>
      <w:tr w14:paraId="6E1A8E20" w14:textId="77777777" w:rsidTr="00D429F4">
        <w:tblPrEx>
          <w:tblW w:w="10011" w:type="dxa"/>
          <w:tblLayout w:type="fixed"/>
          <w:tblLook w:val="04A0"/>
        </w:tblPrEx>
        <w:trPr>
          <w:trHeight w:val="288"/>
        </w:trPr>
        <w:tc>
          <w:tcPr>
            <w:tcW w:w="1656" w:type="dxa"/>
            <w:vMerge w:val="restart"/>
            <w:tcBorders>
              <w:top w:val="nil"/>
              <w:left w:val="single" w:sz="8" w:space="0" w:color="auto"/>
              <w:bottom w:val="single" w:sz="8" w:space="0" w:color="000000"/>
              <w:right w:val="single" w:sz="8" w:space="0" w:color="auto"/>
            </w:tcBorders>
            <w:vAlign w:val="center"/>
            <w:hideMark/>
          </w:tcPr>
          <w:p w:rsidR="00EB788E" w:rsidRPr="00416142" w:rsidP="00EB788E" w14:paraId="404427F0" w14:textId="77777777">
            <w:pPr>
              <w:jc w:val="right"/>
              <w:rPr>
                <w:color w:val="000000"/>
                <w:szCs w:val="26"/>
              </w:rPr>
            </w:pPr>
            <w:r w:rsidRPr="00416142">
              <w:rPr>
                <w:color w:val="000000"/>
                <w:szCs w:val="26"/>
              </w:rPr>
              <w:t>Total</w:t>
            </w:r>
          </w:p>
        </w:tc>
        <w:tc>
          <w:tcPr>
            <w:tcW w:w="2953" w:type="dxa"/>
            <w:gridSpan w:val="2"/>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rsidR="00EB788E" w:rsidRPr="00416142" w:rsidP="00B629F0" w14:paraId="11BD0386" w14:textId="77777777">
            <w:pPr>
              <w:jc w:val="right"/>
              <w:rPr>
                <w:color w:val="000000"/>
                <w:szCs w:val="26"/>
              </w:rPr>
            </w:pPr>
            <w:r w:rsidRPr="00416142">
              <w:rPr>
                <w:color w:val="000000"/>
                <w:szCs w:val="26"/>
              </w:rPr>
              <w:t> </w:t>
            </w:r>
          </w:p>
        </w:tc>
        <w:tc>
          <w:tcPr>
            <w:tcW w:w="1313" w:type="dxa"/>
            <w:vMerge w:val="restart"/>
            <w:tcBorders>
              <w:top w:val="nil"/>
              <w:left w:val="single" w:sz="8" w:space="0" w:color="auto"/>
              <w:bottom w:val="single" w:sz="8" w:space="0" w:color="000000"/>
              <w:right w:val="single" w:sz="8" w:space="0" w:color="auto"/>
            </w:tcBorders>
            <w:vAlign w:val="center"/>
            <w:hideMark/>
          </w:tcPr>
          <w:p w:rsidR="00EB788E" w:rsidRPr="00416142" w:rsidP="00B629F0" w14:paraId="1B3CDD49" w14:textId="155D9B57">
            <w:pPr>
              <w:jc w:val="right"/>
              <w:rPr>
                <w:color w:val="000000"/>
                <w:szCs w:val="26"/>
              </w:rPr>
            </w:pPr>
            <w:r w:rsidRPr="00416142">
              <w:rPr>
                <w:color w:val="000000"/>
                <w:szCs w:val="26"/>
              </w:rPr>
              <w:t>14,688</w:t>
            </w:r>
          </w:p>
        </w:tc>
        <w:tc>
          <w:tcPr>
            <w:tcW w:w="1243" w:type="dxa"/>
            <w:vMerge w:val="restart"/>
            <w:tcBorders>
              <w:top w:val="nil"/>
              <w:left w:val="single" w:sz="8" w:space="0" w:color="auto"/>
              <w:bottom w:val="single" w:sz="8" w:space="0" w:color="000000"/>
              <w:right w:val="single" w:sz="8" w:space="0" w:color="auto"/>
            </w:tcBorders>
            <w:shd w:val="clear" w:color="000000" w:fill="D9D9D9"/>
            <w:vAlign w:val="center"/>
            <w:hideMark/>
          </w:tcPr>
          <w:p w:rsidR="00EB788E" w:rsidRPr="00416142" w:rsidP="00B629F0" w14:paraId="0901F671" w14:textId="77777777">
            <w:pPr>
              <w:jc w:val="right"/>
              <w:rPr>
                <w:color w:val="000000"/>
                <w:szCs w:val="26"/>
              </w:rPr>
            </w:pPr>
            <w:r w:rsidRPr="00416142">
              <w:rPr>
                <w:color w:val="000000"/>
                <w:szCs w:val="26"/>
              </w:rPr>
              <w:t> </w:t>
            </w:r>
          </w:p>
        </w:tc>
        <w:tc>
          <w:tcPr>
            <w:tcW w:w="1416" w:type="dxa"/>
            <w:tcBorders>
              <w:top w:val="nil"/>
              <w:left w:val="nil"/>
              <w:bottom w:val="nil"/>
              <w:right w:val="single" w:sz="8" w:space="0" w:color="auto"/>
            </w:tcBorders>
            <w:vAlign w:val="center"/>
            <w:hideMark/>
          </w:tcPr>
          <w:p w:rsidR="00EB788E" w:rsidRPr="00416142" w:rsidP="00B629F0" w14:paraId="2B57F404" w14:textId="751F1AB6">
            <w:pPr>
              <w:jc w:val="right"/>
              <w:rPr>
                <w:szCs w:val="26"/>
              </w:rPr>
            </w:pPr>
            <w:r w:rsidRPr="00416142">
              <w:rPr>
                <w:szCs w:val="26"/>
              </w:rPr>
              <w:t xml:space="preserve">265,853 </w:t>
            </w:r>
            <w:r w:rsidRPr="00416142" w:rsidR="00B629F0">
              <w:rPr>
                <w:szCs w:val="26"/>
              </w:rPr>
              <w:t>hrs.</w:t>
            </w:r>
            <w:r w:rsidRPr="00416142">
              <w:rPr>
                <w:szCs w:val="26"/>
              </w:rPr>
              <w:t xml:space="preserve"> </w:t>
            </w:r>
          </w:p>
        </w:tc>
        <w:tc>
          <w:tcPr>
            <w:tcW w:w="1430" w:type="dxa"/>
            <w:tcBorders>
              <w:top w:val="nil"/>
              <w:left w:val="nil"/>
              <w:bottom w:val="nil"/>
              <w:right w:val="single" w:sz="8" w:space="0" w:color="auto"/>
            </w:tcBorders>
            <w:vAlign w:val="center"/>
            <w:hideMark/>
          </w:tcPr>
          <w:p w:rsidR="00EB788E" w:rsidRPr="00416142" w:rsidP="00B629F0" w14:paraId="6839024F" w14:textId="42B88F15">
            <w:pPr>
              <w:jc w:val="right"/>
              <w:rPr>
                <w:color w:val="000000"/>
                <w:szCs w:val="26"/>
              </w:rPr>
            </w:pPr>
          </w:p>
        </w:tc>
      </w:tr>
      <w:tr w14:paraId="76779E2E" w14:textId="77777777" w:rsidTr="00D429F4">
        <w:tblPrEx>
          <w:tblW w:w="10011" w:type="dxa"/>
          <w:tblLayout w:type="fixed"/>
          <w:tblLook w:val="04A0"/>
        </w:tblPrEx>
        <w:trPr>
          <w:trHeight w:val="300"/>
        </w:trPr>
        <w:tc>
          <w:tcPr>
            <w:tcW w:w="1656" w:type="dxa"/>
            <w:vMerge/>
            <w:tcBorders>
              <w:top w:val="nil"/>
              <w:left w:val="single" w:sz="8" w:space="0" w:color="auto"/>
              <w:bottom w:val="single" w:sz="8" w:space="0" w:color="000000"/>
              <w:right w:val="single" w:sz="8" w:space="0" w:color="auto"/>
            </w:tcBorders>
            <w:vAlign w:val="center"/>
            <w:hideMark/>
          </w:tcPr>
          <w:p w:rsidR="00EB788E" w:rsidRPr="00416142" w:rsidP="00EB788E" w14:paraId="0BCB6461" w14:textId="77777777">
            <w:pPr>
              <w:rPr>
                <w:color w:val="000000"/>
                <w:szCs w:val="26"/>
              </w:rPr>
            </w:pPr>
          </w:p>
        </w:tc>
        <w:tc>
          <w:tcPr>
            <w:tcW w:w="2953" w:type="dxa"/>
            <w:gridSpan w:val="2"/>
            <w:vMerge/>
            <w:tcBorders>
              <w:top w:val="single" w:sz="8" w:space="0" w:color="auto"/>
              <w:left w:val="single" w:sz="8" w:space="0" w:color="auto"/>
              <w:bottom w:val="single" w:sz="8" w:space="0" w:color="000000"/>
              <w:right w:val="single" w:sz="8" w:space="0" w:color="000000"/>
            </w:tcBorders>
            <w:vAlign w:val="center"/>
            <w:hideMark/>
          </w:tcPr>
          <w:p w:rsidR="00EB788E" w:rsidRPr="00416142" w:rsidP="00B629F0" w14:paraId="14D68F5E" w14:textId="77777777">
            <w:pPr>
              <w:jc w:val="right"/>
              <w:rPr>
                <w:color w:val="000000"/>
                <w:szCs w:val="26"/>
              </w:rPr>
            </w:pPr>
          </w:p>
        </w:tc>
        <w:tc>
          <w:tcPr>
            <w:tcW w:w="1313" w:type="dxa"/>
            <w:vMerge/>
            <w:tcBorders>
              <w:top w:val="nil"/>
              <w:left w:val="single" w:sz="8" w:space="0" w:color="auto"/>
              <w:bottom w:val="single" w:sz="8" w:space="0" w:color="000000"/>
              <w:right w:val="single" w:sz="8" w:space="0" w:color="auto"/>
            </w:tcBorders>
            <w:vAlign w:val="center"/>
            <w:hideMark/>
          </w:tcPr>
          <w:p w:rsidR="00EB788E" w:rsidRPr="00416142" w:rsidP="00B629F0" w14:paraId="0646D07C" w14:textId="77777777">
            <w:pPr>
              <w:jc w:val="right"/>
              <w:rPr>
                <w:color w:val="000000"/>
                <w:szCs w:val="26"/>
              </w:rPr>
            </w:pPr>
          </w:p>
        </w:tc>
        <w:tc>
          <w:tcPr>
            <w:tcW w:w="1243" w:type="dxa"/>
            <w:vMerge/>
            <w:tcBorders>
              <w:top w:val="nil"/>
              <w:left w:val="single" w:sz="8" w:space="0" w:color="auto"/>
              <w:bottom w:val="single" w:sz="8" w:space="0" w:color="000000"/>
              <w:right w:val="single" w:sz="8" w:space="0" w:color="auto"/>
            </w:tcBorders>
            <w:vAlign w:val="center"/>
            <w:hideMark/>
          </w:tcPr>
          <w:p w:rsidR="00EB788E" w:rsidRPr="00416142" w:rsidP="00B629F0" w14:paraId="65B8D586" w14:textId="77777777">
            <w:pPr>
              <w:jc w:val="right"/>
              <w:rPr>
                <w:color w:val="000000"/>
                <w:szCs w:val="26"/>
              </w:rPr>
            </w:pPr>
          </w:p>
        </w:tc>
        <w:tc>
          <w:tcPr>
            <w:tcW w:w="1416" w:type="dxa"/>
            <w:tcBorders>
              <w:top w:val="nil"/>
              <w:left w:val="nil"/>
              <w:bottom w:val="single" w:sz="8" w:space="0" w:color="auto"/>
              <w:right w:val="single" w:sz="8" w:space="0" w:color="auto"/>
            </w:tcBorders>
            <w:vAlign w:val="center"/>
            <w:hideMark/>
          </w:tcPr>
          <w:p w:rsidR="00EB788E" w:rsidRPr="00416142" w:rsidP="00B629F0" w14:paraId="7EE46385" w14:textId="5DE66246">
            <w:pPr>
              <w:jc w:val="right"/>
              <w:rPr>
                <w:color w:val="000000"/>
                <w:szCs w:val="26"/>
              </w:rPr>
            </w:pPr>
            <w:r w:rsidRPr="00416142">
              <w:rPr>
                <w:color w:val="000000"/>
                <w:szCs w:val="26"/>
              </w:rPr>
              <w:t>$</w:t>
            </w:r>
            <w:r w:rsidRPr="00416142" w:rsidR="009D5B2F">
              <w:rPr>
                <w:szCs w:val="26"/>
              </w:rPr>
              <w:t xml:space="preserve"> </w:t>
            </w:r>
            <w:r w:rsidRPr="00416142" w:rsidR="009D5B2F">
              <w:rPr>
                <w:color w:val="000000"/>
                <w:szCs w:val="26"/>
              </w:rPr>
              <w:t>27,382,8</w:t>
            </w:r>
            <w:r w:rsidRPr="00416142" w:rsidR="006229BB">
              <w:rPr>
                <w:color w:val="000000"/>
                <w:szCs w:val="26"/>
              </w:rPr>
              <w:t>59</w:t>
            </w:r>
          </w:p>
        </w:tc>
        <w:tc>
          <w:tcPr>
            <w:tcW w:w="1430" w:type="dxa"/>
            <w:tcBorders>
              <w:top w:val="nil"/>
              <w:left w:val="nil"/>
              <w:bottom w:val="single" w:sz="8" w:space="0" w:color="auto"/>
              <w:right w:val="single" w:sz="8" w:space="0" w:color="auto"/>
            </w:tcBorders>
            <w:vAlign w:val="center"/>
            <w:hideMark/>
          </w:tcPr>
          <w:p w:rsidR="00EB788E" w:rsidRPr="00416142" w:rsidP="00B629F0" w14:paraId="1ACAF076" w14:textId="48C390BB">
            <w:pPr>
              <w:jc w:val="right"/>
              <w:rPr>
                <w:color w:val="000000"/>
                <w:szCs w:val="26"/>
              </w:rPr>
            </w:pPr>
            <w:r w:rsidRPr="00416142">
              <w:rPr>
                <w:color w:val="000000"/>
                <w:szCs w:val="26"/>
              </w:rPr>
              <w:t>$</w:t>
            </w:r>
            <w:r w:rsidRPr="00416142" w:rsidR="004F18E9">
              <w:rPr>
                <w:color w:val="000000"/>
                <w:szCs w:val="26"/>
              </w:rPr>
              <w:t>7,45</w:t>
            </w:r>
            <w:r w:rsidRPr="00416142" w:rsidR="00303D08">
              <w:rPr>
                <w:color w:val="000000"/>
                <w:szCs w:val="26"/>
              </w:rPr>
              <w:t>6</w:t>
            </w:r>
          </w:p>
        </w:tc>
      </w:tr>
    </w:tbl>
    <w:p w:rsidR="00854B75" w:rsidRPr="00416142" w:rsidP="007050F2" w14:paraId="63A22942" w14:textId="77777777">
      <w:pPr>
        <w:spacing w:line="480" w:lineRule="auto"/>
        <w:rPr>
          <w:i/>
          <w:szCs w:val="26"/>
        </w:rPr>
      </w:pPr>
    </w:p>
    <w:p w:rsidR="007050F2" w:rsidRPr="00416142" w:rsidP="007050F2" w14:paraId="604E550D" w14:textId="5A1AF744">
      <w:pPr>
        <w:spacing w:line="480" w:lineRule="auto"/>
        <w:rPr>
          <w:szCs w:val="26"/>
        </w:rPr>
      </w:pPr>
      <w:r w:rsidRPr="00416142">
        <w:rPr>
          <w:i/>
          <w:szCs w:val="26"/>
        </w:rPr>
        <w:t>Comments:</w:t>
      </w:r>
      <w:r w:rsidRPr="00416142" w:rsidR="00A36A88">
        <w:rPr>
          <w:i/>
          <w:szCs w:val="26"/>
        </w:rPr>
        <w:t xml:space="preserve"> </w:t>
      </w:r>
      <w:r w:rsidRPr="00416142">
        <w:rPr>
          <w:szCs w:val="26"/>
        </w:rPr>
        <w:t>Comments are invited on:</w:t>
      </w:r>
      <w:r w:rsidRPr="00416142" w:rsidR="00A36A88">
        <w:rPr>
          <w:szCs w:val="26"/>
        </w:rPr>
        <w:t xml:space="preserve"> </w:t>
      </w:r>
      <w:r w:rsidRPr="00416142">
        <w:rPr>
          <w:szCs w:val="26"/>
        </w:rPr>
        <w:t>(1) whether the collection of information is necessary for the proper performance of the functions of the Commission, including whether the information will have practical utility; (2) the accuracy of the agency’s estimate of the burden and cost of the collection of information, including the validity of the methodology and assumptions used; (3) ways to enhance the quality, utility and clarity of the information collection; and (4) ways to minimize the burden of the collection of information on those who are to respond, including the use of automated collection techniques or other forms of information technology.</w:t>
      </w:r>
      <w:r w:rsidRPr="00416142" w:rsidR="00A36A88">
        <w:rPr>
          <w:szCs w:val="26"/>
        </w:rPr>
        <w:t xml:space="preserve"> </w:t>
      </w:r>
    </w:p>
    <w:p w:rsidR="00CD173A" w:rsidRPr="00416142" w:rsidP="002B69CF" w14:paraId="7D20A27F" w14:textId="77777777">
      <w:pPr>
        <w:ind w:firstLine="2174"/>
        <w:jc w:val="center"/>
        <w:rPr>
          <w:szCs w:val="26"/>
        </w:rPr>
      </w:pPr>
    </w:p>
    <w:p w:rsidR="00D429F4" w:rsidRPr="00416142" w:rsidP="002B69CF" w14:paraId="1BAABCA1" w14:textId="77777777">
      <w:pPr>
        <w:ind w:firstLine="2174"/>
        <w:jc w:val="center"/>
        <w:rPr>
          <w:szCs w:val="26"/>
        </w:rPr>
      </w:pPr>
      <w:r w:rsidRPr="00416142">
        <w:rPr>
          <w:szCs w:val="26"/>
        </w:rPr>
        <w:t>Debbie-Anne A. Reese, </w:t>
      </w:r>
    </w:p>
    <w:p w:rsidR="00B77757" w:rsidRPr="00416142" w:rsidP="002B69CF" w14:paraId="4A12364E" w14:textId="58ADB94E">
      <w:pPr>
        <w:ind w:firstLine="2174"/>
        <w:jc w:val="center"/>
        <w:rPr>
          <w:szCs w:val="26"/>
        </w:rPr>
      </w:pPr>
      <w:r w:rsidRPr="00416142">
        <w:rPr>
          <w:szCs w:val="26"/>
        </w:rPr>
        <w:t>Secretary.</w:t>
      </w:r>
    </w:p>
    <w:p w:rsidR="00B77757" w:rsidRPr="00416142" w14:paraId="01DCA97B" w14:textId="45CA0EF9">
      <w:pPr>
        <w:rPr>
          <w:szCs w:val="26"/>
        </w:rPr>
      </w:pPr>
    </w:p>
    <w:p w:rsidR="00B77757" w:rsidRPr="00416142" w:rsidP="00184F0D" w14:paraId="492DDEF6" w14:textId="77777777">
      <w:pPr>
        <w:rPr>
          <w:szCs w:val="26"/>
        </w:rPr>
      </w:pPr>
    </w:p>
    <w:sectPr w:rsidSect="00EF5878">
      <w:headerReference w:type="even" r:id="rId12"/>
      <w:headerReference w:type="default" r:id="rId13"/>
      <w:headerReference w:type="firs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D4BF1" w14:paraId="19B483A1" w14:textId="77777777">
      <w:r>
        <w:separator/>
      </w:r>
    </w:p>
  </w:footnote>
  <w:footnote w:type="continuationSeparator" w:id="1">
    <w:p w:rsidR="008D4BF1" w14:paraId="1F171A40" w14:textId="77777777">
      <w:r>
        <w:continuationSeparator/>
      </w:r>
    </w:p>
  </w:footnote>
  <w:footnote w:type="continuationNotice" w:id="2">
    <w:p w:rsidR="008D4BF1" w14:paraId="209865F7" w14:textId="77777777"/>
  </w:footnote>
  <w:footnote w:id="3">
    <w:p w:rsidR="001B095E" w:rsidRPr="00D80A2C" w14:paraId="7F2B0466" w14:textId="49AF21C7">
      <w:pPr>
        <w:pStyle w:val="FootnoteText"/>
        <w:rPr>
          <w:sz w:val="20"/>
        </w:rPr>
      </w:pPr>
      <w:bookmarkStart w:id="1" w:name="_Hlk82612927"/>
      <w:r w:rsidRPr="00D80A2C">
        <w:rPr>
          <w:rStyle w:val="FootnoteReference"/>
          <w:sz w:val="20"/>
          <w:szCs w:val="20"/>
        </w:rPr>
        <w:footnoteRef/>
      </w:r>
      <w:r w:rsidRPr="00D80A2C">
        <w:rPr>
          <w:sz w:val="20"/>
        </w:rPr>
        <w:t xml:space="preserve"> This Notice is separate from, and does not address, the activities in Docket No. </w:t>
      </w:r>
      <w:r w:rsidR="001B0BF1">
        <w:rPr>
          <w:sz w:val="20"/>
        </w:rPr>
        <w:t>RM23-9-000</w:t>
      </w:r>
      <w:r w:rsidRPr="00D80A2C">
        <w:rPr>
          <w:sz w:val="20"/>
        </w:rPr>
        <w:t>.</w:t>
      </w:r>
      <w:bookmarkEnd w:id="1"/>
    </w:p>
  </w:footnote>
  <w:footnote w:id="4">
    <w:p w:rsidR="001B095E" w:rsidRPr="00D80A2C" w:rsidP="005B58F4" w14:paraId="7D313389" w14:textId="349ED513">
      <w:pPr>
        <w:pStyle w:val="FootnoteText"/>
        <w:rPr>
          <w:sz w:val="20"/>
        </w:rPr>
      </w:pPr>
      <w:r w:rsidRPr="00D80A2C">
        <w:rPr>
          <w:rStyle w:val="FootnoteReference"/>
          <w:sz w:val="20"/>
          <w:szCs w:val="20"/>
        </w:rPr>
        <w:footnoteRef/>
      </w:r>
      <w:r w:rsidRPr="00D80A2C">
        <w:rPr>
          <w:sz w:val="20"/>
        </w:rPr>
        <w:t xml:space="preserve"> </w:t>
      </w:r>
      <w:r w:rsidRPr="00D80A2C">
        <w:rPr>
          <w:i/>
          <w:sz w:val="20"/>
        </w:rPr>
        <w:t>Revised Public Utility Filing Requirements</w:t>
      </w:r>
      <w:r w:rsidRPr="00D80A2C">
        <w:rPr>
          <w:sz w:val="20"/>
        </w:rPr>
        <w:t xml:space="preserve">, Order No. 2001, </w:t>
      </w:r>
      <w:r w:rsidR="00050EC0">
        <w:rPr>
          <w:sz w:val="20"/>
        </w:rPr>
        <w:t xml:space="preserve">99 FERC </w:t>
      </w:r>
      <w:r w:rsidRPr="00D80A2C" w:rsidR="00050EC0">
        <w:rPr>
          <w:sz w:val="20"/>
        </w:rPr>
        <w:t>¶</w:t>
      </w:r>
      <w:r w:rsidR="00C57589">
        <w:rPr>
          <w:sz w:val="20"/>
        </w:rPr>
        <w:t xml:space="preserve"> 61,107</w:t>
      </w:r>
      <w:r w:rsidRPr="00D80A2C">
        <w:rPr>
          <w:sz w:val="20"/>
        </w:rPr>
        <w:t xml:space="preserve"> (2002), </w:t>
      </w:r>
      <w:r w:rsidRPr="00D80A2C">
        <w:rPr>
          <w:i/>
          <w:sz w:val="20"/>
        </w:rPr>
        <w:t>reh’g denied</w:t>
      </w:r>
      <w:r w:rsidRPr="00D80A2C">
        <w:rPr>
          <w:sz w:val="20"/>
        </w:rPr>
        <w:t xml:space="preserve">, Order No. 2001-A, 100 FERC ¶ 61,074, </w:t>
      </w:r>
      <w:r w:rsidRPr="00D80A2C">
        <w:rPr>
          <w:i/>
          <w:sz w:val="20"/>
        </w:rPr>
        <w:t>reh’g denied</w:t>
      </w:r>
      <w:r w:rsidRPr="00D80A2C">
        <w:rPr>
          <w:sz w:val="20"/>
        </w:rPr>
        <w:t xml:space="preserve">, Order No. 2001-B, 100 FERC ¶ 61,342, </w:t>
      </w:r>
      <w:r w:rsidRPr="00D80A2C">
        <w:rPr>
          <w:i/>
          <w:sz w:val="20"/>
        </w:rPr>
        <w:t>order directing filing</w:t>
      </w:r>
      <w:r w:rsidRPr="00D80A2C">
        <w:rPr>
          <w:sz w:val="20"/>
        </w:rPr>
        <w:t xml:space="preserve">, Order No. 2001-C, 101 FERC ¶ 61,314 (2002), </w:t>
      </w:r>
      <w:r w:rsidRPr="00D80A2C">
        <w:rPr>
          <w:i/>
          <w:sz w:val="20"/>
        </w:rPr>
        <w:t>order directing filing</w:t>
      </w:r>
      <w:r w:rsidRPr="00D80A2C">
        <w:rPr>
          <w:sz w:val="20"/>
        </w:rPr>
        <w:t xml:space="preserve">, Order No. 2001-D, 102 FERC ¶ 61,334, </w:t>
      </w:r>
      <w:r w:rsidRPr="00D80A2C">
        <w:rPr>
          <w:i/>
          <w:sz w:val="20"/>
        </w:rPr>
        <w:t>order refining filing requirements</w:t>
      </w:r>
      <w:r w:rsidRPr="00D80A2C">
        <w:rPr>
          <w:sz w:val="20"/>
        </w:rPr>
        <w:t xml:space="preserve">, Order No. 2001-E, 105 FERC ¶ 61,352 (2003), </w:t>
      </w:r>
      <w:r w:rsidRPr="00D80A2C">
        <w:rPr>
          <w:i/>
          <w:iCs/>
          <w:sz w:val="20"/>
        </w:rPr>
        <w:t>order on clarification</w:t>
      </w:r>
      <w:r w:rsidRPr="00D80A2C">
        <w:rPr>
          <w:sz w:val="20"/>
        </w:rPr>
        <w:t xml:space="preserve">, Order No. 2001-F, 106 FERC ¶ 61,060 (2004), </w:t>
      </w:r>
      <w:r w:rsidRPr="00D80A2C">
        <w:rPr>
          <w:i/>
          <w:sz w:val="20"/>
        </w:rPr>
        <w:t>order revising filing requirements</w:t>
      </w:r>
      <w:r w:rsidRPr="00D80A2C">
        <w:rPr>
          <w:sz w:val="20"/>
        </w:rPr>
        <w:t>, Order No. 2001-G,</w:t>
      </w:r>
      <w:r w:rsidR="00AD129B">
        <w:rPr>
          <w:sz w:val="20"/>
        </w:rPr>
        <w:t xml:space="preserve"> 120 FERC </w:t>
      </w:r>
      <w:r w:rsidRPr="00D80A2C" w:rsidR="00AD129B">
        <w:rPr>
          <w:sz w:val="20"/>
        </w:rPr>
        <w:t>¶</w:t>
      </w:r>
      <w:r w:rsidR="00AD129B">
        <w:rPr>
          <w:sz w:val="20"/>
        </w:rPr>
        <w:t xml:space="preserve"> 61,270</w:t>
      </w:r>
      <w:r w:rsidR="000739A5">
        <w:rPr>
          <w:sz w:val="20"/>
        </w:rPr>
        <w:t>,</w:t>
      </w:r>
      <w:r w:rsidRPr="00D80A2C">
        <w:rPr>
          <w:sz w:val="20"/>
        </w:rPr>
        <w:t xml:space="preserve"> </w:t>
      </w:r>
      <w:r w:rsidR="000739A5">
        <w:rPr>
          <w:sz w:val="20"/>
        </w:rPr>
        <w:t>(</w:t>
      </w:r>
      <w:r w:rsidRPr="00D80A2C">
        <w:rPr>
          <w:sz w:val="20"/>
        </w:rPr>
        <w:t xml:space="preserve">2007), </w:t>
      </w:r>
      <w:r w:rsidRPr="00D80A2C">
        <w:rPr>
          <w:i/>
          <w:sz w:val="20"/>
        </w:rPr>
        <w:t>order on reh’g and clarification</w:t>
      </w:r>
      <w:r w:rsidRPr="00D80A2C">
        <w:rPr>
          <w:sz w:val="20"/>
        </w:rPr>
        <w:t>, Order No. 2001-H,</w:t>
      </w:r>
      <w:r w:rsidR="00EB1D55">
        <w:rPr>
          <w:sz w:val="20"/>
        </w:rPr>
        <w:t xml:space="preserve"> 121 FERC </w:t>
      </w:r>
      <w:r w:rsidRPr="00D80A2C" w:rsidR="00EB1D55">
        <w:rPr>
          <w:sz w:val="20"/>
        </w:rPr>
        <w:t>¶</w:t>
      </w:r>
      <w:r w:rsidR="00EB1D55">
        <w:rPr>
          <w:sz w:val="20"/>
        </w:rPr>
        <w:t xml:space="preserve"> 61,289</w:t>
      </w:r>
      <w:r w:rsidRPr="00D80A2C">
        <w:rPr>
          <w:sz w:val="20"/>
        </w:rPr>
        <w:t xml:space="preserve"> </w:t>
      </w:r>
      <w:r w:rsidR="0044625F">
        <w:rPr>
          <w:sz w:val="20"/>
        </w:rPr>
        <w:t>(</w:t>
      </w:r>
      <w:r w:rsidRPr="00D80A2C">
        <w:rPr>
          <w:sz w:val="20"/>
        </w:rPr>
        <w:t xml:space="preserve">2008),, </w:t>
      </w:r>
      <w:r w:rsidRPr="00D80A2C">
        <w:rPr>
          <w:i/>
          <w:sz w:val="20"/>
        </w:rPr>
        <w:t>order revising filing requirements</w:t>
      </w:r>
      <w:r w:rsidRPr="00D80A2C">
        <w:rPr>
          <w:sz w:val="20"/>
        </w:rPr>
        <w:t>,</w:t>
      </w:r>
      <w:r w:rsidRPr="00D80A2C">
        <w:rPr>
          <w:i/>
          <w:sz w:val="20"/>
        </w:rPr>
        <w:t xml:space="preserve"> </w:t>
      </w:r>
      <w:r w:rsidRPr="00D80A2C">
        <w:rPr>
          <w:sz w:val="20"/>
        </w:rPr>
        <w:t xml:space="preserve">Order No. 2001-I, </w:t>
      </w:r>
      <w:r w:rsidR="00CD531D">
        <w:rPr>
          <w:sz w:val="20"/>
        </w:rPr>
        <w:t xml:space="preserve">125 FERC </w:t>
      </w:r>
      <w:r w:rsidRPr="00D80A2C" w:rsidR="00CD531D">
        <w:rPr>
          <w:sz w:val="20"/>
        </w:rPr>
        <w:t>¶</w:t>
      </w:r>
      <w:r w:rsidR="00CD531D">
        <w:rPr>
          <w:sz w:val="20"/>
        </w:rPr>
        <w:t xml:space="preserve"> 61,103 (</w:t>
      </w:r>
      <w:r w:rsidRPr="00D80A2C">
        <w:rPr>
          <w:sz w:val="20"/>
        </w:rPr>
        <w:t>2008)</w:t>
      </w:r>
      <w:r w:rsidR="005E6F00">
        <w:rPr>
          <w:sz w:val="20"/>
        </w:rPr>
        <w:t>.</w:t>
      </w:r>
      <w:r w:rsidRPr="00D80A2C">
        <w:rPr>
          <w:sz w:val="20"/>
        </w:rPr>
        <w:t>.</w:t>
      </w:r>
    </w:p>
  </w:footnote>
  <w:footnote w:id="5">
    <w:p w:rsidR="001B095E" w:rsidRPr="002546F2" w14:paraId="62153454" w14:textId="7C25F1D3">
      <w:pPr>
        <w:pStyle w:val="FootnoteText"/>
        <w:rPr>
          <w:sz w:val="20"/>
        </w:rPr>
      </w:pPr>
      <w:r w:rsidRPr="002546F2">
        <w:rPr>
          <w:rStyle w:val="FootnoteReference"/>
          <w:sz w:val="20"/>
          <w:szCs w:val="20"/>
        </w:rPr>
        <w:footnoteRef/>
      </w:r>
      <w:r w:rsidR="00A36A88">
        <w:rPr>
          <w:sz w:val="20"/>
        </w:rPr>
        <w:t xml:space="preserve"> </w:t>
      </w:r>
      <w:r w:rsidRPr="002546F2" w:rsidR="00DC4902">
        <w:rPr>
          <w:sz w:val="20"/>
        </w:rPr>
        <w:t>16 U.S.C. 824d(c).</w:t>
      </w:r>
    </w:p>
  </w:footnote>
  <w:footnote w:id="6">
    <w:p w:rsidR="00790CA4" w:rsidRPr="000A1E35" w14:paraId="2A0FC8D3" w14:textId="60A3F89C">
      <w:pPr>
        <w:pStyle w:val="FootnoteText"/>
        <w:rPr>
          <w:sz w:val="20"/>
        </w:rPr>
      </w:pPr>
      <w:r w:rsidRPr="000A1E35">
        <w:rPr>
          <w:rStyle w:val="FootnoteReference"/>
          <w:sz w:val="20"/>
          <w:szCs w:val="20"/>
        </w:rPr>
        <w:footnoteRef/>
      </w:r>
      <w:r w:rsidRPr="000A1E35">
        <w:rPr>
          <w:sz w:val="20"/>
        </w:rPr>
        <w:t xml:space="preserve"> Order No. 2001, 99 FERC ¶ 61,107 (2002</w:t>
      </w:r>
    </w:p>
  </w:footnote>
  <w:footnote w:id="7">
    <w:p w:rsidR="5C77149E" w:rsidRPr="000A1E35" w:rsidP="5C77149E" w14:paraId="77BA431B" w14:textId="33C21BAB">
      <w:pPr>
        <w:rPr>
          <w:sz w:val="20"/>
          <w:szCs w:val="20"/>
        </w:rPr>
      </w:pPr>
      <w:r w:rsidRPr="0077309A">
        <w:rPr>
          <w:b/>
          <w:bCs/>
          <w:sz w:val="20"/>
          <w:szCs w:val="20"/>
          <w:vertAlign w:val="superscript"/>
        </w:rPr>
        <w:footnoteRef/>
      </w:r>
      <w:r w:rsidRPr="000A1E35">
        <w:rPr>
          <w:sz w:val="20"/>
          <w:szCs w:val="20"/>
        </w:rPr>
        <w:t xml:space="preserve"> </w:t>
      </w:r>
      <w:r w:rsidRPr="000A1E35">
        <w:rPr>
          <w:i/>
          <w:iCs/>
          <w:sz w:val="20"/>
          <w:szCs w:val="20"/>
        </w:rPr>
        <w:t>California ex rel. Lockyer v. FERC,</w:t>
      </w:r>
      <w:r w:rsidRPr="000A1E35">
        <w:rPr>
          <w:sz w:val="20"/>
          <w:szCs w:val="20"/>
        </w:rPr>
        <w:t xml:space="preserve"> 383 F.3d 1006, 1013 (9th Cir. 2004) (</w:t>
      </w:r>
      <w:r w:rsidRPr="000A1E35">
        <w:rPr>
          <w:i/>
          <w:iCs/>
          <w:sz w:val="20"/>
          <w:szCs w:val="20"/>
        </w:rPr>
        <w:t>Lockyer</w:t>
      </w:r>
      <w:r w:rsidRPr="000A1E35">
        <w:rPr>
          <w:sz w:val="20"/>
          <w:szCs w:val="20"/>
        </w:rPr>
        <w:t>) (emphasis in original).</w:t>
      </w:r>
      <w:r w:rsidRPr="000A1E35" w:rsidR="00A36A88">
        <w:rPr>
          <w:sz w:val="20"/>
          <w:szCs w:val="20"/>
        </w:rPr>
        <w:t xml:space="preserve"> </w:t>
      </w:r>
      <w:r w:rsidRPr="000A1E35">
        <w:rPr>
          <w:i/>
          <w:iCs/>
          <w:sz w:val="20"/>
          <w:szCs w:val="20"/>
        </w:rPr>
        <w:t>See also</w:t>
      </w:r>
      <w:r w:rsidRPr="000A1E35">
        <w:rPr>
          <w:sz w:val="20"/>
          <w:szCs w:val="20"/>
        </w:rPr>
        <w:t xml:space="preserve"> </w:t>
      </w:r>
      <w:r w:rsidRPr="000A1E35">
        <w:rPr>
          <w:i/>
          <w:iCs/>
          <w:sz w:val="20"/>
          <w:szCs w:val="20"/>
        </w:rPr>
        <w:t>Mont. Consumer Counsel v. FERC</w:t>
      </w:r>
      <w:r w:rsidRPr="000A1E35">
        <w:rPr>
          <w:sz w:val="20"/>
          <w:szCs w:val="20"/>
        </w:rPr>
        <w:t>, 659 F.3d 910, 920 (9th Cir. 2011).</w:t>
      </w:r>
    </w:p>
  </w:footnote>
  <w:footnote w:id="8">
    <w:p w:rsidR="00B557B4" w14:paraId="6E4A8E8C" w14:textId="4DD98078">
      <w:pPr>
        <w:pStyle w:val="FootnoteText"/>
      </w:pPr>
      <w:r w:rsidRPr="000A1E35">
        <w:rPr>
          <w:rStyle w:val="FootnoteReference"/>
          <w:sz w:val="20"/>
          <w:szCs w:val="20"/>
        </w:rPr>
        <w:footnoteRef/>
      </w:r>
      <w:r w:rsidRPr="000A1E35">
        <w:rPr>
          <w:sz w:val="20"/>
        </w:rPr>
        <w:t xml:space="preserve"> </w:t>
      </w:r>
      <w:r w:rsidRPr="000A1E35">
        <w:rPr>
          <w:i/>
          <w:iCs/>
          <w:sz w:val="20"/>
        </w:rPr>
        <w:t>Lockyer</w:t>
      </w:r>
      <w:r w:rsidRPr="000A1E35">
        <w:rPr>
          <w:sz w:val="20"/>
        </w:rPr>
        <w:t>, 383 F.3d at 1013.</w:t>
      </w:r>
    </w:p>
  </w:footnote>
  <w:footnote w:id="9">
    <w:p w:rsidR="001B095E" w:rsidRPr="002546F2" w:rsidP="00F671A2" w14:paraId="03C8A3D4" w14:textId="07509551">
      <w:pPr>
        <w:pStyle w:val="FootnoteText"/>
        <w:rPr>
          <w:sz w:val="20"/>
        </w:rPr>
      </w:pPr>
      <w:r w:rsidRPr="002546F2">
        <w:rPr>
          <w:rStyle w:val="FootnoteReference"/>
          <w:sz w:val="20"/>
          <w:szCs w:val="20"/>
        </w:rPr>
        <w:footnoteRef/>
      </w:r>
      <w:r w:rsidRPr="002546F2">
        <w:rPr>
          <w:sz w:val="20"/>
        </w:rPr>
        <w:t xml:space="preserve"> </w:t>
      </w:r>
      <w:r w:rsidRPr="002546F2">
        <w:rPr>
          <w:i/>
          <w:sz w:val="20"/>
        </w:rPr>
        <w:t>See,</w:t>
      </w:r>
      <w:r w:rsidRPr="002546F2">
        <w:rPr>
          <w:sz w:val="20"/>
        </w:rPr>
        <w:t xml:space="preserve"> </w:t>
      </w:r>
      <w:r w:rsidRPr="002546F2">
        <w:rPr>
          <w:i/>
          <w:sz w:val="20"/>
        </w:rPr>
        <w:t>e.g.</w:t>
      </w:r>
      <w:r w:rsidRPr="002546F2">
        <w:rPr>
          <w:sz w:val="20"/>
        </w:rPr>
        <w:t xml:space="preserve">, </w:t>
      </w:r>
      <w:r w:rsidRPr="002546F2">
        <w:rPr>
          <w:i/>
          <w:sz w:val="20"/>
        </w:rPr>
        <w:t>Revised Public Utility Filing Requirements for Electric Quarterly Reports</w:t>
      </w:r>
      <w:r w:rsidRPr="002546F2">
        <w:rPr>
          <w:sz w:val="20"/>
        </w:rPr>
        <w:t>, 124 FERC ¶ 61,244 (2008) (providing guidance on the filing of information on transmission capacity reassignments in EQRs).</w:t>
      </w:r>
      <w:r w:rsidRPr="002546F2">
        <w:rPr>
          <w:i/>
          <w:sz w:val="20"/>
        </w:rPr>
        <w:t xml:space="preserve"> </w:t>
      </w:r>
    </w:p>
  </w:footnote>
  <w:footnote w:id="10">
    <w:p w:rsidR="001B095E" w:rsidRPr="002546F2" w14:paraId="00D38E1E" w14:textId="6882FBD5">
      <w:pPr>
        <w:pStyle w:val="FootnoteText"/>
        <w:rPr>
          <w:sz w:val="20"/>
        </w:rPr>
      </w:pPr>
      <w:r w:rsidRPr="002546F2">
        <w:rPr>
          <w:rStyle w:val="FootnoteReference"/>
          <w:sz w:val="20"/>
          <w:szCs w:val="20"/>
        </w:rPr>
        <w:footnoteRef/>
      </w:r>
      <w:r w:rsidRPr="002546F2">
        <w:rPr>
          <w:sz w:val="20"/>
        </w:rPr>
        <w:t xml:space="preserve"> Order No. 2001-G, 120 FERC ¶ 61,270 (2007).</w:t>
      </w:r>
    </w:p>
  </w:footnote>
  <w:footnote w:id="11">
    <w:p w:rsidR="001B095E" w:rsidRPr="003C5B35" w:rsidP="00D46AC5" w14:paraId="2E47B968" w14:textId="77777777">
      <w:pPr>
        <w:pStyle w:val="FootnoteText"/>
        <w:rPr>
          <w:sz w:val="26"/>
          <w:szCs w:val="26"/>
        </w:rPr>
      </w:pPr>
      <w:r w:rsidRPr="002546F2">
        <w:rPr>
          <w:rStyle w:val="FootnoteReference"/>
          <w:sz w:val="20"/>
          <w:szCs w:val="20"/>
        </w:rPr>
        <w:footnoteRef/>
      </w:r>
      <w:r w:rsidRPr="002546F2">
        <w:rPr>
          <w:sz w:val="20"/>
        </w:rPr>
        <w:t xml:space="preserve"> Order No. 768, 77 Fed. Reg. 61896 (Oct. 11, 2012), FERC Stats. &amp; Regs. ¶ 31,336 (2012).</w:t>
      </w:r>
    </w:p>
  </w:footnote>
  <w:footnote w:id="12">
    <w:p w:rsidR="001B095E" w:rsidRPr="002546F2" w14:paraId="7651FCEB" w14:textId="1B2E941F">
      <w:pPr>
        <w:pStyle w:val="FootnoteText"/>
        <w:rPr>
          <w:sz w:val="20"/>
        </w:rPr>
      </w:pPr>
      <w:r w:rsidRPr="002546F2">
        <w:rPr>
          <w:rStyle w:val="FootnoteReference"/>
          <w:sz w:val="20"/>
          <w:szCs w:val="20"/>
        </w:rPr>
        <w:footnoteRef/>
      </w:r>
      <w:r w:rsidRPr="002546F2">
        <w:rPr>
          <w:sz w:val="20"/>
        </w:rPr>
        <w:t xml:space="preserve"> The cost is based on FERC’s 202</w:t>
      </w:r>
      <w:r w:rsidR="002546F2">
        <w:rPr>
          <w:sz w:val="20"/>
        </w:rPr>
        <w:t>5</w:t>
      </w:r>
      <w:r w:rsidRPr="002546F2">
        <w:rPr>
          <w:sz w:val="20"/>
        </w:rPr>
        <w:t xml:space="preserve"> Commission-wide average salary cost (salary plus benefits) of $</w:t>
      </w:r>
      <w:r w:rsidR="002546F2">
        <w:rPr>
          <w:sz w:val="20"/>
        </w:rPr>
        <w:t>103</w:t>
      </w:r>
      <w:r w:rsidRPr="002546F2">
        <w:rPr>
          <w:sz w:val="20"/>
        </w:rPr>
        <w:t>/hour.</w:t>
      </w:r>
      <w:r w:rsidR="00A36A88">
        <w:rPr>
          <w:sz w:val="20"/>
        </w:rPr>
        <w:t xml:space="preserve"> </w:t>
      </w:r>
      <w:r w:rsidRPr="002546F2">
        <w:rPr>
          <w:sz w:val="20"/>
        </w:rPr>
        <w:t>The Commission staff believes the FERC FTE (full-time equivalent) average cost for wages plus benefits is representative of the corresponding cost for the industry respondents.</w:t>
      </w:r>
    </w:p>
  </w:footnote>
  <w:footnote w:id="13">
    <w:p w:rsidR="001B095E" w:rsidRPr="007050F2" w14:paraId="265E850C" w14:textId="27A474C6">
      <w:pPr>
        <w:pStyle w:val="FootnoteText"/>
        <w:rPr>
          <w:sz w:val="26"/>
          <w:szCs w:val="26"/>
        </w:rPr>
      </w:pPr>
      <w:r w:rsidRPr="002546F2">
        <w:rPr>
          <w:rStyle w:val="FootnoteReference"/>
          <w:sz w:val="20"/>
          <w:szCs w:val="20"/>
        </w:rPr>
        <w:footnoteRef/>
      </w:r>
      <w:r w:rsidRPr="002546F2">
        <w:rPr>
          <w:sz w:val="20"/>
        </w:rPr>
        <w:t xml:space="preserve"> Burden is defined as the total time, effort, or financial resources expended by persons to generate, maintain, retain, or disclose or provide information to or for a </w:t>
      </w:r>
      <w:r w:rsidR="005A7992">
        <w:rPr>
          <w:sz w:val="20"/>
        </w:rPr>
        <w:t>f</w:t>
      </w:r>
      <w:r w:rsidRPr="002546F2">
        <w:rPr>
          <w:sz w:val="20"/>
        </w:rPr>
        <w:t>ederal agency.</w:t>
      </w:r>
      <w:r w:rsidR="00A36A88">
        <w:rPr>
          <w:sz w:val="20"/>
        </w:rPr>
        <w:t xml:space="preserve"> </w:t>
      </w:r>
      <w:r w:rsidRPr="002546F2">
        <w:rPr>
          <w:sz w:val="20"/>
        </w:rPr>
        <w:t>For further explanation of what is included in the information collection burden, refer to 5 Code of Federal Regulations 1320.3.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095E" w:rsidP="00920A1C" w14:paraId="0C249406"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1B095E" w:rsidP="005E318F" w14:paraId="724F67EB"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095E" w:rsidP="00920A1C" w14:paraId="5A50C8E0"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1B095E" w:rsidP="002B69CF" w14:paraId="68371B9B" w14:textId="504434C5">
    <w:pPr>
      <w:pStyle w:val="Header"/>
      <w:ind w:right="360"/>
    </w:pPr>
    <w:r>
      <w:rPr>
        <w:noProof/>
      </w:rPr>
      <mc:AlternateContent>
        <mc:Choice Requires="wps">
          <w:drawing>
            <wp:anchor distT="0" distB="0" distL="114300" distR="114300" simplePos="0" relativeHeight="251658240" behindDoc="0" locked="0" layoutInCell="0" allowOverlap="1">
              <wp:simplePos x="0" y="0"/>
              <wp:positionH relativeFrom="page">
                <wp:posOffset>0</wp:posOffset>
              </wp:positionH>
              <wp:positionV relativeFrom="page">
                <wp:posOffset>190500</wp:posOffset>
              </wp:positionV>
              <wp:extent cx="7772400" cy="266700"/>
              <wp:effectExtent l="0" t="0" r="0" b="0"/>
              <wp:wrapNone/>
              <wp:docPr id="1" name="MSIPCM32ff4b56ba6ba4332e5305da" descr="{&quot;HashCode&quot;:92912587,&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66700"/>
                      </a:xfrm>
                      <a:prstGeom prst="rect">
                        <a:avLst/>
                      </a:prstGeom>
                      <a:noFill/>
                      <a:ln w="6350">
                        <a:noFill/>
                      </a:ln>
                      <a:effectLst/>
                      <a:extLs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B095E" w:rsidRPr="00F616B1" w:rsidP="00F616B1" w14:textId="1FE29790">
                          <w:pPr>
                            <w:jc w:val="center"/>
                            <w:rPr>
                              <w:color w:val="A8000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32ff4b56ba6ba4332e5305da" o:spid="_x0000_s2049" type="#_x0000_t202" alt="{&quot;HashCode&quot;:92912587,&quot;Height&quot;:792.0,&quot;Width&quot;:612.0,&quot;Placement&quot;:&quot;Header&quot;,&quot;Index&quot;:&quot;Primary&quot;,&quot;Section&quot;:1,&quot;Top&quot;:0.0,&quot;Left&quot;:0.0}" style="width:612pt;height:21pt;margin-top:15pt;margin-left:0;mso-position-horizontal-relative:page;mso-position-vertical-relative:page;mso-wrap-distance-bottom:0;mso-wrap-distance-left:9pt;mso-wrap-distance-right:9pt;mso-wrap-distance-top:0;mso-wrap-style:square;position:absolute;visibility:visible;v-text-anchor:top;z-index:251659264" o:allowincell="f" filled="f" stroked="f" strokeweight="0.5pt">
              <v:textbox inset=",0,,0">
                <w:txbxContent>
                  <w:p w:rsidR="001B095E" w:rsidRPr="00F616B1" w:rsidP="00F616B1" w14:paraId="06296988" w14:textId="1FE29790">
                    <w:pPr>
                      <w:jc w:val="center"/>
                      <w:rPr>
                        <w:color w:val="A80000"/>
                      </w:rPr>
                    </w:pPr>
                  </w:p>
                </w:txbxContent>
              </v:textbox>
            </v:shape>
          </w:pict>
        </mc:Fallback>
      </mc:AlternateContent>
    </w:r>
    <w:r>
      <w:t xml:space="preserve">Docket </w:t>
    </w:r>
    <w:r w:rsidRPr="00AA2FBE">
      <w:t xml:space="preserve">No. </w:t>
    </w:r>
    <w:r>
      <w:t>IC2</w:t>
    </w:r>
    <w:r w:rsidR="007C577A">
      <w:t>5-17</w:t>
    </w:r>
    <w:r w:rsidRPr="00352333">
      <w:t>-000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095E" w14:paraId="045DF9DE" w14:textId="24819D26">
    <w:pPr>
      <w:pStyle w:val="Header"/>
    </w:pPr>
    <w:r>
      <w:rPr>
        <w:noProof/>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190500</wp:posOffset>
              </wp:positionV>
              <wp:extent cx="7772400" cy="266700"/>
              <wp:effectExtent l="0" t="0" r="0" b="0"/>
              <wp:wrapNone/>
              <wp:docPr id="2" name="MSIPCM6b864fb1b6271acd642746ed" descr="{&quot;HashCode&quot;:92912587,&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66700"/>
                      </a:xfrm>
                      <a:prstGeom prst="rect">
                        <a:avLst/>
                      </a:prstGeom>
                      <a:noFill/>
                      <a:ln w="6350">
                        <a:noFill/>
                      </a:ln>
                      <a:effectLst/>
                      <a:extLs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1B095E" w:rsidRPr="00F616B1" w:rsidP="00F616B1" w14:textId="52DD2CFA">
                          <w:pPr>
                            <w:jc w:val="center"/>
                            <w:rPr>
                              <w:color w:val="A8000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6b864fb1b6271acd642746ed" o:spid="_x0000_s2050" type="#_x0000_t202" alt="{&quot;HashCode&quot;:92912587,&quot;Height&quot;:792.0,&quot;Width&quot;:612.0,&quot;Placement&quot;:&quot;Header&quot;,&quot;Index&quot;:&quot;FirstPage&quot;,&quot;Section&quot;:1,&quot;Top&quot;:0.0,&quot;Left&quot;:0.0}" style="width:612pt;height:21pt;margin-top:15pt;margin-left:0;mso-position-horizontal-relative:page;mso-position-vertical-relative:page;mso-wrap-distance-bottom:0;mso-wrap-distance-left:9pt;mso-wrap-distance-right:9pt;mso-wrap-distance-top:0;mso-wrap-style:square;position:absolute;visibility:visible;v-text-anchor:top;z-index:251661312" o:allowincell="f" filled="f" stroked="f" strokeweight="0.5pt">
              <v:textbox inset=",0,,0">
                <w:txbxContent>
                  <w:p w:rsidR="001B095E" w:rsidRPr="00F616B1" w:rsidP="00F616B1" w14:paraId="53A69C97" w14:textId="52DD2CFA">
                    <w:pPr>
                      <w:jc w:val="center"/>
                      <w:rPr>
                        <w:color w:val="A8000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DDFE0A4E"/>
    <w:lvl w:ilvl="0">
      <w:start w:val="1"/>
      <w:numFmt w:val="bullet"/>
      <w:lvlText w:val=""/>
      <w:lvlJc w:val="left"/>
      <w:pPr>
        <w:tabs>
          <w:tab w:val="num" w:pos="360"/>
        </w:tabs>
        <w:ind w:left="360" w:hanging="360"/>
      </w:pPr>
      <w:rPr>
        <w:rFonts w:ascii="Symbol" w:hAnsi="Symbol" w:hint="default"/>
      </w:rPr>
    </w:lvl>
  </w:abstractNum>
  <w:abstractNum w:abstractNumId="1">
    <w:nsid w:val="045678B4"/>
    <w:multiLevelType w:val="multilevel"/>
    <w:tmpl w:val="E50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6F0CC7"/>
    <w:multiLevelType w:val="hybridMultilevel"/>
    <w:tmpl w:val="96B4E7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AA05161"/>
    <w:multiLevelType w:val="hybridMultilevel"/>
    <w:tmpl w:val="5A1405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1A47860"/>
    <w:multiLevelType w:val="hybridMultilevel"/>
    <w:tmpl w:val="BDB2D7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8A76466"/>
    <w:multiLevelType w:val="hybridMultilevel"/>
    <w:tmpl w:val="78E68CBC"/>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9870A21"/>
    <w:multiLevelType w:val="hybridMultilevel"/>
    <w:tmpl w:val="A22E45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8">
    <w:nsid w:val="33156D43"/>
    <w:multiLevelType w:val="multilevel"/>
    <w:tmpl w:val="B140707E"/>
    <w:lvl w:ilvl="0">
      <w:start w:val="1"/>
      <w:numFmt w:val="decimal"/>
      <w:pStyle w:val="ListContinue"/>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9">
    <w:nsid w:val="35B066AB"/>
    <w:multiLevelType w:val="hybridMultilevel"/>
    <w:tmpl w:val="12C2DC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5C91B5B"/>
    <w:multiLevelType w:val="hybridMultilevel"/>
    <w:tmpl w:val="51EC4E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60413DC"/>
    <w:multiLevelType w:val="hybridMultilevel"/>
    <w:tmpl w:val="3C588EE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57D12C53"/>
    <w:multiLevelType w:val="hybridMultilevel"/>
    <w:tmpl w:val="718227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9334CE6"/>
    <w:multiLevelType w:val="hybridMultilevel"/>
    <w:tmpl w:val="BE30E2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59F554B4"/>
    <w:multiLevelType w:val="multilevel"/>
    <w:tmpl w:val="A4A4A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E3B442C"/>
    <w:multiLevelType w:val="hybridMultilevel"/>
    <w:tmpl w:val="165873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ECD2B23"/>
    <w:multiLevelType w:val="hybridMultilevel"/>
    <w:tmpl w:val="34F4FF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EE719D3"/>
    <w:multiLevelType w:val="hybridMultilevel"/>
    <w:tmpl w:val="B9A2F77C"/>
    <w:lvl w:ilvl="0">
      <w:start w:val="1"/>
      <w:numFmt w:val="decimal"/>
      <w:pStyle w:val="FERCparanumber"/>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68E91307"/>
    <w:multiLevelType w:val="hybridMultilevel"/>
    <w:tmpl w:val="CFDE27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28583295">
    <w:abstractNumId w:val="17"/>
  </w:num>
  <w:num w:numId="2" w16cid:durableId="2013070188">
    <w:abstractNumId w:val="7"/>
  </w:num>
  <w:num w:numId="3" w16cid:durableId="1315449126">
    <w:abstractNumId w:val="8"/>
  </w:num>
  <w:num w:numId="4" w16cid:durableId="822157435">
    <w:abstractNumId w:val="10"/>
  </w:num>
  <w:num w:numId="5" w16cid:durableId="1802577387">
    <w:abstractNumId w:val="3"/>
  </w:num>
  <w:num w:numId="6" w16cid:durableId="2060930621">
    <w:abstractNumId w:val="11"/>
  </w:num>
  <w:num w:numId="7" w16cid:durableId="1146313498">
    <w:abstractNumId w:val="9"/>
  </w:num>
  <w:num w:numId="8" w16cid:durableId="732698836">
    <w:abstractNumId w:val="0"/>
  </w:num>
  <w:num w:numId="9" w16cid:durableId="2104522550">
    <w:abstractNumId w:val="5"/>
  </w:num>
  <w:num w:numId="10" w16cid:durableId="1490756362">
    <w:abstractNumId w:val="13"/>
  </w:num>
  <w:num w:numId="11" w16cid:durableId="1619919218">
    <w:abstractNumId w:val="15"/>
  </w:num>
  <w:num w:numId="12" w16cid:durableId="851845839">
    <w:abstractNumId w:val="4"/>
  </w:num>
  <w:num w:numId="13" w16cid:durableId="1718309756">
    <w:abstractNumId w:val="16"/>
  </w:num>
  <w:num w:numId="14" w16cid:durableId="1548299636">
    <w:abstractNumId w:val="2"/>
  </w:num>
  <w:num w:numId="15" w16cid:durableId="1359814509">
    <w:abstractNumId w:val="18"/>
  </w:num>
  <w:num w:numId="16" w16cid:durableId="632516141">
    <w:abstractNumId w:val="14"/>
  </w:num>
  <w:num w:numId="17" w16cid:durableId="494221604">
    <w:abstractNumId w:val="1"/>
  </w:num>
  <w:num w:numId="18" w16cid:durableId="114060212">
    <w:abstractNumId w:val="6"/>
  </w:num>
  <w:num w:numId="19" w16cid:durableId="14337389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890"/>
    <w:rsid w:val="0000007C"/>
    <w:rsid w:val="00001419"/>
    <w:rsid w:val="00002127"/>
    <w:rsid w:val="0000305D"/>
    <w:rsid w:val="00003A58"/>
    <w:rsid w:val="00004A34"/>
    <w:rsid w:val="00004D97"/>
    <w:rsid w:val="00004E01"/>
    <w:rsid w:val="00014E36"/>
    <w:rsid w:val="0002024D"/>
    <w:rsid w:val="00020AB2"/>
    <w:rsid w:val="00024ECA"/>
    <w:rsid w:val="00026BA2"/>
    <w:rsid w:val="00030638"/>
    <w:rsid w:val="00031492"/>
    <w:rsid w:val="000322A9"/>
    <w:rsid w:val="000354FA"/>
    <w:rsid w:val="0003588A"/>
    <w:rsid w:val="00036FEC"/>
    <w:rsid w:val="00040E17"/>
    <w:rsid w:val="00041471"/>
    <w:rsid w:val="00043468"/>
    <w:rsid w:val="000436E9"/>
    <w:rsid w:val="00050EC0"/>
    <w:rsid w:val="0005366B"/>
    <w:rsid w:val="00055C05"/>
    <w:rsid w:val="000561C9"/>
    <w:rsid w:val="00057E4E"/>
    <w:rsid w:val="000603C5"/>
    <w:rsid w:val="0006335A"/>
    <w:rsid w:val="0007127B"/>
    <w:rsid w:val="00072256"/>
    <w:rsid w:val="00072448"/>
    <w:rsid w:val="000739A5"/>
    <w:rsid w:val="000751DA"/>
    <w:rsid w:val="00077B31"/>
    <w:rsid w:val="00080D5F"/>
    <w:rsid w:val="000814A5"/>
    <w:rsid w:val="000838BE"/>
    <w:rsid w:val="000854B7"/>
    <w:rsid w:val="00085D06"/>
    <w:rsid w:val="00093E92"/>
    <w:rsid w:val="000972FF"/>
    <w:rsid w:val="000A1BB7"/>
    <w:rsid w:val="000A1E35"/>
    <w:rsid w:val="000A27CA"/>
    <w:rsid w:val="000A491B"/>
    <w:rsid w:val="000A5308"/>
    <w:rsid w:val="000A64ED"/>
    <w:rsid w:val="000A7D1F"/>
    <w:rsid w:val="000B1607"/>
    <w:rsid w:val="000B2481"/>
    <w:rsid w:val="000B55C6"/>
    <w:rsid w:val="000B64DE"/>
    <w:rsid w:val="000B723A"/>
    <w:rsid w:val="000B751E"/>
    <w:rsid w:val="000C22B5"/>
    <w:rsid w:val="000C47F2"/>
    <w:rsid w:val="000C56A4"/>
    <w:rsid w:val="000D0906"/>
    <w:rsid w:val="000D3639"/>
    <w:rsid w:val="000D5216"/>
    <w:rsid w:val="000D61A1"/>
    <w:rsid w:val="000D649D"/>
    <w:rsid w:val="000D76E7"/>
    <w:rsid w:val="000D7CAB"/>
    <w:rsid w:val="000E00B4"/>
    <w:rsid w:val="000E032C"/>
    <w:rsid w:val="000E11CB"/>
    <w:rsid w:val="000E4A7B"/>
    <w:rsid w:val="000F2C1E"/>
    <w:rsid w:val="000F3E00"/>
    <w:rsid w:val="000F5079"/>
    <w:rsid w:val="001009D2"/>
    <w:rsid w:val="0010362F"/>
    <w:rsid w:val="00103D50"/>
    <w:rsid w:val="00104D16"/>
    <w:rsid w:val="00106060"/>
    <w:rsid w:val="00106249"/>
    <w:rsid w:val="00112B80"/>
    <w:rsid w:val="00112DD3"/>
    <w:rsid w:val="00114B14"/>
    <w:rsid w:val="00116835"/>
    <w:rsid w:val="001175E1"/>
    <w:rsid w:val="001240FD"/>
    <w:rsid w:val="001244E0"/>
    <w:rsid w:val="00125F00"/>
    <w:rsid w:val="0012726A"/>
    <w:rsid w:val="00130A69"/>
    <w:rsid w:val="001372D0"/>
    <w:rsid w:val="00141EBE"/>
    <w:rsid w:val="00144346"/>
    <w:rsid w:val="00145F34"/>
    <w:rsid w:val="00146600"/>
    <w:rsid w:val="00146B5E"/>
    <w:rsid w:val="001470C0"/>
    <w:rsid w:val="001475FE"/>
    <w:rsid w:val="00147B28"/>
    <w:rsid w:val="00150CA6"/>
    <w:rsid w:val="00152D2F"/>
    <w:rsid w:val="00152FDA"/>
    <w:rsid w:val="001532F4"/>
    <w:rsid w:val="001551A1"/>
    <w:rsid w:val="001552DA"/>
    <w:rsid w:val="001556B7"/>
    <w:rsid w:val="00163205"/>
    <w:rsid w:val="00163BBE"/>
    <w:rsid w:val="00176D66"/>
    <w:rsid w:val="00180CBE"/>
    <w:rsid w:val="001819F6"/>
    <w:rsid w:val="00181F00"/>
    <w:rsid w:val="001830BE"/>
    <w:rsid w:val="00184F0D"/>
    <w:rsid w:val="001919AA"/>
    <w:rsid w:val="00192F25"/>
    <w:rsid w:val="0019407A"/>
    <w:rsid w:val="001946B3"/>
    <w:rsid w:val="0019691F"/>
    <w:rsid w:val="001969A2"/>
    <w:rsid w:val="001974D5"/>
    <w:rsid w:val="0019791F"/>
    <w:rsid w:val="001A050A"/>
    <w:rsid w:val="001A29CA"/>
    <w:rsid w:val="001A4577"/>
    <w:rsid w:val="001A5E0A"/>
    <w:rsid w:val="001A6B7C"/>
    <w:rsid w:val="001A7291"/>
    <w:rsid w:val="001B095E"/>
    <w:rsid w:val="001B0BF1"/>
    <w:rsid w:val="001B390F"/>
    <w:rsid w:val="001B40FA"/>
    <w:rsid w:val="001B49BD"/>
    <w:rsid w:val="001B4DDD"/>
    <w:rsid w:val="001B65AE"/>
    <w:rsid w:val="001B6B4A"/>
    <w:rsid w:val="001B7575"/>
    <w:rsid w:val="001B7F83"/>
    <w:rsid w:val="001C3324"/>
    <w:rsid w:val="001C3703"/>
    <w:rsid w:val="001C4203"/>
    <w:rsid w:val="001C4D3A"/>
    <w:rsid w:val="001C4FC0"/>
    <w:rsid w:val="001C5D46"/>
    <w:rsid w:val="001D0C9B"/>
    <w:rsid w:val="001D734C"/>
    <w:rsid w:val="001D7C1F"/>
    <w:rsid w:val="001E197C"/>
    <w:rsid w:val="001E52EB"/>
    <w:rsid w:val="001E66A2"/>
    <w:rsid w:val="001E69DB"/>
    <w:rsid w:val="001F0B06"/>
    <w:rsid w:val="001F1BF8"/>
    <w:rsid w:val="001F2664"/>
    <w:rsid w:val="001F47CB"/>
    <w:rsid w:val="00201D68"/>
    <w:rsid w:val="002031FC"/>
    <w:rsid w:val="00203FD8"/>
    <w:rsid w:val="00204D0F"/>
    <w:rsid w:val="00215A17"/>
    <w:rsid w:val="00216AAE"/>
    <w:rsid w:val="002234A3"/>
    <w:rsid w:val="0022552F"/>
    <w:rsid w:val="002265E9"/>
    <w:rsid w:val="00226A6A"/>
    <w:rsid w:val="00230385"/>
    <w:rsid w:val="00233B3F"/>
    <w:rsid w:val="002377A5"/>
    <w:rsid w:val="002401B4"/>
    <w:rsid w:val="00241BAC"/>
    <w:rsid w:val="00241BFD"/>
    <w:rsid w:val="00250418"/>
    <w:rsid w:val="002517ED"/>
    <w:rsid w:val="00251C88"/>
    <w:rsid w:val="00252CD0"/>
    <w:rsid w:val="00253C62"/>
    <w:rsid w:val="002546F2"/>
    <w:rsid w:val="00254B04"/>
    <w:rsid w:val="00260605"/>
    <w:rsid w:val="002611D2"/>
    <w:rsid w:val="00262921"/>
    <w:rsid w:val="002677D6"/>
    <w:rsid w:val="0027273D"/>
    <w:rsid w:val="002762DE"/>
    <w:rsid w:val="00285E62"/>
    <w:rsid w:val="0028677A"/>
    <w:rsid w:val="00286DEA"/>
    <w:rsid w:val="0029205A"/>
    <w:rsid w:val="00292163"/>
    <w:rsid w:val="0029476E"/>
    <w:rsid w:val="00296592"/>
    <w:rsid w:val="002A0312"/>
    <w:rsid w:val="002A2378"/>
    <w:rsid w:val="002A262E"/>
    <w:rsid w:val="002A2A4E"/>
    <w:rsid w:val="002A5F2B"/>
    <w:rsid w:val="002A6174"/>
    <w:rsid w:val="002B293D"/>
    <w:rsid w:val="002B43A6"/>
    <w:rsid w:val="002B62A0"/>
    <w:rsid w:val="002B69CF"/>
    <w:rsid w:val="002C0ECB"/>
    <w:rsid w:val="002C23E9"/>
    <w:rsid w:val="002C6A67"/>
    <w:rsid w:val="002D3818"/>
    <w:rsid w:val="002D3924"/>
    <w:rsid w:val="002D7EBF"/>
    <w:rsid w:val="002E323C"/>
    <w:rsid w:val="002E34B5"/>
    <w:rsid w:val="002F38BC"/>
    <w:rsid w:val="00301E17"/>
    <w:rsid w:val="003039E8"/>
    <w:rsid w:val="00303D08"/>
    <w:rsid w:val="00311609"/>
    <w:rsid w:val="00312217"/>
    <w:rsid w:val="0031589B"/>
    <w:rsid w:val="00317A96"/>
    <w:rsid w:val="00321793"/>
    <w:rsid w:val="00321EB8"/>
    <w:rsid w:val="00323139"/>
    <w:rsid w:val="00324D93"/>
    <w:rsid w:val="00326BEC"/>
    <w:rsid w:val="00332BC6"/>
    <w:rsid w:val="003331C8"/>
    <w:rsid w:val="00334848"/>
    <w:rsid w:val="00335092"/>
    <w:rsid w:val="003400C1"/>
    <w:rsid w:val="00341866"/>
    <w:rsid w:val="00346FFD"/>
    <w:rsid w:val="003478C9"/>
    <w:rsid w:val="00352333"/>
    <w:rsid w:val="00355832"/>
    <w:rsid w:val="0035625E"/>
    <w:rsid w:val="00356E26"/>
    <w:rsid w:val="00361561"/>
    <w:rsid w:val="00366669"/>
    <w:rsid w:val="00370763"/>
    <w:rsid w:val="00374409"/>
    <w:rsid w:val="00376A65"/>
    <w:rsid w:val="00381700"/>
    <w:rsid w:val="003825F0"/>
    <w:rsid w:val="00386BED"/>
    <w:rsid w:val="00390EEA"/>
    <w:rsid w:val="003911C0"/>
    <w:rsid w:val="003A1D7A"/>
    <w:rsid w:val="003A6347"/>
    <w:rsid w:val="003B053D"/>
    <w:rsid w:val="003B1A9C"/>
    <w:rsid w:val="003B4D70"/>
    <w:rsid w:val="003C1644"/>
    <w:rsid w:val="003C1F91"/>
    <w:rsid w:val="003C21E6"/>
    <w:rsid w:val="003C5B35"/>
    <w:rsid w:val="003D6813"/>
    <w:rsid w:val="003E6777"/>
    <w:rsid w:val="003F1774"/>
    <w:rsid w:val="003F32A9"/>
    <w:rsid w:val="003F3F52"/>
    <w:rsid w:val="003F4230"/>
    <w:rsid w:val="003F4CC9"/>
    <w:rsid w:val="00402288"/>
    <w:rsid w:val="00414715"/>
    <w:rsid w:val="00416142"/>
    <w:rsid w:val="00417373"/>
    <w:rsid w:val="00417DE1"/>
    <w:rsid w:val="004230B0"/>
    <w:rsid w:val="00423C49"/>
    <w:rsid w:val="0042785C"/>
    <w:rsid w:val="00430164"/>
    <w:rsid w:val="00432C41"/>
    <w:rsid w:val="0043489E"/>
    <w:rsid w:val="00436EF3"/>
    <w:rsid w:val="004374D3"/>
    <w:rsid w:val="00440E38"/>
    <w:rsid w:val="00445DDF"/>
    <w:rsid w:val="0044625F"/>
    <w:rsid w:val="004530E0"/>
    <w:rsid w:val="00453F74"/>
    <w:rsid w:val="00455A33"/>
    <w:rsid w:val="00455C4D"/>
    <w:rsid w:val="00457862"/>
    <w:rsid w:val="004605D1"/>
    <w:rsid w:val="00462DBE"/>
    <w:rsid w:val="004634FC"/>
    <w:rsid w:val="00470106"/>
    <w:rsid w:val="0047321C"/>
    <w:rsid w:val="004750C1"/>
    <w:rsid w:val="004760FD"/>
    <w:rsid w:val="00480203"/>
    <w:rsid w:val="0048185C"/>
    <w:rsid w:val="00484FC3"/>
    <w:rsid w:val="0048505F"/>
    <w:rsid w:val="004855F2"/>
    <w:rsid w:val="004866D0"/>
    <w:rsid w:val="00487256"/>
    <w:rsid w:val="00487BA3"/>
    <w:rsid w:val="00490E50"/>
    <w:rsid w:val="00493451"/>
    <w:rsid w:val="00495E04"/>
    <w:rsid w:val="0049609D"/>
    <w:rsid w:val="004A0580"/>
    <w:rsid w:val="004A2194"/>
    <w:rsid w:val="004A2352"/>
    <w:rsid w:val="004A51DF"/>
    <w:rsid w:val="004A5E8B"/>
    <w:rsid w:val="004A628A"/>
    <w:rsid w:val="004A6E59"/>
    <w:rsid w:val="004B0994"/>
    <w:rsid w:val="004B1355"/>
    <w:rsid w:val="004B2FD4"/>
    <w:rsid w:val="004B5341"/>
    <w:rsid w:val="004B665B"/>
    <w:rsid w:val="004C36C3"/>
    <w:rsid w:val="004C3BB0"/>
    <w:rsid w:val="004C3C65"/>
    <w:rsid w:val="004D1EE5"/>
    <w:rsid w:val="004D4CD3"/>
    <w:rsid w:val="004D53C3"/>
    <w:rsid w:val="004D6B95"/>
    <w:rsid w:val="004D778A"/>
    <w:rsid w:val="004D79AA"/>
    <w:rsid w:val="004D7A6C"/>
    <w:rsid w:val="004E08DC"/>
    <w:rsid w:val="004E2B11"/>
    <w:rsid w:val="004E7AB0"/>
    <w:rsid w:val="004F16D2"/>
    <w:rsid w:val="004F18E9"/>
    <w:rsid w:val="004F1D80"/>
    <w:rsid w:val="004F3E67"/>
    <w:rsid w:val="004F57B7"/>
    <w:rsid w:val="005033BF"/>
    <w:rsid w:val="0050437A"/>
    <w:rsid w:val="005054E9"/>
    <w:rsid w:val="00510E5A"/>
    <w:rsid w:val="00515CA5"/>
    <w:rsid w:val="00517B18"/>
    <w:rsid w:val="00521ABE"/>
    <w:rsid w:val="00521CC7"/>
    <w:rsid w:val="0052219B"/>
    <w:rsid w:val="00524B22"/>
    <w:rsid w:val="00530BB4"/>
    <w:rsid w:val="0053163A"/>
    <w:rsid w:val="00531B96"/>
    <w:rsid w:val="005320C7"/>
    <w:rsid w:val="00532463"/>
    <w:rsid w:val="005324FF"/>
    <w:rsid w:val="00533A98"/>
    <w:rsid w:val="005346F4"/>
    <w:rsid w:val="00534B97"/>
    <w:rsid w:val="005358CB"/>
    <w:rsid w:val="005359ED"/>
    <w:rsid w:val="00536F90"/>
    <w:rsid w:val="00537276"/>
    <w:rsid w:val="0054477B"/>
    <w:rsid w:val="00551B13"/>
    <w:rsid w:val="005521E7"/>
    <w:rsid w:val="0055344C"/>
    <w:rsid w:val="005554A9"/>
    <w:rsid w:val="00556AC8"/>
    <w:rsid w:val="00562351"/>
    <w:rsid w:val="00562387"/>
    <w:rsid w:val="00562A93"/>
    <w:rsid w:val="00565945"/>
    <w:rsid w:val="00566234"/>
    <w:rsid w:val="005665D1"/>
    <w:rsid w:val="005701E9"/>
    <w:rsid w:val="0057644D"/>
    <w:rsid w:val="00577139"/>
    <w:rsid w:val="005778C9"/>
    <w:rsid w:val="00583C81"/>
    <w:rsid w:val="00584568"/>
    <w:rsid w:val="0058734A"/>
    <w:rsid w:val="0058744A"/>
    <w:rsid w:val="005916D2"/>
    <w:rsid w:val="00592AD7"/>
    <w:rsid w:val="00594550"/>
    <w:rsid w:val="005953A4"/>
    <w:rsid w:val="0059780B"/>
    <w:rsid w:val="005A02C5"/>
    <w:rsid w:val="005A3CFC"/>
    <w:rsid w:val="005A6D8E"/>
    <w:rsid w:val="005A7992"/>
    <w:rsid w:val="005B0E46"/>
    <w:rsid w:val="005B154D"/>
    <w:rsid w:val="005B58F4"/>
    <w:rsid w:val="005C0F08"/>
    <w:rsid w:val="005C0F22"/>
    <w:rsid w:val="005C1CC1"/>
    <w:rsid w:val="005C6CEF"/>
    <w:rsid w:val="005D0272"/>
    <w:rsid w:val="005D1D42"/>
    <w:rsid w:val="005D7DF6"/>
    <w:rsid w:val="005E318F"/>
    <w:rsid w:val="005E6B6B"/>
    <w:rsid w:val="005E6F00"/>
    <w:rsid w:val="005F0F82"/>
    <w:rsid w:val="005F38C3"/>
    <w:rsid w:val="00603DFB"/>
    <w:rsid w:val="006053EE"/>
    <w:rsid w:val="00606103"/>
    <w:rsid w:val="006064BB"/>
    <w:rsid w:val="0060651C"/>
    <w:rsid w:val="006070B9"/>
    <w:rsid w:val="00615607"/>
    <w:rsid w:val="0061716D"/>
    <w:rsid w:val="00617E46"/>
    <w:rsid w:val="0062025E"/>
    <w:rsid w:val="006229BB"/>
    <w:rsid w:val="00625882"/>
    <w:rsid w:val="006276C9"/>
    <w:rsid w:val="006400D4"/>
    <w:rsid w:val="00640E66"/>
    <w:rsid w:val="00646A02"/>
    <w:rsid w:val="00647B24"/>
    <w:rsid w:val="00652CB9"/>
    <w:rsid w:val="00655152"/>
    <w:rsid w:val="00656DD6"/>
    <w:rsid w:val="00656DF0"/>
    <w:rsid w:val="0065768D"/>
    <w:rsid w:val="00660961"/>
    <w:rsid w:val="00660964"/>
    <w:rsid w:val="00663000"/>
    <w:rsid w:val="00672BEA"/>
    <w:rsid w:val="006766A9"/>
    <w:rsid w:val="00681157"/>
    <w:rsid w:val="00681752"/>
    <w:rsid w:val="0068483B"/>
    <w:rsid w:val="006902C3"/>
    <w:rsid w:val="0069142C"/>
    <w:rsid w:val="00692852"/>
    <w:rsid w:val="006931AF"/>
    <w:rsid w:val="00693B14"/>
    <w:rsid w:val="00694675"/>
    <w:rsid w:val="00695084"/>
    <w:rsid w:val="006950DF"/>
    <w:rsid w:val="00695504"/>
    <w:rsid w:val="00696946"/>
    <w:rsid w:val="006A2074"/>
    <w:rsid w:val="006A4D89"/>
    <w:rsid w:val="006A5FDD"/>
    <w:rsid w:val="006A60CF"/>
    <w:rsid w:val="006A64E7"/>
    <w:rsid w:val="006B4821"/>
    <w:rsid w:val="006C0407"/>
    <w:rsid w:val="006C550B"/>
    <w:rsid w:val="006C57B1"/>
    <w:rsid w:val="006D12F9"/>
    <w:rsid w:val="006D43D5"/>
    <w:rsid w:val="006D549E"/>
    <w:rsid w:val="006E6000"/>
    <w:rsid w:val="006E7FB0"/>
    <w:rsid w:val="006F3D6F"/>
    <w:rsid w:val="006F4A80"/>
    <w:rsid w:val="006F4CBB"/>
    <w:rsid w:val="006F77BE"/>
    <w:rsid w:val="0070048D"/>
    <w:rsid w:val="00701F44"/>
    <w:rsid w:val="00702F74"/>
    <w:rsid w:val="00703DFC"/>
    <w:rsid w:val="007050F2"/>
    <w:rsid w:val="0070558B"/>
    <w:rsid w:val="00705E7E"/>
    <w:rsid w:val="007116B8"/>
    <w:rsid w:val="007120C1"/>
    <w:rsid w:val="0071251E"/>
    <w:rsid w:val="00713943"/>
    <w:rsid w:val="00715910"/>
    <w:rsid w:val="00715E3C"/>
    <w:rsid w:val="00720B54"/>
    <w:rsid w:val="00720E07"/>
    <w:rsid w:val="00723199"/>
    <w:rsid w:val="00724CBD"/>
    <w:rsid w:val="00725908"/>
    <w:rsid w:val="0072643A"/>
    <w:rsid w:val="00727A9F"/>
    <w:rsid w:val="00730BA0"/>
    <w:rsid w:val="00731E1E"/>
    <w:rsid w:val="00731F88"/>
    <w:rsid w:val="007341B0"/>
    <w:rsid w:val="00741F81"/>
    <w:rsid w:val="00750DA1"/>
    <w:rsid w:val="00751415"/>
    <w:rsid w:val="00752E4A"/>
    <w:rsid w:val="0075407F"/>
    <w:rsid w:val="0075594B"/>
    <w:rsid w:val="007636F4"/>
    <w:rsid w:val="0076448C"/>
    <w:rsid w:val="00764A91"/>
    <w:rsid w:val="00766823"/>
    <w:rsid w:val="007724B8"/>
    <w:rsid w:val="007726D7"/>
    <w:rsid w:val="0077309A"/>
    <w:rsid w:val="00773856"/>
    <w:rsid w:val="007740E9"/>
    <w:rsid w:val="0078241C"/>
    <w:rsid w:val="007835D4"/>
    <w:rsid w:val="00783AD0"/>
    <w:rsid w:val="00785C03"/>
    <w:rsid w:val="00785CF9"/>
    <w:rsid w:val="00786D54"/>
    <w:rsid w:val="00790CA4"/>
    <w:rsid w:val="00792A01"/>
    <w:rsid w:val="0079477E"/>
    <w:rsid w:val="007957B9"/>
    <w:rsid w:val="00796A0A"/>
    <w:rsid w:val="007975A2"/>
    <w:rsid w:val="007A067E"/>
    <w:rsid w:val="007A46B4"/>
    <w:rsid w:val="007A5C4A"/>
    <w:rsid w:val="007A6D53"/>
    <w:rsid w:val="007B383B"/>
    <w:rsid w:val="007C0C7F"/>
    <w:rsid w:val="007C577A"/>
    <w:rsid w:val="007D0362"/>
    <w:rsid w:val="007D2400"/>
    <w:rsid w:val="007D38DD"/>
    <w:rsid w:val="007D4A4A"/>
    <w:rsid w:val="007E3E3D"/>
    <w:rsid w:val="007E52AC"/>
    <w:rsid w:val="007E65A0"/>
    <w:rsid w:val="007E6973"/>
    <w:rsid w:val="007E699A"/>
    <w:rsid w:val="007E7573"/>
    <w:rsid w:val="007F0AFE"/>
    <w:rsid w:val="007F111B"/>
    <w:rsid w:val="007F4F00"/>
    <w:rsid w:val="007F4F94"/>
    <w:rsid w:val="007F7E3C"/>
    <w:rsid w:val="00802E90"/>
    <w:rsid w:val="008035F0"/>
    <w:rsid w:val="00805694"/>
    <w:rsid w:val="00810CEC"/>
    <w:rsid w:val="008164E3"/>
    <w:rsid w:val="00823FC2"/>
    <w:rsid w:val="00824E90"/>
    <w:rsid w:val="00825C98"/>
    <w:rsid w:val="00827DA2"/>
    <w:rsid w:val="00831DBA"/>
    <w:rsid w:val="0083270A"/>
    <w:rsid w:val="00834B9E"/>
    <w:rsid w:val="0083507A"/>
    <w:rsid w:val="008410EA"/>
    <w:rsid w:val="00841CCE"/>
    <w:rsid w:val="00852671"/>
    <w:rsid w:val="00854B75"/>
    <w:rsid w:val="00855434"/>
    <w:rsid w:val="00855FF3"/>
    <w:rsid w:val="0086302C"/>
    <w:rsid w:val="0086417D"/>
    <w:rsid w:val="00865949"/>
    <w:rsid w:val="00865E72"/>
    <w:rsid w:val="0086706C"/>
    <w:rsid w:val="00871390"/>
    <w:rsid w:val="0087254C"/>
    <w:rsid w:val="00880EEA"/>
    <w:rsid w:val="0088115E"/>
    <w:rsid w:val="008814F7"/>
    <w:rsid w:val="00884BAD"/>
    <w:rsid w:val="00887A76"/>
    <w:rsid w:val="00887D7E"/>
    <w:rsid w:val="00891E91"/>
    <w:rsid w:val="00893FB3"/>
    <w:rsid w:val="008956A4"/>
    <w:rsid w:val="008A01C0"/>
    <w:rsid w:val="008A6480"/>
    <w:rsid w:val="008B377E"/>
    <w:rsid w:val="008B5814"/>
    <w:rsid w:val="008B6CFB"/>
    <w:rsid w:val="008C1D88"/>
    <w:rsid w:val="008C2E94"/>
    <w:rsid w:val="008D2F61"/>
    <w:rsid w:val="008D377B"/>
    <w:rsid w:val="008D4BF1"/>
    <w:rsid w:val="008D61CE"/>
    <w:rsid w:val="008D7DF2"/>
    <w:rsid w:val="008E014A"/>
    <w:rsid w:val="008E0E89"/>
    <w:rsid w:val="008E41C3"/>
    <w:rsid w:val="008E4CB7"/>
    <w:rsid w:val="008E4F8D"/>
    <w:rsid w:val="008E7889"/>
    <w:rsid w:val="008F4052"/>
    <w:rsid w:val="008F66AB"/>
    <w:rsid w:val="008F7CD3"/>
    <w:rsid w:val="00900278"/>
    <w:rsid w:val="00901AAA"/>
    <w:rsid w:val="00906BFB"/>
    <w:rsid w:val="00906E21"/>
    <w:rsid w:val="009124A0"/>
    <w:rsid w:val="009125EB"/>
    <w:rsid w:val="009131BC"/>
    <w:rsid w:val="0091686D"/>
    <w:rsid w:val="00920A1C"/>
    <w:rsid w:val="009236AA"/>
    <w:rsid w:val="00924B80"/>
    <w:rsid w:val="00925497"/>
    <w:rsid w:val="00926B72"/>
    <w:rsid w:val="00927083"/>
    <w:rsid w:val="00930B08"/>
    <w:rsid w:val="00934FCC"/>
    <w:rsid w:val="009368BD"/>
    <w:rsid w:val="00937BCD"/>
    <w:rsid w:val="009447D3"/>
    <w:rsid w:val="009526B4"/>
    <w:rsid w:val="009537F4"/>
    <w:rsid w:val="00953BFD"/>
    <w:rsid w:val="00956FF9"/>
    <w:rsid w:val="00957A3A"/>
    <w:rsid w:val="00961DAE"/>
    <w:rsid w:val="0096244F"/>
    <w:rsid w:val="00963560"/>
    <w:rsid w:val="00966148"/>
    <w:rsid w:val="009679E3"/>
    <w:rsid w:val="009713C5"/>
    <w:rsid w:val="009720F0"/>
    <w:rsid w:val="0097434D"/>
    <w:rsid w:val="009743F4"/>
    <w:rsid w:val="00977E05"/>
    <w:rsid w:val="00981DA2"/>
    <w:rsid w:val="00985FA5"/>
    <w:rsid w:val="0099139C"/>
    <w:rsid w:val="00991D87"/>
    <w:rsid w:val="0099287A"/>
    <w:rsid w:val="009929A6"/>
    <w:rsid w:val="009947B6"/>
    <w:rsid w:val="00994B38"/>
    <w:rsid w:val="00994D3A"/>
    <w:rsid w:val="00997AE4"/>
    <w:rsid w:val="00997B1B"/>
    <w:rsid w:val="00997B63"/>
    <w:rsid w:val="009A1881"/>
    <w:rsid w:val="009A4614"/>
    <w:rsid w:val="009A51BA"/>
    <w:rsid w:val="009A61E8"/>
    <w:rsid w:val="009A7153"/>
    <w:rsid w:val="009B0172"/>
    <w:rsid w:val="009B7DFA"/>
    <w:rsid w:val="009C2E1C"/>
    <w:rsid w:val="009C4E56"/>
    <w:rsid w:val="009D4968"/>
    <w:rsid w:val="009D505F"/>
    <w:rsid w:val="009D5B2F"/>
    <w:rsid w:val="009D5E99"/>
    <w:rsid w:val="009D6AB3"/>
    <w:rsid w:val="009E1DA1"/>
    <w:rsid w:val="009E1DA9"/>
    <w:rsid w:val="009E205B"/>
    <w:rsid w:val="009E2813"/>
    <w:rsid w:val="009E60A1"/>
    <w:rsid w:val="009F47BC"/>
    <w:rsid w:val="009F4AB4"/>
    <w:rsid w:val="009F71DC"/>
    <w:rsid w:val="009F7495"/>
    <w:rsid w:val="009F7CE3"/>
    <w:rsid w:val="00A02006"/>
    <w:rsid w:val="00A02CD2"/>
    <w:rsid w:val="00A073B8"/>
    <w:rsid w:val="00A0763E"/>
    <w:rsid w:val="00A10B21"/>
    <w:rsid w:val="00A13709"/>
    <w:rsid w:val="00A15BF1"/>
    <w:rsid w:val="00A16CA5"/>
    <w:rsid w:val="00A17794"/>
    <w:rsid w:val="00A25BF7"/>
    <w:rsid w:val="00A3131C"/>
    <w:rsid w:val="00A33B2B"/>
    <w:rsid w:val="00A34319"/>
    <w:rsid w:val="00A34518"/>
    <w:rsid w:val="00A34E33"/>
    <w:rsid w:val="00A35158"/>
    <w:rsid w:val="00A36A88"/>
    <w:rsid w:val="00A3726A"/>
    <w:rsid w:val="00A40B65"/>
    <w:rsid w:val="00A4355D"/>
    <w:rsid w:val="00A4393E"/>
    <w:rsid w:val="00A439EA"/>
    <w:rsid w:val="00A46BD3"/>
    <w:rsid w:val="00A47562"/>
    <w:rsid w:val="00A51FCA"/>
    <w:rsid w:val="00A52502"/>
    <w:rsid w:val="00A536DA"/>
    <w:rsid w:val="00A56980"/>
    <w:rsid w:val="00A60681"/>
    <w:rsid w:val="00A608EF"/>
    <w:rsid w:val="00A64D2C"/>
    <w:rsid w:val="00A711DB"/>
    <w:rsid w:val="00A72F11"/>
    <w:rsid w:val="00A74600"/>
    <w:rsid w:val="00A83ABA"/>
    <w:rsid w:val="00A85DE0"/>
    <w:rsid w:val="00A96311"/>
    <w:rsid w:val="00A9631E"/>
    <w:rsid w:val="00A967B1"/>
    <w:rsid w:val="00AA2A93"/>
    <w:rsid w:val="00AA2FBE"/>
    <w:rsid w:val="00AA33E5"/>
    <w:rsid w:val="00AA4FE7"/>
    <w:rsid w:val="00AA62F6"/>
    <w:rsid w:val="00AA7819"/>
    <w:rsid w:val="00AB07E8"/>
    <w:rsid w:val="00AB0A99"/>
    <w:rsid w:val="00AB1565"/>
    <w:rsid w:val="00AB20D8"/>
    <w:rsid w:val="00AB436E"/>
    <w:rsid w:val="00AB79FB"/>
    <w:rsid w:val="00AC1CD9"/>
    <w:rsid w:val="00AC3F65"/>
    <w:rsid w:val="00AC4CC5"/>
    <w:rsid w:val="00AC614A"/>
    <w:rsid w:val="00AC7096"/>
    <w:rsid w:val="00AC7480"/>
    <w:rsid w:val="00AD129B"/>
    <w:rsid w:val="00AD4E00"/>
    <w:rsid w:val="00AD67B2"/>
    <w:rsid w:val="00AE0995"/>
    <w:rsid w:val="00AE4572"/>
    <w:rsid w:val="00AE61E0"/>
    <w:rsid w:val="00AF12CA"/>
    <w:rsid w:val="00AF1D92"/>
    <w:rsid w:val="00AF2F06"/>
    <w:rsid w:val="00AF3196"/>
    <w:rsid w:val="00AF4F93"/>
    <w:rsid w:val="00B018B9"/>
    <w:rsid w:val="00B07008"/>
    <w:rsid w:val="00B1101F"/>
    <w:rsid w:val="00B12135"/>
    <w:rsid w:val="00B202A3"/>
    <w:rsid w:val="00B2135A"/>
    <w:rsid w:val="00B2439B"/>
    <w:rsid w:val="00B25728"/>
    <w:rsid w:val="00B3254F"/>
    <w:rsid w:val="00B33628"/>
    <w:rsid w:val="00B337D1"/>
    <w:rsid w:val="00B3471E"/>
    <w:rsid w:val="00B36EF3"/>
    <w:rsid w:val="00B43366"/>
    <w:rsid w:val="00B4345E"/>
    <w:rsid w:val="00B4431A"/>
    <w:rsid w:val="00B460AF"/>
    <w:rsid w:val="00B47AB9"/>
    <w:rsid w:val="00B52047"/>
    <w:rsid w:val="00B557B4"/>
    <w:rsid w:val="00B629F0"/>
    <w:rsid w:val="00B62B35"/>
    <w:rsid w:val="00B65449"/>
    <w:rsid w:val="00B66690"/>
    <w:rsid w:val="00B710EA"/>
    <w:rsid w:val="00B75595"/>
    <w:rsid w:val="00B757A7"/>
    <w:rsid w:val="00B77757"/>
    <w:rsid w:val="00B806DB"/>
    <w:rsid w:val="00B81BC5"/>
    <w:rsid w:val="00B835C5"/>
    <w:rsid w:val="00B85F39"/>
    <w:rsid w:val="00B94982"/>
    <w:rsid w:val="00B94AA8"/>
    <w:rsid w:val="00B96593"/>
    <w:rsid w:val="00B97BC8"/>
    <w:rsid w:val="00BA7702"/>
    <w:rsid w:val="00BB0D1B"/>
    <w:rsid w:val="00BB0FE9"/>
    <w:rsid w:val="00BB1C54"/>
    <w:rsid w:val="00BB61B4"/>
    <w:rsid w:val="00BC1B93"/>
    <w:rsid w:val="00BC6FD9"/>
    <w:rsid w:val="00BD0A6B"/>
    <w:rsid w:val="00BD0F59"/>
    <w:rsid w:val="00BD15D4"/>
    <w:rsid w:val="00BE16AD"/>
    <w:rsid w:val="00BE174A"/>
    <w:rsid w:val="00BE71E2"/>
    <w:rsid w:val="00BF0461"/>
    <w:rsid w:val="00BF144D"/>
    <w:rsid w:val="00BF72E1"/>
    <w:rsid w:val="00C01B8E"/>
    <w:rsid w:val="00C024A5"/>
    <w:rsid w:val="00C0487E"/>
    <w:rsid w:val="00C056FE"/>
    <w:rsid w:val="00C05E2D"/>
    <w:rsid w:val="00C1080B"/>
    <w:rsid w:val="00C13000"/>
    <w:rsid w:val="00C13D4D"/>
    <w:rsid w:val="00C1462E"/>
    <w:rsid w:val="00C14CA1"/>
    <w:rsid w:val="00C209EA"/>
    <w:rsid w:val="00C20BA6"/>
    <w:rsid w:val="00C211B3"/>
    <w:rsid w:val="00C2242E"/>
    <w:rsid w:val="00C2490D"/>
    <w:rsid w:val="00C26871"/>
    <w:rsid w:val="00C3310F"/>
    <w:rsid w:val="00C33BBC"/>
    <w:rsid w:val="00C35212"/>
    <w:rsid w:val="00C37F53"/>
    <w:rsid w:val="00C40621"/>
    <w:rsid w:val="00C41016"/>
    <w:rsid w:val="00C41350"/>
    <w:rsid w:val="00C432BC"/>
    <w:rsid w:val="00C446C7"/>
    <w:rsid w:val="00C4788A"/>
    <w:rsid w:val="00C531D6"/>
    <w:rsid w:val="00C53513"/>
    <w:rsid w:val="00C538C7"/>
    <w:rsid w:val="00C562B9"/>
    <w:rsid w:val="00C56512"/>
    <w:rsid w:val="00C57589"/>
    <w:rsid w:val="00C62221"/>
    <w:rsid w:val="00C63FEE"/>
    <w:rsid w:val="00C70D6C"/>
    <w:rsid w:val="00C71F08"/>
    <w:rsid w:val="00C725B5"/>
    <w:rsid w:val="00C775FE"/>
    <w:rsid w:val="00C818BC"/>
    <w:rsid w:val="00C856C1"/>
    <w:rsid w:val="00C936A0"/>
    <w:rsid w:val="00C950B8"/>
    <w:rsid w:val="00C9728E"/>
    <w:rsid w:val="00C97402"/>
    <w:rsid w:val="00CA1A08"/>
    <w:rsid w:val="00CA252E"/>
    <w:rsid w:val="00CA3222"/>
    <w:rsid w:val="00CA5395"/>
    <w:rsid w:val="00CA582B"/>
    <w:rsid w:val="00CA5988"/>
    <w:rsid w:val="00CA5D25"/>
    <w:rsid w:val="00CA7574"/>
    <w:rsid w:val="00CB10EF"/>
    <w:rsid w:val="00CB15DD"/>
    <w:rsid w:val="00CB2469"/>
    <w:rsid w:val="00CB324B"/>
    <w:rsid w:val="00CB4543"/>
    <w:rsid w:val="00CB5045"/>
    <w:rsid w:val="00CC084C"/>
    <w:rsid w:val="00CC23B2"/>
    <w:rsid w:val="00CC312A"/>
    <w:rsid w:val="00CC74B4"/>
    <w:rsid w:val="00CC7932"/>
    <w:rsid w:val="00CC7E71"/>
    <w:rsid w:val="00CD093F"/>
    <w:rsid w:val="00CD173A"/>
    <w:rsid w:val="00CD2E75"/>
    <w:rsid w:val="00CD31E5"/>
    <w:rsid w:val="00CD531D"/>
    <w:rsid w:val="00CD787F"/>
    <w:rsid w:val="00CE0248"/>
    <w:rsid w:val="00CE0E93"/>
    <w:rsid w:val="00CE0EF2"/>
    <w:rsid w:val="00CE64F2"/>
    <w:rsid w:val="00CF0212"/>
    <w:rsid w:val="00CF4872"/>
    <w:rsid w:val="00CF4A57"/>
    <w:rsid w:val="00CF5B9A"/>
    <w:rsid w:val="00CF6E85"/>
    <w:rsid w:val="00CF7CC8"/>
    <w:rsid w:val="00D02D61"/>
    <w:rsid w:val="00D10325"/>
    <w:rsid w:val="00D119BD"/>
    <w:rsid w:val="00D119FE"/>
    <w:rsid w:val="00D163A3"/>
    <w:rsid w:val="00D17478"/>
    <w:rsid w:val="00D20E2B"/>
    <w:rsid w:val="00D222BA"/>
    <w:rsid w:val="00D23599"/>
    <w:rsid w:val="00D277E2"/>
    <w:rsid w:val="00D308CE"/>
    <w:rsid w:val="00D33436"/>
    <w:rsid w:val="00D334B1"/>
    <w:rsid w:val="00D3381A"/>
    <w:rsid w:val="00D3615D"/>
    <w:rsid w:val="00D41C0A"/>
    <w:rsid w:val="00D429F4"/>
    <w:rsid w:val="00D43768"/>
    <w:rsid w:val="00D43998"/>
    <w:rsid w:val="00D44616"/>
    <w:rsid w:val="00D46AC5"/>
    <w:rsid w:val="00D47828"/>
    <w:rsid w:val="00D53545"/>
    <w:rsid w:val="00D54123"/>
    <w:rsid w:val="00D60583"/>
    <w:rsid w:val="00D63246"/>
    <w:rsid w:val="00D63C82"/>
    <w:rsid w:val="00D64D00"/>
    <w:rsid w:val="00D67693"/>
    <w:rsid w:val="00D70310"/>
    <w:rsid w:val="00D73C85"/>
    <w:rsid w:val="00D7492B"/>
    <w:rsid w:val="00D76D45"/>
    <w:rsid w:val="00D77890"/>
    <w:rsid w:val="00D80633"/>
    <w:rsid w:val="00D80A2C"/>
    <w:rsid w:val="00D85BF3"/>
    <w:rsid w:val="00D86325"/>
    <w:rsid w:val="00D87C24"/>
    <w:rsid w:val="00D90CBF"/>
    <w:rsid w:val="00D90F2B"/>
    <w:rsid w:val="00D90F48"/>
    <w:rsid w:val="00D9166B"/>
    <w:rsid w:val="00D91D1B"/>
    <w:rsid w:val="00D92CB4"/>
    <w:rsid w:val="00D92CDB"/>
    <w:rsid w:val="00D93E95"/>
    <w:rsid w:val="00D94313"/>
    <w:rsid w:val="00D96098"/>
    <w:rsid w:val="00D97700"/>
    <w:rsid w:val="00DA134D"/>
    <w:rsid w:val="00DA5AC1"/>
    <w:rsid w:val="00DA6F3C"/>
    <w:rsid w:val="00DA7F57"/>
    <w:rsid w:val="00DB44CE"/>
    <w:rsid w:val="00DC05D3"/>
    <w:rsid w:val="00DC09DD"/>
    <w:rsid w:val="00DC0CCD"/>
    <w:rsid w:val="00DC4367"/>
    <w:rsid w:val="00DC4902"/>
    <w:rsid w:val="00DC60EC"/>
    <w:rsid w:val="00DD02E8"/>
    <w:rsid w:val="00DD0A4B"/>
    <w:rsid w:val="00DD3402"/>
    <w:rsid w:val="00DD3C10"/>
    <w:rsid w:val="00DD3E84"/>
    <w:rsid w:val="00DD64A0"/>
    <w:rsid w:val="00DE01AF"/>
    <w:rsid w:val="00DE0D07"/>
    <w:rsid w:val="00DE3AE4"/>
    <w:rsid w:val="00DF090C"/>
    <w:rsid w:val="00DF1AD4"/>
    <w:rsid w:val="00DF20AE"/>
    <w:rsid w:val="00DF281F"/>
    <w:rsid w:val="00DF3DC8"/>
    <w:rsid w:val="00DF4AB1"/>
    <w:rsid w:val="00DF57D1"/>
    <w:rsid w:val="00DF60F5"/>
    <w:rsid w:val="00DF6897"/>
    <w:rsid w:val="00DF7DBF"/>
    <w:rsid w:val="00E019CC"/>
    <w:rsid w:val="00E027CE"/>
    <w:rsid w:val="00E06BB7"/>
    <w:rsid w:val="00E0745C"/>
    <w:rsid w:val="00E102DA"/>
    <w:rsid w:val="00E12C5A"/>
    <w:rsid w:val="00E146ED"/>
    <w:rsid w:val="00E2091C"/>
    <w:rsid w:val="00E23A85"/>
    <w:rsid w:val="00E23C2C"/>
    <w:rsid w:val="00E269CD"/>
    <w:rsid w:val="00E310B1"/>
    <w:rsid w:val="00E347E1"/>
    <w:rsid w:val="00E4230F"/>
    <w:rsid w:val="00E426AE"/>
    <w:rsid w:val="00E436DC"/>
    <w:rsid w:val="00E43FF3"/>
    <w:rsid w:val="00E47A06"/>
    <w:rsid w:val="00E52021"/>
    <w:rsid w:val="00E521EB"/>
    <w:rsid w:val="00E54A1B"/>
    <w:rsid w:val="00E57F5B"/>
    <w:rsid w:val="00E60318"/>
    <w:rsid w:val="00E6218B"/>
    <w:rsid w:val="00E6445A"/>
    <w:rsid w:val="00E6573E"/>
    <w:rsid w:val="00E77D25"/>
    <w:rsid w:val="00E817F1"/>
    <w:rsid w:val="00E81E89"/>
    <w:rsid w:val="00E8784E"/>
    <w:rsid w:val="00E87881"/>
    <w:rsid w:val="00E91F8C"/>
    <w:rsid w:val="00E92ACF"/>
    <w:rsid w:val="00E956A6"/>
    <w:rsid w:val="00E963F0"/>
    <w:rsid w:val="00E9701C"/>
    <w:rsid w:val="00EA07A3"/>
    <w:rsid w:val="00EA1F09"/>
    <w:rsid w:val="00EA26F9"/>
    <w:rsid w:val="00EA2871"/>
    <w:rsid w:val="00EA41F0"/>
    <w:rsid w:val="00EA4BF1"/>
    <w:rsid w:val="00EA50B2"/>
    <w:rsid w:val="00EA5404"/>
    <w:rsid w:val="00EA5739"/>
    <w:rsid w:val="00EA7385"/>
    <w:rsid w:val="00EB1D55"/>
    <w:rsid w:val="00EB5C89"/>
    <w:rsid w:val="00EB6EE6"/>
    <w:rsid w:val="00EB788E"/>
    <w:rsid w:val="00EC0705"/>
    <w:rsid w:val="00EC2399"/>
    <w:rsid w:val="00EC4610"/>
    <w:rsid w:val="00EC4C08"/>
    <w:rsid w:val="00EC657E"/>
    <w:rsid w:val="00EC7372"/>
    <w:rsid w:val="00ED108E"/>
    <w:rsid w:val="00ED7AAA"/>
    <w:rsid w:val="00EE2145"/>
    <w:rsid w:val="00EE4CC8"/>
    <w:rsid w:val="00EE4D69"/>
    <w:rsid w:val="00EE4F64"/>
    <w:rsid w:val="00EE5F32"/>
    <w:rsid w:val="00EE64A4"/>
    <w:rsid w:val="00EE66D8"/>
    <w:rsid w:val="00EE71C4"/>
    <w:rsid w:val="00EF0E3A"/>
    <w:rsid w:val="00EF1CA3"/>
    <w:rsid w:val="00EF372D"/>
    <w:rsid w:val="00EF4F2A"/>
    <w:rsid w:val="00EF5878"/>
    <w:rsid w:val="00F02B46"/>
    <w:rsid w:val="00F035BD"/>
    <w:rsid w:val="00F04F98"/>
    <w:rsid w:val="00F05061"/>
    <w:rsid w:val="00F11F9C"/>
    <w:rsid w:val="00F12449"/>
    <w:rsid w:val="00F15EB8"/>
    <w:rsid w:val="00F16BAD"/>
    <w:rsid w:val="00F17D46"/>
    <w:rsid w:val="00F21FB4"/>
    <w:rsid w:val="00F2283B"/>
    <w:rsid w:val="00F23985"/>
    <w:rsid w:val="00F239CB"/>
    <w:rsid w:val="00F252DC"/>
    <w:rsid w:val="00F30FE9"/>
    <w:rsid w:val="00F31331"/>
    <w:rsid w:val="00F32B20"/>
    <w:rsid w:val="00F332D0"/>
    <w:rsid w:val="00F33CC9"/>
    <w:rsid w:val="00F34211"/>
    <w:rsid w:val="00F35B78"/>
    <w:rsid w:val="00F4212C"/>
    <w:rsid w:val="00F42509"/>
    <w:rsid w:val="00F500B7"/>
    <w:rsid w:val="00F50EDA"/>
    <w:rsid w:val="00F5296B"/>
    <w:rsid w:val="00F53395"/>
    <w:rsid w:val="00F5423F"/>
    <w:rsid w:val="00F567F0"/>
    <w:rsid w:val="00F57AC4"/>
    <w:rsid w:val="00F616B1"/>
    <w:rsid w:val="00F619B0"/>
    <w:rsid w:val="00F62C6E"/>
    <w:rsid w:val="00F6331D"/>
    <w:rsid w:val="00F63C6E"/>
    <w:rsid w:val="00F63D05"/>
    <w:rsid w:val="00F6512C"/>
    <w:rsid w:val="00F65DD1"/>
    <w:rsid w:val="00F671A2"/>
    <w:rsid w:val="00F67CA1"/>
    <w:rsid w:val="00F703BA"/>
    <w:rsid w:val="00F72055"/>
    <w:rsid w:val="00F72A15"/>
    <w:rsid w:val="00F730F8"/>
    <w:rsid w:val="00F738F2"/>
    <w:rsid w:val="00F75289"/>
    <w:rsid w:val="00F76482"/>
    <w:rsid w:val="00F80272"/>
    <w:rsid w:val="00F81786"/>
    <w:rsid w:val="00F82F43"/>
    <w:rsid w:val="00F8508A"/>
    <w:rsid w:val="00F86890"/>
    <w:rsid w:val="00F94545"/>
    <w:rsid w:val="00FA1071"/>
    <w:rsid w:val="00FA1560"/>
    <w:rsid w:val="00FA2A52"/>
    <w:rsid w:val="00FA4464"/>
    <w:rsid w:val="00FA4EB0"/>
    <w:rsid w:val="00FA654D"/>
    <w:rsid w:val="00FB3B37"/>
    <w:rsid w:val="00FB5088"/>
    <w:rsid w:val="00FB55C3"/>
    <w:rsid w:val="00FB7DD6"/>
    <w:rsid w:val="00FC252A"/>
    <w:rsid w:val="00FC34C8"/>
    <w:rsid w:val="00FC4CD8"/>
    <w:rsid w:val="00FC5072"/>
    <w:rsid w:val="00FC5E3E"/>
    <w:rsid w:val="00FC5ED0"/>
    <w:rsid w:val="00FC6536"/>
    <w:rsid w:val="00FC69C5"/>
    <w:rsid w:val="00FD6B1B"/>
    <w:rsid w:val="00FE02F1"/>
    <w:rsid w:val="00FE439E"/>
    <w:rsid w:val="00FE709D"/>
    <w:rsid w:val="00FF1BE8"/>
    <w:rsid w:val="00FF25D0"/>
    <w:rsid w:val="00FF3EC3"/>
    <w:rsid w:val="0708E1C8"/>
    <w:rsid w:val="2668BE08"/>
    <w:rsid w:val="2DE6F22C"/>
    <w:rsid w:val="3112F8A5"/>
    <w:rsid w:val="380AAB13"/>
    <w:rsid w:val="4259D7C2"/>
    <w:rsid w:val="5C77149E"/>
    <w:rsid w:val="7EAFF58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510DE12"/>
  <w15:docId w15:val="{618440C8-CD56-4011-8633-A1C99F344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1686D"/>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RCparanumber">
    <w:name w:val="FERC paranumber"/>
    <w:basedOn w:val="Normal"/>
    <w:rsid w:val="00487256"/>
    <w:pPr>
      <w:numPr>
        <w:numId w:val="1"/>
      </w:numPr>
    </w:p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rsid w:val="00487256"/>
    <w:rPr>
      <w:rFonts w:ascii="Times New Roman" w:hAnsi="Times New Roman"/>
      <w:b/>
      <w:sz w:val="26"/>
      <w:szCs w:val="26"/>
      <w:vertAlign w:val="superscript"/>
    </w:rPr>
  </w:style>
  <w:style w:type="paragraph" w:styleId="FootnoteText">
    <w:name w:val="footnote text"/>
    <w:aliases w:val=" Char,Char,Footnote Text Char Char Char Char Char,Footnote Text Char Char1 Char,Footnote Text Char1 Char Char Char,Footnote Text Char1 Char Char Char Char Char Char Char,Footnote Text Char1 Char1 Char,Footnote Text Char2 Char,fn,fn1,fn3,ft"/>
    <w:basedOn w:val="Normal"/>
    <w:link w:val="FootnoteTextChar"/>
    <w:uiPriority w:val="99"/>
    <w:qFormat/>
    <w:rsid w:val="00D20E2B"/>
    <w:rPr>
      <w:sz w:val="22"/>
      <w:szCs w:val="20"/>
    </w:rPr>
  </w:style>
  <w:style w:type="paragraph" w:styleId="Header">
    <w:name w:val="header"/>
    <w:basedOn w:val="Normal"/>
    <w:rsid w:val="005E318F"/>
    <w:pPr>
      <w:tabs>
        <w:tab w:val="center" w:pos="4320"/>
        <w:tab w:val="right" w:pos="8640"/>
      </w:tabs>
    </w:pPr>
  </w:style>
  <w:style w:type="character" w:styleId="PageNumber">
    <w:name w:val="page number"/>
    <w:basedOn w:val="DefaultParagraphFont"/>
    <w:rsid w:val="005E318F"/>
  </w:style>
  <w:style w:type="paragraph" w:styleId="Footer">
    <w:name w:val="footer"/>
    <w:basedOn w:val="Normal"/>
    <w:rsid w:val="005E318F"/>
    <w:pPr>
      <w:tabs>
        <w:tab w:val="center" w:pos="4320"/>
        <w:tab w:val="right" w:pos="8640"/>
      </w:tabs>
    </w:pPr>
  </w:style>
  <w:style w:type="character" w:styleId="Hyperlink">
    <w:name w:val="Hyperlink"/>
    <w:rsid w:val="00C56512"/>
    <w:rPr>
      <w:color w:val="0000FF"/>
      <w:u w:val="single"/>
    </w:rPr>
  </w:style>
  <w:style w:type="character" w:styleId="FollowedHyperlink">
    <w:name w:val="FollowedHyperlink"/>
    <w:rsid w:val="00F42509"/>
    <w:rPr>
      <w:color w:val="800080"/>
      <w:u w:val="single"/>
    </w:rPr>
  </w:style>
  <w:style w:type="paragraph" w:styleId="BalloonText">
    <w:name w:val="Balloon Text"/>
    <w:basedOn w:val="Normal"/>
    <w:semiHidden/>
    <w:rsid w:val="00F42509"/>
    <w:rPr>
      <w:rFonts w:ascii="Tahoma" w:hAnsi="Tahoma" w:cs="Tahoma"/>
      <w:sz w:val="16"/>
      <w:szCs w:val="16"/>
    </w:rPr>
  </w:style>
  <w:style w:type="table" w:styleId="TableGrid">
    <w:name w:val="Table Grid"/>
    <w:basedOn w:val="TableNormal"/>
    <w:rsid w:val="00215A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rsid w:val="00DC05D3"/>
    <w:pPr>
      <w:numPr>
        <w:numId w:val="3"/>
      </w:numPr>
      <w:spacing w:after="120" w:line="480" w:lineRule="auto"/>
    </w:pPr>
  </w:style>
  <w:style w:type="paragraph" w:customStyle="1" w:styleId="LegalFormat">
    <w:name w:val="Legal Format"/>
    <w:basedOn w:val="ListContinue"/>
    <w:rsid w:val="00DC05D3"/>
    <w:pPr>
      <w:spacing w:after="0"/>
      <w:ind w:left="0"/>
    </w:pPr>
    <w:rPr>
      <w:u w:val="single"/>
    </w:rPr>
  </w:style>
  <w:style w:type="character" w:styleId="CommentReference">
    <w:name w:val="annotation reference"/>
    <w:rsid w:val="00FE709D"/>
    <w:rPr>
      <w:sz w:val="16"/>
      <w:szCs w:val="16"/>
    </w:rPr>
  </w:style>
  <w:style w:type="paragraph" w:styleId="CommentText">
    <w:name w:val="annotation text"/>
    <w:basedOn w:val="Normal"/>
    <w:link w:val="CommentTextChar"/>
    <w:rsid w:val="00FE709D"/>
    <w:rPr>
      <w:sz w:val="20"/>
      <w:szCs w:val="20"/>
    </w:rPr>
  </w:style>
  <w:style w:type="character" w:customStyle="1" w:styleId="CommentTextChar">
    <w:name w:val="Comment Text Char"/>
    <w:basedOn w:val="DefaultParagraphFont"/>
    <w:link w:val="CommentText"/>
    <w:rsid w:val="00FE709D"/>
  </w:style>
  <w:style w:type="paragraph" w:styleId="CommentSubject">
    <w:name w:val="annotation subject"/>
    <w:basedOn w:val="CommentText"/>
    <w:next w:val="CommentText"/>
    <w:link w:val="CommentSubjectChar"/>
    <w:rsid w:val="00FE709D"/>
    <w:rPr>
      <w:b/>
      <w:bCs/>
    </w:rPr>
  </w:style>
  <w:style w:type="character" w:customStyle="1" w:styleId="CommentSubjectChar">
    <w:name w:val="Comment Subject Char"/>
    <w:link w:val="CommentSubject"/>
    <w:rsid w:val="00FE709D"/>
    <w:rPr>
      <w:b/>
      <w:bCs/>
    </w:rPr>
  </w:style>
  <w:style w:type="character" w:customStyle="1" w:styleId="FootnoteTextChar">
    <w:name w:val="Footnote Text Char"/>
    <w:aliases w:val="Char Char,Footnote Text Char Char Char Char Char Char,Footnote Text Char Char1 Char Char,Footnote Text Char1 Char Char Char Char,Footnote Text Char1 Char Char Char Char Char Char Char Char,Footnote Text Char2 Char Char,fn Char,ft Char"/>
    <w:basedOn w:val="DefaultParagraphFont"/>
    <w:link w:val="FootnoteText"/>
    <w:uiPriority w:val="99"/>
    <w:rsid w:val="00ED7AAA"/>
    <w:rPr>
      <w:sz w:val="22"/>
    </w:rPr>
  </w:style>
  <w:style w:type="paragraph" w:styleId="ListParagraph">
    <w:name w:val="List Paragraph"/>
    <w:basedOn w:val="Normal"/>
    <w:uiPriority w:val="34"/>
    <w:qFormat/>
    <w:rsid w:val="00660961"/>
    <w:pPr>
      <w:ind w:left="720"/>
      <w:contextualSpacing/>
    </w:pPr>
  </w:style>
  <w:style w:type="paragraph" w:styleId="Revision">
    <w:name w:val="Revision"/>
    <w:hidden/>
    <w:uiPriority w:val="99"/>
    <w:semiHidden/>
    <w:rsid w:val="00FC5072"/>
    <w:rPr>
      <w:sz w:val="26"/>
      <w:szCs w:val="24"/>
    </w:rPr>
  </w:style>
  <w:style w:type="character" w:styleId="UnresolvedMention">
    <w:name w:val="Unresolved Mention"/>
    <w:basedOn w:val="DefaultParagraphFont"/>
    <w:uiPriority w:val="99"/>
    <w:semiHidden/>
    <w:unhideWhenUsed/>
    <w:rsid w:val="000B16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DataClearance@FERC.gov" TargetMode="External" /><Relationship Id="rId11" Type="http://schemas.openxmlformats.org/officeDocument/2006/relationships/hyperlink" Target="https://elibrary.ferc.gov/eLibrary/search"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header" Target="head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4a4cd09-5f17-433b-814a-38e7e9115d16" ContentTypeId="0x0101"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Props1.xml><?xml version="1.0" encoding="utf-8"?>
<ds:datastoreItem xmlns:ds="http://schemas.openxmlformats.org/officeDocument/2006/customXml" ds:itemID="{13F80CC6-3A24-4C0A-864D-F71CE09A7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D2D9A5-875E-4120-8093-C7C721DC2B16}">
  <ds:schemaRefs>
    <ds:schemaRef ds:uri="Microsoft.SharePoint.Taxonomy.ContentTypeSync"/>
  </ds:schemaRefs>
</ds:datastoreItem>
</file>

<file path=customXml/itemProps3.xml><?xml version="1.0" encoding="utf-8"?>
<ds:datastoreItem xmlns:ds="http://schemas.openxmlformats.org/officeDocument/2006/customXml" ds:itemID="{1981AEBE-2EDA-4EE6-A446-D983275B3D59}">
  <ds:schemaRefs>
    <ds:schemaRef ds:uri="http://schemas.openxmlformats.org/officeDocument/2006/bibliography"/>
  </ds:schemaRefs>
</ds:datastoreItem>
</file>

<file path=customXml/itemProps4.xml><?xml version="1.0" encoding="utf-8"?>
<ds:datastoreItem xmlns:ds="http://schemas.openxmlformats.org/officeDocument/2006/customXml" ds:itemID="{3F9B43F1-6C62-4D84-B95E-29E7D9F29019}">
  <ds:schemaRefs>
    <ds:schemaRef ds:uri="http://schemas.microsoft.com/sharepoint/v3/contenttype/forms"/>
  </ds:schemaRefs>
</ds:datastoreItem>
</file>

<file path=customXml/itemProps5.xml><?xml version="1.0" encoding="utf-8"?>
<ds:datastoreItem xmlns:ds="http://schemas.openxmlformats.org/officeDocument/2006/customXml" ds:itemID="{5FA25B6D-8E53-4A32-B2D4-B8BEF26B3A24}">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5e8733a2-e908-454b-85cf-c9d17e1d094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otalTime>2</TotalTime>
  <Pages>6</Pages>
  <Words>1077</Words>
  <Characters>6139</Characters>
  <Application>Microsoft Office Word</Application>
  <DocSecurity>0</DocSecurity>
  <Lines>51</Lines>
  <Paragraphs>14</Paragraphs>
  <ScaleCrop>false</ScaleCrop>
  <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lastPrinted>2021-09-14T22:49:00Z</cp:lastPrinted>
  <dcterms:created xsi:type="dcterms:W3CDTF">2025-08-14T19:19:00Z</dcterms:created>
  <dcterms:modified xsi:type="dcterms:W3CDTF">2025-10-15T15:38:00Z</dcterms:modified>
</cp:coreProperties>
</file>