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A4E3C" w:rsidRPr="00E806EB" w14:paraId="2EA5AC23" w14:textId="77777777">
      <w:pPr>
        <w:widowControl/>
        <w:tabs>
          <w:tab w:val="center" w:pos="5040"/>
        </w:tabs>
        <w:jc w:val="center"/>
      </w:pPr>
      <w:r w:rsidRPr="00E806EB">
        <w:t>Supporting Statement for</w:t>
      </w:r>
    </w:p>
    <w:p w:rsidR="00BA4E3C" w:rsidRPr="00E806EB" w14:paraId="24C98C17" w14:textId="67677FF6">
      <w:pPr>
        <w:widowControl/>
        <w:tabs>
          <w:tab w:val="center" w:pos="5040"/>
        </w:tabs>
        <w:jc w:val="center"/>
        <w:rPr>
          <w:b/>
          <w:bCs/>
        </w:rPr>
      </w:pPr>
      <w:r w:rsidRPr="00E806EB">
        <w:rPr>
          <w:b/>
          <w:bCs/>
        </w:rPr>
        <w:t>FERC- 574</w:t>
      </w:r>
      <w:r w:rsidRPr="00E806EB">
        <w:rPr>
          <w:b/>
          <w:bCs/>
          <w:vertAlign w:val="superscript"/>
        </w:rPr>
        <w:t xml:space="preserve"> </w:t>
      </w:r>
      <w:r w:rsidRPr="00E806EB">
        <w:rPr>
          <w:b/>
          <w:bCs/>
        </w:rPr>
        <w:t>(Gas Pipeline Certificates: Hinshaw Exemptions)</w:t>
      </w:r>
    </w:p>
    <w:p w:rsidR="00BA4E3C" w:rsidRPr="00E806EB" w14:paraId="63100BDF" w14:textId="77777777">
      <w:pPr>
        <w:widowControl/>
        <w:tabs>
          <w:tab w:val="center" w:pos="5040"/>
        </w:tabs>
        <w:jc w:val="center"/>
      </w:pPr>
    </w:p>
    <w:p w:rsidR="00BA4E3C" w:rsidRPr="00E806EB" w14:paraId="79A448B8" w14:textId="22A07DA3">
      <w:pPr>
        <w:widowControl/>
        <w:tabs>
          <w:tab w:val="center" w:pos="5040"/>
        </w:tabs>
        <w:rPr>
          <w:b/>
        </w:rPr>
      </w:pPr>
      <w:r w:rsidRPr="00E806EB">
        <w:rPr>
          <w:bCs/>
        </w:rPr>
        <w:t xml:space="preserve">The Federal Energy Regulatory Commission (Commission or FERC) requests that the Office of Management and Budget (OMB) review and approve </w:t>
      </w:r>
      <w:r w:rsidRPr="00E806EB">
        <w:rPr>
          <w:b/>
          <w:bCs/>
        </w:rPr>
        <w:t>FERC- 574 (Gas Pipeline Certificate: Hinshaw Exemptions; OMB Control No. 1902-0116)</w:t>
      </w:r>
      <w:r w:rsidRPr="00E806EB">
        <w:rPr>
          <w:bCs/>
        </w:rPr>
        <w:t xml:space="preserve"> for a three-year period.</w:t>
      </w:r>
      <w:r w:rsidR="00E806EB">
        <w:rPr>
          <w:bCs/>
        </w:rPr>
        <w:t xml:space="preserve"> </w:t>
      </w:r>
      <w:r w:rsidRPr="00E806EB">
        <w:rPr>
          <w:bCs/>
        </w:rPr>
        <w:t>FERC-574</w:t>
      </w:r>
      <w:r w:rsidRPr="00E806EB">
        <w:t xml:space="preserve"> is an existing data collection with reporting requirement in 18 Code of Federal Regulations (CFR) Part 152.</w:t>
      </w:r>
      <w:r w:rsidR="002A2910">
        <w:t xml:space="preserve"> There are no proposed changes to the reporting requirements.</w:t>
      </w:r>
    </w:p>
    <w:p w:rsidR="00BA4E3C" w:rsidRPr="00E806EB" w14:paraId="2E86AB76" w14:textId="77777777">
      <w:pPr>
        <w:widowControl/>
      </w:pPr>
    </w:p>
    <w:p w:rsidR="00BA4E3C" w:rsidRPr="00E806EB" w14:paraId="7F6CA801" w14:textId="08A4E9F2">
      <w:pPr>
        <w:widowControl/>
        <w:rPr>
          <w:b/>
        </w:rPr>
      </w:pPr>
      <w:r w:rsidRPr="00E806EB">
        <w:rPr>
          <w:b/>
        </w:rPr>
        <w:t>1.</w:t>
      </w:r>
      <w:r w:rsidRPr="00E806EB">
        <w:rPr>
          <w:b/>
        </w:rPr>
        <w:tab/>
      </w:r>
      <w:r w:rsidRPr="00E806EB">
        <w:rPr>
          <w:b/>
        </w:rPr>
        <w:t>CIRCUMSTANCES THAT MAKE THE COLLECTION OF INFORMATION NECESSARY</w:t>
      </w:r>
    </w:p>
    <w:p w:rsidR="00BA4E3C" w:rsidRPr="00E806EB" w14:paraId="06761BEA" w14:textId="77777777">
      <w:pPr>
        <w:widowControl/>
        <w:ind w:left="1440"/>
        <w:rPr>
          <w:b/>
        </w:rPr>
      </w:pPr>
    </w:p>
    <w:p w:rsidR="007C27A8" w:rsidRPr="00E806EB" w:rsidP="00C0110B" w14:paraId="27E529CC" w14:textId="0FCDCD94">
      <w:r w:rsidRPr="00E806EB">
        <w:t>FERC-574 identifies the Commission’s information collections related to implementing the statutory provisions of Sections 1(c), 4, and 7 of the Natural Gas Act (NGA).</w:t>
      </w:r>
      <w:r w:rsidR="00E806EB">
        <w:t xml:space="preserve"> </w:t>
      </w:r>
      <w:r w:rsidRPr="00E806EB">
        <w:t xml:space="preserve"> Natural gas pipeline companies file applications with the Commission furnishing information in order to facilitate a determination of an applicant’s qualification for an exemption under the provisions of the section 1(c).</w:t>
      </w:r>
      <w:r w:rsidR="00E806EB">
        <w:t xml:space="preserve"> </w:t>
      </w:r>
      <w:r w:rsidRPr="00E806EB">
        <w:t>If the Commission grants an exemption, the natural gas pipeline company is not required to file certificate applications, rate schedules, or any other applications or forms prescribed by the Commission.</w:t>
      </w:r>
    </w:p>
    <w:p w:rsidR="0062747E" w:rsidRPr="00E806EB" w14:paraId="3B17514C" w14:textId="77777777"/>
    <w:p w:rsidR="007C27A8" w:rsidRPr="00E806EB" w14:paraId="5775F477" w14:textId="728F31BE">
      <w:r w:rsidRPr="00E806EB">
        <w:t>The exemption applies to companies engaged in the transportation, sale, or resale of natural gas in interstate commerce if: (a) they receive gas at or within the boundaries of the state from another person at or within the boundaries of that state; (b) such gas is ultimately consumed in such state; (c) the rates, service and facilities of such company are subject to regulation by a State Commission; and (d) that such State Commission is exercising that jurisdiction.</w:t>
      </w:r>
      <w:r w:rsidR="00E806EB">
        <w:t xml:space="preserve"> </w:t>
      </w:r>
      <w:r w:rsidRPr="00E806EB">
        <w:t>18 CFR Part 152 specifies the data required to be filed by pipeline companies for an exemption.</w:t>
      </w:r>
    </w:p>
    <w:p w:rsidR="00BA4E3C" w:rsidRPr="00E806EB" w14:paraId="366227E2" w14:textId="77777777">
      <w:pPr>
        <w:pStyle w:val="FERCparanumber"/>
        <w:numPr>
          <w:ilvl w:val="0"/>
          <w:numId w:val="0"/>
        </w:numPr>
        <w:tabs>
          <w:tab w:val="left" w:pos="720"/>
          <w:tab w:val="left" w:pos="4860"/>
        </w:tabs>
        <w:rPr>
          <w:sz w:val="24"/>
        </w:rPr>
      </w:pPr>
    </w:p>
    <w:p w:rsidR="00BA4E3C" w:rsidRPr="00E806EB" w14:paraId="6EA0D394" w14:textId="77777777">
      <w:pPr>
        <w:pStyle w:val="FERCparanumber"/>
        <w:numPr>
          <w:ilvl w:val="0"/>
          <w:numId w:val="2"/>
        </w:numPr>
        <w:tabs>
          <w:tab w:val="left" w:pos="720"/>
          <w:tab w:val="left" w:pos="4860"/>
        </w:tabs>
        <w:rPr>
          <w:sz w:val="24"/>
        </w:rPr>
      </w:pPr>
      <w:r w:rsidRPr="00E806EB">
        <w:rPr>
          <w:b/>
          <w:sz w:val="24"/>
        </w:rPr>
        <w:t>HOW, BY WHOM AND FOR WHAT PURPOSE IS THE INFORMATION USED AND THE CONSEQUENCES OF NOT COLLECTING THE INFORMATION</w:t>
      </w:r>
    </w:p>
    <w:p w:rsidR="00BA4E3C" w:rsidRPr="00E806EB" w14:paraId="2AE1C3BC" w14:textId="77777777">
      <w:pPr>
        <w:pStyle w:val="FERCparanumber"/>
        <w:numPr>
          <w:ilvl w:val="0"/>
          <w:numId w:val="0"/>
        </w:numPr>
        <w:tabs>
          <w:tab w:val="left" w:pos="720"/>
          <w:tab w:val="left" w:pos="4860"/>
        </w:tabs>
        <w:rPr>
          <w:b/>
          <w:sz w:val="24"/>
        </w:rPr>
      </w:pPr>
    </w:p>
    <w:p w:rsidR="00BA4E3C" w:rsidRPr="00E806EB" w14:paraId="6527989C" w14:textId="5907D195">
      <w:r w:rsidRPr="00E806EB">
        <w:t>The information collected by FERC-574 is a written application declaring the applicant’s intent following the requirements set forth in 18 CFR 152.</w:t>
      </w:r>
      <w:r w:rsidR="00E806EB">
        <w:t xml:space="preserve"> </w:t>
      </w:r>
      <w:r w:rsidRPr="00E806EB">
        <w:t>Although the FERC-574 application provides specific data per 18 CFR 152, the information is not collected on a prescribed or preformatted form.</w:t>
      </w:r>
      <w:r w:rsidR="00E806EB">
        <w:t xml:space="preserve"> </w:t>
      </w:r>
    </w:p>
    <w:p w:rsidR="00146A51" w:rsidRPr="00E806EB" w14:paraId="53B24E28" w14:textId="77777777"/>
    <w:p w:rsidR="00A34970" w:rsidRPr="00E806EB" w:rsidP="00146A51" w14:paraId="692DC680" w14:textId="4D673857">
      <w:r w:rsidRPr="00E806EB">
        <w:t xml:space="preserve">The application provides the information which the applicant must furnish the Commission in order to make a determination as to whether the application meets exemption provisions of Section 1(c) of the Natural Gas Act. </w:t>
      </w:r>
    </w:p>
    <w:p w:rsidR="00146A51" w:rsidRPr="00E806EB" w:rsidP="00146A51" w14:paraId="0BE9517A" w14:textId="77777777">
      <w:pPr>
        <w:rPr>
          <w:rFonts w:ascii="Verdana" w:hAnsi="Verdana"/>
          <w:color w:val="333333"/>
        </w:rPr>
      </w:pPr>
    </w:p>
    <w:p w:rsidR="00A34970" w:rsidRPr="00E806EB" w:rsidP="00A34970" w14:paraId="1C24F97D" w14:textId="77777777">
      <w:pPr>
        <w:pStyle w:val="NormalWeb"/>
        <w:shd w:val="clear" w:color="auto" w:fill="FFFFFF"/>
        <w:spacing w:before="0" w:beforeAutospacing="0" w:after="150" w:afterAutospacing="0"/>
        <w:rPr>
          <w:color w:val="333333"/>
        </w:rPr>
      </w:pPr>
      <w:r w:rsidRPr="00E806EB">
        <w:rPr>
          <w:color w:val="333333"/>
        </w:rPr>
        <w:t>Every application shall set forth in the order indicated, the following:</w:t>
      </w:r>
    </w:p>
    <w:p w:rsidR="00A34970" w:rsidRPr="00E806EB" w:rsidP="00A34970" w14:paraId="5183F3D8" w14:textId="77777777">
      <w:pPr>
        <w:pStyle w:val="psection-1"/>
        <w:shd w:val="clear" w:color="auto" w:fill="FFFFFF"/>
        <w:spacing w:before="150" w:beforeAutospacing="0" w:after="150" w:afterAutospacing="0"/>
        <w:rPr>
          <w:color w:val="333333"/>
        </w:rPr>
      </w:pPr>
      <w:r w:rsidRPr="00E806EB">
        <w:rPr>
          <w:rStyle w:val="enumxml"/>
          <w:b/>
          <w:bCs/>
          <w:color w:val="333333"/>
        </w:rPr>
        <w:t>(a)</w:t>
      </w:r>
      <w:r w:rsidRPr="00E806EB">
        <w:rPr>
          <w:color w:val="333333"/>
        </w:rPr>
        <w:t> The exact legal name of applicant.</w:t>
      </w:r>
    </w:p>
    <w:p w:rsidR="00A34970" w:rsidRPr="00E806EB" w:rsidP="00A34970" w14:paraId="4E2E9197" w14:textId="77777777">
      <w:pPr>
        <w:pStyle w:val="psection-1"/>
        <w:shd w:val="clear" w:color="auto" w:fill="FFFFFF"/>
        <w:spacing w:before="150" w:beforeAutospacing="0" w:after="150" w:afterAutospacing="0"/>
        <w:rPr>
          <w:color w:val="333333"/>
        </w:rPr>
      </w:pPr>
      <w:r w:rsidRPr="00E806EB">
        <w:rPr>
          <w:rStyle w:val="enumxml"/>
          <w:b/>
          <w:bCs/>
          <w:color w:val="333333"/>
        </w:rPr>
        <w:t>(b)</w:t>
      </w:r>
      <w:r w:rsidRPr="00E806EB">
        <w:rPr>
          <w:color w:val="333333"/>
        </w:rPr>
        <w:t> The name, title, and post office address of the person to whom correspondence in regard to the application shall be addressed.</w:t>
      </w:r>
    </w:p>
    <w:p w:rsidR="00A34970" w:rsidRPr="00E806EB" w:rsidP="00A34970" w14:paraId="6B942BD0" w14:textId="77777777">
      <w:pPr>
        <w:pStyle w:val="psection-1"/>
        <w:shd w:val="clear" w:color="auto" w:fill="FFFFFF"/>
        <w:spacing w:before="150" w:beforeAutospacing="0" w:after="150" w:afterAutospacing="0"/>
        <w:rPr>
          <w:color w:val="333333"/>
        </w:rPr>
      </w:pPr>
      <w:r w:rsidRPr="00E806EB">
        <w:rPr>
          <w:rStyle w:val="enumxml"/>
          <w:b/>
          <w:bCs/>
          <w:color w:val="333333"/>
        </w:rPr>
        <w:t>(c)</w:t>
      </w:r>
      <w:r w:rsidRPr="00E806EB">
        <w:rPr>
          <w:color w:val="333333"/>
        </w:rPr>
        <w:t> A statement of pertinent facts as to the existing service, if any, or authorized service by applicant, including a showing that all of the natural gas which applicant receives from out-of-</w:t>
      </w:r>
      <w:r w:rsidRPr="00E806EB">
        <w:rPr>
          <w:color w:val="333333"/>
        </w:rPr>
        <w:t>State sources is and will be ultimately consumed within the State in which the operations sought to be exempted are conducted.</w:t>
      </w:r>
    </w:p>
    <w:p w:rsidR="00BE189A" w:rsidRPr="00E806EB" w:rsidP="00BE189A" w14:paraId="29045454" w14:textId="77777777">
      <w:pPr>
        <w:pStyle w:val="psection-1"/>
        <w:shd w:val="clear" w:color="auto" w:fill="FFFFFF"/>
        <w:spacing w:before="150" w:after="150"/>
        <w:rPr>
          <w:b/>
          <w:bCs/>
          <w:color w:val="333333"/>
        </w:rPr>
      </w:pPr>
      <w:r w:rsidRPr="00E806EB">
        <w:rPr>
          <w:b/>
          <w:bCs/>
          <w:color w:val="333333"/>
        </w:rPr>
        <w:t>Certificate from State Commission.</w:t>
      </w:r>
    </w:p>
    <w:p w:rsidR="00A34970" w:rsidRPr="00E806EB" w:rsidP="00146A51" w14:paraId="7764E1B1" w14:textId="2ADC8C0A">
      <w:pPr>
        <w:pStyle w:val="psection-1"/>
        <w:shd w:val="clear" w:color="auto" w:fill="FFFFFF"/>
        <w:spacing w:before="150" w:after="150"/>
      </w:pPr>
      <w:r w:rsidRPr="00E806EB">
        <w:rPr>
          <w:color w:val="333333"/>
        </w:rPr>
        <w:t>Applications for exemption under § 152.3 shall contain, or there shall be separately filed, a certificate from the appropriate State Commission that the natural-gas (a) rates (including rates for sales for resale), (b) service, and (c) facilities of the applicant are subject to the regulatory jurisdiction of the State Commission and that the State Commission is exercising such jurisdiction</w:t>
      </w:r>
      <w:r w:rsidRPr="00E806EB" w:rsidR="00146A51">
        <w:rPr>
          <w:color w:val="333333"/>
        </w:rPr>
        <w:t>.</w:t>
      </w:r>
    </w:p>
    <w:p w:rsidR="00BA4E3C" w:rsidRPr="00E806EB" w14:paraId="74332D19" w14:textId="1D185C22">
      <w:r w:rsidRPr="00E806EB">
        <w:t>The information</w:t>
      </w:r>
      <w:r w:rsidRPr="00E806EB" w:rsidR="00D75735">
        <w:t xml:space="preserve"> is used by the Commission’s staff to research the jurisdictional aspects of the applicant’s operations.</w:t>
      </w:r>
      <w:r w:rsidR="00E806EB">
        <w:t xml:space="preserve"> </w:t>
      </w:r>
      <w:r w:rsidRPr="00E806EB" w:rsidR="00D75735">
        <w:t>Commission staff conduct a systematic review of the prepared application with supplemental documentation provided in the filing.</w:t>
      </w:r>
      <w:r w:rsidR="00E806EB">
        <w:t xml:space="preserve"> </w:t>
      </w:r>
      <w:r w:rsidRPr="00E806EB" w:rsidR="00D75735">
        <w:t>The research includes examining maps and land ownership records to establish whether or not there is Federal jurisdiction.</w:t>
      </w:r>
      <w:r w:rsidR="00E806EB">
        <w:t xml:space="preserve"> </w:t>
      </w:r>
      <w:r w:rsidRPr="00E806EB" w:rsidR="00D75735">
        <w:t>In addition, companies that are currently regulated by the Commission and change their status and wish to become non-jurisdictional must document that they meet the criteria as provided for in Part 152.</w:t>
      </w:r>
      <w:r w:rsidR="00E806EB">
        <w:t xml:space="preserve"> </w:t>
      </w:r>
      <w:r w:rsidRPr="00E806EB" w:rsidR="00D75735">
        <w:t>The required documents allow for a full and complete analysis of a company and provide sufficient data to make a jurisdictional decision.</w:t>
      </w:r>
      <w:r w:rsidR="00E806EB">
        <w:t xml:space="preserve"> </w:t>
      </w:r>
      <w:r w:rsidRPr="00E806EB" w:rsidR="00D75735">
        <w:t>A finding of non-jurisdictional by the Commission can result in the elimination of a substantial paperwork burden for an applicant who might otherwise have to file to comply with sections 4 and 7 of the NGA.</w:t>
      </w:r>
      <w:r w:rsidR="00E806EB">
        <w:t xml:space="preserve"> </w:t>
      </w:r>
    </w:p>
    <w:p w:rsidR="00BA4E3C" w:rsidRPr="00E806EB" w14:paraId="6A560434" w14:textId="77777777"/>
    <w:p w:rsidR="00BA4E3C" w:rsidRPr="00E806EB" w14:paraId="00EC1CEE" w14:textId="77777777">
      <w:pPr>
        <w:pStyle w:val="FERCparanumber"/>
        <w:numPr>
          <w:ilvl w:val="0"/>
          <w:numId w:val="0"/>
        </w:numPr>
        <w:tabs>
          <w:tab w:val="left" w:pos="720"/>
          <w:tab w:val="left" w:pos="4860"/>
        </w:tabs>
        <w:rPr>
          <w:sz w:val="24"/>
        </w:rPr>
      </w:pPr>
      <w:r w:rsidRPr="00E806EB">
        <w:rPr>
          <w:sz w:val="24"/>
        </w:rPr>
        <w:t>Failure to issue these requirements would mean the Commission is not meeting its statutory obligations under Sections 1(c), 4 and 7 of the NGA.</w:t>
      </w:r>
    </w:p>
    <w:p w:rsidR="00BA4E3C" w:rsidRPr="00E806EB" w14:paraId="7D1E885C" w14:textId="77777777">
      <w:pPr>
        <w:pStyle w:val="FERCparanumber"/>
        <w:numPr>
          <w:ilvl w:val="0"/>
          <w:numId w:val="0"/>
        </w:numPr>
        <w:tabs>
          <w:tab w:val="left" w:pos="720"/>
          <w:tab w:val="left" w:pos="4860"/>
        </w:tabs>
        <w:rPr>
          <w:sz w:val="24"/>
        </w:rPr>
      </w:pPr>
    </w:p>
    <w:p w:rsidR="00BA4E3C" w:rsidRPr="00E806EB" w14:paraId="17623094" w14:textId="77777777">
      <w:pPr>
        <w:widowControl/>
        <w:numPr>
          <w:ilvl w:val="0"/>
          <w:numId w:val="2"/>
        </w:numPr>
      </w:pPr>
      <w:r w:rsidRPr="00E806EB">
        <w:rPr>
          <w:b/>
        </w:rPr>
        <w:t>DESCRIBE ANY CONSIDERATION OF THE USE OF IMPROVED INFORMATION TECHNOLOGY TO REDUCE BURDEN AND THE TECHNICAL OR LEGAL OBSTACLES TO REDUCING BURDEN</w:t>
      </w:r>
    </w:p>
    <w:p w:rsidR="00BA4E3C" w:rsidRPr="00E806EB" w14:paraId="2CEE6639" w14:textId="77777777"/>
    <w:p w:rsidR="007C27A8" w:rsidRPr="00E806EB" w:rsidP="007C27A8" w14:paraId="25E38B67" w14:textId="1B5A3B4D">
      <w:r w:rsidRPr="00E806EB">
        <w:t>The Commission is continually improving its eFiling capabilities in an effort to reduce the burden to entities needing to file materials.</w:t>
      </w:r>
      <w:r w:rsidR="00E806EB">
        <w:t xml:space="preserve"> </w:t>
      </w:r>
      <w:r w:rsidRPr="00E806EB">
        <w:t>All of the filing material associated with the FERC-574 materials may be eFiled through FERC’s eFiling system, and in the last year, 100% of the material was eFiled.</w:t>
      </w:r>
      <w:r w:rsidR="00E806EB">
        <w:t xml:space="preserve"> </w:t>
      </w:r>
    </w:p>
    <w:p w:rsidR="00BA4E3C" w:rsidRPr="00E806EB" w14:paraId="7F32EDF0" w14:textId="77777777"/>
    <w:p w:rsidR="00BA4E3C" w:rsidRPr="00E806EB" w14:paraId="5FDEFA96" w14:textId="77777777">
      <w:pPr>
        <w:pStyle w:val="FERCparanumber"/>
        <w:numPr>
          <w:ilvl w:val="0"/>
          <w:numId w:val="2"/>
        </w:numPr>
        <w:rPr>
          <w:sz w:val="24"/>
        </w:rPr>
      </w:pPr>
      <w:r w:rsidRPr="00E806EB">
        <w:rPr>
          <w:b/>
          <w:sz w:val="24"/>
        </w:rPr>
        <w:t>DESCRIBE EFFORTS TO IDENTIFY DUPLICATON AND SHOW SPECIFICALLY WHY ANY SIMILAR INFORMATION ALREADY AVAILABLE CANNOT BE USED OR MODIFIED FOR USE FOR THE PURPOSE(S) DESCRIBED IN INSTRUCTION NO. 2.</w:t>
      </w:r>
    </w:p>
    <w:p w:rsidR="00BA4E3C" w:rsidRPr="00E806EB" w14:paraId="084023A3" w14:textId="77777777">
      <w:pPr>
        <w:pStyle w:val="FERCparanumber"/>
        <w:numPr>
          <w:ilvl w:val="0"/>
          <w:numId w:val="0"/>
        </w:numPr>
        <w:rPr>
          <w:b/>
          <w:sz w:val="24"/>
        </w:rPr>
      </w:pPr>
    </w:p>
    <w:p w:rsidR="007C27A8" w:rsidRPr="00E806EB" w:rsidP="007C27A8" w14:paraId="2A291EA6" w14:textId="723CF0F8">
      <w:r w:rsidRPr="00E806EB">
        <w:t>Filing requirements are reviewed for need at least as often as every three years when the information collection expiration dates are due to expire and typically evaluated more frequently than that.</w:t>
      </w:r>
      <w:r w:rsidR="00E806EB">
        <w:t xml:space="preserve"> </w:t>
      </w:r>
      <w:r w:rsidRPr="00E806EB">
        <w:t>After Commission analysis, it has been confirmed that there is no other source of this information, nor is the material duplicated in another source.</w:t>
      </w:r>
      <w:r w:rsidR="00E806EB">
        <w:t xml:space="preserve"> </w:t>
      </w:r>
    </w:p>
    <w:p w:rsidR="00BA4E3C" w:rsidRPr="00E806EB" w14:paraId="6D03828C" w14:textId="77777777">
      <w:pPr>
        <w:pStyle w:val="FERCparanumber"/>
        <w:numPr>
          <w:ilvl w:val="0"/>
          <w:numId w:val="0"/>
        </w:numPr>
        <w:rPr>
          <w:b/>
          <w:sz w:val="24"/>
        </w:rPr>
      </w:pPr>
    </w:p>
    <w:p w:rsidR="00BA4E3C" w:rsidRPr="00E806EB" w14:paraId="3AB41BF6" w14:textId="77777777">
      <w:pPr>
        <w:pStyle w:val="FERCparanumber"/>
        <w:numPr>
          <w:ilvl w:val="0"/>
          <w:numId w:val="2"/>
        </w:numPr>
        <w:rPr>
          <w:sz w:val="24"/>
        </w:rPr>
      </w:pPr>
      <w:r w:rsidRPr="00E806EB">
        <w:rPr>
          <w:b/>
          <w:sz w:val="24"/>
        </w:rPr>
        <w:t>METHODS USED TO MINIMIZE BURDEN IN COLLECTION OF INFORMATION INVOLVING SMALL ENTITIES</w:t>
      </w:r>
      <w:r w:rsidRPr="00E806EB">
        <w:rPr>
          <w:sz w:val="24"/>
        </w:rPr>
        <w:t xml:space="preserve"> </w:t>
      </w:r>
    </w:p>
    <w:p w:rsidR="00BA4E3C" w:rsidRPr="00E806EB" w14:paraId="2AA183CF" w14:textId="77777777">
      <w:pPr>
        <w:widowControl/>
        <w:ind w:left="1440"/>
      </w:pPr>
    </w:p>
    <w:p w:rsidR="00BA4E3C" w:rsidRPr="00E806EB" w14:paraId="114A7511" w14:textId="77777777">
      <w:r w:rsidRPr="00E806EB">
        <w:t>This application does not collect information from small entities. As the purpose of the application is to obtain exemption from the NGA provisions, the minimization of the impact, particularly on small businesses would not be applicable.</w:t>
      </w:r>
    </w:p>
    <w:p w:rsidR="00BA4E3C" w:rsidRPr="00E806EB" w14:paraId="7079D0FC" w14:textId="77777777">
      <w:pPr>
        <w:pStyle w:val="FERCparanumber"/>
        <w:numPr>
          <w:ilvl w:val="0"/>
          <w:numId w:val="0"/>
        </w:numPr>
        <w:tabs>
          <w:tab w:val="num" w:pos="0"/>
        </w:tabs>
        <w:jc w:val="center"/>
        <w:rPr>
          <w:sz w:val="24"/>
        </w:rPr>
      </w:pPr>
    </w:p>
    <w:p w:rsidR="00BA4E3C" w:rsidRPr="00E806EB" w14:paraId="0C533C26" w14:textId="77777777">
      <w:pPr>
        <w:pStyle w:val="FERCparanumber"/>
        <w:numPr>
          <w:ilvl w:val="0"/>
          <w:numId w:val="2"/>
        </w:numPr>
        <w:rPr>
          <w:sz w:val="24"/>
        </w:rPr>
      </w:pPr>
      <w:r w:rsidRPr="00E806EB">
        <w:rPr>
          <w:b/>
          <w:sz w:val="24"/>
        </w:rPr>
        <w:t>CONSEQUENCE TO FEDERAL PROGRAM IF COLLECTION WERE CONDUCTED LESS FREQUENTLY</w:t>
      </w:r>
    </w:p>
    <w:p w:rsidR="00BA4E3C" w:rsidRPr="00E806EB" w14:paraId="70374728" w14:textId="77777777">
      <w:pPr>
        <w:pStyle w:val="FERCparanumber"/>
        <w:numPr>
          <w:ilvl w:val="0"/>
          <w:numId w:val="0"/>
        </w:numPr>
        <w:rPr>
          <w:b/>
          <w:sz w:val="24"/>
        </w:rPr>
      </w:pPr>
    </w:p>
    <w:p w:rsidR="00BA4E3C" w:rsidRPr="00E806EB" w14:paraId="13B1C311" w14:textId="080978EA">
      <w:r w:rsidRPr="00E806EB">
        <w:t>The data required</w:t>
      </w:r>
      <w:r w:rsidR="00EC4972">
        <w:t xml:space="preserve"> in this collection</w:t>
      </w:r>
      <w:r w:rsidRPr="00E806EB">
        <w:t xml:space="preserve"> impose the least possible burden on applicants while collecting the information required for processing the application.</w:t>
      </w:r>
      <w:r w:rsidR="00E806EB">
        <w:t xml:space="preserve"> </w:t>
      </w:r>
      <w:r w:rsidRPr="00E806EB">
        <w:t>As noted above, this is a one-time filing for exemption from the pipelines certificate requirements of the NGA, and as such, the issue of frequency of filing is not applicable.</w:t>
      </w:r>
      <w:r w:rsidR="00E806EB">
        <w:t xml:space="preserve"> </w:t>
      </w:r>
    </w:p>
    <w:p w:rsidR="00BA4E3C" w:rsidRPr="00E806EB" w14:paraId="25952EA1" w14:textId="77777777">
      <w:pPr>
        <w:pStyle w:val="FERCparanumber"/>
        <w:numPr>
          <w:ilvl w:val="0"/>
          <w:numId w:val="0"/>
        </w:numPr>
        <w:rPr>
          <w:sz w:val="24"/>
        </w:rPr>
      </w:pPr>
    </w:p>
    <w:p w:rsidR="00BA4E3C" w:rsidRPr="00E806EB" w14:paraId="672AACF4" w14:textId="77777777">
      <w:pPr>
        <w:pStyle w:val="FERCparanumber"/>
        <w:numPr>
          <w:ilvl w:val="0"/>
          <w:numId w:val="2"/>
        </w:numPr>
        <w:rPr>
          <w:sz w:val="24"/>
        </w:rPr>
      </w:pPr>
      <w:r w:rsidRPr="00E806EB">
        <w:rPr>
          <w:b/>
          <w:sz w:val="24"/>
        </w:rPr>
        <w:t>EXPLAIN ANY SPECIAL CIRCUMSTANCES RELATING TO THE INFORMATION</w:t>
      </w:r>
    </w:p>
    <w:p w:rsidR="00BA4E3C" w:rsidRPr="00E806EB" w14:paraId="6B39FE01" w14:textId="77777777">
      <w:pPr>
        <w:pStyle w:val="FERCparanumber"/>
        <w:numPr>
          <w:ilvl w:val="0"/>
          <w:numId w:val="0"/>
        </w:numPr>
        <w:rPr>
          <w:b/>
          <w:sz w:val="24"/>
        </w:rPr>
      </w:pPr>
    </w:p>
    <w:p w:rsidR="00BA4E3C" w:rsidRPr="00E806EB" w:rsidP="00C0110B" w14:paraId="715A33AB" w14:textId="6E705AAF">
      <w:pPr>
        <w:tabs>
          <w:tab w:val="left" w:pos="-1440"/>
        </w:tabs>
      </w:pPr>
      <w:r w:rsidRPr="00E806EB">
        <w:t>There are no special circumstances related to FERC-574.</w:t>
      </w:r>
    </w:p>
    <w:p w:rsidR="00BA4E3C" w:rsidRPr="00E806EB" w14:paraId="2C7D1FFB" w14:textId="77777777">
      <w:pPr>
        <w:pStyle w:val="FERCparanumber"/>
        <w:numPr>
          <w:ilvl w:val="0"/>
          <w:numId w:val="0"/>
        </w:numPr>
        <w:rPr>
          <w:sz w:val="24"/>
        </w:rPr>
      </w:pPr>
    </w:p>
    <w:p w:rsidR="00BA4E3C" w:rsidRPr="00E806EB" w14:paraId="5740B992" w14:textId="77777777">
      <w:pPr>
        <w:pStyle w:val="FERCparanumber"/>
        <w:numPr>
          <w:ilvl w:val="0"/>
          <w:numId w:val="2"/>
        </w:numPr>
        <w:rPr>
          <w:sz w:val="24"/>
        </w:rPr>
      </w:pPr>
      <w:r w:rsidRPr="00E806EB">
        <w:rPr>
          <w:b/>
          <w:sz w:val="24"/>
        </w:rPr>
        <w:t>DESCRIBE EFFORTS TO CONSULT OUTSIDE THE AGENCY: SUMMARIZE PUBLIC COMMENTS AND THE AGENCY’S RESPONSE TO THESE COMMENTS</w:t>
      </w:r>
    </w:p>
    <w:p w:rsidR="00BA4E3C" w:rsidRPr="00E806EB" w14:paraId="691C0AA0" w14:textId="77777777">
      <w:pPr>
        <w:pStyle w:val="FERCparanumber"/>
        <w:numPr>
          <w:ilvl w:val="0"/>
          <w:numId w:val="0"/>
        </w:numPr>
        <w:rPr>
          <w:b/>
          <w:sz w:val="24"/>
        </w:rPr>
      </w:pPr>
    </w:p>
    <w:p w:rsidR="00BA4E3C" w:rsidRPr="00E806EB" w14:paraId="73D08E3D" w14:textId="0312099F">
      <w:r>
        <w:t>In accordance with</w:t>
      </w:r>
      <w:r>
        <w:t xml:space="preserve"> OMB requirements, the Commission published a 60-day notice</w:t>
      </w:r>
      <w:bookmarkStart w:id="0" w:name="_Ref332712251"/>
      <w:r w:rsidR="00EC0929">
        <w:t xml:space="preserve"> (90 FR 59110</w:t>
      </w:r>
      <w:r w:rsidR="00CE44CF">
        <w:t>, December 18, 2025</w:t>
      </w:r>
      <w:r w:rsidR="00EC0929">
        <w:t>)</w:t>
      </w:r>
      <w:bookmarkEnd w:id="0"/>
      <w:r>
        <w:t xml:space="preserve"> and 30-day notice</w:t>
      </w:r>
      <w:r w:rsidR="00EC0929">
        <w:t xml:space="preserve"> (</w:t>
      </w:r>
      <w:r w:rsidR="57348DB4">
        <w:t>91 FR 8863</w:t>
      </w:r>
      <w:r w:rsidR="00CE44CF">
        <w:t xml:space="preserve">, </w:t>
      </w:r>
      <w:r w:rsidR="27A934B3">
        <w:t>February 24, 2026</w:t>
      </w:r>
      <w:r w:rsidR="00EC0929">
        <w:t>)</w:t>
      </w:r>
      <w:r>
        <w:t xml:space="preserve"> to the public regarding this information collection. Within the public notice, the Commission noted that it would be requesting a three-year extension of the public reporting burden with no change to the existing requirements concerning the collection of data.</w:t>
      </w:r>
      <w:r w:rsidR="00E806EB">
        <w:t xml:space="preserve"> </w:t>
      </w:r>
      <w:r>
        <w:t>The Commission received no comments on the 60-day notice.</w:t>
      </w:r>
      <w:r w:rsidR="00E806EB">
        <w:t xml:space="preserve"> </w:t>
      </w:r>
    </w:p>
    <w:p w:rsidR="00BA4E3C" w:rsidRPr="00E806EB" w14:paraId="22EDAC81" w14:textId="77777777">
      <w:pPr>
        <w:pStyle w:val="FERCparanumber"/>
        <w:numPr>
          <w:ilvl w:val="0"/>
          <w:numId w:val="0"/>
        </w:numPr>
        <w:rPr>
          <w:sz w:val="24"/>
        </w:rPr>
      </w:pPr>
    </w:p>
    <w:p w:rsidR="00BA4E3C" w:rsidRPr="00E806EB" w14:paraId="12FF8B89" w14:textId="77777777">
      <w:pPr>
        <w:pStyle w:val="FERCparanumber"/>
        <w:numPr>
          <w:ilvl w:val="0"/>
          <w:numId w:val="2"/>
        </w:numPr>
        <w:rPr>
          <w:sz w:val="24"/>
        </w:rPr>
      </w:pPr>
      <w:r w:rsidRPr="00E806EB">
        <w:rPr>
          <w:b/>
          <w:sz w:val="24"/>
        </w:rPr>
        <w:t>EXPLAIN ANY PAYMENT OR GIFTS TO RESPONDENTS</w:t>
      </w:r>
    </w:p>
    <w:p w:rsidR="00BA4E3C" w:rsidRPr="00E806EB" w14:paraId="7098C2DC" w14:textId="77777777">
      <w:pPr>
        <w:pStyle w:val="FERCparanumber"/>
        <w:numPr>
          <w:ilvl w:val="0"/>
          <w:numId w:val="0"/>
        </w:numPr>
        <w:rPr>
          <w:b/>
          <w:sz w:val="24"/>
        </w:rPr>
      </w:pPr>
    </w:p>
    <w:p w:rsidR="00BA4E3C" w:rsidRPr="00E806EB" w14:paraId="2F7865B0" w14:textId="77777777">
      <w:pPr>
        <w:widowControl/>
        <w:autoSpaceDE/>
        <w:autoSpaceDN/>
        <w:adjustRightInd/>
        <w:spacing w:line="276" w:lineRule="auto"/>
        <w:rPr>
          <w:rFonts w:eastAsiaTheme="minorHAnsi"/>
        </w:rPr>
      </w:pPr>
      <w:r w:rsidRPr="00E806EB">
        <w:rPr>
          <w:rFonts w:eastAsiaTheme="minorHAnsi"/>
        </w:rPr>
        <w:t>The Commission does not make payments or provide gifts for respondents related to FERC-574 information collection.</w:t>
      </w:r>
    </w:p>
    <w:p w:rsidR="00BA4E3C" w:rsidRPr="00E806EB" w14:paraId="38E1DCD7" w14:textId="77777777">
      <w:pPr>
        <w:pStyle w:val="FERCparanumber"/>
        <w:numPr>
          <w:ilvl w:val="0"/>
          <w:numId w:val="0"/>
        </w:numPr>
        <w:rPr>
          <w:sz w:val="24"/>
        </w:rPr>
      </w:pPr>
    </w:p>
    <w:p w:rsidR="00BA4E3C" w:rsidRPr="00E806EB" w14:paraId="4BE1FE05" w14:textId="77777777">
      <w:pPr>
        <w:pStyle w:val="FERCparanumber"/>
        <w:numPr>
          <w:ilvl w:val="0"/>
          <w:numId w:val="2"/>
        </w:numPr>
        <w:rPr>
          <w:sz w:val="24"/>
        </w:rPr>
      </w:pPr>
      <w:r w:rsidRPr="00E806EB">
        <w:rPr>
          <w:b/>
          <w:sz w:val="24"/>
        </w:rPr>
        <w:t>DESCRIBE ANY ASSURANCE OF CONFIDENTIALITY PROVIDED TO RESPONDENTS</w:t>
      </w:r>
    </w:p>
    <w:p w:rsidR="00BA4E3C" w:rsidRPr="00E806EB" w14:paraId="37DADE75" w14:textId="77777777">
      <w:pPr>
        <w:pStyle w:val="FERCparanumber"/>
        <w:numPr>
          <w:ilvl w:val="0"/>
          <w:numId w:val="0"/>
        </w:numPr>
        <w:rPr>
          <w:b/>
          <w:sz w:val="24"/>
        </w:rPr>
      </w:pPr>
    </w:p>
    <w:p w:rsidR="20099432" w:rsidRPr="00567925" w:rsidP="00567925" w14:paraId="4E79F711" w14:textId="534FF802">
      <w:r w:rsidRPr="00567925">
        <w:t>The Commission does not guarantee the information provided by applicants to be confidential. However, as needed, specific requests for privileged or</w:t>
      </w:r>
      <w:r w:rsidRPr="00567925" w:rsidR="00567925">
        <w:t xml:space="preserve"> </w:t>
      </w:r>
      <w:r w:rsidRPr="00567925">
        <w:t>Critical Energy/Electric Infrastructure Information (CEII) treatment may be made pursuant to 18 C.F.R. Sections 388.112 and 388.113.</w:t>
      </w:r>
    </w:p>
    <w:p w:rsidR="4F6E241E" w14:paraId="2FF53DE6" w14:textId="4836BF87"/>
    <w:p w:rsidR="00BA4E3C" w:rsidRPr="00E806EB" w14:paraId="09BE9188" w14:textId="77777777">
      <w:pPr>
        <w:pStyle w:val="FERCparanumber"/>
        <w:numPr>
          <w:ilvl w:val="0"/>
          <w:numId w:val="0"/>
        </w:numPr>
        <w:rPr>
          <w:sz w:val="24"/>
        </w:rPr>
      </w:pPr>
    </w:p>
    <w:p w:rsidR="00BA4E3C" w:rsidRPr="00E806EB" w14:paraId="6EE1D6A2" w14:textId="77777777">
      <w:pPr>
        <w:pStyle w:val="FERCparanumber"/>
        <w:numPr>
          <w:ilvl w:val="0"/>
          <w:numId w:val="2"/>
        </w:numPr>
        <w:rPr>
          <w:sz w:val="24"/>
        </w:rPr>
      </w:pPr>
      <w:r w:rsidRPr="00E806EB">
        <w:rPr>
          <w:b/>
          <w:sz w:val="24"/>
        </w:rPr>
        <w:t>PROVIDE ADDITIONAL JUSTIFICATION FOR ANY QUESTIONS OF A SENSITIVE NATURE, SUCH AS SEXUAL BEHAVIOR AND ATTITUDES, RELIGIOUS BELIEFS, AND OTHER MATTERS THAT ARE COMMONLY CONSIDERED PRIVATE</w:t>
      </w:r>
    </w:p>
    <w:p w:rsidR="00BA4E3C" w:rsidRPr="00E806EB" w14:paraId="68F408F3" w14:textId="77777777">
      <w:pPr>
        <w:pStyle w:val="FERCparanumber"/>
        <w:numPr>
          <w:ilvl w:val="0"/>
          <w:numId w:val="0"/>
        </w:numPr>
        <w:rPr>
          <w:b/>
          <w:sz w:val="24"/>
        </w:rPr>
      </w:pPr>
    </w:p>
    <w:p w:rsidR="00BA4E3C" w:rsidRPr="00E77909" w:rsidP="00E77909" w14:paraId="56EA3D0D" w14:textId="04C06293">
      <w:pPr>
        <w:widowControl/>
        <w:autoSpaceDE/>
        <w:autoSpaceDN/>
        <w:adjustRightInd/>
        <w:spacing w:line="276" w:lineRule="auto"/>
        <w:rPr>
          <w:rFonts w:eastAsiaTheme="minorHAnsi"/>
        </w:rPr>
      </w:pPr>
      <w:r w:rsidRPr="00E806EB">
        <w:rPr>
          <w:rFonts w:eastAsiaTheme="minorHAnsi"/>
        </w:rPr>
        <w:t>The Commission does not consider any of the questions within FERC-574 of a sensitive nature that would be considered private.</w:t>
      </w:r>
    </w:p>
    <w:p w:rsidR="00BA4E3C" w:rsidRPr="00E806EB" w14:paraId="7334F975" w14:textId="77777777">
      <w:pPr>
        <w:pStyle w:val="FERCparanumber"/>
        <w:numPr>
          <w:ilvl w:val="0"/>
          <w:numId w:val="0"/>
        </w:numPr>
        <w:rPr>
          <w:sz w:val="24"/>
        </w:rPr>
      </w:pPr>
    </w:p>
    <w:p w:rsidR="00BA4E3C" w:rsidRPr="00E806EB" w14:paraId="5252E042" w14:textId="77777777">
      <w:pPr>
        <w:pStyle w:val="FERCparanumber"/>
        <w:numPr>
          <w:ilvl w:val="0"/>
          <w:numId w:val="2"/>
        </w:numPr>
        <w:rPr>
          <w:sz w:val="24"/>
        </w:rPr>
      </w:pPr>
      <w:r w:rsidRPr="00E806EB">
        <w:rPr>
          <w:b/>
          <w:sz w:val="24"/>
        </w:rPr>
        <w:t>ESTIMATED BURDEN COLLECTION OF INFORMATION</w:t>
      </w:r>
    </w:p>
    <w:p w:rsidR="00BA4E3C" w:rsidRPr="00E806EB" w14:paraId="50722D66" w14:textId="77777777">
      <w:pPr>
        <w:pStyle w:val="FERCparanumber"/>
        <w:numPr>
          <w:ilvl w:val="0"/>
          <w:numId w:val="0"/>
        </w:numPr>
        <w:rPr>
          <w:b/>
          <w:sz w:val="24"/>
        </w:rPr>
      </w:pPr>
    </w:p>
    <w:p w:rsidR="00BA4E3C" w:rsidRPr="00E77909" w:rsidP="00E77909" w14:paraId="2C964C3B" w14:textId="17B24AC3">
      <w:pPr>
        <w:spacing w:line="480" w:lineRule="auto"/>
      </w:pPr>
      <w:r w:rsidRPr="00E806EB">
        <w:t>The burden</w:t>
      </w:r>
      <w:r>
        <w:rPr>
          <w:vertAlign w:val="superscript"/>
        </w:rPr>
        <w:footnoteReference w:id="2"/>
      </w:r>
      <w:r w:rsidRPr="00E806EB">
        <w:t xml:space="preserve"> and </w:t>
      </w:r>
      <w:r w:rsidRPr="00E806EB" w:rsidR="00956263">
        <w:t>cost</w:t>
      </w:r>
      <w:r>
        <w:rPr>
          <w:rFonts w:eastAsia="Calibri"/>
          <w:b/>
          <w:bCs/>
          <w:vertAlign w:val="superscript"/>
        </w:rPr>
        <w:footnoteReference w:id="3"/>
      </w:r>
      <w:r w:rsidRPr="4F6E241E" w:rsidR="00956263">
        <w:rPr>
          <w:rFonts w:eastAsia="Calibri"/>
          <w:b/>
          <w:bCs/>
        </w:rPr>
        <w:t xml:space="preserve"> </w:t>
      </w:r>
      <w:r w:rsidRPr="00E806EB" w:rsidR="00956263">
        <w:t xml:space="preserve">for the </w:t>
      </w:r>
      <w:r w:rsidRPr="00E806EB">
        <w:t xml:space="preserve">FERC-574 information collection requirements are: </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0"/>
        <w:gridCol w:w="1530"/>
        <w:gridCol w:w="1440"/>
        <w:gridCol w:w="1710"/>
        <w:gridCol w:w="1800"/>
        <w:gridCol w:w="1530"/>
      </w:tblGrid>
      <w:tr w14:paraId="00FEC38C" w14:textId="77777777" w:rsidTr="00E70C61">
        <w:tblPrEx>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42"/>
          <w:jc w:val="center"/>
        </w:trPr>
        <w:tc>
          <w:tcPr>
            <w:tcW w:w="9550" w:type="dxa"/>
            <w:gridSpan w:val="6"/>
            <w:shd w:val="clear" w:color="auto" w:fill="D9D9D9"/>
            <w:vAlign w:val="bottom"/>
          </w:tcPr>
          <w:p w:rsidR="00956263" w:rsidRPr="00E806EB" w:rsidP="00E70C61" w14:paraId="2621FD4A" w14:textId="77777777">
            <w:pPr>
              <w:jc w:val="center"/>
              <w:rPr>
                <w:b/>
                <w:smallCaps/>
              </w:rPr>
            </w:pPr>
            <w:r w:rsidRPr="00E806EB">
              <w:rPr>
                <w:b/>
                <w:smallCaps/>
              </w:rPr>
              <w:t>FERC-574, Gas Pipeline Certificates: Hinshaw Exemption</w:t>
            </w:r>
          </w:p>
        </w:tc>
      </w:tr>
      <w:tr w14:paraId="7B9D9357" w14:textId="77777777" w:rsidTr="00E70C61">
        <w:tblPrEx>
          <w:tblW w:w="9550" w:type="dxa"/>
          <w:jc w:val="center"/>
          <w:tblLayout w:type="fixed"/>
          <w:tblLook w:val="01E0"/>
        </w:tblPrEx>
        <w:trPr>
          <w:trHeight w:val="638"/>
          <w:jc w:val="center"/>
        </w:trPr>
        <w:tc>
          <w:tcPr>
            <w:tcW w:w="1540" w:type="dxa"/>
            <w:shd w:val="clear" w:color="auto" w:fill="D9D9D9"/>
            <w:vAlign w:val="bottom"/>
          </w:tcPr>
          <w:p w:rsidR="00956263" w:rsidRPr="00E806EB" w:rsidP="00E70C61" w14:paraId="48A08629" w14:textId="77777777">
            <w:pPr>
              <w:jc w:val="center"/>
              <w:rPr>
                <w:b/>
              </w:rPr>
            </w:pPr>
            <w:r w:rsidRPr="00E806EB">
              <w:rPr>
                <w:b/>
              </w:rPr>
              <w:t>Number of Respondents</w:t>
            </w:r>
          </w:p>
          <w:p w:rsidR="00956263" w:rsidRPr="00E806EB" w:rsidP="00E70C61" w14:paraId="5147A47E" w14:textId="77777777">
            <w:pPr>
              <w:jc w:val="center"/>
              <w:rPr>
                <w:b/>
              </w:rPr>
            </w:pPr>
            <w:r w:rsidRPr="00E806EB">
              <w:rPr>
                <w:b/>
              </w:rPr>
              <w:t>(1)</w:t>
            </w:r>
          </w:p>
        </w:tc>
        <w:tc>
          <w:tcPr>
            <w:tcW w:w="1530" w:type="dxa"/>
            <w:shd w:val="clear" w:color="auto" w:fill="D9D9D9"/>
            <w:vAlign w:val="bottom"/>
          </w:tcPr>
          <w:p w:rsidR="00956263" w:rsidRPr="00E806EB" w:rsidP="00E70C61" w14:paraId="447E53A9" w14:textId="77777777">
            <w:pPr>
              <w:jc w:val="center"/>
              <w:rPr>
                <w:b/>
              </w:rPr>
            </w:pPr>
            <w:r w:rsidRPr="00E806EB">
              <w:rPr>
                <w:b/>
              </w:rPr>
              <w:t>Number of Responses Per Respondent</w:t>
            </w:r>
          </w:p>
          <w:p w:rsidR="00956263" w:rsidRPr="00E806EB" w:rsidP="00E70C61" w14:paraId="3D5C44B9" w14:textId="77777777">
            <w:pPr>
              <w:jc w:val="center"/>
              <w:rPr>
                <w:b/>
              </w:rPr>
            </w:pPr>
            <w:r w:rsidRPr="00E806EB">
              <w:rPr>
                <w:b/>
              </w:rPr>
              <w:t>(2)</w:t>
            </w:r>
          </w:p>
        </w:tc>
        <w:tc>
          <w:tcPr>
            <w:tcW w:w="1440" w:type="dxa"/>
            <w:shd w:val="clear" w:color="auto" w:fill="D9D9D9"/>
            <w:vAlign w:val="bottom"/>
          </w:tcPr>
          <w:p w:rsidR="00956263" w:rsidRPr="00E806EB" w:rsidP="00E70C61" w14:paraId="17C54E3E" w14:textId="77777777">
            <w:pPr>
              <w:jc w:val="center"/>
              <w:rPr>
                <w:b/>
              </w:rPr>
            </w:pPr>
            <w:r w:rsidRPr="00E806EB">
              <w:rPr>
                <w:b/>
              </w:rPr>
              <w:t>Total Number of Responses</w:t>
            </w:r>
          </w:p>
          <w:p w:rsidR="00956263" w:rsidRPr="00E806EB" w:rsidP="00E70C61" w14:paraId="07575C9F" w14:textId="77777777">
            <w:pPr>
              <w:ind w:left="72"/>
              <w:jc w:val="center"/>
              <w:rPr>
                <w:b/>
              </w:rPr>
            </w:pPr>
            <w:r w:rsidRPr="00E806EB">
              <w:rPr>
                <w:b/>
              </w:rPr>
              <w:t>(1) * (2) = (3)</w:t>
            </w:r>
          </w:p>
        </w:tc>
        <w:tc>
          <w:tcPr>
            <w:tcW w:w="1710" w:type="dxa"/>
            <w:shd w:val="clear" w:color="auto" w:fill="D9D9D9"/>
            <w:vAlign w:val="bottom"/>
          </w:tcPr>
          <w:p w:rsidR="00956263" w:rsidRPr="00E806EB" w:rsidP="00E70C61" w14:paraId="3D88E6CD" w14:textId="77777777">
            <w:pPr>
              <w:jc w:val="center"/>
              <w:rPr>
                <w:b/>
              </w:rPr>
            </w:pPr>
            <w:r w:rsidRPr="00E806EB">
              <w:rPr>
                <w:b/>
              </w:rPr>
              <w:t xml:space="preserve">Average Burden Hours &amp; Average Cost ($) per Response </w:t>
            </w:r>
          </w:p>
          <w:p w:rsidR="00956263" w:rsidRPr="00E806EB" w:rsidP="00E70C61" w14:paraId="480B124D" w14:textId="77777777">
            <w:pPr>
              <w:jc w:val="center"/>
              <w:rPr>
                <w:b/>
              </w:rPr>
            </w:pPr>
            <w:r w:rsidRPr="00E806EB">
              <w:rPr>
                <w:b/>
              </w:rPr>
              <w:t>(4)</w:t>
            </w:r>
          </w:p>
        </w:tc>
        <w:tc>
          <w:tcPr>
            <w:tcW w:w="1800" w:type="dxa"/>
            <w:shd w:val="clear" w:color="auto" w:fill="D9D9D9"/>
            <w:vAlign w:val="bottom"/>
          </w:tcPr>
          <w:p w:rsidR="00956263" w:rsidRPr="00E806EB" w:rsidP="00E70C61" w14:paraId="6BC9E6EA" w14:textId="77777777">
            <w:pPr>
              <w:jc w:val="center"/>
              <w:rPr>
                <w:b/>
              </w:rPr>
            </w:pPr>
            <w:r w:rsidRPr="00E806EB">
              <w:rPr>
                <w:b/>
              </w:rPr>
              <w:t>Total Annual Burden Hours &amp; Total Annual Cost ($)</w:t>
            </w:r>
          </w:p>
          <w:p w:rsidR="00956263" w:rsidRPr="00E806EB" w:rsidP="00E70C61" w14:paraId="3BACA222" w14:textId="77777777">
            <w:pPr>
              <w:jc w:val="center"/>
              <w:rPr>
                <w:b/>
              </w:rPr>
            </w:pPr>
            <w:r w:rsidRPr="00E806EB">
              <w:rPr>
                <w:b/>
              </w:rPr>
              <w:t>(3) * (4) = (5)</w:t>
            </w:r>
          </w:p>
        </w:tc>
        <w:tc>
          <w:tcPr>
            <w:tcW w:w="1530" w:type="dxa"/>
            <w:shd w:val="clear" w:color="auto" w:fill="D9D9D9"/>
            <w:vAlign w:val="bottom"/>
          </w:tcPr>
          <w:p w:rsidR="00956263" w:rsidRPr="00E806EB" w:rsidP="00E70C61" w14:paraId="68D4C765" w14:textId="77777777">
            <w:pPr>
              <w:jc w:val="center"/>
              <w:rPr>
                <w:b/>
              </w:rPr>
            </w:pPr>
            <w:r w:rsidRPr="00E806EB">
              <w:rPr>
                <w:b/>
              </w:rPr>
              <w:t>Cost ($) per Respondent</w:t>
            </w:r>
          </w:p>
          <w:p w:rsidR="00956263" w:rsidRPr="00E806EB" w:rsidP="00E70C61" w14:paraId="45F24DC0" w14:textId="77777777">
            <w:pPr>
              <w:jc w:val="center"/>
              <w:rPr>
                <w:b/>
              </w:rPr>
            </w:pPr>
            <w:r w:rsidRPr="00E806EB">
              <w:rPr>
                <w:b/>
              </w:rPr>
              <w:t>(5)</w:t>
            </w:r>
            <w:r w:rsidRPr="00E806EB">
              <w:rPr>
                <w:rFonts w:eastAsia="Calibri"/>
                <w:b/>
              </w:rPr>
              <w:t xml:space="preserve"> ÷ (1) = (6)</w:t>
            </w:r>
          </w:p>
        </w:tc>
      </w:tr>
      <w:tr w14:paraId="6D4E9520" w14:textId="77777777" w:rsidTr="00E70C61">
        <w:tblPrEx>
          <w:tblW w:w="9550" w:type="dxa"/>
          <w:jc w:val="center"/>
          <w:tblLayout w:type="fixed"/>
          <w:tblLook w:val="01E0"/>
        </w:tblPrEx>
        <w:trPr>
          <w:jc w:val="center"/>
        </w:trPr>
        <w:tc>
          <w:tcPr>
            <w:tcW w:w="1540" w:type="dxa"/>
            <w:vAlign w:val="bottom"/>
          </w:tcPr>
          <w:p w:rsidR="00956263" w:rsidRPr="00E806EB" w:rsidP="00E70C61" w14:paraId="672A7394" w14:textId="77777777">
            <w:pPr>
              <w:spacing w:line="276" w:lineRule="auto"/>
              <w:jc w:val="right"/>
            </w:pPr>
            <w:r w:rsidRPr="00E806EB">
              <w:t>2</w:t>
            </w:r>
          </w:p>
        </w:tc>
        <w:tc>
          <w:tcPr>
            <w:tcW w:w="1530" w:type="dxa"/>
            <w:vAlign w:val="bottom"/>
          </w:tcPr>
          <w:p w:rsidR="00956263" w:rsidRPr="00E806EB" w:rsidP="00E70C61" w14:paraId="62A0E216" w14:textId="77777777">
            <w:pPr>
              <w:spacing w:line="276" w:lineRule="auto"/>
              <w:jc w:val="right"/>
            </w:pPr>
            <w:r w:rsidRPr="00E806EB">
              <w:t>1</w:t>
            </w:r>
          </w:p>
        </w:tc>
        <w:tc>
          <w:tcPr>
            <w:tcW w:w="1440" w:type="dxa"/>
            <w:vAlign w:val="bottom"/>
          </w:tcPr>
          <w:p w:rsidR="00956263" w:rsidRPr="00E806EB" w:rsidP="00E70C61" w14:paraId="510E405B" w14:textId="77777777">
            <w:pPr>
              <w:spacing w:line="276" w:lineRule="auto"/>
              <w:jc w:val="right"/>
            </w:pPr>
            <w:r w:rsidRPr="00E806EB">
              <w:t>2</w:t>
            </w:r>
          </w:p>
        </w:tc>
        <w:tc>
          <w:tcPr>
            <w:tcW w:w="1710" w:type="dxa"/>
            <w:vAlign w:val="bottom"/>
          </w:tcPr>
          <w:p w:rsidR="00956263" w:rsidRPr="00E806EB" w:rsidP="00E70C61" w14:paraId="2AC7BF26" w14:textId="77777777">
            <w:pPr>
              <w:spacing w:line="276" w:lineRule="auto"/>
              <w:jc w:val="right"/>
            </w:pPr>
            <w:r w:rsidRPr="00E806EB">
              <w:t>60 hours;</w:t>
            </w:r>
          </w:p>
          <w:p w:rsidR="00956263" w:rsidRPr="00E806EB" w:rsidP="00E70C61" w14:paraId="4BFCD159" w14:textId="4C7F1EDA">
            <w:pPr>
              <w:spacing w:line="276" w:lineRule="auto"/>
              <w:jc w:val="right"/>
            </w:pPr>
            <w:r w:rsidRPr="00E806EB">
              <w:t>$</w:t>
            </w:r>
            <w:r w:rsidR="00B234C4">
              <w:t>6,180</w:t>
            </w:r>
          </w:p>
        </w:tc>
        <w:tc>
          <w:tcPr>
            <w:tcW w:w="1800" w:type="dxa"/>
            <w:vAlign w:val="bottom"/>
          </w:tcPr>
          <w:p w:rsidR="00956263" w:rsidRPr="00E806EB" w:rsidP="00E70C61" w14:paraId="3CF8142E" w14:textId="77777777">
            <w:pPr>
              <w:spacing w:line="276" w:lineRule="auto"/>
              <w:jc w:val="right"/>
            </w:pPr>
            <w:r w:rsidRPr="00E806EB">
              <w:t>120 hours;</w:t>
            </w:r>
          </w:p>
          <w:p w:rsidR="00956263" w:rsidRPr="00E806EB" w:rsidP="00E70C61" w14:paraId="142B022E" w14:textId="7878E4F9">
            <w:pPr>
              <w:spacing w:line="276" w:lineRule="auto"/>
              <w:jc w:val="right"/>
            </w:pPr>
            <w:r w:rsidRPr="00E806EB">
              <w:t>$</w:t>
            </w:r>
            <w:r w:rsidR="00B234C4">
              <w:t>12,360</w:t>
            </w:r>
          </w:p>
        </w:tc>
        <w:tc>
          <w:tcPr>
            <w:tcW w:w="1530" w:type="dxa"/>
            <w:vAlign w:val="bottom"/>
          </w:tcPr>
          <w:p w:rsidR="00956263" w:rsidRPr="00E806EB" w:rsidP="00E70C61" w14:paraId="50FF4D8A" w14:textId="014D1C75">
            <w:pPr>
              <w:spacing w:line="276" w:lineRule="auto"/>
              <w:jc w:val="right"/>
            </w:pPr>
            <w:r w:rsidRPr="00E806EB">
              <w:t>$</w:t>
            </w:r>
            <w:r>
              <w:t>6,180</w:t>
            </w:r>
          </w:p>
        </w:tc>
      </w:tr>
    </w:tbl>
    <w:p w:rsidR="00BA4E3C" w:rsidRPr="00E806EB" w14:paraId="0A16CB6A" w14:textId="77777777">
      <w:pPr>
        <w:pStyle w:val="FERCparanumber"/>
        <w:numPr>
          <w:ilvl w:val="0"/>
          <w:numId w:val="0"/>
        </w:numPr>
        <w:rPr>
          <w:sz w:val="24"/>
        </w:rPr>
      </w:pPr>
    </w:p>
    <w:p w:rsidR="00BA4E3C" w:rsidRPr="00E806EB" w14:paraId="27864C72" w14:textId="77777777">
      <w:pPr>
        <w:pStyle w:val="FERCparanumber"/>
        <w:numPr>
          <w:ilvl w:val="0"/>
          <w:numId w:val="2"/>
        </w:numPr>
        <w:rPr>
          <w:sz w:val="24"/>
        </w:rPr>
      </w:pPr>
      <w:r w:rsidRPr="00E806EB">
        <w:rPr>
          <w:b/>
          <w:sz w:val="24"/>
        </w:rPr>
        <w:t>ESTIMATE OF THE TOTAL ANNUAL COST BURDEN TO RESPONDENTS</w:t>
      </w:r>
    </w:p>
    <w:p w:rsidR="00BA4E3C" w:rsidRPr="00E806EB" w14:paraId="662F67F6" w14:textId="77777777">
      <w:pPr>
        <w:pStyle w:val="FERCparanumber"/>
        <w:numPr>
          <w:ilvl w:val="0"/>
          <w:numId w:val="0"/>
        </w:numPr>
        <w:rPr>
          <w:b/>
          <w:sz w:val="24"/>
        </w:rPr>
      </w:pPr>
    </w:p>
    <w:p w:rsidR="00BA4E3C" w:rsidRPr="00E806EB" w14:paraId="43B42B33" w14:textId="77777777">
      <w:pPr>
        <w:widowControl/>
      </w:pPr>
      <w:r w:rsidRPr="00E806EB">
        <w:t>There is no non-labor start-up costs. All costs are related to burden hours and are addressed in Questions #12 and #15.</w:t>
      </w:r>
    </w:p>
    <w:p w:rsidR="00BA4E3C" w:rsidRPr="00E806EB" w14:paraId="71EA0D67" w14:textId="77777777">
      <w:pPr>
        <w:pStyle w:val="FERCparanumber"/>
        <w:numPr>
          <w:ilvl w:val="0"/>
          <w:numId w:val="0"/>
        </w:numPr>
        <w:rPr>
          <w:sz w:val="24"/>
        </w:rPr>
      </w:pPr>
    </w:p>
    <w:p w:rsidR="00BA4E3C" w:rsidRPr="00E806EB" w14:paraId="3B112C5E" w14:textId="77777777">
      <w:pPr>
        <w:pStyle w:val="FERCparanumber"/>
        <w:numPr>
          <w:ilvl w:val="0"/>
          <w:numId w:val="2"/>
        </w:numPr>
        <w:rPr>
          <w:b/>
          <w:sz w:val="24"/>
        </w:rPr>
      </w:pPr>
      <w:r w:rsidRPr="00E806EB">
        <w:rPr>
          <w:b/>
          <w:sz w:val="24"/>
        </w:rPr>
        <w:t>ESTIMATED ANNUALIZED COST TO FEDERAL GOVERNMENT</w:t>
      </w:r>
    </w:p>
    <w:p w:rsidR="00BA4E3C" w:rsidRPr="00E806EB" w14:paraId="1CDFE70B" w14:textId="77777777">
      <w:pPr>
        <w:pStyle w:val="FERCparanumber"/>
        <w:numPr>
          <w:ilvl w:val="0"/>
          <w:numId w:val="0"/>
        </w:numPr>
        <w:rPr>
          <w:b/>
          <w:sz w:val="24"/>
        </w:rPr>
      </w:pPr>
    </w:p>
    <w:p w:rsidR="00BA4E3C" w:rsidRPr="00E806EB" w14:paraId="54AF631E" w14:textId="59290A6D">
      <w:pPr>
        <w:widowControl/>
        <w:tabs>
          <w:tab w:val="left" w:pos="720"/>
        </w:tabs>
        <w:autoSpaceDE/>
        <w:autoSpaceDN/>
        <w:adjustRightInd/>
      </w:pPr>
      <w:r w:rsidRPr="00E806EB">
        <w:rPr>
          <w:rFonts w:eastAsia="Calibri"/>
        </w:rPr>
        <w:t>The Commission bases its estimate of the “Analysis and Processing of filings” cost to the Federal Government on salaries and benefits for professional and clerical support.</w:t>
      </w:r>
      <w:r w:rsidR="00E806EB">
        <w:rPr>
          <w:rFonts w:eastAsia="Calibri"/>
        </w:rPr>
        <w:t xml:space="preserve"> </w:t>
      </w:r>
      <w:r w:rsidRPr="00E806EB">
        <w:rPr>
          <w:rFonts w:eastAsia="Calibri"/>
        </w:rPr>
        <w:t>This estimated cost represents staff analysis, decision making, and review of any actual filings made in response to the information collection.</w:t>
      </w:r>
      <w:r w:rsidRPr="00E806EB">
        <w:t xml:space="preserve"> </w:t>
      </w:r>
    </w:p>
    <w:p w:rsidR="00BA4E3C" w:rsidRPr="00E806EB" w14:paraId="677A52BC" w14:textId="77777777">
      <w:pPr>
        <w:widowControl/>
        <w:tabs>
          <w:tab w:val="left" w:pos="720"/>
        </w:tabs>
        <w:autoSpaceDE/>
        <w:autoSpaceDN/>
        <w:adjustRightInd/>
      </w:pPr>
    </w:p>
    <w:p w:rsidR="00BA4E3C" w:rsidRPr="00E806EB" w14:paraId="5AC4D228" w14:textId="507B75AA">
      <w:pPr>
        <w:widowControl/>
        <w:autoSpaceDE/>
        <w:autoSpaceDN/>
        <w:adjustRightInd/>
        <w:spacing w:line="276" w:lineRule="auto"/>
        <w:rPr>
          <w:rFonts w:eastAsia="Calibri"/>
        </w:rPr>
      </w:pPr>
      <w:r w:rsidRPr="00E806EB">
        <w:rPr>
          <w:rFonts w:eastAsia="Calibri"/>
        </w:rPr>
        <w:t>The Commission incurs the costs associated with obtaining OMB clearance for the collection under the Paperwork Reduction Act of 1995 (PRA).</w:t>
      </w:r>
      <w:r w:rsidR="00E806EB">
        <w:rPr>
          <w:rFonts w:eastAsia="Calibri"/>
        </w:rPr>
        <w:t xml:space="preserve"> </w:t>
      </w:r>
      <w:r w:rsidRPr="00E806EB">
        <w:rPr>
          <w:rFonts w:eastAsia="Calibri"/>
        </w:rPr>
        <w:t>The PRA Administrative Cost is a Federal Cost associated with preparing, issuing, and submitting materials necessary to comply with the PRA for rulemakings, orders, or any other vehicle used to create, modify, extend, or discontinue an information collection.</w:t>
      </w:r>
      <w:r w:rsidR="00E806EB">
        <w:rPr>
          <w:rFonts w:eastAsia="Calibri"/>
        </w:rPr>
        <w:t xml:space="preserve"> </w:t>
      </w:r>
      <w:r w:rsidRPr="00E806EB">
        <w:rPr>
          <w:rFonts w:eastAsia="Calibri"/>
        </w:rPr>
        <w:t>This average annual cost includes requests for extensions, all associated rulemakings and orders, other changes to the collection, and associated publications in the Federal Register.</w:t>
      </w:r>
      <w:r w:rsidR="00E806EB">
        <w:rPr>
          <w:rFonts w:eastAsia="Calibri"/>
        </w:rPr>
        <w:t xml:space="preserve"> </w:t>
      </w:r>
    </w:p>
    <w:p w:rsidR="00BA4E3C" w:rsidRPr="00E806EB" w14:paraId="4BBF3CE5" w14:textId="77777777">
      <w:pPr>
        <w:widowControl/>
        <w:autoSpaceDE/>
        <w:autoSpaceDN/>
        <w:adjustRightInd/>
        <w:spacing w:line="276" w:lineRule="auto"/>
      </w:pPr>
    </w:p>
    <w:p w:rsidR="00BA4E3C" w:rsidRPr="00E806EB" w14:paraId="028FFA68" w14:textId="77777777">
      <w:r w:rsidRPr="00E806EB">
        <w:t>The estimated annualized cost to the Federal Government for FERC-574 follows:</w:t>
      </w:r>
    </w:p>
    <w:p w:rsidR="00BA4E3C" w:rsidRPr="00E806EB" w14:paraId="688619C2"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042"/>
        <w:gridCol w:w="3024"/>
      </w:tblGrid>
      <w:tr w14:paraId="5DE846B5" w14:textId="77777777" w:rsidTr="4F6E241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56" w:type="pct"/>
            <w:shd w:val="clear" w:color="auto" w:fill="D9D9D9" w:themeFill="background1" w:themeFillShade="D9"/>
            <w:vAlign w:val="center"/>
          </w:tcPr>
          <w:p w:rsidR="00BA4E3C" w:rsidRPr="00E806EB" w14:paraId="7B97073C" w14:textId="77777777">
            <w:pPr>
              <w:pStyle w:val="ListParagraph"/>
              <w:spacing w:after="0" w:line="240" w:lineRule="auto"/>
              <w:ind w:left="0"/>
              <w:rPr>
                <w:rFonts w:ascii="Times New Roman" w:hAnsi="Times New Roman"/>
                <w:b/>
                <w:sz w:val="24"/>
                <w:szCs w:val="24"/>
              </w:rPr>
            </w:pPr>
            <w:r w:rsidRPr="00E806EB">
              <w:rPr>
                <w:rFonts w:ascii="Times New Roman" w:hAnsi="Times New Roman"/>
                <w:b/>
                <w:sz w:val="24"/>
                <w:szCs w:val="24"/>
              </w:rPr>
              <w:t>FERC-574</w:t>
            </w:r>
          </w:p>
        </w:tc>
        <w:tc>
          <w:tcPr>
            <w:tcW w:w="1627" w:type="pct"/>
            <w:shd w:val="clear" w:color="auto" w:fill="D9D9D9" w:themeFill="background1" w:themeFillShade="D9"/>
            <w:vAlign w:val="center"/>
          </w:tcPr>
          <w:p w:rsidR="00BA4E3C" w:rsidRPr="00E806EB" w14:paraId="6BFD7EE2" w14:textId="77777777">
            <w:pPr>
              <w:pStyle w:val="ListParagraph"/>
              <w:spacing w:after="0" w:line="240" w:lineRule="auto"/>
              <w:ind w:left="0"/>
              <w:jc w:val="center"/>
              <w:rPr>
                <w:rFonts w:ascii="Times New Roman" w:hAnsi="Times New Roman"/>
                <w:b/>
                <w:sz w:val="24"/>
                <w:szCs w:val="24"/>
              </w:rPr>
            </w:pPr>
            <w:r w:rsidRPr="00E806EB">
              <w:rPr>
                <w:rFonts w:ascii="Times New Roman" w:hAnsi="Times New Roman"/>
                <w:b/>
                <w:sz w:val="24"/>
                <w:szCs w:val="24"/>
              </w:rPr>
              <w:t>Number of Employees (FTE)</w:t>
            </w:r>
          </w:p>
        </w:tc>
        <w:tc>
          <w:tcPr>
            <w:tcW w:w="1617" w:type="pct"/>
            <w:shd w:val="clear" w:color="auto" w:fill="D9D9D9" w:themeFill="background1" w:themeFillShade="D9"/>
            <w:vAlign w:val="center"/>
          </w:tcPr>
          <w:p w:rsidR="00BA4E3C" w:rsidRPr="00E806EB" w14:paraId="76F98821" w14:textId="77777777">
            <w:pPr>
              <w:pStyle w:val="ListParagraph"/>
              <w:spacing w:after="0" w:line="240" w:lineRule="auto"/>
              <w:ind w:left="0"/>
              <w:jc w:val="center"/>
              <w:rPr>
                <w:rFonts w:ascii="Times New Roman" w:hAnsi="Times New Roman"/>
                <w:b/>
                <w:sz w:val="24"/>
                <w:szCs w:val="24"/>
              </w:rPr>
            </w:pPr>
            <w:r w:rsidRPr="00E806EB">
              <w:rPr>
                <w:rFonts w:ascii="Times New Roman" w:hAnsi="Times New Roman"/>
                <w:b/>
                <w:sz w:val="24"/>
                <w:szCs w:val="24"/>
              </w:rPr>
              <w:t>Estimated Annual Federal Cost</w:t>
            </w:r>
          </w:p>
        </w:tc>
      </w:tr>
      <w:tr w14:paraId="05E13BF8" w14:textId="77777777" w:rsidTr="4F6E241E">
        <w:tblPrEx>
          <w:tblW w:w="5000" w:type="pct"/>
          <w:tblLook w:val="01E0"/>
        </w:tblPrEx>
        <w:tc>
          <w:tcPr>
            <w:tcW w:w="1756" w:type="pct"/>
            <w:vAlign w:val="center"/>
          </w:tcPr>
          <w:p w:rsidR="00BA4E3C" w:rsidRPr="00E806EB" w14:paraId="32ED7D2C" w14:textId="77777777">
            <w:pPr>
              <w:pStyle w:val="ListParagraph"/>
              <w:spacing w:after="0" w:line="240" w:lineRule="auto"/>
              <w:ind w:left="0"/>
              <w:rPr>
                <w:rFonts w:ascii="Times New Roman" w:hAnsi="Times New Roman"/>
                <w:sz w:val="24"/>
                <w:szCs w:val="24"/>
              </w:rPr>
            </w:pPr>
            <w:r w:rsidRPr="00E806EB">
              <w:rPr>
                <w:rFonts w:ascii="Times New Roman" w:hAnsi="Times New Roman"/>
                <w:sz w:val="24"/>
                <w:szCs w:val="24"/>
              </w:rPr>
              <w:t>Analysis and Processing of Filings</w:t>
            </w:r>
            <w:r>
              <w:rPr>
                <w:rStyle w:val="FootnoteReference"/>
                <w:rFonts w:ascii="Times New Roman" w:hAnsi="Times New Roman"/>
                <w:sz w:val="24"/>
                <w:szCs w:val="24"/>
              </w:rPr>
              <w:footnoteReference w:id="4"/>
            </w:r>
          </w:p>
        </w:tc>
        <w:tc>
          <w:tcPr>
            <w:tcW w:w="1627" w:type="pct"/>
            <w:vAlign w:val="center"/>
          </w:tcPr>
          <w:p w:rsidR="00BA4E3C" w:rsidRPr="00E806EB" w14:paraId="5BE7DEA5" w14:textId="77777777">
            <w:pPr>
              <w:pStyle w:val="ListParagraph"/>
              <w:spacing w:after="0" w:line="240" w:lineRule="auto"/>
              <w:ind w:left="0"/>
              <w:jc w:val="right"/>
              <w:rPr>
                <w:rFonts w:ascii="Times New Roman" w:hAnsi="Times New Roman"/>
                <w:sz w:val="24"/>
                <w:szCs w:val="24"/>
              </w:rPr>
            </w:pPr>
            <w:r w:rsidRPr="00E806EB">
              <w:rPr>
                <w:rFonts w:ascii="Times New Roman" w:hAnsi="Times New Roman"/>
                <w:sz w:val="24"/>
                <w:szCs w:val="24"/>
              </w:rPr>
              <w:t>0.1</w:t>
            </w:r>
          </w:p>
        </w:tc>
        <w:tc>
          <w:tcPr>
            <w:tcW w:w="1617" w:type="pct"/>
            <w:vAlign w:val="center"/>
          </w:tcPr>
          <w:p w:rsidR="00BA4E3C" w:rsidRPr="00E806EB" w14:paraId="69553BBA" w14:textId="45228CED">
            <w:pPr>
              <w:pStyle w:val="ListParagraph"/>
              <w:spacing w:after="0" w:line="240" w:lineRule="auto"/>
              <w:ind w:left="0"/>
              <w:jc w:val="right"/>
              <w:rPr>
                <w:rFonts w:ascii="Times New Roman" w:hAnsi="Times New Roman"/>
                <w:sz w:val="24"/>
                <w:szCs w:val="24"/>
              </w:rPr>
            </w:pPr>
            <w:r w:rsidRPr="00E806EB">
              <w:rPr>
                <w:rFonts w:ascii="Times New Roman" w:hAnsi="Times New Roman"/>
                <w:sz w:val="24"/>
                <w:szCs w:val="24"/>
              </w:rPr>
              <w:t>$</w:t>
            </w:r>
            <w:r w:rsidRPr="00E92BB7" w:rsidR="00E92BB7">
              <w:rPr>
                <w:rFonts w:ascii="Times New Roman" w:hAnsi="Times New Roman"/>
                <w:sz w:val="24"/>
                <w:szCs w:val="24"/>
              </w:rPr>
              <w:t>21</w:t>
            </w:r>
            <w:r w:rsidR="00E92BB7">
              <w:rPr>
                <w:rFonts w:ascii="Times New Roman" w:hAnsi="Times New Roman"/>
                <w:sz w:val="24"/>
                <w:szCs w:val="24"/>
              </w:rPr>
              <w:t>,</w:t>
            </w:r>
            <w:r w:rsidRPr="00E92BB7" w:rsidR="00E92BB7">
              <w:rPr>
                <w:rFonts w:ascii="Times New Roman" w:hAnsi="Times New Roman"/>
                <w:sz w:val="24"/>
                <w:szCs w:val="24"/>
              </w:rPr>
              <w:t>409</w:t>
            </w:r>
          </w:p>
        </w:tc>
      </w:tr>
      <w:tr w14:paraId="60041EBA" w14:textId="77777777" w:rsidTr="4F6E241E">
        <w:tblPrEx>
          <w:tblW w:w="5000" w:type="pct"/>
          <w:tblLook w:val="01E0"/>
        </w:tblPrEx>
        <w:tc>
          <w:tcPr>
            <w:tcW w:w="1756" w:type="pct"/>
            <w:vAlign w:val="center"/>
          </w:tcPr>
          <w:p w:rsidR="00BA4E3C" w:rsidRPr="00E806EB" w14:paraId="2CC65410" w14:textId="77777777">
            <w:pPr>
              <w:pStyle w:val="ListParagraph"/>
              <w:spacing w:after="0" w:line="240" w:lineRule="auto"/>
              <w:ind w:left="0"/>
              <w:rPr>
                <w:rFonts w:ascii="Times New Roman" w:hAnsi="Times New Roman"/>
                <w:sz w:val="24"/>
                <w:szCs w:val="24"/>
              </w:rPr>
            </w:pPr>
            <w:r w:rsidRPr="00E806EB">
              <w:rPr>
                <w:rFonts w:ascii="Times New Roman" w:hAnsi="Times New Roman"/>
                <w:sz w:val="24"/>
                <w:szCs w:val="24"/>
              </w:rPr>
              <w:t>PRA</w:t>
            </w:r>
            <w:r>
              <w:rPr>
                <w:rStyle w:val="FootnoteReference"/>
                <w:rFonts w:ascii="Times New Roman" w:hAnsi="Times New Roman"/>
                <w:sz w:val="24"/>
                <w:szCs w:val="24"/>
              </w:rPr>
              <w:footnoteReference w:id="5"/>
            </w:r>
            <w:r w:rsidRPr="00E806EB">
              <w:rPr>
                <w:rFonts w:ascii="Times New Roman" w:hAnsi="Times New Roman"/>
                <w:sz w:val="24"/>
                <w:szCs w:val="24"/>
              </w:rPr>
              <w:t xml:space="preserve"> Administrative Cost</w:t>
            </w:r>
            <w:r>
              <w:rPr>
                <w:rStyle w:val="FootnoteReference"/>
                <w:rFonts w:ascii="Times New Roman" w:hAnsi="Times New Roman"/>
                <w:sz w:val="24"/>
                <w:szCs w:val="24"/>
              </w:rPr>
              <w:footnoteReference w:id="6"/>
            </w:r>
          </w:p>
        </w:tc>
        <w:tc>
          <w:tcPr>
            <w:tcW w:w="1627" w:type="pct"/>
            <w:shd w:val="clear" w:color="auto" w:fill="D9D9D9" w:themeFill="background1" w:themeFillShade="D9"/>
            <w:vAlign w:val="center"/>
          </w:tcPr>
          <w:p w:rsidR="00BA4E3C" w:rsidRPr="00E806EB" w14:paraId="4F93C1C7" w14:textId="77777777">
            <w:pPr>
              <w:pStyle w:val="ListParagraph"/>
              <w:spacing w:after="0" w:line="240" w:lineRule="auto"/>
              <w:ind w:left="0"/>
              <w:jc w:val="right"/>
              <w:rPr>
                <w:rFonts w:ascii="Times New Roman" w:hAnsi="Times New Roman"/>
                <w:b/>
                <w:sz w:val="24"/>
                <w:szCs w:val="24"/>
              </w:rPr>
            </w:pPr>
          </w:p>
        </w:tc>
        <w:tc>
          <w:tcPr>
            <w:tcW w:w="1617" w:type="pct"/>
            <w:vAlign w:val="center"/>
          </w:tcPr>
          <w:p w:rsidR="00BA4E3C" w:rsidRPr="00E806EB" w14:paraId="727DD292" w14:textId="29F4AF2C">
            <w:pPr>
              <w:pStyle w:val="ListParagraph"/>
              <w:spacing w:after="0" w:line="240" w:lineRule="auto"/>
              <w:ind w:left="0"/>
              <w:jc w:val="right"/>
              <w:rPr>
                <w:rFonts w:ascii="Times New Roman" w:hAnsi="Times New Roman"/>
                <w:sz w:val="24"/>
                <w:szCs w:val="24"/>
              </w:rPr>
            </w:pPr>
            <w:r w:rsidRPr="00E806EB">
              <w:rPr>
                <w:rFonts w:ascii="Times New Roman" w:hAnsi="Times New Roman"/>
                <w:sz w:val="24"/>
                <w:szCs w:val="24"/>
              </w:rPr>
              <w:t>$</w:t>
            </w:r>
            <w:r w:rsidRPr="00E806EB" w:rsidR="00956263">
              <w:rPr>
                <w:rFonts w:ascii="Times New Roman" w:hAnsi="Times New Roman"/>
                <w:sz w:val="24"/>
                <w:szCs w:val="24"/>
              </w:rPr>
              <w:t>7,</w:t>
            </w:r>
            <w:r w:rsidR="00313FB0">
              <w:rPr>
                <w:rFonts w:ascii="Times New Roman" w:hAnsi="Times New Roman"/>
                <w:sz w:val="24"/>
                <w:szCs w:val="24"/>
              </w:rPr>
              <w:t>978</w:t>
            </w:r>
          </w:p>
        </w:tc>
      </w:tr>
      <w:tr w14:paraId="34F50FB2" w14:textId="77777777" w:rsidTr="4F6E241E">
        <w:tblPrEx>
          <w:tblW w:w="5000" w:type="pct"/>
          <w:tblLook w:val="01E0"/>
        </w:tblPrEx>
        <w:tc>
          <w:tcPr>
            <w:tcW w:w="1756" w:type="pct"/>
            <w:vAlign w:val="center"/>
          </w:tcPr>
          <w:p w:rsidR="00BA4E3C" w:rsidRPr="00E806EB" w14:paraId="191BB0CC" w14:textId="77777777">
            <w:pPr>
              <w:pStyle w:val="ListParagraph"/>
              <w:spacing w:after="0" w:line="240" w:lineRule="auto"/>
              <w:ind w:left="0"/>
              <w:rPr>
                <w:rFonts w:ascii="Times New Roman" w:hAnsi="Times New Roman"/>
                <w:sz w:val="24"/>
                <w:szCs w:val="24"/>
              </w:rPr>
            </w:pPr>
            <w:r w:rsidRPr="00E806EB">
              <w:rPr>
                <w:rFonts w:ascii="Times New Roman" w:hAnsi="Times New Roman"/>
                <w:sz w:val="24"/>
                <w:szCs w:val="24"/>
              </w:rPr>
              <w:t>FERC Total</w:t>
            </w:r>
          </w:p>
        </w:tc>
        <w:tc>
          <w:tcPr>
            <w:tcW w:w="1627" w:type="pct"/>
            <w:shd w:val="clear" w:color="auto" w:fill="D9D9D9" w:themeFill="background1" w:themeFillShade="D9"/>
            <w:vAlign w:val="center"/>
          </w:tcPr>
          <w:p w:rsidR="00BA4E3C" w:rsidRPr="00E806EB" w14:paraId="565A32D0" w14:textId="77777777">
            <w:pPr>
              <w:pStyle w:val="ListParagraph"/>
              <w:spacing w:after="0" w:line="240" w:lineRule="auto"/>
              <w:ind w:left="0"/>
              <w:jc w:val="right"/>
              <w:rPr>
                <w:rFonts w:ascii="Times New Roman" w:hAnsi="Times New Roman"/>
                <w:b/>
                <w:sz w:val="24"/>
                <w:szCs w:val="24"/>
              </w:rPr>
            </w:pPr>
          </w:p>
        </w:tc>
        <w:tc>
          <w:tcPr>
            <w:tcW w:w="1617" w:type="pct"/>
            <w:vAlign w:val="center"/>
          </w:tcPr>
          <w:p w:rsidR="00BA4E3C" w:rsidRPr="00E806EB" w14:paraId="5D5C31F3" w14:textId="66567171">
            <w:pPr>
              <w:pStyle w:val="ListParagraph"/>
              <w:spacing w:after="0" w:line="240" w:lineRule="auto"/>
              <w:ind w:left="0"/>
              <w:jc w:val="right"/>
              <w:rPr>
                <w:rFonts w:ascii="Times New Roman" w:hAnsi="Times New Roman"/>
                <w:sz w:val="24"/>
                <w:szCs w:val="24"/>
              </w:rPr>
            </w:pPr>
            <w:r w:rsidRPr="00E806EB">
              <w:rPr>
                <w:rFonts w:ascii="Times New Roman" w:hAnsi="Times New Roman"/>
                <w:sz w:val="24"/>
                <w:szCs w:val="24"/>
              </w:rPr>
              <w:t>$</w:t>
            </w:r>
            <w:r w:rsidR="00AE4754">
              <w:rPr>
                <w:rFonts w:ascii="Times New Roman" w:hAnsi="Times New Roman"/>
                <w:sz w:val="24"/>
                <w:szCs w:val="24"/>
              </w:rPr>
              <w:t>29,387</w:t>
            </w:r>
          </w:p>
        </w:tc>
      </w:tr>
    </w:tbl>
    <w:p w:rsidR="00BA4E3C" w:rsidRPr="00E806EB" w14:paraId="3867E007" w14:textId="77777777">
      <w:pPr>
        <w:pStyle w:val="ListParagraph"/>
        <w:spacing w:after="0" w:line="240" w:lineRule="auto"/>
        <w:rPr>
          <w:rFonts w:ascii="Times New Roman" w:hAnsi="Times New Roman"/>
          <w:b/>
          <w:sz w:val="24"/>
          <w:szCs w:val="24"/>
        </w:rPr>
      </w:pPr>
    </w:p>
    <w:p w:rsidR="00BA4E3C" w:rsidRPr="00E806EB" w14:paraId="040A4783" w14:textId="77777777">
      <w:pPr>
        <w:pStyle w:val="FERCparanumber"/>
        <w:numPr>
          <w:ilvl w:val="0"/>
          <w:numId w:val="2"/>
        </w:numPr>
        <w:rPr>
          <w:b/>
          <w:sz w:val="24"/>
        </w:rPr>
      </w:pPr>
      <w:r w:rsidRPr="00E806EB">
        <w:rPr>
          <w:b/>
          <w:sz w:val="24"/>
        </w:rPr>
        <w:t>REASONS FOR CHANGES IN BURDEN INCLUDING THE NEED FOR ANY INCREASE</w:t>
      </w:r>
    </w:p>
    <w:p w:rsidR="00BA4E3C" w:rsidRPr="00E806EB" w14:paraId="19660D56" w14:textId="77777777">
      <w:pPr>
        <w:pStyle w:val="FERCparanumber"/>
        <w:numPr>
          <w:ilvl w:val="0"/>
          <w:numId w:val="0"/>
        </w:numPr>
        <w:rPr>
          <w:b/>
          <w:sz w:val="24"/>
        </w:rPr>
      </w:pPr>
    </w:p>
    <w:p w:rsidR="00BA4E3C" w:rsidRPr="00E806EB" w14:paraId="7B1A5E2D" w14:textId="79E1E1FF">
      <w:r w:rsidRPr="00E806EB">
        <w:t xml:space="preserve">There </w:t>
      </w:r>
      <w:r w:rsidRPr="00E806EB" w:rsidR="00E34D69">
        <w:t>were no changes to the reporting and recordkeeping requirements for this renewal.</w:t>
      </w:r>
    </w:p>
    <w:p w:rsidR="00BA4E3C" w:rsidRPr="00E806EB" w14:paraId="3D9BDE8E" w14:textId="77777777">
      <w:pPr>
        <w:widowControl/>
      </w:pPr>
    </w:p>
    <w:p w:rsidR="00BA4E3C" w:rsidRPr="00E806EB" w14:paraId="1FB5D151" w14:textId="4B5B301D">
      <w:r w:rsidRPr="00E806EB">
        <w:t>The following table shows the total burden for the collection of information.</w:t>
      </w:r>
      <w:r w:rsidR="00E806EB">
        <w:t xml:space="preserve"> </w:t>
      </w:r>
      <w:r w:rsidRPr="00E806EB">
        <w:t>The format, labels, and definitions of the table follow the ROCIS submission system’s “Information Collection Request Summary of Burden” for the metadata.</w:t>
      </w:r>
    </w:p>
    <w:p w:rsidR="00BA4E3C" w:rsidRPr="00E806EB" w14:paraId="1D2BE133" w14:textId="77777777">
      <w:pPr>
        <w:widowControl/>
        <w:tabs>
          <w:tab w:val="left" w:pos="2394"/>
        </w:tabs>
      </w:pPr>
      <w:r w:rsidRPr="00E806EB">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6"/>
        <w:gridCol w:w="1550"/>
        <w:gridCol w:w="1597"/>
        <w:gridCol w:w="1889"/>
        <w:gridCol w:w="1618"/>
      </w:tblGrid>
      <w:tr w14:paraId="6BFF15F0"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1442" w:type="pct"/>
            <w:shd w:val="clear" w:color="auto" w:fill="D9D9D9"/>
            <w:vAlign w:val="bottom"/>
          </w:tcPr>
          <w:p w:rsidR="00BA4E3C" w:rsidRPr="00E806EB" w14:paraId="376B3406" w14:textId="77777777">
            <w:pPr>
              <w:jc w:val="center"/>
              <w:rPr>
                <w:b/>
              </w:rPr>
            </w:pPr>
            <w:r w:rsidRPr="00E806EB">
              <w:rPr>
                <w:b/>
              </w:rPr>
              <w:t>FERC-574</w:t>
            </w:r>
          </w:p>
        </w:tc>
        <w:tc>
          <w:tcPr>
            <w:tcW w:w="829" w:type="pct"/>
            <w:shd w:val="clear" w:color="auto" w:fill="D9D9D9"/>
            <w:vAlign w:val="bottom"/>
          </w:tcPr>
          <w:p w:rsidR="00BA4E3C" w:rsidRPr="00E806EB" w14:paraId="26B7A37F" w14:textId="77777777">
            <w:pPr>
              <w:jc w:val="center"/>
              <w:rPr>
                <w:b/>
              </w:rPr>
            </w:pPr>
            <w:r w:rsidRPr="00E806EB">
              <w:rPr>
                <w:b/>
              </w:rPr>
              <w:t>Total Request</w:t>
            </w:r>
          </w:p>
        </w:tc>
        <w:tc>
          <w:tcPr>
            <w:tcW w:w="854" w:type="pct"/>
            <w:shd w:val="clear" w:color="auto" w:fill="D9D9D9"/>
            <w:vAlign w:val="bottom"/>
          </w:tcPr>
          <w:p w:rsidR="00BA4E3C" w:rsidRPr="00E806EB" w14:paraId="6E080664" w14:textId="77777777">
            <w:pPr>
              <w:jc w:val="center"/>
              <w:rPr>
                <w:b/>
              </w:rPr>
            </w:pPr>
            <w:r w:rsidRPr="00E806EB">
              <w:rPr>
                <w:b/>
              </w:rPr>
              <w:t>Previously Approved</w:t>
            </w:r>
          </w:p>
        </w:tc>
        <w:tc>
          <w:tcPr>
            <w:tcW w:w="1010" w:type="pct"/>
            <w:shd w:val="clear" w:color="auto" w:fill="D9D9D9"/>
            <w:vAlign w:val="bottom"/>
          </w:tcPr>
          <w:p w:rsidR="00BA4E3C" w:rsidRPr="00E806EB" w14:paraId="44EA2091" w14:textId="77777777">
            <w:pPr>
              <w:jc w:val="center"/>
              <w:rPr>
                <w:b/>
              </w:rPr>
            </w:pPr>
            <w:r w:rsidRPr="00E806EB">
              <w:rPr>
                <w:b/>
              </w:rPr>
              <w:t>Change due to Adjustment in Estimate</w:t>
            </w:r>
          </w:p>
        </w:tc>
        <w:tc>
          <w:tcPr>
            <w:tcW w:w="865" w:type="pct"/>
            <w:shd w:val="clear" w:color="auto" w:fill="D9D9D9"/>
            <w:vAlign w:val="bottom"/>
          </w:tcPr>
          <w:p w:rsidR="00BA4E3C" w:rsidRPr="00E806EB" w14:paraId="64F0266D" w14:textId="77777777">
            <w:pPr>
              <w:jc w:val="center"/>
              <w:rPr>
                <w:b/>
              </w:rPr>
            </w:pPr>
            <w:r w:rsidRPr="00E806EB">
              <w:rPr>
                <w:b/>
              </w:rPr>
              <w:t>Change Due to Agency Discretion</w:t>
            </w:r>
          </w:p>
        </w:tc>
      </w:tr>
      <w:tr w14:paraId="0EF72911" w14:textId="77777777">
        <w:tblPrEx>
          <w:tblW w:w="5000" w:type="pct"/>
          <w:tblLook w:val="01E0"/>
        </w:tblPrEx>
        <w:trPr>
          <w:trHeight w:val="591"/>
        </w:trPr>
        <w:tc>
          <w:tcPr>
            <w:tcW w:w="1442" w:type="pct"/>
          </w:tcPr>
          <w:p w:rsidR="00BA4E3C" w:rsidRPr="00E806EB" w14:paraId="33F97912" w14:textId="77777777">
            <w:pPr>
              <w:jc w:val="center"/>
            </w:pPr>
            <w:r w:rsidRPr="00E806EB">
              <w:t>Annual Number of Responses</w:t>
            </w:r>
          </w:p>
        </w:tc>
        <w:tc>
          <w:tcPr>
            <w:tcW w:w="829" w:type="pct"/>
            <w:vAlign w:val="center"/>
          </w:tcPr>
          <w:p w:rsidR="00BA4E3C" w:rsidRPr="00E806EB" w14:paraId="04A67C23" w14:textId="77777777">
            <w:pPr>
              <w:jc w:val="right"/>
            </w:pPr>
            <w:r w:rsidRPr="00E806EB">
              <w:t>2</w:t>
            </w:r>
          </w:p>
        </w:tc>
        <w:tc>
          <w:tcPr>
            <w:tcW w:w="854" w:type="pct"/>
            <w:vAlign w:val="center"/>
          </w:tcPr>
          <w:p w:rsidR="00BA4E3C" w:rsidRPr="00E806EB" w14:paraId="01F500F8" w14:textId="22892D8D">
            <w:pPr>
              <w:jc w:val="right"/>
            </w:pPr>
            <w:r w:rsidRPr="00E806EB">
              <w:t>2</w:t>
            </w:r>
          </w:p>
        </w:tc>
        <w:tc>
          <w:tcPr>
            <w:tcW w:w="1010" w:type="pct"/>
            <w:vAlign w:val="center"/>
          </w:tcPr>
          <w:p w:rsidR="00BA4E3C" w:rsidRPr="00E806EB" w14:paraId="2F32CAB0" w14:textId="16759F79">
            <w:pPr>
              <w:jc w:val="right"/>
            </w:pPr>
            <w:r w:rsidRPr="00E806EB">
              <w:t>0</w:t>
            </w:r>
          </w:p>
        </w:tc>
        <w:tc>
          <w:tcPr>
            <w:tcW w:w="865" w:type="pct"/>
            <w:vAlign w:val="center"/>
          </w:tcPr>
          <w:p w:rsidR="00BA4E3C" w:rsidRPr="00E806EB" w14:paraId="4A969C4E" w14:textId="77777777">
            <w:pPr>
              <w:jc w:val="right"/>
            </w:pPr>
            <w:r w:rsidRPr="00E806EB">
              <w:t>0</w:t>
            </w:r>
          </w:p>
        </w:tc>
      </w:tr>
      <w:tr w14:paraId="5C2D879C" w14:textId="77777777">
        <w:tblPrEx>
          <w:tblW w:w="5000" w:type="pct"/>
          <w:tblLook w:val="01E0"/>
        </w:tblPrEx>
        <w:trPr>
          <w:trHeight w:val="575"/>
        </w:trPr>
        <w:tc>
          <w:tcPr>
            <w:tcW w:w="1442" w:type="pct"/>
          </w:tcPr>
          <w:p w:rsidR="00BA4E3C" w:rsidRPr="00E806EB" w14:paraId="3AEF24A7" w14:textId="77777777">
            <w:pPr>
              <w:jc w:val="center"/>
            </w:pPr>
            <w:r w:rsidRPr="00E806EB">
              <w:t>Annual Time Burden (Hours)</w:t>
            </w:r>
          </w:p>
        </w:tc>
        <w:tc>
          <w:tcPr>
            <w:tcW w:w="829" w:type="pct"/>
            <w:vAlign w:val="center"/>
          </w:tcPr>
          <w:p w:rsidR="00BA4E3C" w:rsidRPr="00E806EB" w14:paraId="035DEC58" w14:textId="77777777">
            <w:pPr>
              <w:jc w:val="right"/>
            </w:pPr>
            <w:r w:rsidRPr="00E806EB">
              <w:t>120</w:t>
            </w:r>
          </w:p>
        </w:tc>
        <w:tc>
          <w:tcPr>
            <w:tcW w:w="854" w:type="pct"/>
            <w:vAlign w:val="center"/>
          </w:tcPr>
          <w:p w:rsidR="00BA4E3C" w:rsidRPr="00E806EB" w14:paraId="45409EFF" w14:textId="67DE51E4">
            <w:pPr>
              <w:jc w:val="right"/>
            </w:pPr>
            <w:r w:rsidRPr="00E806EB">
              <w:t>12</w:t>
            </w:r>
            <w:r w:rsidRPr="00E806EB" w:rsidR="00D75735">
              <w:t>0</w:t>
            </w:r>
          </w:p>
        </w:tc>
        <w:tc>
          <w:tcPr>
            <w:tcW w:w="1010" w:type="pct"/>
            <w:vAlign w:val="center"/>
          </w:tcPr>
          <w:p w:rsidR="00BA4E3C" w:rsidRPr="00E806EB" w14:paraId="5B206ADC" w14:textId="56F874F7">
            <w:pPr>
              <w:jc w:val="right"/>
            </w:pPr>
            <w:r w:rsidRPr="00E806EB">
              <w:t>0</w:t>
            </w:r>
          </w:p>
        </w:tc>
        <w:tc>
          <w:tcPr>
            <w:tcW w:w="865" w:type="pct"/>
            <w:vAlign w:val="center"/>
          </w:tcPr>
          <w:p w:rsidR="00BA4E3C" w:rsidRPr="00E806EB" w14:paraId="05B06C0B" w14:textId="77777777">
            <w:pPr>
              <w:jc w:val="right"/>
            </w:pPr>
            <w:r w:rsidRPr="00E806EB">
              <w:t>0</w:t>
            </w:r>
          </w:p>
        </w:tc>
      </w:tr>
      <w:tr w14:paraId="5797147C" w14:textId="77777777">
        <w:tblPrEx>
          <w:tblW w:w="5000" w:type="pct"/>
          <w:tblLook w:val="01E0"/>
        </w:tblPrEx>
        <w:trPr>
          <w:trHeight w:val="295"/>
        </w:trPr>
        <w:tc>
          <w:tcPr>
            <w:tcW w:w="1442" w:type="pct"/>
            <w:tcBorders>
              <w:bottom w:val="single" w:sz="4" w:space="0" w:color="auto"/>
            </w:tcBorders>
          </w:tcPr>
          <w:p w:rsidR="00BA4E3C" w:rsidRPr="00E806EB" w14:paraId="59B84C8E" w14:textId="77777777">
            <w:pPr>
              <w:jc w:val="center"/>
            </w:pPr>
            <w:r w:rsidRPr="00E806EB">
              <w:t>Annual Cost Burden ($)</w:t>
            </w:r>
          </w:p>
        </w:tc>
        <w:tc>
          <w:tcPr>
            <w:tcW w:w="829" w:type="pct"/>
            <w:tcBorders>
              <w:bottom w:val="single" w:sz="4" w:space="0" w:color="auto"/>
            </w:tcBorders>
            <w:vAlign w:val="center"/>
          </w:tcPr>
          <w:p w:rsidR="00BA4E3C" w:rsidRPr="00E806EB" w14:paraId="0E5DB81C" w14:textId="77777777">
            <w:pPr>
              <w:jc w:val="right"/>
            </w:pPr>
            <w:r w:rsidRPr="00E806EB">
              <w:t>$0</w:t>
            </w:r>
          </w:p>
        </w:tc>
        <w:tc>
          <w:tcPr>
            <w:tcW w:w="854" w:type="pct"/>
            <w:tcBorders>
              <w:bottom w:val="single" w:sz="4" w:space="0" w:color="auto"/>
            </w:tcBorders>
            <w:vAlign w:val="center"/>
          </w:tcPr>
          <w:p w:rsidR="00BA4E3C" w:rsidRPr="00E806EB" w14:paraId="3C6CB974" w14:textId="77777777">
            <w:pPr>
              <w:jc w:val="right"/>
            </w:pPr>
            <w:r w:rsidRPr="00E806EB">
              <w:t>$0</w:t>
            </w:r>
          </w:p>
        </w:tc>
        <w:tc>
          <w:tcPr>
            <w:tcW w:w="1010" w:type="pct"/>
            <w:tcBorders>
              <w:bottom w:val="single" w:sz="4" w:space="0" w:color="auto"/>
            </w:tcBorders>
            <w:vAlign w:val="center"/>
          </w:tcPr>
          <w:p w:rsidR="00BA4E3C" w:rsidRPr="00E806EB" w14:paraId="32136238" w14:textId="77777777">
            <w:pPr>
              <w:jc w:val="right"/>
            </w:pPr>
            <w:r w:rsidRPr="00E806EB">
              <w:t>$0</w:t>
            </w:r>
          </w:p>
        </w:tc>
        <w:tc>
          <w:tcPr>
            <w:tcW w:w="865" w:type="pct"/>
            <w:tcBorders>
              <w:bottom w:val="single" w:sz="4" w:space="0" w:color="auto"/>
            </w:tcBorders>
            <w:vAlign w:val="center"/>
          </w:tcPr>
          <w:p w:rsidR="00BA4E3C" w:rsidRPr="00E806EB" w14:paraId="2CABD856" w14:textId="77777777">
            <w:pPr>
              <w:jc w:val="right"/>
            </w:pPr>
            <w:r w:rsidRPr="00E806EB">
              <w:t>$0</w:t>
            </w:r>
          </w:p>
        </w:tc>
      </w:tr>
    </w:tbl>
    <w:p w:rsidR="00BA4E3C" w:rsidRPr="00E806EB" w14:paraId="59F9D08E" w14:textId="77777777">
      <w:pPr>
        <w:widowControl/>
        <w:rPr>
          <w:b/>
        </w:rPr>
      </w:pPr>
    </w:p>
    <w:p w:rsidR="00BA4E3C" w:rsidRPr="00E806EB" w14:paraId="5FC2CCEC" w14:textId="77777777">
      <w:pPr>
        <w:pStyle w:val="FERCparanumber"/>
        <w:numPr>
          <w:ilvl w:val="0"/>
          <w:numId w:val="0"/>
        </w:numPr>
        <w:rPr>
          <w:b/>
          <w:sz w:val="24"/>
        </w:rPr>
      </w:pPr>
    </w:p>
    <w:p w:rsidR="00BA4E3C" w:rsidRPr="00E806EB" w14:paraId="4F3C64CE" w14:textId="77777777">
      <w:pPr>
        <w:pStyle w:val="FERCparanumber"/>
        <w:numPr>
          <w:ilvl w:val="0"/>
          <w:numId w:val="2"/>
        </w:numPr>
        <w:rPr>
          <w:b/>
          <w:sz w:val="24"/>
        </w:rPr>
      </w:pPr>
      <w:r w:rsidRPr="00E806EB">
        <w:rPr>
          <w:b/>
          <w:sz w:val="24"/>
        </w:rPr>
        <w:t>TIME SCHEDULE FOR PUBLICATION OF DATA</w:t>
      </w:r>
    </w:p>
    <w:p w:rsidR="00BA4E3C" w:rsidRPr="00E806EB" w14:paraId="5AF42254" w14:textId="77777777">
      <w:pPr>
        <w:pStyle w:val="FERCparanumber"/>
        <w:numPr>
          <w:ilvl w:val="0"/>
          <w:numId w:val="0"/>
        </w:numPr>
        <w:rPr>
          <w:b/>
          <w:sz w:val="24"/>
        </w:rPr>
      </w:pPr>
    </w:p>
    <w:p w:rsidR="00BA4E3C" w:rsidRPr="00E806EB" w14:paraId="62D5D524" w14:textId="77777777">
      <w:pPr>
        <w:widowControl/>
      </w:pPr>
      <w:r w:rsidRPr="00E806EB">
        <w:t>There is no publication of data associated with FERC-574 information collection.</w:t>
      </w:r>
    </w:p>
    <w:p w:rsidR="00BA4E3C" w:rsidRPr="00E806EB" w14:paraId="405EC41C" w14:textId="77777777">
      <w:pPr>
        <w:pStyle w:val="FERCparanumber"/>
        <w:numPr>
          <w:ilvl w:val="0"/>
          <w:numId w:val="0"/>
        </w:numPr>
        <w:rPr>
          <w:b/>
          <w:sz w:val="24"/>
        </w:rPr>
      </w:pPr>
    </w:p>
    <w:p w:rsidR="00BA4E3C" w:rsidRPr="00E806EB" w14:paraId="0E962D95" w14:textId="77777777">
      <w:pPr>
        <w:pStyle w:val="FERCparanumber"/>
        <w:numPr>
          <w:ilvl w:val="0"/>
          <w:numId w:val="2"/>
        </w:numPr>
        <w:rPr>
          <w:b/>
          <w:sz w:val="24"/>
        </w:rPr>
      </w:pPr>
      <w:r w:rsidRPr="00E806EB">
        <w:rPr>
          <w:b/>
          <w:sz w:val="24"/>
        </w:rPr>
        <w:t>DISPLAY OF EXPIRATION DATE</w:t>
      </w:r>
    </w:p>
    <w:p w:rsidR="00BA4E3C" w:rsidRPr="00E806EB" w14:paraId="325F6494" w14:textId="77777777">
      <w:pPr>
        <w:pStyle w:val="FERCparanumber"/>
        <w:numPr>
          <w:ilvl w:val="0"/>
          <w:numId w:val="0"/>
        </w:numPr>
        <w:rPr>
          <w:b/>
          <w:sz w:val="24"/>
        </w:rPr>
      </w:pPr>
    </w:p>
    <w:p w:rsidR="00D63C50" w:rsidRPr="00E806EB" w:rsidP="00D63C50" w14:paraId="20DA9650" w14:textId="78D8C915">
      <w:pPr>
        <w:widowControl/>
        <w:autoSpaceDE/>
        <w:autoSpaceDN/>
        <w:adjustRightInd/>
        <w:rPr>
          <w:rFonts w:eastAsiaTheme="minorHAnsi"/>
        </w:rPr>
      </w:pPr>
      <w:r w:rsidRPr="00E806EB">
        <w:rPr>
          <w:rFonts w:eastAsiaTheme="minorHAnsi"/>
        </w:rPr>
        <w:t>The expiration date is displayed in a table posted on ferc.gov at</w:t>
      </w:r>
      <w:r w:rsidR="00545B63">
        <w:rPr>
          <w:rFonts w:eastAsiaTheme="minorHAnsi"/>
        </w:rPr>
        <w:t xml:space="preserve"> </w:t>
      </w:r>
      <w:hyperlink r:id="rId9" w:history="1">
        <w:r w:rsidRPr="00545B63" w:rsidR="00545B63">
          <w:rPr>
            <w:rStyle w:val="Hyperlink"/>
            <w:rFonts w:eastAsiaTheme="minorHAnsi"/>
          </w:rPr>
          <w:t>https://data.ferc.gov/ferc-information-collections-management/information-collections-approved/</w:t>
        </w:r>
      </w:hyperlink>
      <w:r w:rsidRPr="00E806EB">
        <w:rPr>
          <w:rFonts w:eastAsiaTheme="minorHAnsi"/>
        </w:rPr>
        <w:t>.</w:t>
      </w:r>
    </w:p>
    <w:p w:rsidR="00BA4E3C" w:rsidRPr="00E806EB" w14:paraId="3C42C1C7" w14:textId="77777777">
      <w:pPr>
        <w:pStyle w:val="FERCparanumber"/>
        <w:numPr>
          <w:ilvl w:val="0"/>
          <w:numId w:val="0"/>
        </w:numPr>
        <w:rPr>
          <w:b/>
          <w:sz w:val="24"/>
        </w:rPr>
      </w:pPr>
    </w:p>
    <w:p w:rsidR="00BA4E3C" w:rsidRPr="00E806EB" w14:paraId="6810D15F" w14:textId="77777777">
      <w:pPr>
        <w:widowControl/>
        <w:numPr>
          <w:ilvl w:val="0"/>
          <w:numId w:val="2"/>
        </w:numPr>
        <w:ind w:hanging="720"/>
        <w:rPr>
          <w:b/>
        </w:rPr>
      </w:pPr>
      <w:r w:rsidRPr="00E806EB">
        <w:rPr>
          <w:b/>
        </w:rPr>
        <w:t>EXCEPTIONS TO THE CERTIFICATION STATEMENT</w:t>
      </w:r>
    </w:p>
    <w:p w:rsidR="00BA4E3C" w:rsidRPr="00E806EB" w14:paraId="683D20CC" w14:textId="77777777">
      <w:pPr>
        <w:widowControl/>
        <w:ind w:left="720"/>
        <w:rPr>
          <w:b/>
        </w:rPr>
      </w:pPr>
    </w:p>
    <w:p w:rsidR="00BA4E3C" w:rsidRPr="00E806EB" w14:paraId="0C20128C" w14:textId="77777777">
      <w:pPr>
        <w:widowControl/>
      </w:pPr>
      <w:r w:rsidRPr="00E806EB">
        <w:t>There are no exceptions.</w:t>
      </w:r>
    </w:p>
    <w:p w:rsidR="00BA4E3C" w:rsidRPr="00E806EB" w14:paraId="45742F92" w14:textId="77777777"/>
    <w:sectPr>
      <w:headerReference w:type="default" r:id="rId10"/>
      <w:footerReference w:type="default" r:id="rId11"/>
      <w:headerReference w:type="first" r:id="rId1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4E3C" w14:paraId="5DAB28FD" w14:textId="77777777">
    <w:pPr>
      <w:pStyle w:val="Footer"/>
      <w:jc w:val="right"/>
    </w:pPr>
    <w:r>
      <w:t xml:space="preserve">Page </w:t>
    </w:r>
    <w:sdt>
      <w:sdtPr>
        <w:id w:val="21060648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rsidR="00BA4E3C" w14:paraId="0A5050E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611C" w14:paraId="405B7CEA" w14:textId="77777777">
      <w:r>
        <w:separator/>
      </w:r>
    </w:p>
  </w:footnote>
  <w:footnote w:type="continuationSeparator" w:id="1">
    <w:p w:rsidR="00BE611C" w14:paraId="2D4A64AC" w14:textId="77777777">
      <w:r>
        <w:continuationSeparator/>
      </w:r>
    </w:p>
  </w:footnote>
  <w:footnote w:id="2">
    <w:p w:rsidR="00BA4E3C" w:rsidP="00B234C4" w14:paraId="7D7E4528" w14:textId="314875EF">
      <w:pPr>
        <w:pStyle w:val="FootnoteText"/>
      </w:pPr>
      <w:r w:rsidRPr="00956263">
        <w:rPr>
          <w:rStyle w:val="FootnoteReference"/>
          <w:b/>
          <w:bCs/>
        </w:rPr>
        <w:footnoteRef/>
      </w:r>
      <w:r w:rsidR="00E806EB">
        <w:rPr>
          <w:vertAlign w:val="superscript"/>
        </w:rPr>
        <w:t xml:space="preserve"> </w:t>
      </w:r>
      <w:r>
        <w:t>Burden is defined as the total time, effort, or financial resources expended by persons to generate, maintain, retain, or disclose or provide information to or for a federal agency.</w:t>
      </w:r>
      <w:r w:rsidR="00E806EB">
        <w:t xml:space="preserve"> </w:t>
      </w:r>
      <w:r>
        <w:t>See 5 CFR 1320 for additional information on the definition of information collection burden.</w:t>
      </w:r>
    </w:p>
  </w:footnote>
  <w:footnote w:id="3">
    <w:p w:rsidR="00956263" w:rsidRPr="00EF33A2" w:rsidP="00B234C4" w14:paraId="398A03B3" w14:textId="353513EC">
      <w:pPr>
        <w:pStyle w:val="FootnoteText"/>
      </w:pPr>
      <w:r w:rsidRPr="00956263">
        <w:rPr>
          <w:rStyle w:val="FootnoteReference"/>
          <w:b/>
          <w:bCs/>
        </w:rPr>
        <w:footnoteRef/>
      </w:r>
      <w:r w:rsidRPr="00956263">
        <w:rPr>
          <w:b/>
          <w:bCs/>
          <w:vertAlign w:val="superscript"/>
        </w:rPr>
        <w:t xml:space="preserve"> </w:t>
      </w:r>
      <w:r w:rsidRPr="00E837C8" w:rsidR="00E837C8">
        <w:t>Commission staff estimates that the industry’s skill set and cost (for wages and benefits) for FERC-574 are approximately the same as the Commission’s average cost. The FERC 2025 average salary plus benefits for one FERC full-time equivalent (FTE) is $214,093/year (or $103/hour). </w:t>
      </w:r>
    </w:p>
    <w:p w:rsidR="00956263" w:rsidRPr="00EF33A2" w:rsidP="00B234C4" w14:paraId="7EBCB75A" w14:textId="77777777">
      <w:pPr>
        <w:pStyle w:val="FootnoteText"/>
      </w:pPr>
    </w:p>
  </w:footnote>
  <w:footnote w:id="4">
    <w:p w:rsidR="00BA4E3C" w14:paraId="1739EEE4" w14:textId="6A2733CE">
      <w:pPr>
        <w:rPr>
          <w:sz w:val="26"/>
          <w:szCs w:val="26"/>
        </w:rPr>
      </w:pPr>
      <w:r>
        <w:rPr>
          <w:rStyle w:val="FootnoteReference"/>
          <w:b/>
          <w:sz w:val="20"/>
          <w:szCs w:val="20"/>
        </w:rPr>
        <w:footnoteRef/>
      </w:r>
      <w:r>
        <w:rPr>
          <w:b/>
          <w:sz w:val="20"/>
          <w:szCs w:val="20"/>
        </w:rPr>
        <w:t xml:space="preserve"> </w:t>
      </w:r>
      <w:r w:rsidRPr="00E92BB7">
        <w:rPr>
          <w:rStyle w:val="FootnoteTextChar2"/>
        </w:rPr>
        <w:t>Based upon 20</w:t>
      </w:r>
      <w:r w:rsidRPr="00E92BB7" w:rsidR="00956263">
        <w:rPr>
          <w:rStyle w:val="FootnoteTextChar2"/>
        </w:rPr>
        <w:t>2</w:t>
      </w:r>
      <w:r w:rsidR="00E92BB7">
        <w:rPr>
          <w:rStyle w:val="FootnoteTextChar2"/>
        </w:rPr>
        <w:t>5</w:t>
      </w:r>
      <w:r w:rsidRPr="00E92BB7">
        <w:rPr>
          <w:rStyle w:val="FootnoteTextChar2"/>
        </w:rPr>
        <w:t xml:space="preserve"> FTE average annual salary plus benefits ($</w:t>
      </w:r>
      <w:r w:rsidRPr="00E92BB7" w:rsidR="00E92BB7">
        <w:rPr>
          <w:rStyle w:val="FootnoteTextChar2"/>
        </w:rPr>
        <w:t>214,093</w:t>
      </w:r>
      <w:r w:rsidRPr="00E92BB7">
        <w:rPr>
          <w:rStyle w:val="FootnoteTextChar2"/>
        </w:rPr>
        <w:t>).</w:t>
      </w:r>
    </w:p>
  </w:footnote>
  <w:footnote w:id="5">
    <w:p w:rsidR="00BA4E3C" w:rsidP="00B234C4" w14:paraId="248E6697" w14:textId="67803937">
      <w:pPr>
        <w:pStyle w:val="FootnoteText"/>
      </w:pPr>
      <w:r>
        <w:rPr>
          <w:rStyle w:val="FootnoteReference"/>
          <w:b/>
          <w:sz w:val="26"/>
          <w:szCs w:val="26"/>
        </w:rPr>
        <w:footnoteRef/>
      </w:r>
      <w:r>
        <w:rPr>
          <w:vertAlign w:val="superscript"/>
        </w:rPr>
        <w:t xml:space="preserve"> </w:t>
      </w:r>
      <w:r>
        <w:t>Paperwork Reduction Act of 1995 (PRA).</w:t>
      </w:r>
      <w:r w:rsidRPr="00A70A3B" w:rsidR="00A70A3B">
        <w:t xml:space="preserve"> </w:t>
      </w:r>
    </w:p>
  </w:footnote>
  <w:footnote w:id="6">
    <w:p w:rsidR="00A70A3B" w:rsidRPr="00EF33A2" w:rsidP="00B234C4" w14:paraId="698AEC25" w14:textId="53EA079B">
      <w:pPr>
        <w:pStyle w:val="FootnoteText"/>
      </w:pPr>
      <w:r>
        <w:rPr>
          <w:rStyle w:val="FootnoteReference"/>
          <w:b/>
          <w:sz w:val="26"/>
          <w:szCs w:val="26"/>
        </w:rPr>
        <w:footnoteRef/>
      </w:r>
      <w:r>
        <w:rPr>
          <w:vertAlign w:val="superscript"/>
        </w:rPr>
        <w:t xml:space="preserve"> </w:t>
      </w:r>
      <w:r>
        <w:t>The PRA Administrative Cost is a Federal Cost associated with preparing, issuing, and submitting materials necessary to comply with the Paperwork Reduction Act (PRA) for rulemakings, orders, or any other vehicle used to create, modify, extend, or discontinue an information collection.</w:t>
      </w:r>
      <w:r w:rsidR="00E806EB">
        <w:t xml:space="preserve"> </w:t>
      </w:r>
      <w:r>
        <w:t>This average annual cost includes requests for extensions, all associated rulemakings, and other changes to the collection.</w:t>
      </w:r>
      <w:r w:rsidRPr="00A70A3B">
        <w:t xml:space="preserve"> </w:t>
      </w:r>
      <w:r w:rsidRPr="00EF33A2">
        <w:t>The FERC 20</w:t>
      </w:r>
      <w:r>
        <w:t>2</w:t>
      </w:r>
      <w:r w:rsidR="00E92BB7">
        <w:t>5</w:t>
      </w:r>
      <w:r w:rsidRPr="00EF33A2">
        <w:t xml:space="preserve"> average salary plus benefits for one FERC full-time equivalent (FTE) is </w:t>
      </w:r>
      <w:r w:rsidRPr="00E837C8" w:rsidR="00E92BB7">
        <w:t>$214,093/year</w:t>
      </w:r>
      <w:r w:rsidRPr="00EF33A2" w:rsidR="00E92BB7">
        <w:t xml:space="preserve"> </w:t>
      </w:r>
      <w:r w:rsidRPr="00EF33A2">
        <w:t xml:space="preserve">(or </w:t>
      </w:r>
      <w:r w:rsidR="00E92BB7">
        <w:t>$103</w:t>
      </w:r>
      <w:r w:rsidRPr="00EF33A2">
        <w:t>/hour).</w:t>
      </w:r>
      <w:r w:rsidR="00E806EB">
        <w:t xml:space="preserve"> </w:t>
      </w:r>
    </w:p>
    <w:p w:rsidR="00BA4E3C" w:rsidP="00B234C4" w14:paraId="06026675" w14:textId="11923EE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4E3C" w14:paraId="02D011A9" w14:textId="6A08D9B7">
    <w:pPr>
      <w:pStyle w:val="Header"/>
    </w:pPr>
    <w:r>
      <w:t>FERC-574 (OMB Control No. 1902-0116)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4E3C" w14:paraId="34075115" w14:textId="77777777">
    <w:pPr>
      <w:pStyle w:val="Header"/>
    </w:pPr>
    <w:r>
      <w:t>FERC Form 730 (OMB Control No. 1902-0239)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AE766A"/>
    <w:multiLevelType w:val="hybridMultilevel"/>
    <w:tmpl w:val="1616D212"/>
    <w:lvl w:ilvl="0">
      <w:start w:val="2"/>
      <w:numFmt w:val="decimal"/>
      <w:lvlText w:val="%1."/>
      <w:lvlJc w:val="left"/>
      <w:pPr>
        <w:ind w:left="720" w:hanging="648"/>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57268493">
    <w:abstractNumId w:val="1"/>
  </w:num>
  <w:num w:numId="2" w16cid:durableId="131976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3C"/>
    <w:rsid w:val="0003224D"/>
    <w:rsid w:val="000F1519"/>
    <w:rsid w:val="00142CEB"/>
    <w:rsid w:val="00146A51"/>
    <w:rsid w:val="0019620D"/>
    <w:rsid w:val="001D1D50"/>
    <w:rsid w:val="002A2910"/>
    <w:rsid w:val="00313FB0"/>
    <w:rsid w:val="003652B5"/>
    <w:rsid w:val="0043170B"/>
    <w:rsid w:val="00473DF8"/>
    <w:rsid w:val="00486436"/>
    <w:rsid w:val="0052497D"/>
    <w:rsid w:val="00545B63"/>
    <w:rsid w:val="00553215"/>
    <w:rsid w:val="00567925"/>
    <w:rsid w:val="00607372"/>
    <w:rsid w:val="00623935"/>
    <w:rsid w:val="0062747E"/>
    <w:rsid w:val="006449E1"/>
    <w:rsid w:val="006B6E37"/>
    <w:rsid w:val="006D77C1"/>
    <w:rsid w:val="006F63DA"/>
    <w:rsid w:val="007C27A8"/>
    <w:rsid w:val="007F6256"/>
    <w:rsid w:val="008037D8"/>
    <w:rsid w:val="008968AF"/>
    <w:rsid w:val="008F4978"/>
    <w:rsid w:val="009478C4"/>
    <w:rsid w:val="00956263"/>
    <w:rsid w:val="00A34970"/>
    <w:rsid w:val="00A471C7"/>
    <w:rsid w:val="00A6038A"/>
    <w:rsid w:val="00A70A3B"/>
    <w:rsid w:val="00A945B9"/>
    <w:rsid w:val="00AE4754"/>
    <w:rsid w:val="00AF17B9"/>
    <w:rsid w:val="00B11976"/>
    <w:rsid w:val="00B12C2E"/>
    <w:rsid w:val="00B234C4"/>
    <w:rsid w:val="00B26611"/>
    <w:rsid w:val="00BA4E3C"/>
    <w:rsid w:val="00BD2B83"/>
    <w:rsid w:val="00BE189A"/>
    <w:rsid w:val="00BE611C"/>
    <w:rsid w:val="00C0110B"/>
    <w:rsid w:val="00C5338E"/>
    <w:rsid w:val="00CE44CF"/>
    <w:rsid w:val="00D63C50"/>
    <w:rsid w:val="00D75735"/>
    <w:rsid w:val="00DB5919"/>
    <w:rsid w:val="00E34D69"/>
    <w:rsid w:val="00E70C61"/>
    <w:rsid w:val="00E77909"/>
    <w:rsid w:val="00E806EB"/>
    <w:rsid w:val="00E837C8"/>
    <w:rsid w:val="00E92BB7"/>
    <w:rsid w:val="00EC0929"/>
    <w:rsid w:val="00EC4972"/>
    <w:rsid w:val="00EF33A2"/>
    <w:rsid w:val="20099432"/>
    <w:rsid w:val="27A934B3"/>
    <w:rsid w:val="2F5CD9DD"/>
    <w:rsid w:val="4F6E241E"/>
    <w:rsid w:val="57348DB4"/>
    <w:rsid w:val="5F7EF9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85C98D"/>
  <w15:chartTrackingRefBased/>
  <w15:docId w15:val="{DBB1DD85-CDE5-4DBC-ACB3-B0B35FFA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A945B9"/>
    <w:rPr>
      <w:vertAlign w:val="superscript"/>
    </w:rPr>
  </w:style>
  <w:style w:type="paragraph" w:styleId="FootnoteText">
    <w:name w:val="footnote text"/>
    <w:aliases w:val=" Char,Char,Char Char1,Footnote Text Char Char,Footnote Text Char Char Char,Footnote Text Char Char Char1 Char,Footnote Text Char Char1,Footnote Text Char1,Footnote Text Char1 Char,Footnote Text Char1 Char1 Char,fn,fn Char Char,fn1,fn3,ft"/>
    <w:basedOn w:val="Normal"/>
    <w:link w:val="FootnoteTextChar2"/>
    <w:uiPriority w:val="99"/>
    <w:qFormat/>
    <w:rsid w:val="00B234C4"/>
    <w:rPr>
      <w:sz w:val="20"/>
      <w:szCs w:val="20"/>
    </w:rPr>
  </w:style>
  <w:style w:type="character" w:customStyle="1" w:styleId="FootnoteTextChar">
    <w:name w:val="Footnote Text Char"/>
    <w:basedOn w:val="DefaultParagraphFont"/>
    <w:uiPriority w:val="99"/>
    <w:semiHidden/>
    <w:rPr>
      <w:rFonts w:ascii="Times New Roman" w:eastAsia="Times New Roman" w:hAnsi="Times New Roman" w:cs="Times New Roman"/>
      <w:sz w:val="20"/>
      <w:szCs w:val="20"/>
    </w:rPr>
  </w:style>
  <w:style w:type="paragraph" w:customStyle="1" w:styleId="FERCparanumber">
    <w:name w:val="FERC paranumber"/>
    <w:basedOn w:val="Normal"/>
    <w:link w:val="FERCparanumberChar"/>
    <w:uiPriority w:val="99"/>
    <w:pPr>
      <w:widowControl/>
      <w:numPr>
        <w:numId w:val="1"/>
      </w:numPr>
      <w:autoSpaceDE/>
      <w:autoSpaceDN/>
      <w:adjustRightInd/>
    </w:pPr>
    <w:rPr>
      <w:sz w:val="26"/>
    </w:rPr>
  </w:style>
  <w:style w:type="character" w:customStyle="1" w:styleId="FootnoteTextChar2">
    <w:name w:val="Footnote Text Char2"/>
    <w:aliases w:val=" Char Char,Char Char,Char Char1 Char,Footnote Text Char Char Char Char,Footnote Text Char Char Char1,Footnote Text Char Char Char1 Char Char,Footnote Text Char Char1 Char,Footnote Text Char1 Char Char,Footnote Text Char1 Char1"/>
    <w:link w:val="FootnoteText"/>
    <w:uiPriority w:val="99"/>
    <w:locked/>
    <w:rsid w:val="00B234C4"/>
    <w:rPr>
      <w:rFonts w:ascii="Times New Roman" w:eastAsia="Times New Roman" w:hAnsi="Times New Roman" w:cs="Times New Roman"/>
      <w:sz w:val="20"/>
      <w:szCs w:val="20"/>
    </w:rPr>
  </w:style>
  <w:style w:type="character" w:customStyle="1" w:styleId="FERCparanumberChar">
    <w:name w:val="FERC paranumber Char"/>
    <w:link w:val="FERCparanumber"/>
    <w:uiPriority w:val="99"/>
    <w:rPr>
      <w:rFonts w:ascii="Times New Roman" w:eastAsia="Times New Roman" w:hAnsi="Times New Roman" w:cs="Times New Roman"/>
      <w:sz w:val="26"/>
      <w:szCs w:val="24"/>
    </w:rPr>
  </w:style>
  <w:style w:type="character" w:styleId="Hyperlink">
    <w:name w:val="Hyperlink"/>
    <w:rPr>
      <w:color w:val="0000FF"/>
      <w:u w:val="single"/>
    </w:rPr>
  </w:style>
  <w:style w:type="paragraph" w:styleId="ListParagraph">
    <w:name w:val="List Paragraph"/>
    <w:basedOn w:val="Normal"/>
    <w:qFormat/>
    <w:pPr>
      <w:widowControl/>
      <w:autoSpaceDE/>
      <w:autoSpaceDN/>
      <w:adjustRightInd/>
      <w:spacing w:after="200" w:line="276" w:lineRule="auto"/>
      <w:ind w:left="720"/>
      <w:contextualSpacing/>
    </w:pPr>
    <w:rPr>
      <w:rFonts w:ascii="Calibri" w:hAnsi="Calibri"/>
      <w:sz w:val="22"/>
      <w:szCs w:val="22"/>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NormalWeb">
    <w:name w:val="Normal (Web)"/>
    <w:basedOn w:val="Normal"/>
    <w:uiPriority w:val="99"/>
    <w:semiHidden/>
    <w:unhideWhenUsed/>
    <w:rsid w:val="00A34970"/>
    <w:pPr>
      <w:widowControl/>
      <w:autoSpaceDE/>
      <w:autoSpaceDN/>
      <w:adjustRightInd/>
      <w:spacing w:before="100" w:beforeAutospacing="1" w:after="100" w:afterAutospacing="1"/>
    </w:pPr>
  </w:style>
  <w:style w:type="paragraph" w:customStyle="1" w:styleId="psection-1">
    <w:name w:val="psection-1"/>
    <w:basedOn w:val="Normal"/>
    <w:rsid w:val="00A34970"/>
    <w:pPr>
      <w:widowControl/>
      <w:autoSpaceDE/>
      <w:autoSpaceDN/>
      <w:adjustRightInd/>
      <w:spacing w:before="100" w:beforeAutospacing="1" w:after="100" w:afterAutospacing="1"/>
    </w:pPr>
  </w:style>
  <w:style w:type="character" w:customStyle="1" w:styleId="enumxml">
    <w:name w:val="enumxml"/>
    <w:basedOn w:val="DefaultParagraphFont"/>
    <w:rsid w:val="00A34970"/>
  </w:style>
  <w:style w:type="character" w:styleId="FollowedHyperlink">
    <w:name w:val="FollowedHyperlink"/>
    <w:basedOn w:val="DefaultParagraphFont"/>
    <w:uiPriority w:val="99"/>
    <w:semiHidden/>
    <w:unhideWhenUsed/>
    <w:rsid w:val="006D77C1"/>
    <w:rPr>
      <w:color w:val="954F72" w:themeColor="followedHyperlink"/>
      <w:u w:val="single"/>
    </w:rPr>
  </w:style>
  <w:style w:type="character" w:styleId="UnresolvedMention">
    <w:name w:val="Unresolved Mention"/>
    <w:basedOn w:val="DefaultParagraphFont"/>
    <w:uiPriority w:val="99"/>
    <w:semiHidden/>
    <w:unhideWhenUsed/>
    <w:rsid w:val="006B6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data.ferc.gov/ferc-information-collections-management/information-collections-approved/"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OMB Supporting Statement</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574</_x0031__x002e__x0020_Collection_x0020_Number>
    <Date xmlns="d6eefc7d-9817-4fa6-84d5-3bc009be21b8">2022-10-19T04:00:00+00:00</Date>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IC22-31</_x0031__x002e__x0020_Docket_x0020_Number>
    <_x0033__x002e__x0020_Collection_x0020_Number xmlns="d6eefc7d-9817-4fa6-84d5-3bc009be21b8" xsi:nil="true"/>
    <TaxCatchAll xmlns="5a7c6213-c3f8-4376-93f2-dc58e5c51d54" xsi:nil="true"/>
    <lcf76f155ced4ddcb4097134ff3c332f xmlns="e029e753-062b-49ce-baa7-feb352134f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1" ma:contentTypeDescription="Create a new document." ma:contentTypeScope="" ma:versionID="9f757fac7c7b0b3ff33a1b2962e07276">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3d748f22f8ae9cdada74fd2f074b77a3"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0AF6B-3FC1-4CF1-AF67-ABA82AE8F265}">
  <ds:schemaRefs>
    <ds:schemaRef ds:uri="http://schemas.microsoft.com/office/2006/metadata/properties"/>
    <ds:schemaRef ds:uri="http://schemas.microsoft.com/office/infopath/2007/PartnerControls"/>
    <ds:schemaRef ds:uri="d6eefc7d-9817-4fa6-84d5-3bc009be21b8"/>
    <ds:schemaRef ds:uri="5a7c6213-c3f8-4376-93f2-dc58e5c51d54"/>
    <ds:schemaRef ds:uri="e029e753-062b-49ce-baa7-feb352134f8f"/>
  </ds:schemaRefs>
</ds:datastoreItem>
</file>

<file path=customXml/itemProps2.xml><?xml version="1.0" encoding="utf-8"?>
<ds:datastoreItem xmlns:ds="http://schemas.openxmlformats.org/officeDocument/2006/customXml" ds:itemID="{B252A478-79F9-40C6-AB5B-2EA34FA5BFFC}">
  <ds:schemaRefs>
    <ds:schemaRef ds:uri="http://schemas.microsoft.com/sharepoint/v3/contenttype/forms"/>
  </ds:schemaRefs>
</ds:datastoreItem>
</file>

<file path=customXml/itemProps3.xml><?xml version="1.0" encoding="utf-8"?>
<ds:datastoreItem xmlns:ds="http://schemas.openxmlformats.org/officeDocument/2006/customXml" ds:itemID="{4CE48832-191B-4AAB-AF49-B1C74461FDFF}">
  <ds:schemaRefs>
    <ds:schemaRef ds:uri="http://schemas.openxmlformats.org/officeDocument/2006/bibliography"/>
  </ds:schemaRefs>
</ds:datastoreItem>
</file>

<file path=customXml/itemProps4.xml><?xml version="1.0" encoding="utf-8"?>
<ds:datastoreItem xmlns:ds="http://schemas.openxmlformats.org/officeDocument/2006/customXml" ds:itemID="{9A95B49D-13BA-4381-AFFF-48B6C8D29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Pipeline Certificate: Hinshaw Exemptions</dc:title>
  <dc:creator>Michele Chambers</dc:creator>
  <cp:lastModifiedBy>Ken Ambrose</cp:lastModifiedBy>
  <cp:revision>30</cp:revision>
  <dcterms:created xsi:type="dcterms:W3CDTF">2023-01-10T17:40:00Z</dcterms:created>
  <dcterms:modified xsi:type="dcterms:W3CDTF">2026-02-24T14:36:01Z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bd24d06a-0e85-4d57-b1e0-ba34b1abc708_ActionId">
    <vt:lpwstr>14b46176-cb80-4c95-a929-27e33a6ea865</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2026-01-06T15:58:58Z</vt:lpwstr>
  </property>
  <property fmtid="{D5CDD505-2E9C-101B-9397-08002B2CF9AE}" pid="10" name="MSIP_Label_bd24d06a-0e85-4d57-b1e0-ba34b1abc708_SiteId">
    <vt:lpwstr>19caa9e9-04ff-43fa-885f-d77fac387903</vt:lpwstr>
  </property>
  <property fmtid="{D5CDD505-2E9C-101B-9397-08002B2CF9AE}" pid="11" name="MSIP_Label_bd24d06a-0e85-4d57-b1e0-ba34b1abc708_Tag">
    <vt:lpwstr>10, 0, 1, 1</vt:lpwstr>
  </property>
</Properties>
</file>