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1FD0" w:rsidRPr="002A2BD1" w:rsidP="00F81FD0" w14:paraId="5CB0789A" w14:textId="254D06A4">
      <w:pPr>
        <w:jc w:val="center"/>
        <w:rPr>
          <w:b/>
          <w:bCs/>
          <w:sz w:val="28"/>
          <w:szCs w:val="28"/>
        </w:rPr>
      </w:pPr>
      <w:bookmarkStart w:id="0" w:name="_Hlk521291711"/>
      <w:bookmarkEnd w:id="0"/>
      <w:r w:rsidRPr="002A2BD1">
        <w:rPr>
          <w:b/>
          <w:bCs/>
          <w:sz w:val="28"/>
          <w:szCs w:val="28"/>
        </w:rPr>
        <w:t>Supporting Statement for</w:t>
      </w:r>
    </w:p>
    <w:p w:rsidR="00F81FD0" w:rsidRPr="002A2BD1" w:rsidP="00F81FD0" w14:paraId="790F8E06" w14:textId="77777777">
      <w:pPr>
        <w:jc w:val="center"/>
        <w:rPr>
          <w:b/>
          <w:bCs/>
          <w:sz w:val="28"/>
          <w:szCs w:val="28"/>
        </w:rPr>
      </w:pPr>
      <w:r w:rsidRPr="002A2BD1">
        <w:rPr>
          <w:b/>
          <w:bCs/>
          <w:sz w:val="28"/>
          <w:szCs w:val="28"/>
        </w:rPr>
        <w:t>Information Collection Request</w:t>
      </w:r>
    </w:p>
    <w:p w:rsidR="00F81FD0" w:rsidRPr="00E11293" w:rsidP="00F81FD0" w14:paraId="64C87377" w14:textId="77777777"/>
    <w:p w:rsidR="00F81FD0" w:rsidRPr="00E11293" w:rsidP="00F81FD0" w14:paraId="07F1AD85" w14:textId="77777777"/>
    <w:p w:rsidR="00F81FD0" w:rsidRPr="00E11293" w:rsidP="002B15D5" w14:paraId="417B0415" w14:textId="77777777">
      <w:pPr>
        <w:pStyle w:val="NoSpacing"/>
        <w:rPr>
          <w:rFonts w:ascii="Times New Roman" w:hAnsi="Times New Roman" w:cs="Times New Roman"/>
          <w:sz w:val="24"/>
          <w:szCs w:val="24"/>
        </w:rPr>
      </w:pPr>
    </w:p>
    <w:p w:rsidR="003B2EC4" w:rsidP="002B15D5" w14:paraId="093EE593" w14:textId="77777777">
      <w:pPr>
        <w:pStyle w:val="NoSpacing"/>
        <w:rPr>
          <w:rFonts w:ascii="Times New Roman" w:hAnsi="Times New Roman" w:cs="Times New Roman"/>
          <w:sz w:val="24"/>
          <w:szCs w:val="24"/>
        </w:rPr>
      </w:pPr>
    </w:p>
    <w:p w:rsidR="00F81FD0" w:rsidRPr="003B2EC4" w:rsidP="00264955" w14:paraId="05950851" w14:textId="2B4821A1">
      <w:pPr>
        <w:pStyle w:val="ICR2"/>
      </w:pPr>
      <w:r w:rsidRPr="003B2EC4">
        <w:t>EXECUTIVE SUMMARY</w:t>
      </w:r>
    </w:p>
    <w:p w:rsidR="00F60F30" w:rsidP="00F60F30" w14:paraId="37B9345E" w14:textId="77777777">
      <w:pPr>
        <w:pStyle w:val="NoSpacing"/>
        <w:ind w:left="720"/>
        <w:rPr>
          <w:rFonts w:ascii="Times New Roman" w:hAnsi="Times New Roman" w:cs="Times New Roman"/>
          <w:sz w:val="24"/>
          <w:szCs w:val="24"/>
        </w:rPr>
      </w:pPr>
    </w:p>
    <w:p w:rsidR="00F60F30" w:rsidP="00F60F30" w14:paraId="3ABC48A9" w14:textId="4C87BE56">
      <w:pPr>
        <w:pStyle w:val="NoSpacing"/>
        <w:ind w:left="720"/>
        <w:rPr>
          <w:rFonts w:ascii="Times New Roman" w:hAnsi="Times New Roman" w:cs="Times New Roman"/>
          <w:sz w:val="24"/>
          <w:szCs w:val="24"/>
        </w:rPr>
      </w:pPr>
      <w:r w:rsidRPr="007A6AA0">
        <w:rPr>
          <w:rFonts w:ascii="Times New Roman" w:hAnsi="Times New Roman" w:cs="Times New Roman"/>
          <w:b/>
          <w:bCs/>
          <w:sz w:val="24"/>
          <w:szCs w:val="24"/>
        </w:rPr>
        <w:t>Title</w:t>
      </w:r>
      <w:r>
        <w:rPr>
          <w:rFonts w:ascii="Times New Roman" w:hAnsi="Times New Roman" w:cs="Times New Roman"/>
          <w:sz w:val="24"/>
          <w:szCs w:val="24"/>
        </w:rPr>
        <w:t xml:space="preserve">: </w:t>
      </w:r>
      <w:r w:rsidRPr="00B745CB" w:rsidR="00B745CB">
        <w:rPr>
          <w:rFonts w:ascii="Times New Roman" w:hAnsi="Times New Roman" w:cs="Times New Roman"/>
          <w:sz w:val="24"/>
          <w:szCs w:val="24"/>
        </w:rPr>
        <w:t xml:space="preserve">Greenhouse Gas Endangerment Finding and Motor Vehicle </w:t>
      </w:r>
      <w:r w:rsidR="00E3290A">
        <w:rPr>
          <w:rFonts w:ascii="Times New Roman" w:hAnsi="Times New Roman" w:cs="Times New Roman"/>
          <w:sz w:val="24"/>
          <w:szCs w:val="24"/>
        </w:rPr>
        <w:t xml:space="preserve">Emission Standards </w:t>
      </w:r>
      <w:r w:rsidRPr="00B745CB" w:rsidR="00B745CB">
        <w:rPr>
          <w:rFonts w:ascii="Times New Roman" w:hAnsi="Times New Roman" w:cs="Times New Roman"/>
          <w:sz w:val="24"/>
          <w:szCs w:val="24"/>
        </w:rPr>
        <w:t>Reconsideration</w:t>
      </w:r>
      <w:r w:rsidRPr="00FD60C6" w:rsidR="00FD60C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0F30" w:rsidP="00F60F30" w14:paraId="7D5A84DE" w14:textId="77777777">
      <w:pPr>
        <w:pStyle w:val="NoSpacing"/>
        <w:ind w:left="720"/>
        <w:rPr>
          <w:rFonts w:ascii="Times New Roman" w:hAnsi="Times New Roman" w:cs="Times New Roman"/>
          <w:sz w:val="24"/>
          <w:szCs w:val="24"/>
        </w:rPr>
      </w:pPr>
    </w:p>
    <w:p w:rsidR="00F60F30" w:rsidP="00F60F30" w14:paraId="11863861" w14:textId="45056260">
      <w:pPr>
        <w:pStyle w:val="NoSpacing"/>
        <w:ind w:left="720"/>
        <w:rPr>
          <w:rFonts w:ascii="Times New Roman" w:hAnsi="Times New Roman" w:cs="Times New Roman"/>
          <w:sz w:val="24"/>
          <w:szCs w:val="24"/>
        </w:rPr>
      </w:pPr>
      <w:r w:rsidRPr="00F60050">
        <w:rPr>
          <w:rFonts w:ascii="Times New Roman" w:hAnsi="Times New Roman" w:cs="Times New Roman"/>
          <w:b/>
          <w:bCs/>
          <w:sz w:val="24"/>
          <w:szCs w:val="24"/>
        </w:rPr>
        <w:t>EPA ICR No</w:t>
      </w:r>
      <w:r>
        <w:rPr>
          <w:rFonts w:ascii="Times New Roman" w:hAnsi="Times New Roman" w:cs="Times New Roman"/>
          <w:sz w:val="24"/>
          <w:szCs w:val="24"/>
        </w:rPr>
        <w:t xml:space="preserve">.:  </w:t>
      </w:r>
      <w:r w:rsidR="000C0DA5">
        <w:rPr>
          <w:rFonts w:ascii="Times New Roman" w:hAnsi="Times New Roman" w:cs="Times New Roman"/>
          <w:sz w:val="24"/>
          <w:szCs w:val="24"/>
        </w:rPr>
        <w:t>2734.03</w:t>
      </w:r>
    </w:p>
    <w:p w:rsidR="00F60F30" w:rsidP="00F60F30" w14:paraId="471EEEB8" w14:textId="77777777">
      <w:pPr>
        <w:pStyle w:val="NoSpacing"/>
        <w:ind w:left="720"/>
        <w:rPr>
          <w:rFonts w:ascii="Times New Roman" w:hAnsi="Times New Roman" w:cs="Times New Roman"/>
          <w:sz w:val="24"/>
          <w:szCs w:val="24"/>
        </w:rPr>
      </w:pPr>
    </w:p>
    <w:p w:rsidR="00F60F30" w:rsidP="00F60F30" w14:paraId="37CEC5E5" w14:textId="7E54C122">
      <w:pPr>
        <w:pStyle w:val="NoSpacing"/>
        <w:ind w:left="720"/>
        <w:rPr>
          <w:rFonts w:ascii="Times New Roman" w:hAnsi="Times New Roman" w:cs="Times New Roman"/>
          <w:sz w:val="24"/>
          <w:szCs w:val="24"/>
        </w:rPr>
      </w:pPr>
      <w:r w:rsidRPr="00F60050">
        <w:rPr>
          <w:rFonts w:ascii="Times New Roman" w:hAnsi="Times New Roman" w:cs="Times New Roman"/>
          <w:b/>
          <w:bCs/>
          <w:sz w:val="24"/>
          <w:szCs w:val="24"/>
        </w:rPr>
        <w:t>OMB Control No</w:t>
      </w:r>
      <w:r>
        <w:rPr>
          <w:rFonts w:ascii="Times New Roman" w:hAnsi="Times New Roman" w:cs="Times New Roman"/>
          <w:sz w:val="24"/>
          <w:szCs w:val="24"/>
        </w:rPr>
        <w:t>.:  2060-</w:t>
      </w:r>
      <w:r w:rsidR="00255426">
        <w:rPr>
          <w:rFonts w:ascii="Times New Roman" w:hAnsi="Times New Roman" w:cs="Times New Roman"/>
          <w:sz w:val="24"/>
          <w:szCs w:val="24"/>
        </w:rPr>
        <w:t>0753</w:t>
      </w:r>
    </w:p>
    <w:p w:rsidR="00F60F30" w:rsidP="00F60F30" w14:paraId="77D0BA3F" w14:textId="77777777">
      <w:pPr>
        <w:pStyle w:val="NoSpacing"/>
        <w:ind w:left="720"/>
        <w:rPr>
          <w:rFonts w:ascii="Times New Roman" w:hAnsi="Times New Roman" w:cs="Times New Roman"/>
          <w:sz w:val="24"/>
          <w:szCs w:val="24"/>
        </w:rPr>
      </w:pPr>
    </w:p>
    <w:p w:rsidR="00F60F30" w:rsidRPr="00E11293" w:rsidP="00F60F30" w14:paraId="351B0A2E" w14:textId="41906560">
      <w:pPr>
        <w:pStyle w:val="NoSpacing"/>
        <w:ind w:left="720"/>
        <w:rPr>
          <w:rFonts w:ascii="Times New Roman" w:hAnsi="Times New Roman" w:cs="Times New Roman"/>
          <w:sz w:val="24"/>
          <w:szCs w:val="24"/>
        </w:rPr>
      </w:pPr>
      <w:r w:rsidRPr="007A6AA0">
        <w:rPr>
          <w:rFonts w:ascii="Times New Roman" w:hAnsi="Times New Roman" w:cs="Times New Roman"/>
          <w:b/>
          <w:bCs/>
          <w:sz w:val="24"/>
          <w:szCs w:val="24"/>
        </w:rPr>
        <w:t>Docket ID No.</w:t>
      </w:r>
      <w:r>
        <w:rPr>
          <w:rFonts w:ascii="Times New Roman" w:hAnsi="Times New Roman" w:cs="Times New Roman"/>
          <w:sz w:val="24"/>
          <w:szCs w:val="24"/>
        </w:rPr>
        <w:t xml:space="preserve">:  </w:t>
      </w:r>
      <w:r w:rsidRPr="00B745CB" w:rsidR="00B745CB">
        <w:rPr>
          <w:rFonts w:ascii="Times New Roman" w:hAnsi="Times New Roman" w:cs="Times New Roman"/>
          <w:sz w:val="24"/>
          <w:szCs w:val="24"/>
        </w:rPr>
        <w:t>EPA-HQ-OAR-2025-0194</w:t>
      </w:r>
    </w:p>
    <w:p w:rsidR="00384A9C" w:rsidRPr="00E11293" w:rsidP="002B15D5" w14:paraId="5AA7E613" w14:textId="76323AF8">
      <w:pPr>
        <w:pStyle w:val="NoSpacing"/>
        <w:rPr>
          <w:rFonts w:ascii="Times New Roman" w:hAnsi="Times New Roman" w:cs="Times New Roman"/>
          <w:sz w:val="24"/>
          <w:szCs w:val="24"/>
        </w:rPr>
      </w:pPr>
    </w:p>
    <w:p w:rsidR="00B745CB" w:rsidP="00D75E29" w14:paraId="1DFD171A" w14:textId="33F3F653">
      <w:pPr>
        <w:pStyle w:val="BodyText"/>
        <w:ind w:firstLine="0"/>
      </w:pPr>
      <w:r>
        <w:rPr>
          <w:b/>
          <w:bCs/>
        </w:rPr>
        <w:t>Abstract</w:t>
      </w:r>
      <w:r w:rsidRPr="00E11293" w:rsidR="00384A9C">
        <w:t xml:space="preserve">:  </w:t>
      </w:r>
      <w:r w:rsidR="0025671E">
        <w:t xml:space="preserve">This ICR </w:t>
      </w:r>
      <w:r w:rsidR="00230980">
        <w:t xml:space="preserve">covers information </w:t>
      </w:r>
      <w:r w:rsidR="00B47BF3">
        <w:t xml:space="preserve">collection activities associated with EPA’s </w:t>
      </w:r>
      <w:r w:rsidR="00962CEF">
        <w:t>proposed rule</w:t>
      </w:r>
      <w:r w:rsidRPr="00B745CB">
        <w:t xml:space="preserve"> to reconsider the 2009 Greenhouse Gas Endangerment Finding (endangerment finding)</w:t>
      </w:r>
      <w:r w:rsidR="00FA02E2">
        <w:t>, with respect to heavy-duty vehicle</w:t>
      </w:r>
      <w:r w:rsidR="00A02A9A">
        <w:t>s</w:t>
      </w:r>
      <w:r w:rsidR="00FA02E2">
        <w:t xml:space="preserve"> (HDV)</w:t>
      </w:r>
      <w:r>
        <w:t>.  E</w:t>
      </w:r>
      <w:r w:rsidRPr="00B745CB">
        <w:t xml:space="preserve">PA is proposing the removal of all regulations that require new motor vehicle and new motor vehicle engine manufacturers to measure, report, or comply with standards for greenhouse gas (GHG) emissions. </w:t>
      </w:r>
      <w:r w:rsidR="00160E76">
        <w:t>The proposed rule</w:t>
      </w:r>
      <w:r w:rsidRPr="00B745CB">
        <w:t xml:space="preserve"> would include the removal of regulations in Parts 85, 86, 600, 1036, 1037</w:t>
      </w:r>
      <w:r w:rsidR="0046297C">
        <w:t>, and 1039</w:t>
      </w:r>
      <w:r w:rsidRPr="00B745CB">
        <w:t xml:space="preserve"> of Title 40 of the Code of Federal Regulations (CFR) that pertain to the control of GHG emissions from highway light-, medium- and heavy-duty vehicles, such as emission standards, test procedures, averaging, banking, and trading (ABT) reporting, and or fleet-average emission requirements. As </w:t>
      </w:r>
      <w:r w:rsidR="00160E76">
        <w:t>a</w:t>
      </w:r>
      <w:r w:rsidRPr="00B745CB" w:rsidR="00160E76">
        <w:t xml:space="preserve"> </w:t>
      </w:r>
      <w:r w:rsidRPr="00B745CB">
        <w:t>result of th</w:t>
      </w:r>
      <w:r w:rsidR="00A02A9A">
        <w:t>e</w:t>
      </w:r>
      <w:r w:rsidRPr="00B745CB">
        <w:t xml:space="preserve"> proposed change</w:t>
      </w:r>
      <w:r w:rsidR="00A02A9A">
        <w:t>s</w:t>
      </w:r>
      <w:r w:rsidRPr="00B745CB">
        <w:t xml:space="preserve">, engine and vehicle manufacturers would no longer have any future obligations for the measurement, control, and reporting of GHG emissions for any highway engine and vehicle, including model years manufactured prior to </w:t>
      </w:r>
      <w:r w:rsidR="008973F6">
        <w:t>the</w:t>
      </w:r>
      <w:r w:rsidRPr="00B745CB">
        <w:t xml:space="preserve"> proposal. However, EPA </w:t>
      </w:r>
      <w:r w:rsidR="00160E76">
        <w:t>is not reopening and retains</w:t>
      </w:r>
      <w:r w:rsidRPr="00B745CB">
        <w:t xml:space="preserve">, without modification, regulations necessary for criteria pollutant and air toxic measurement and standards, Corporate Average Fuel Economy testing, and associated fuel economy labeling requirements. </w:t>
      </w:r>
    </w:p>
    <w:p w:rsidR="00FA02E2" w:rsidP="00BC7E9E" w14:paraId="27BCBFF6" w14:textId="61C4E3F2">
      <w:pPr>
        <w:pStyle w:val="BodyText"/>
        <w:ind w:firstLine="0"/>
      </w:pPr>
      <w:r>
        <w:t>This Information Collection Request, EPA IC</w:t>
      </w:r>
      <w:r w:rsidR="003C4FFD">
        <w:t>R</w:t>
      </w:r>
      <w:r>
        <w:t xml:space="preserve"> 2734.03, revise</w:t>
      </w:r>
      <w:r w:rsidR="00637626">
        <w:t>s</w:t>
      </w:r>
      <w:r>
        <w:t xml:space="preserve"> </w:t>
      </w:r>
      <w:bookmarkStart w:id="1" w:name="_Hlk198206074"/>
      <w:r>
        <w:t>EPA ICR 2734.02 (OMB Control Number 2060-0753)</w:t>
      </w:r>
      <w:bookmarkEnd w:id="1"/>
      <w:r>
        <w:t>, originally prepared for EPA’s 2024 HD Phase 3 (HDP3) rulemaking</w:t>
      </w:r>
      <w:r>
        <w:rPr>
          <w:rStyle w:val="FootnoteReference"/>
        </w:rPr>
        <w:footnoteReference w:id="3"/>
      </w:r>
      <w:r>
        <w:t xml:space="preserve"> and updates the information collection burden contained in that request.  </w:t>
      </w:r>
      <w:r w:rsidR="00396D26">
        <w:t>EPA ICR 2734.02 (t</w:t>
      </w:r>
      <w:r w:rsidR="00013DB1">
        <w:t xml:space="preserve">he </w:t>
      </w:r>
      <w:r w:rsidR="00396D26">
        <w:t>“</w:t>
      </w:r>
      <w:r w:rsidR="00013DB1">
        <w:t>2024 ICR</w:t>
      </w:r>
      <w:r w:rsidR="00396D26">
        <w:t>”)</w:t>
      </w:r>
      <w:r w:rsidR="00013DB1">
        <w:t xml:space="preserve"> </w:t>
      </w:r>
      <w:r w:rsidR="00340D1C">
        <w:t>contained</w:t>
      </w:r>
      <w:r w:rsidR="00013DB1">
        <w:t xml:space="preserve"> the information collection requirements for EPA’s </w:t>
      </w:r>
      <w:r w:rsidR="00396D26">
        <w:t xml:space="preserve">HDV </w:t>
      </w:r>
      <w:r w:rsidR="00013DB1">
        <w:t xml:space="preserve">GHG emissions program </w:t>
      </w:r>
      <w:r w:rsidR="00340D1C">
        <w:t>adopted</w:t>
      </w:r>
      <w:r w:rsidR="00013DB1">
        <w:t xml:space="preserve"> in the 2024 rulemaking.  </w:t>
      </w:r>
      <w:r w:rsidR="00340D1C">
        <w:t xml:space="preserve">This ICR 2734.03 revises the 2024 ICR to remove the </w:t>
      </w:r>
      <w:r>
        <w:t xml:space="preserve">activities associated with EPA’s proposal to remove GHG regulations, as briefly described in Section 12 and in more detail in </w:t>
      </w:r>
      <w:r w:rsidRPr="00FA02E2">
        <w:rPr>
          <w:b/>
          <w:bCs/>
        </w:rPr>
        <w:t>Supplemental Information</w:t>
      </w:r>
      <w:r>
        <w:t xml:space="preserve">, Section 8.  There were no non-GHG information collection </w:t>
      </w:r>
      <w:r w:rsidR="00160E76">
        <w:t xml:space="preserve">activities </w:t>
      </w:r>
      <w:r w:rsidR="00013DB1">
        <w:t xml:space="preserve">included in the 2024 rulemaking or </w:t>
      </w:r>
      <w:r>
        <w:t xml:space="preserve">in the </w:t>
      </w:r>
      <w:r w:rsidR="00340D1C">
        <w:t xml:space="preserve">2024 ICR, </w:t>
      </w:r>
      <w:r w:rsidR="00396D26">
        <w:t xml:space="preserve">and therefore the net effect of this revised ICR is to remove the </w:t>
      </w:r>
      <w:r w:rsidR="00340D1C">
        <w:t xml:space="preserve">entire </w:t>
      </w:r>
      <w:r w:rsidR="00396D26">
        <w:t xml:space="preserve">information collection burden contained in the </w:t>
      </w:r>
      <w:r w:rsidR="00340D1C">
        <w:t>2024</w:t>
      </w:r>
      <w:r w:rsidR="00396D26">
        <w:t xml:space="preserve"> ICR</w:t>
      </w:r>
      <w:r>
        <w:t>.</w:t>
      </w:r>
      <w:r w:rsidR="00396D26">
        <w:t xml:space="preserve"> </w:t>
      </w:r>
      <w:r>
        <w:t xml:space="preserve">   </w:t>
      </w:r>
    </w:p>
    <w:p w:rsidR="00FA02E2" w:rsidP="002B15D5" w14:paraId="1A9109AF" w14:textId="77777777">
      <w:pPr>
        <w:pStyle w:val="NoSpacing"/>
        <w:rPr>
          <w:rFonts w:ascii="Times New Roman" w:hAnsi="Times New Roman" w:cs="Times New Roman"/>
          <w:b/>
          <w:bCs/>
          <w:sz w:val="24"/>
          <w:szCs w:val="24"/>
        </w:rPr>
      </w:pPr>
    </w:p>
    <w:p w:rsidR="0019016A" w:rsidRPr="0019016A" w:rsidP="002B15D5" w14:paraId="395CB638" w14:textId="5A3E70A7">
      <w:pPr>
        <w:pStyle w:val="NoSpacing"/>
        <w:rPr>
          <w:rFonts w:ascii="Times New Roman" w:hAnsi="Times New Roman" w:cs="Times New Roman"/>
          <w:sz w:val="24"/>
          <w:szCs w:val="24"/>
        </w:rPr>
      </w:pPr>
      <w:r>
        <w:rPr>
          <w:rFonts w:ascii="Times New Roman" w:hAnsi="Times New Roman" w:cs="Times New Roman"/>
          <w:b/>
          <w:bCs/>
          <w:sz w:val="24"/>
          <w:szCs w:val="24"/>
        </w:rPr>
        <w:t>Burden Statement:</w:t>
      </w:r>
      <w:r>
        <w:rPr>
          <w:rFonts w:ascii="Times New Roman" w:hAnsi="Times New Roman" w:cs="Times New Roman"/>
          <w:sz w:val="24"/>
          <w:szCs w:val="24"/>
        </w:rPr>
        <w:t xml:space="preserve">  </w:t>
      </w:r>
      <w:r w:rsidR="000C0DA5">
        <w:rPr>
          <w:rFonts w:ascii="Times New Roman" w:hAnsi="Times New Roman" w:cs="Times New Roman"/>
          <w:sz w:val="24"/>
          <w:szCs w:val="24"/>
        </w:rPr>
        <w:t xml:space="preserve">The </w:t>
      </w:r>
      <w:r w:rsidRPr="008C5822" w:rsidR="008C5822">
        <w:rPr>
          <w:rFonts w:ascii="Times New Roman" w:hAnsi="Times New Roman" w:cs="Times New Roman"/>
          <w:sz w:val="24"/>
          <w:szCs w:val="24"/>
        </w:rPr>
        <w:t>annual public reporting and recordkeeping burden for th</w:t>
      </w:r>
      <w:r w:rsidR="00A02A9A">
        <w:rPr>
          <w:rFonts w:ascii="Times New Roman" w:hAnsi="Times New Roman" w:cs="Times New Roman"/>
          <w:sz w:val="24"/>
          <w:szCs w:val="24"/>
        </w:rPr>
        <w:t xml:space="preserve">e revised </w:t>
      </w:r>
      <w:r w:rsidRPr="008C5822" w:rsidR="008C5822">
        <w:rPr>
          <w:rFonts w:ascii="Times New Roman" w:hAnsi="Times New Roman" w:cs="Times New Roman"/>
          <w:sz w:val="24"/>
          <w:szCs w:val="24"/>
        </w:rPr>
        <w:t>collection</w:t>
      </w:r>
      <w:r w:rsidR="00A02A9A">
        <w:rPr>
          <w:rFonts w:ascii="Times New Roman" w:hAnsi="Times New Roman" w:cs="Times New Roman"/>
          <w:sz w:val="24"/>
          <w:szCs w:val="24"/>
        </w:rPr>
        <w:t>, after removal of the heavy-duty GHG provisions,</w:t>
      </w:r>
      <w:r w:rsidRPr="008C5822" w:rsidR="008C5822">
        <w:rPr>
          <w:rFonts w:ascii="Times New Roman" w:hAnsi="Times New Roman" w:cs="Times New Roman"/>
          <w:sz w:val="24"/>
          <w:szCs w:val="24"/>
        </w:rPr>
        <w:t xml:space="preserve"> is estimated to </w:t>
      </w:r>
      <w:r w:rsidR="000C0DA5">
        <w:rPr>
          <w:rFonts w:ascii="Times New Roman" w:hAnsi="Times New Roman" w:cs="Times New Roman"/>
          <w:sz w:val="24"/>
          <w:szCs w:val="24"/>
        </w:rPr>
        <w:t xml:space="preserve">be </w:t>
      </w:r>
      <w:r w:rsidRPr="009A0677" w:rsidR="000C0DA5">
        <w:rPr>
          <w:rFonts w:ascii="Times New Roman" w:hAnsi="Times New Roman" w:cs="Times New Roman"/>
          <w:sz w:val="24"/>
          <w:szCs w:val="24"/>
        </w:rPr>
        <w:t>0</w:t>
      </w:r>
      <w:r w:rsidRPr="00302D10" w:rsidR="00154BFD">
        <w:rPr>
          <w:rFonts w:ascii="Times New Roman" w:hAnsi="Times New Roman" w:cs="Times New Roman"/>
          <w:sz w:val="24"/>
          <w:szCs w:val="24"/>
        </w:rPr>
        <w:t xml:space="preserve"> </w:t>
      </w:r>
      <w:r w:rsidRPr="00302D10" w:rsidR="008C5822">
        <w:rPr>
          <w:rFonts w:ascii="Times New Roman" w:hAnsi="Times New Roman" w:cs="Times New Roman"/>
          <w:sz w:val="24"/>
          <w:szCs w:val="24"/>
        </w:rPr>
        <w:t>h</w:t>
      </w:r>
      <w:r w:rsidRPr="008C5822" w:rsidR="008C5822">
        <w:rPr>
          <w:rFonts w:ascii="Times New Roman" w:hAnsi="Times New Roman" w:cs="Times New Roman"/>
          <w:sz w:val="24"/>
          <w:szCs w:val="24"/>
        </w:rPr>
        <w:t>ours per respondent</w:t>
      </w:r>
      <w:r w:rsidR="00FA02E2">
        <w:rPr>
          <w:rFonts w:ascii="Times New Roman" w:hAnsi="Times New Roman" w:cs="Times New Roman"/>
          <w:sz w:val="24"/>
          <w:szCs w:val="24"/>
        </w:rPr>
        <w:t xml:space="preserve"> because all GHG regulations are proposed to be removed and there were no non-GHG reporting requirements in</w:t>
      </w:r>
      <w:r w:rsidR="00054D97">
        <w:rPr>
          <w:rFonts w:ascii="Times New Roman" w:hAnsi="Times New Roman" w:cs="Times New Roman"/>
          <w:sz w:val="24"/>
          <w:szCs w:val="24"/>
        </w:rPr>
        <w:t>cluded in</w:t>
      </w:r>
      <w:r w:rsidR="00FA02E2">
        <w:rPr>
          <w:rFonts w:ascii="Times New Roman" w:hAnsi="Times New Roman" w:cs="Times New Roman"/>
          <w:sz w:val="24"/>
          <w:szCs w:val="24"/>
        </w:rPr>
        <w:t xml:space="preserve"> the original Information Collection Request.  </w:t>
      </w:r>
      <w:r w:rsidRPr="008C5822" w:rsidR="008C5822">
        <w:rPr>
          <w:rFonts w:ascii="Times New Roman" w:hAnsi="Times New Roman" w:cs="Times New Roman"/>
          <w:sz w:val="24"/>
          <w:szCs w:val="24"/>
        </w:rPr>
        <w:t>Burden means the total time, effort, or financial resources expended by persons to generate, maintain, retain, disclose</w:t>
      </w:r>
      <w:r w:rsidR="00532431">
        <w:rPr>
          <w:rFonts w:ascii="Times New Roman" w:hAnsi="Times New Roman" w:cs="Times New Roman"/>
          <w:sz w:val="24"/>
          <w:szCs w:val="24"/>
        </w:rPr>
        <w:t>,</w:t>
      </w:r>
      <w:r w:rsidRPr="008C5822" w:rsidR="008C5822">
        <w:rPr>
          <w:rFonts w:ascii="Times New Roman" w:hAnsi="Times New Roman" w:cs="Times New Roman"/>
          <w:sz w:val="24"/>
          <w:szCs w:val="24"/>
        </w:rPr>
        <w:t xml:space="preserve"> or provide information to or for a </w:t>
      </w:r>
      <w:r w:rsidRPr="008C5822" w:rsidR="008C5822">
        <w:rPr>
          <w:rFonts w:ascii="Times New Roman" w:hAnsi="Times New Roman" w:cs="Times New Roman"/>
          <w:sz w:val="24"/>
          <w:szCs w:val="24"/>
        </w:rPr>
        <w:t>Federal</w:t>
      </w:r>
      <w:r w:rsidRPr="008C5822" w:rsidR="008C5822">
        <w:rPr>
          <w:rFonts w:ascii="Times New Roman" w:hAnsi="Times New Roman" w:cs="Times New Roman"/>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E42300" w:rsidRPr="00E11293" w:rsidP="002B15D5" w14:paraId="31429E24" w14:textId="77777777">
      <w:pPr>
        <w:pStyle w:val="NoSpacing"/>
        <w:rPr>
          <w:rFonts w:ascii="Times New Roman" w:hAnsi="Times New Roman" w:cs="Times New Roman"/>
          <w:sz w:val="24"/>
          <w:szCs w:val="24"/>
        </w:rPr>
      </w:pPr>
    </w:p>
    <w:p w:rsidR="00380395" w:rsidP="002B15D5" w14:paraId="3966B6A8" w14:textId="347A0CAB">
      <w:pPr>
        <w:pStyle w:val="NoSpacing"/>
        <w:rPr>
          <w:rFonts w:ascii="Times New Roman" w:hAnsi="Times New Roman" w:cs="Times New Roman"/>
          <w:sz w:val="24"/>
          <w:szCs w:val="24"/>
        </w:rPr>
      </w:pPr>
    </w:p>
    <w:p w:rsidR="00580302" w:rsidRPr="0025671E" w:rsidP="009E4E59" w14:paraId="5C07EB86" w14:textId="6A469B9C">
      <w:pPr>
        <w:pStyle w:val="ICR2"/>
      </w:pPr>
      <w:r w:rsidRPr="0025671E">
        <w:t>SUPPORTING STATEMENT</w:t>
      </w:r>
    </w:p>
    <w:p w:rsidR="00380395" w:rsidRPr="00E11293" w:rsidP="002B15D5" w14:paraId="4944DA75" w14:textId="77777777">
      <w:pPr>
        <w:pStyle w:val="NoSpacing"/>
        <w:rPr>
          <w:rFonts w:ascii="Times New Roman" w:hAnsi="Times New Roman" w:cs="Times New Roman"/>
          <w:sz w:val="24"/>
          <w:szCs w:val="24"/>
        </w:rPr>
      </w:pPr>
    </w:p>
    <w:p w:rsidR="002B15D5" w:rsidRPr="00E11293" w:rsidP="00FD2674" w14:paraId="56195048" w14:textId="47168DC1">
      <w:pPr>
        <w:pStyle w:val="ICR3"/>
      </w:pPr>
      <w:r w:rsidRPr="006559A1">
        <w:t>1. Explain the circumstances that make the collection of information necessary. Identify any</w:t>
      </w:r>
      <w:r w:rsidR="006559A1">
        <w:t xml:space="preserve"> </w:t>
      </w:r>
      <w:r w:rsidRPr="006559A1">
        <w:t>legal or administrative requirements that necessitate the collection. Attach a copy of the</w:t>
      </w:r>
      <w:r w:rsidR="006559A1">
        <w:t xml:space="preserve"> </w:t>
      </w:r>
      <w:r w:rsidRPr="006559A1">
        <w:t>appropriate section of each statute and regulation mandating or authorizing the collection of</w:t>
      </w:r>
      <w:r w:rsidR="006559A1">
        <w:t xml:space="preserve"> </w:t>
      </w:r>
      <w:r w:rsidRPr="006559A1">
        <w:t>information.</w:t>
      </w:r>
      <w:r w:rsidRPr="00E11293">
        <w:tab/>
      </w:r>
    </w:p>
    <w:p w:rsidR="00485281" w:rsidRPr="00E11293" w:rsidP="002B15D5" w14:paraId="65037AA6" w14:textId="51853235">
      <w:pPr>
        <w:pStyle w:val="NoSpacing"/>
        <w:rPr>
          <w:rFonts w:ascii="Times New Roman" w:hAnsi="Times New Roman" w:cs="Times New Roman"/>
          <w:sz w:val="24"/>
          <w:szCs w:val="24"/>
        </w:rPr>
      </w:pPr>
    </w:p>
    <w:p w:rsidR="00C45FE9" w:rsidP="00485281" w14:paraId="120293C5" w14:textId="69158F9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w:t>
      </w:r>
      <w:r w:rsidR="00C41281">
        <w:rPr>
          <w:rFonts w:ascii="Times New Roman" w:hAnsi="Times New Roman" w:cs="Times New Roman"/>
          <w:sz w:val="24"/>
          <w:szCs w:val="24"/>
        </w:rPr>
        <w:t>at ICR</w:t>
      </w:r>
      <w:r w:rsidRPr="00C45FE9">
        <w:rPr>
          <w:rFonts w:ascii="Times New Roman" w:hAnsi="Times New Roman" w:cs="Times New Roman"/>
          <w:sz w:val="24"/>
          <w:szCs w:val="24"/>
        </w:rPr>
        <w:t>.</w:t>
      </w:r>
      <w:r>
        <w:rPr>
          <w:rFonts w:ascii="Times New Roman" w:hAnsi="Times New Roman" w:cs="Times New Roman"/>
          <w:sz w:val="24"/>
          <w:szCs w:val="24"/>
        </w:rPr>
        <w:t xml:space="preserve">  </w:t>
      </w:r>
      <w:r w:rsidR="00B81CFB">
        <w:rPr>
          <w:rFonts w:ascii="Times New Roman" w:hAnsi="Times New Roman" w:cs="Times New Roman"/>
          <w:sz w:val="24"/>
          <w:szCs w:val="24"/>
        </w:rPr>
        <w:t>No information will be collected under this revised ICR.</w:t>
      </w:r>
    </w:p>
    <w:p w:rsidR="00C45FE9" w:rsidP="00485281" w14:paraId="76131947" w14:textId="77777777">
      <w:pPr>
        <w:pStyle w:val="NoSpacing"/>
        <w:ind w:left="720"/>
        <w:rPr>
          <w:rFonts w:ascii="Times New Roman" w:hAnsi="Times New Roman" w:cs="Times New Roman"/>
          <w:sz w:val="24"/>
          <w:szCs w:val="24"/>
        </w:rPr>
      </w:pPr>
    </w:p>
    <w:p w:rsidR="00485281" w:rsidRPr="00E11293" w:rsidP="00485281" w14:paraId="038983BF" w14:textId="77777777">
      <w:pPr>
        <w:pStyle w:val="NoSpacing"/>
        <w:ind w:left="720"/>
        <w:rPr>
          <w:rFonts w:ascii="Times New Roman" w:hAnsi="Times New Roman" w:cs="Times New Roman"/>
          <w:sz w:val="24"/>
          <w:szCs w:val="24"/>
        </w:rPr>
      </w:pPr>
    </w:p>
    <w:p w:rsidR="00AC0A31" w:rsidP="002B15D5" w14:paraId="4F92F0A0" w14:textId="77777777">
      <w:pPr>
        <w:pStyle w:val="NoSpacing"/>
        <w:rPr>
          <w:rFonts w:ascii="Times New Roman" w:hAnsi="Times New Roman" w:cs="Times New Roman"/>
          <w:sz w:val="24"/>
          <w:szCs w:val="24"/>
        </w:rPr>
      </w:pPr>
    </w:p>
    <w:p w:rsidR="002B15D5" w:rsidRPr="006559A1" w:rsidP="000A0844" w14:paraId="55B2D2FB" w14:textId="600D8193">
      <w:pPr>
        <w:pStyle w:val="ICR3"/>
      </w:pPr>
      <w:r w:rsidRPr="006559A1">
        <w:t>2. Indicate how, by whom, and for what purpose the information is to be used. Except for a new</w:t>
      </w:r>
      <w:r w:rsidR="006559A1">
        <w:t xml:space="preserve"> </w:t>
      </w:r>
      <w:r w:rsidRPr="006559A1">
        <w:t>collection, indicate the actual use the agency has made of the information received from the</w:t>
      </w:r>
      <w:r w:rsidR="006559A1">
        <w:t xml:space="preserve"> </w:t>
      </w:r>
      <w:r w:rsidRPr="006559A1">
        <w:t>current collection.</w:t>
      </w:r>
    </w:p>
    <w:p w:rsidR="002B15D5" w:rsidRPr="00E11293" w:rsidP="002B15D5" w14:paraId="40CCF938" w14:textId="56BF264C">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B81CFB" w:rsidP="00BC2CA6" w14:paraId="0150EAC6" w14:textId="5A2527F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w:t>
      </w:r>
      <w:r w:rsidR="008902BC">
        <w:rPr>
          <w:rFonts w:ascii="Times New Roman" w:hAnsi="Times New Roman" w:cs="Times New Roman"/>
          <w:sz w:val="24"/>
          <w:szCs w:val="24"/>
        </w:rPr>
        <w:t>No information will be collected under this revised ICR.</w:t>
      </w:r>
    </w:p>
    <w:p w:rsidR="00B81CFB" w:rsidP="00BC2CA6" w14:paraId="02CEA339" w14:textId="77777777">
      <w:pPr>
        <w:pStyle w:val="NoSpacing"/>
        <w:ind w:left="720"/>
        <w:rPr>
          <w:rFonts w:ascii="Times New Roman" w:hAnsi="Times New Roman" w:cs="Times New Roman"/>
          <w:sz w:val="24"/>
          <w:szCs w:val="24"/>
        </w:rPr>
      </w:pPr>
    </w:p>
    <w:p w:rsidR="00AC0A31" w:rsidP="00AC0A31" w14:paraId="2E2EC932" w14:textId="5AA49D9D">
      <w:pPr>
        <w:pStyle w:val="NoSpacing"/>
        <w:rPr>
          <w:rFonts w:ascii="Times New Roman" w:hAnsi="Times New Roman" w:cs="Times New Roman"/>
          <w:sz w:val="24"/>
          <w:szCs w:val="24"/>
        </w:rPr>
      </w:pPr>
    </w:p>
    <w:p w:rsidR="00AC0A31" w:rsidP="00AC0A31" w14:paraId="783F6C1E" w14:textId="3423C42B">
      <w:pPr>
        <w:pStyle w:val="NoSpacing"/>
        <w:rPr>
          <w:rFonts w:ascii="Times New Roman" w:hAnsi="Times New Roman" w:cs="Times New Roman"/>
          <w:sz w:val="24"/>
          <w:szCs w:val="24"/>
        </w:rPr>
      </w:pPr>
    </w:p>
    <w:p w:rsidR="002B15D5" w:rsidRPr="006559A1" w:rsidP="000A0844" w14:paraId="416D9E60" w14:textId="7BB7AB45">
      <w:pPr>
        <w:pStyle w:val="ICR3"/>
      </w:pPr>
      <w:r w:rsidRPr="006559A1">
        <w:t>3. Describe whether, and to what extent, the collection of information involves the use of</w:t>
      </w:r>
    </w:p>
    <w:p w:rsidR="002B15D5" w:rsidRPr="006559A1" w:rsidP="002B15D5" w14:paraId="25619AEC" w14:textId="77777777">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automated, electronic, mechanical, or other technological collection techniques or other</w:t>
      </w:r>
    </w:p>
    <w:p w:rsidR="002B15D5" w:rsidRPr="006559A1" w:rsidP="002B15D5" w14:paraId="5F2D2C8D" w14:textId="276512EF">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forms of information technology, e.g., permitting electronic submission of responses, and the</w:t>
      </w:r>
      <w:r w:rsidR="006559A1">
        <w:rPr>
          <w:rFonts w:ascii="Times New Roman" w:hAnsi="Times New Roman" w:cs="Times New Roman"/>
          <w:b/>
          <w:bCs/>
          <w:sz w:val="24"/>
          <w:szCs w:val="24"/>
        </w:rPr>
        <w:t xml:space="preserve"> </w:t>
      </w:r>
      <w:r w:rsidRPr="006559A1">
        <w:rPr>
          <w:rFonts w:ascii="Times New Roman" w:hAnsi="Times New Roman" w:cs="Times New Roman"/>
          <w:b/>
          <w:bCs/>
          <w:sz w:val="24"/>
          <w:szCs w:val="24"/>
        </w:rPr>
        <w:t>basis for the decision for adopting this means of collection. Also describe any consideration</w:t>
      </w:r>
      <w:r w:rsidR="006559A1">
        <w:rPr>
          <w:rFonts w:ascii="Times New Roman" w:hAnsi="Times New Roman" w:cs="Times New Roman"/>
          <w:b/>
          <w:bCs/>
          <w:sz w:val="24"/>
          <w:szCs w:val="24"/>
        </w:rPr>
        <w:t xml:space="preserve"> </w:t>
      </w:r>
      <w:r w:rsidRPr="006559A1">
        <w:rPr>
          <w:rFonts w:ascii="Times New Roman" w:hAnsi="Times New Roman" w:cs="Times New Roman"/>
          <w:b/>
          <w:bCs/>
          <w:sz w:val="24"/>
          <w:szCs w:val="24"/>
        </w:rPr>
        <w:t>of using information technology to reduce burden.</w:t>
      </w:r>
    </w:p>
    <w:p w:rsidR="002B15D5" w:rsidRPr="00E11293" w:rsidP="002B15D5" w14:paraId="5214CE27" w14:textId="03358C0F">
      <w:pPr>
        <w:pStyle w:val="NoSpacing"/>
        <w:rPr>
          <w:rFonts w:ascii="Times New Roman" w:hAnsi="Times New Roman" w:cs="Times New Roman"/>
          <w:sz w:val="24"/>
          <w:szCs w:val="24"/>
        </w:rPr>
      </w:pPr>
    </w:p>
    <w:p w:rsidR="008902BC" w:rsidP="008902BC" w14:paraId="46BA9F37"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3B42BD" w:rsidRPr="00E11293" w:rsidP="003B42BD" w14:paraId="6BC8AF90" w14:textId="3115964C">
      <w:pPr>
        <w:pStyle w:val="NoSpacing"/>
        <w:ind w:left="720"/>
        <w:rPr>
          <w:rFonts w:ascii="Times New Roman" w:hAnsi="Times New Roman" w:cs="Times New Roman"/>
          <w:sz w:val="24"/>
          <w:szCs w:val="24"/>
        </w:rPr>
      </w:pPr>
    </w:p>
    <w:p w:rsidR="00AC0A31" w:rsidP="00AC0A31" w14:paraId="1453FD51" w14:textId="77777777">
      <w:pPr>
        <w:autoSpaceDE/>
        <w:autoSpaceDN/>
        <w:adjustRightInd/>
        <w:spacing w:after="160" w:line="259" w:lineRule="auto"/>
      </w:pPr>
    </w:p>
    <w:p w:rsidR="002B15D5" w:rsidRPr="006559A1" w:rsidP="000A0844" w14:paraId="1A63B30B" w14:textId="395AB920">
      <w:pPr>
        <w:pStyle w:val="ICR3"/>
      </w:pPr>
      <w:r w:rsidRPr="006559A1">
        <w:t>4. Describe efforts to identify duplication. Show specifically why any similar information</w:t>
      </w:r>
    </w:p>
    <w:p w:rsidR="002B15D5" w:rsidRPr="006559A1" w:rsidP="002B15D5" w14:paraId="7DD87EBD" w14:textId="77777777">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already available cannot be used or modified for use for the purposes described in Item 2</w:t>
      </w:r>
    </w:p>
    <w:p w:rsidR="002B15D5" w:rsidRPr="006559A1" w:rsidP="002B15D5" w14:paraId="384ABF6A" w14:textId="26AD5BF2">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above.</w:t>
      </w:r>
    </w:p>
    <w:p w:rsidR="002B15D5" w:rsidRPr="00E11293" w:rsidP="002D1BA9" w14:paraId="63AD0F14" w14:textId="2A3EA169">
      <w:pPr>
        <w:pStyle w:val="NoSpacing"/>
        <w:ind w:left="720"/>
        <w:rPr>
          <w:rFonts w:ascii="Times New Roman" w:hAnsi="Times New Roman" w:cs="Times New Roman"/>
          <w:sz w:val="24"/>
          <w:szCs w:val="24"/>
        </w:rPr>
      </w:pPr>
      <w:r w:rsidRPr="00E11293">
        <w:rPr>
          <w:rFonts w:ascii="Times New Roman" w:hAnsi="Times New Roman" w:cs="Times New Roman"/>
          <w:sz w:val="24"/>
          <w:szCs w:val="24"/>
        </w:rPr>
        <w:tab/>
      </w:r>
    </w:p>
    <w:p w:rsidR="008902BC" w:rsidP="008902BC" w14:paraId="48BB54AB"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8902BC" w:rsidP="002D1BA9" w14:paraId="5838321A" w14:textId="77777777">
      <w:pPr>
        <w:ind w:left="720"/>
      </w:pPr>
    </w:p>
    <w:p w:rsidR="002D1BA9" w:rsidRPr="00E11293" w:rsidP="002D1BA9" w14:paraId="778E7CF0" w14:textId="77777777">
      <w:pPr>
        <w:ind w:left="720"/>
      </w:pPr>
    </w:p>
    <w:p w:rsidR="002B15D5" w:rsidP="00AC0A31" w14:paraId="1C397598" w14:textId="452E4313">
      <w:pPr>
        <w:pStyle w:val="NoSpacing"/>
        <w:rPr>
          <w:rFonts w:ascii="Times New Roman" w:hAnsi="Times New Roman" w:cs="Times New Roman"/>
          <w:sz w:val="24"/>
          <w:szCs w:val="24"/>
        </w:rPr>
      </w:pPr>
    </w:p>
    <w:p w:rsidR="002B15D5" w:rsidRPr="006559A1" w:rsidP="000A0844" w14:paraId="3AF4F7B3" w14:textId="0475FA8E">
      <w:pPr>
        <w:pStyle w:val="ICR3"/>
      </w:pPr>
      <w:r w:rsidRPr="006559A1">
        <w:t>5. If the collection of information impacts small businesses or other small entities, describe any</w:t>
      </w:r>
      <w:r w:rsidR="006559A1">
        <w:t xml:space="preserve"> </w:t>
      </w:r>
      <w:r w:rsidRPr="006559A1">
        <w:t>methods used to minimize burden.</w:t>
      </w:r>
    </w:p>
    <w:p w:rsidR="002B15D5" w:rsidRPr="00E11293" w:rsidP="002B15D5" w14:paraId="7967EFB5" w14:textId="28538012">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8902BC" w:rsidP="008902BC" w14:paraId="7A8B8223"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8902BC" w:rsidP="005E3118" w14:paraId="0ADFD11D" w14:textId="77777777">
      <w:pPr>
        <w:pStyle w:val="NoSpacing"/>
        <w:ind w:left="720"/>
        <w:rPr>
          <w:rFonts w:ascii="Times New Roman" w:hAnsi="Times New Roman" w:cs="Times New Roman"/>
          <w:sz w:val="24"/>
          <w:szCs w:val="24"/>
        </w:rPr>
      </w:pPr>
    </w:p>
    <w:p w:rsidR="00AC0A31" w:rsidP="002B15D5" w14:paraId="12A907DF" w14:textId="77777777">
      <w:pPr>
        <w:pStyle w:val="NoSpacing"/>
        <w:rPr>
          <w:rFonts w:ascii="Times New Roman" w:hAnsi="Times New Roman" w:cs="Times New Roman"/>
          <w:sz w:val="24"/>
          <w:szCs w:val="24"/>
        </w:rPr>
      </w:pPr>
    </w:p>
    <w:p w:rsidR="002B15D5" w:rsidRPr="006559A1" w:rsidP="000A0844" w14:paraId="547D38AC" w14:textId="41A5DA00">
      <w:pPr>
        <w:pStyle w:val="ICR3"/>
      </w:pPr>
      <w:r w:rsidRPr="006559A1">
        <w:t>6. Describe the consequence to Federal program or policy activities if the collection is not</w:t>
      </w:r>
    </w:p>
    <w:p w:rsidR="002B15D5" w:rsidRPr="006559A1" w:rsidP="002B15D5" w14:paraId="62F3EF08" w14:textId="77777777">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conducted or is conducted less frequently, as well as any technical or legal obstacles to</w:t>
      </w:r>
    </w:p>
    <w:p w:rsidR="002B15D5" w:rsidRPr="006559A1" w:rsidP="002B15D5" w14:paraId="5DF0E375" w14:textId="2C393400">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reducing burden.</w:t>
      </w:r>
    </w:p>
    <w:p w:rsidR="002B15D5" w:rsidRPr="00E11293" w:rsidP="002B15D5" w14:paraId="298CB97F" w14:textId="03A54CA9">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8902BC" w:rsidP="008902BC" w14:paraId="3B476024"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 xml:space="preserve">all regulations that require </w:t>
      </w:r>
      <w:r w:rsidRPr="00C45FE9">
        <w:rPr>
          <w:rFonts w:ascii="Times New Roman" w:hAnsi="Times New Roman" w:cs="Times New Roman"/>
          <w:sz w:val="24"/>
          <w:szCs w:val="24"/>
        </w:rPr>
        <w:t>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8902BC" w:rsidP="003639ED" w14:paraId="1C419DA3" w14:textId="77777777">
      <w:pPr>
        <w:pStyle w:val="NoSpacing"/>
        <w:ind w:left="720"/>
        <w:rPr>
          <w:rFonts w:ascii="Times New Roman" w:hAnsi="Times New Roman" w:cs="Times New Roman"/>
          <w:sz w:val="24"/>
          <w:szCs w:val="24"/>
        </w:rPr>
      </w:pPr>
    </w:p>
    <w:p w:rsidR="006D71BE" w:rsidP="003639ED" w14:paraId="7CDECCF1" w14:textId="77777777">
      <w:pPr>
        <w:pStyle w:val="NoSpacing"/>
        <w:ind w:left="720"/>
        <w:rPr>
          <w:rFonts w:ascii="Times New Roman" w:hAnsi="Times New Roman" w:cs="Times New Roman"/>
          <w:sz w:val="24"/>
          <w:szCs w:val="24"/>
        </w:rPr>
      </w:pPr>
    </w:p>
    <w:p w:rsidR="00405F4F" w:rsidP="002B15D5" w14:paraId="3AECD7DC" w14:textId="77777777">
      <w:pPr>
        <w:pStyle w:val="NoSpacing"/>
        <w:rPr>
          <w:rFonts w:ascii="Times New Roman" w:hAnsi="Times New Roman" w:cs="Times New Roman"/>
          <w:sz w:val="24"/>
          <w:szCs w:val="24"/>
        </w:rPr>
      </w:pPr>
    </w:p>
    <w:p w:rsidR="002B15D5" w:rsidRPr="006559A1" w:rsidP="000A0844" w14:paraId="759CEB66" w14:textId="2C14F44C">
      <w:pPr>
        <w:pStyle w:val="ICR3"/>
      </w:pPr>
      <w:r w:rsidRPr="006559A1">
        <w:t>7. Explain any special circumstances that would cause an information collection to be</w:t>
      </w:r>
    </w:p>
    <w:p w:rsidR="00F72A9E" w:rsidRPr="00F72A9E" w:rsidP="00F72A9E" w14:paraId="3F960C5F" w14:textId="7CED113F">
      <w:pPr>
        <w:pStyle w:val="NoSpacing"/>
        <w:rPr>
          <w:rFonts w:ascii="Times New Roman" w:hAnsi="Times New Roman" w:cs="Times New Roman"/>
          <w:b/>
          <w:bCs/>
          <w:sz w:val="24"/>
          <w:szCs w:val="24"/>
        </w:rPr>
      </w:pPr>
      <w:r w:rsidRPr="006559A1">
        <w:rPr>
          <w:rFonts w:ascii="Times New Roman" w:hAnsi="Times New Roman" w:cs="Times New Roman"/>
          <w:b/>
          <w:bCs/>
          <w:sz w:val="24"/>
          <w:szCs w:val="24"/>
        </w:rPr>
        <w:t>conducted in a manner:</w:t>
      </w:r>
    </w:p>
    <w:p w:rsidR="00F72A9E" w:rsidRPr="007E4E7D" w:rsidP="00F72A9E" w14:paraId="7A65780B" w14:textId="77777777">
      <w:pPr>
        <w:ind w:left="720" w:hanging="360"/>
        <w:rPr>
          <w:b/>
          <w:bCs/>
        </w:rPr>
      </w:pPr>
      <w:r w:rsidRPr="007E4E7D">
        <w:rPr>
          <w:b/>
          <w:bCs/>
        </w:rPr>
        <w:t xml:space="preserve">a)  requiring respondents to report information to the agency more often than quarterly; </w:t>
      </w:r>
    </w:p>
    <w:p w:rsidR="00F72A9E" w:rsidRPr="007E4E7D" w:rsidP="00F72A9E" w14:paraId="21BB2E8A" w14:textId="77777777">
      <w:pPr>
        <w:ind w:left="720" w:hanging="360"/>
        <w:rPr>
          <w:b/>
          <w:bCs/>
        </w:rPr>
      </w:pPr>
      <w:r w:rsidRPr="007E4E7D">
        <w:rPr>
          <w:b/>
          <w:bCs/>
        </w:rPr>
        <w:t xml:space="preserve">b)  requiring respondents to prepare a written response to a collection of information in fewer than 30 days after receipt of it; </w:t>
      </w:r>
    </w:p>
    <w:p w:rsidR="00F72A9E" w:rsidRPr="007E4E7D" w:rsidP="00F72A9E" w14:paraId="24F53761" w14:textId="77777777">
      <w:pPr>
        <w:ind w:left="720" w:hanging="360"/>
        <w:rPr>
          <w:b/>
          <w:bCs/>
        </w:rPr>
      </w:pPr>
      <w:r w:rsidRPr="007E4E7D">
        <w:rPr>
          <w:b/>
          <w:bCs/>
        </w:rPr>
        <w:t xml:space="preserve">c)  requiring respondents to submit more than an original and two copies of any document; </w:t>
      </w:r>
    </w:p>
    <w:p w:rsidR="00F72A9E" w:rsidRPr="007E4E7D" w:rsidP="00F72A9E" w14:paraId="6E5A5682" w14:textId="77777777">
      <w:pPr>
        <w:ind w:left="720" w:hanging="360"/>
        <w:rPr>
          <w:b/>
          <w:bCs/>
        </w:rPr>
      </w:pPr>
      <w:r w:rsidRPr="007E4E7D">
        <w:rPr>
          <w:b/>
          <w:bCs/>
        </w:rPr>
        <w:t xml:space="preserve">d)  requiring respondents to retain records, other than health, medical, government contract, grant-in-aid, or tax records, for more than three years; </w:t>
      </w:r>
    </w:p>
    <w:p w:rsidR="00F72A9E" w:rsidRPr="007E4E7D" w:rsidP="00F72A9E" w14:paraId="1AB5A401" w14:textId="77777777">
      <w:pPr>
        <w:ind w:left="720" w:hanging="360"/>
        <w:rPr>
          <w:b/>
          <w:bCs/>
        </w:rPr>
      </w:pPr>
      <w:r w:rsidRPr="007E4E7D">
        <w:rPr>
          <w:b/>
          <w:bCs/>
        </w:rPr>
        <w:t>e)  in connection with a statistical survey, that is not designed to produce valid and reliable results that can be generalized to the universe of study;</w:t>
      </w:r>
    </w:p>
    <w:p w:rsidR="00F72A9E" w:rsidRPr="007E4E7D" w:rsidP="00F72A9E" w14:paraId="456167B2" w14:textId="77777777">
      <w:pPr>
        <w:ind w:left="720" w:hanging="360"/>
        <w:rPr>
          <w:b/>
          <w:bCs/>
        </w:rPr>
      </w:pPr>
      <w:r w:rsidRPr="007E4E7D">
        <w:rPr>
          <w:b/>
          <w:bCs/>
        </w:rPr>
        <w:t xml:space="preserve">f)   requiring the use of a statistical data classification that has not been reviewed and approved by OMB; </w:t>
      </w:r>
    </w:p>
    <w:p w:rsidR="00F72A9E" w:rsidRPr="007E4E7D" w:rsidP="00F72A9E" w14:paraId="44D3ED62" w14:textId="77777777">
      <w:pPr>
        <w:ind w:left="720" w:hanging="360"/>
        <w:rPr>
          <w:b/>
          <w:bCs/>
        </w:rPr>
      </w:pPr>
      <w:r w:rsidRPr="007E4E7D">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2A9E" w:rsidRPr="007E4E7D" w:rsidP="00F72A9E" w14:paraId="11469AA7" w14:textId="77777777">
      <w:pPr>
        <w:ind w:left="720" w:hanging="360"/>
        <w:rPr>
          <w:b/>
          <w:bCs/>
        </w:rPr>
      </w:pPr>
      <w:r w:rsidRPr="007E4E7D">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9A0677" w:rsidP="009A0677" w14:paraId="5412CAB5" w14:textId="77777777">
      <w:pPr>
        <w:pStyle w:val="NoSpacing"/>
        <w:rPr>
          <w:rFonts w:ascii="Times New Roman" w:hAnsi="Times New Roman" w:cs="Times New Roman"/>
          <w:b/>
          <w:bCs/>
          <w:sz w:val="24"/>
          <w:szCs w:val="24"/>
        </w:rPr>
      </w:pPr>
    </w:p>
    <w:p w:rsidR="008902BC" w:rsidP="009A0677" w14:paraId="4141E155" w14:textId="72D0ECA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8902BC" w:rsidP="008902BC" w14:paraId="39DB343E" w14:textId="77777777">
      <w:pPr>
        <w:pStyle w:val="NoSpacing"/>
        <w:ind w:left="1080"/>
        <w:rPr>
          <w:rFonts w:ascii="Times New Roman" w:hAnsi="Times New Roman" w:cs="Times New Roman"/>
          <w:sz w:val="24"/>
          <w:szCs w:val="24"/>
        </w:rPr>
      </w:pPr>
    </w:p>
    <w:p w:rsidR="002B15D5" w:rsidRPr="00E11293" w:rsidP="002B15D5" w14:paraId="4CD61CEF" w14:textId="1BD99E77">
      <w:pPr>
        <w:pStyle w:val="NoSpacing"/>
        <w:rPr>
          <w:rFonts w:ascii="Times New Roman" w:hAnsi="Times New Roman" w:cs="Times New Roman"/>
          <w:sz w:val="24"/>
          <w:szCs w:val="24"/>
        </w:rPr>
      </w:pPr>
      <w:r w:rsidRPr="00E11293">
        <w:rPr>
          <w:rFonts w:ascii="Times New Roman" w:hAnsi="Times New Roman" w:cs="Times New Roman"/>
          <w:sz w:val="24"/>
          <w:szCs w:val="24"/>
        </w:rPr>
        <w:tab/>
        <w:t xml:space="preserve"> </w:t>
      </w:r>
    </w:p>
    <w:p w:rsidR="002B15D5" w:rsidRPr="00E11293" w:rsidP="002B15D5" w14:paraId="7F8667F4" w14:textId="624F0788">
      <w:pPr>
        <w:pStyle w:val="NoSpacing"/>
        <w:rPr>
          <w:rFonts w:ascii="Times New Roman" w:hAnsi="Times New Roman" w:cs="Times New Roman"/>
          <w:sz w:val="24"/>
          <w:szCs w:val="24"/>
        </w:rPr>
      </w:pPr>
    </w:p>
    <w:p w:rsidR="002B15D5" w:rsidRPr="002F2CEB" w:rsidP="000A0844" w14:paraId="57217932" w14:textId="12D7CB21">
      <w:pPr>
        <w:pStyle w:val="ICR3"/>
      </w:pPr>
      <w:r w:rsidRPr="002F2CEB">
        <w:t xml:space="preserve">8. If applicable, provide a copy and identify the date and page number of </w:t>
      </w:r>
      <w:r w:rsidRPr="002F2CEB">
        <w:t>publication</w:t>
      </w:r>
      <w:r w:rsidRPr="002F2CEB">
        <w:t xml:space="preserve"> in the</w:t>
      </w:r>
    </w:p>
    <w:p w:rsidR="002B15D5" w:rsidRPr="002F2CEB" w:rsidP="002B15D5" w14:paraId="5E37A45C" w14:textId="14885C7B">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Federal Register of the agency's notice, required by 5 CFR 1320.8(d), soliciting comments on</w:t>
      </w:r>
      <w:r w:rsidR="002F2CEB">
        <w:rPr>
          <w:rFonts w:ascii="Times New Roman" w:hAnsi="Times New Roman" w:cs="Times New Roman"/>
          <w:b/>
          <w:bCs/>
          <w:sz w:val="24"/>
          <w:szCs w:val="24"/>
        </w:rPr>
        <w:t xml:space="preserve"> </w:t>
      </w:r>
      <w:r w:rsidRPr="002F2CEB">
        <w:rPr>
          <w:rFonts w:ascii="Times New Roman" w:hAnsi="Times New Roman" w:cs="Times New Roman"/>
          <w:b/>
          <w:bCs/>
          <w:sz w:val="24"/>
          <w:szCs w:val="24"/>
        </w:rPr>
        <w:t>the information collection prior to submission to OMB. Summarize public comments</w:t>
      </w:r>
    </w:p>
    <w:p w:rsidR="002B15D5" w:rsidRPr="002F2CEB" w:rsidP="002B15D5" w14:paraId="17A948F2" w14:textId="77777777">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received in response to that notice and describe actions taken by the agency in response to</w:t>
      </w:r>
    </w:p>
    <w:p w:rsidR="002B15D5" w:rsidRPr="002F2CEB" w:rsidP="002B15D5" w14:paraId="5460387D" w14:textId="77777777">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these comments. Specifically address comments received on cost and hour burden.</w:t>
      </w:r>
    </w:p>
    <w:p w:rsidR="002954D1" w:rsidRPr="002F2CEB" w:rsidP="002B15D5" w14:paraId="2D395187" w14:textId="77777777">
      <w:pPr>
        <w:pStyle w:val="NoSpacing"/>
        <w:rPr>
          <w:rFonts w:ascii="Times New Roman" w:hAnsi="Times New Roman" w:cs="Times New Roman"/>
          <w:b/>
          <w:bCs/>
          <w:sz w:val="24"/>
          <w:szCs w:val="24"/>
        </w:rPr>
      </w:pPr>
    </w:p>
    <w:p w:rsidR="002B15D5" w:rsidRPr="002F2CEB" w:rsidP="002B15D5" w14:paraId="0A6405AE" w14:textId="1A4A3E00">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Describe efforts to consult with persons outside the agency to obtain their views on the</w:t>
      </w:r>
    </w:p>
    <w:p w:rsidR="002B15D5" w:rsidRPr="002F2CEB" w:rsidP="002B15D5" w14:paraId="3A3A97C3" w14:textId="77777777">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availability of data, frequency of collection, the clarity of instructions and recordkeeping,</w:t>
      </w:r>
    </w:p>
    <w:p w:rsidR="002B15D5" w:rsidRPr="002F2CEB" w:rsidP="002B15D5" w14:paraId="5A68FFF3" w14:textId="7ED2535B">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disclosure, or reporting format (if any), and on the data elements to be recorded, disclosed, or</w:t>
      </w:r>
      <w:r w:rsidR="002F2CEB">
        <w:rPr>
          <w:rFonts w:ascii="Times New Roman" w:hAnsi="Times New Roman" w:cs="Times New Roman"/>
          <w:b/>
          <w:bCs/>
          <w:sz w:val="24"/>
          <w:szCs w:val="24"/>
        </w:rPr>
        <w:t xml:space="preserve"> </w:t>
      </w:r>
      <w:r w:rsidRPr="002F2CEB">
        <w:rPr>
          <w:rFonts w:ascii="Times New Roman" w:hAnsi="Times New Roman" w:cs="Times New Roman"/>
          <w:b/>
          <w:bCs/>
          <w:sz w:val="24"/>
          <w:szCs w:val="24"/>
        </w:rPr>
        <w:t>reported.</w:t>
      </w:r>
    </w:p>
    <w:p w:rsidR="002954D1" w:rsidRPr="00E11293" w:rsidP="002B15D5" w14:paraId="21828691" w14:textId="77777777">
      <w:pPr>
        <w:pStyle w:val="NoSpacing"/>
        <w:rPr>
          <w:rFonts w:ascii="Times New Roman" w:hAnsi="Times New Roman" w:cs="Times New Roman"/>
          <w:sz w:val="24"/>
          <w:szCs w:val="24"/>
        </w:rPr>
      </w:pPr>
    </w:p>
    <w:p w:rsidR="002B15D5" w:rsidRPr="00B0713D" w:rsidP="002B15D5" w14:paraId="0CE0CB0B" w14:textId="1AD1EE2E">
      <w:pPr>
        <w:pStyle w:val="NoSpacing"/>
        <w:rPr>
          <w:rFonts w:ascii="Times New Roman" w:hAnsi="Times New Roman" w:cs="Times New Roman"/>
          <w:b/>
          <w:bCs/>
          <w:sz w:val="24"/>
          <w:szCs w:val="24"/>
        </w:rPr>
      </w:pPr>
      <w:r w:rsidRPr="00B0713D">
        <w:rPr>
          <w:rFonts w:ascii="Times New Roman" w:hAnsi="Times New Roman" w:cs="Times New Roman"/>
          <w:b/>
          <w:bCs/>
          <w:sz w:val="24"/>
          <w:szCs w:val="24"/>
        </w:rPr>
        <w:t>Consultation with representatives of those from whom information is to be obtained or those</w:t>
      </w:r>
      <w:r w:rsidR="00B0713D">
        <w:rPr>
          <w:rFonts w:ascii="Times New Roman" w:hAnsi="Times New Roman" w:cs="Times New Roman"/>
          <w:b/>
          <w:bCs/>
          <w:sz w:val="24"/>
          <w:szCs w:val="24"/>
        </w:rPr>
        <w:t xml:space="preserve"> </w:t>
      </w:r>
      <w:r w:rsidRPr="00B0713D">
        <w:rPr>
          <w:rFonts w:ascii="Times New Roman" w:hAnsi="Times New Roman" w:cs="Times New Roman"/>
          <w:b/>
          <w:bCs/>
          <w:sz w:val="24"/>
          <w:szCs w:val="24"/>
        </w:rPr>
        <w:t xml:space="preserve">who must compile records should occur at least once every 3 years </w:t>
      </w:r>
      <w:r w:rsidRPr="00B0713D" w:rsidR="002954D1">
        <w:rPr>
          <w:rFonts w:ascii="Times New Roman" w:hAnsi="Times New Roman" w:cs="Times New Roman"/>
          <w:b/>
          <w:bCs/>
          <w:sz w:val="24"/>
          <w:szCs w:val="24"/>
        </w:rPr>
        <w:t>–</w:t>
      </w:r>
      <w:r w:rsidRPr="00B0713D">
        <w:rPr>
          <w:rFonts w:ascii="Times New Roman" w:hAnsi="Times New Roman" w:cs="Times New Roman"/>
          <w:b/>
          <w:bCs/>
          <w:sz w:val="24"/>
          <w:szCs w:val="24"/>
        </w:rPr>
        <w:t xml:space="preserve"> even if the collection of</w:t>
      </w:r>
      <w:r w:rsidR="00B0713D">
        <w:rPr>
          <w:rFonts w:ascii="Times New Roman" w:hAnsi="Times New Roman" w:cs="Times New Roman"/>
          <w:b/>
          <w:bCs/>
          <w:sz w:val="24"/>
          <w:szCs w:val="24"/>
        </w:rPr>
        <w:t xml:space="preserve"> </w:t>
      </w:r>
      <w:r w:rsidRPr="00B0713D">
        <w:rPr>
          <w:rFonts w:ascii="Times New Roman" w:hAnsi="Times New Roman" w:cs="Times New Roman"/>
          <w:b/>
          <w:bCs/>
          <w:sz w:val="24"/>
          <w:szCs w:val="24"/>
        </w:rPr>
        <w:t>information activity is the same as in prior periods. There may be circumstances that may</w:t>
      </w:r>
      <w:r w:rsidR="00B0713D">
        <w:rPr>
          <w:rFonts w:ascii="Times New Roman" w:hAnsi="Times New Roman" w:cs="Times New Roman"/>
          <w:b/>
          <w:bCs/>
          <w:sz w:val="24"/>
          <w:szCs w:val="24"/>
        </w:rPr>
        <w:t xml:space="preserve"> </w:t>
      </w:r>
      <w:r w:rsidRPr="00B0713D">
        <w:rPr>
          <w:rFonts w:ascii="Times New Roman" w:hAnsi="Times New Roman" w:cs="Times New Roman"/>
          <w:b/>
          <w:bCs/>
          <w:sz w:val="24"/>
          <w:szCs w:val="24"/>
        </w:rPr>
        <w:t>preclude consultation in a specific situation. These circumstances should be explained.</w:t>
      </w:r>
    </w:p>
    <w:p w:rsidR="002B15D5" w:rsidRPr="00E11293" w:rsidP="002B15D5" w14:paraId="6BCB6F31" w14:textId="72E02E8F">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4F1594" w:rsidRPr="00E11293" w:rsidP="002954D1" w14:paraId="4820ECFD" w14:textId="7AC6C16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EPA will solicit comments on the Information Collection Request as part of the public process for this proposal.  A copy of this Supporting Statement will be included in the docket for the proposal, EPA-HQ-OAR-2025-0194.  </w:t>
      </w:r>
      <w:r w:rsidR="0062413C">
        <w:rPr>
          <w:rFonts w:ascii="Times New Roman" w:hAnsi="Times New Roman" w:cs="Times New Roman"/>
          <w:sz w:val="24"/>
          <w:szCs w:val="24"/>
        </w:rPr>
        <w:t xml:space="preserve">  </w:t>
      </w:r>
    </w:p>
    <w:p w:rsidR="000240B0" w:rsidRPr="00E11293" w:rsidP="002954D1" w14:paraId="121E2D06" w14:textId="2AB1E7B8">
      <w:pPr>
        <w:pStyle w:val="NoSpacing"/>
        <w:ind w:left="720"/>
        <w:rPr>
          <w:rFonts w:ascii="Times New Roman" w:hAnsi="Times New Roman" w:cs="Times New Roman"/>
          <w:sz w:val="24"/>
          <w:szCs w:val="24"/>
        </w:rPr>
      </w:pPr>
    </w:p>
    <w:p w:rsidR="00405F4F" w:rsidP="00D250D2" w14:paraId="1E8168B5" w14:textId="1D751556">
      <w:pPr>
        <w:pStyle w:val="NoSpacing"/>
        <w:ind w:left="720"/>
      </w:pPr>
      <w:r>
        <w:rPr>
          <w:rFonts w:ascii="Times New Roman" w:hAnsi="Times New Roman" w:cs="Times New Roman"/>
          <w:sz w:val="24"/>
          <w:szCs w:val="24"/>
        </w:rPr>
        <w:t xml:space="preserve">EPA has ongoing outreach efforts with stakeholders as part of our rule development and our </w:t>
      </w:r>
      <w:r w:rsidR="00C03753">
        <w:rPr>
          <w:rFonts w:ascii="Times New Roman" w:hAnsi="Times New Roman" w:cs="Times New Roman"/>
          <w:sz w:val="24"/>
          <w:szCs w:val="24"/>
        </w:rPr>
        <w:t>implementation activities.</w:t>
      </w:r>
    </w:p>
    <w:p w:rsidR="00F930AC" w14:paraId="2A808502" w14:textId="77777777">
      <w:pPr>
        <w:autoSpaceDE/>
        <w:autoSpaceDN/>
        <w:adjustRightInd/>
        <w:spacing w:after="160" w:line="259" w:lineRule="auto"/>
      </w:pPr>
    </w:p>
    <w:p w:rsidR="002B15D5" w:rsidRPr="002F2CEB" w:rsidP="000A0844" w14:paraId="7A7A44E0" w14:textId="708F5A20">
      <w:pPr>
        <w:pStyle w:val="ICR3"/>
      </w:pPr>
      <w:r w:rsidRPr="002F2CEB">
        <w:t>9. Explain any decision to provide any payment or gift to respondents, other than remuneration</w:t>
      </w:r>
      <w:r w:rsidR="002F2CEB">
        <w:t xml:space="preserve"> </w:t>
      </w:r>
      <w:r w:rsidRPr="002F2CEB">
        <w:t>of contractors or grantees.</w:t>
      </w:r>
    </w:p>
    <w:p w:rsidR="003E6670" w:rsidRPr="00E11293" w:rsidP="002B15D5" w14:paraId="295576E2" w14:textId="4EBE8D66">
      <w:pPr>
        <w:pStyle w:val="NoSpacing"/>
        <w:rPr>
          <w:rFonts w:ascii="Times New Roman" w:hAnsi="Times New Roman" w:cs="Times New Roman"/>
          <w:sz w:val="24"/>
          <w:szCs w:val="24"/>
        </w:rPr>
      </w:pPr>
    </w:p>
    <w:p w:rsidR="003E6670" w:rsidRPr="00E11293" w:rsidP="003E6670" w14:paraId="7F435EF6" w14:textId="7BDC980F">
      <w:pPr>
        <w:pStyle w:val="NoSpacing"/>
        <w:ind w:left="720"/>
        <w:rPr>
          <w:rFonts w:ascii="Times New Roman" w:hAnsi="Times New Roman" w:cs="Times New Roman"/>
          <w:sz w:val="24"/>
          <w:szCs w:val="24"/>
        </w:rPr>
      </w:pPr>
      <w:r w:rsidRPr="00E11293">
        <w:rPr>
          <w:rFonts w:ascii="Times New Roman" w:hAnsi="Times New Roman" w:cs="Times New Roman"/>
          <w:sz w:val="24"/>
          <w:szCs w:val="24"/>
        </w:rPr>
        <w:t>There are no payments or gifts to respondents</w:t>
      </w:r>
      <w:r w:rsidRPr="00E11293" w:rsidR="00B16114">
        <w:rPr>
          <w:rFonts w:ascii="Times New Roman" w:hAnsi="Times New Roman" w:cs="Times New Roman"/>
          <w:sz w:val="24"/>
          <w:szCs w:val="24"/>
        </w:rPr>
        <w:t xml:space="preserve">; there is no remuneration of contractors or grantees for this engine and vehicle certification program.  </w:t>
      </w:r>
    </w:p>
    <w:p w:rsidR="002B15D5" w:rsidRPr="00E11293" w:rsidP="002B15D5" w14:paraId="2F7E6D9E" w14:textId="20401813">
      <w:pPr>
        <w:pStyle w:val="NoSpacing"/>
        <w:rPr>
          <w:rFonts w:ascii="Times New Roman" w:hAnsi="Times New Roman" w:cs="Times New Roman"/>
          <w:sz w:val="24"/>
          <w:szCs w:val="24"/>
        </w:rPr>
      </w:pPr>
    </w:p>
    <w:p w:rsidR="00405F4F" w14:paraId="6F8ED91A" w14:textId="77777777">
      <w:pPr>
        <w:autoSpaceDE/>
        <w:autoSpaceDN/>
        <w:adjustRightInd/>
        <w:spacing w:after="160" w:line="259" w:lineRule="auto"/>
      </w:pPr>
    </w:p>
    <w:p w:rsidR="002B15D5" w:rsidRPr="002F2CEB" w:rsidP="000A0844" w14:paraId="36F904CB" w14:textId="4381079F">
      <w:pPr>
        <w:pStyle w:val="ICR3"/>
      </w:pPr>
      <w:r w:rsidRPr="002F2CEB">
        <w:t>10. Describe any assurance of confidentiality provided to respondents and the basis for the</w:t>
      </w:r>
    </w:p>
    <w:p w:rsidR="002B15D5" w:rsidRPr="002F2CEB" w:rsidP="002B15D5" w14:paraId="0A39AAD4" w14:textId="0FA2136B">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 xml:space="preserve">assurance in statute, regulation, or agency policy. If the collection requires a </w:t>
      </w:r>
      <w:r w:rsidRPr="002F2CEB" w:rsidR="00F14875">
        <w:rPr>
          <w:rFonts w:ascii="Times New Roman" w:hAnsi="Times New Roman" w:cs="Times New Roman"/>
          <w:b/>
          <w:bCs/>
          <w:sz w:val="24"/>
          <w:szCs w:val="24"/>
        </w:rPr>
        <w:t>system</w:t>
      </w:r>
      <w:r w:rsidRPr="002F2CEB">
        <w:rPr>
          <w:rFonts w:ascii="Times New Roman" w:hAnsi="Times New Roman" w:cs="Times New Roman"/>
          <w:b/>
          <w:bCs/>
          <w:sz w:val="24"/>
          <w:szCs w:val="24"/>
        </w:rPr>
        <w:t xml:space="preserve"> of</w:t>
      </w:r>
    </w:p>
    <w:p w:rsidR="002B15D5" w:rsidRPr="002F2CEB" w:rsidP="002B15D5" w14:paraId="615B3AA4" w14:textId="77777777">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records notice (SORN) or privacy impact assessment (PIA), those should be cited and</w:t>
      </w:r>
    </w:p>
    <w:p w:rsidR="002B15D5" w:rsidRPr="002F2CEB" w:rsidP="002B15D5" w14:paraId="55E843ED" w14:textId="4148D649">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described here.</w:t>
      </w:r>
    </w:p>
    <w:p w:rsidR="002B15D5" w:rsidRPr="00E11293" w:rsidP="002B15D5" w14:paraId="22519459" w14:textId="7DF14703">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8902BC" w:rsidP="008902BC" w14:paraId="5288473A"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8902BC" w:rsidP="00BC11FE" w14:paraId="2729155B" w14:textId="77777777">
      <w:pPr>
        <w:pStyle w:val="NoSpacing"/>
        <w:ind w:left="720"/>
        <w:rPr>
          <w:rFonts w:ascii="Times New Roman" w:hAnsi="Times New Roman" w:cs="Times New Roman"/>
          <w:sz w:val="24"/>
          <w:szCs w:val="24"/>
        </w:rPr>
      </w:pPr>
    </w:p>
    <w:p w:rsidR="00405F4F" w:rsidP="00405F4F" w14:paraId="16540435" w14:textId="77777777">
      <w:pPr>
        <w:pStyle w:val="NoSpacing"/>
        <w:rPr>
          <w:rFonts w:ascii="Times New Roman" w:hAnsi="Times New Roman" w:cs="Times New Roman"/>
          <w:sz w:val="24"/>
          <w:szCs w:val="24"/>
        </w:rPr>
      </w:pPr>
    </w:p>
    <w:p w:rsidR="00405F4F" w:rsidP="00405F4F" w14:paraId="0D1F4D48" w14:textId="77777777">
      <w:pPr>
        <w:pStyle w:val="NoSpacing"/>
        <w:rPr>
          <w:rFonts w:ascii="Times New Roman" w:hAnsi="Times New Roman" w:cs="Times New Roman"/>
          <w:sz w:val="24"/>
          <w:szCs w:val="24"/>
        </w:rPr>
      </w:pPr>
    </w:p>
    <w:p w:rsidR="002B15D5" w:rsidRPr="002F2CEB" w:rsidP="000A0844" w14:paraId="4B92F4B4" w14:textId="59CD4FD5">
      <w:pPr>
        <w:pStyle w:val="ICR3"/>
      </w:pPr>
      <w:r w:rsidRPr="002F2CEB">
        <w:t>11. Provide additional justification for any questions of a sensitive nature, such as sexual</w:t>
      </w:r>
    </w:p>
    <w:p w:rsidR="002B15D5" w:rsidRPr="002F2CEB" w:rsidP="002B15D5" w14:paraId="5FC277FA" w14:textId="77777777">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behavior and attitudes, religious beliefs, and other matters that are commonly considered</w:t>
      </w:r>
    </w:p>
    <w:p w:rsidR="002B15D5" w:rsidRPr="002F2CEB" w:rsidP="002B15D5" w14:paraId="4E362977" w14:textId="21D09DAF">
      <w:pPr>
        <w:pStyle w:val="NoSpacing"/>
        <w:rPr>
          <w:rFonts w:ascii="Times New Roman" w:hAnsi="Times New Roman" w:cs="Times New Roman"/>
          <w:b/>
          <w:bCs/>
          <w:sz w:val="24"/>
          <w:szCs w:val="24"/>
        </w:rPr>
      </w:pPr>
      <w:r w:rsidRPr="002F2CEB">
        <w:rPr>
          <w:rFonts w:ascii="Times New Roman" w:hAnsi="Times New Roman" w:cs="Times New Roman"/>
          <w:b/>
          <w:bCs/>
          <w:sz w:val="24"/>
          <w:szCs w:val="24"/>
        </w:rPr>
        <w:t>private. This justification should include the reasons why the agency considers the questions</w:t>
      </w:r>
      <w:r w:rsidR="002F2CEB">
        <w:rPr>
          <w:rFonts w:ascii="Times New Roman" w:hAnsi="Times New Roman" w:cs="Times New Roman"/>
          <w:b/>
          <w:bCs/>
          <w:sz w:val="24"/>
          <w:szCs w:val="24"/>
        </w:rPr>
        <w:t xml:space="preserve"> </w:t>
      </w:r>
      <w:r w:rsidRPr="002F2CEB">
        <w:rPr>
          <w:rFonts w:ascii="Times New Roman" w:hAnsi="Times New Roman" w:cs="Times New Roman"/>
          <w:b/>
          <w:bCs/>
          <w:sz w:val="24"/>
          <w:szCs w:val="24"/>
        </w:rPr>
        <w:t>necessary, the specific uses to be made of the information, the explanation to be given to</w:t>
      </w:r>
      <w:r w:rsidR="002F2CEB">
        <w:rPr>
          <w:rFonts w:ascii="Times New Roman" w:hAnsi="Times New Roman" w:cs="Times New Roman"/>
          <w:b/>
          <w:bCs/>
          <w:sz w:val="24"/>
          <w:szCs w:val="24"/>
        </w:rPr>
        <w:t xml:space="preserve"> </w:t>
      </w:r>
      <w:r w:rsidRPr="002F2CEB">
        <w:rPr>
          <w:rFonts w:ascii="Times New Roman" w:hAnsi="Times New Roman" w:cs="Times New Roman"/>
          <w:b/>
          <w:bCs/>
          <w:sz w:val="24"/>
          <w:szCs w:val="24"/>
        </w:rPr>
        <w:t>persons from whom the information is requested, and any steps to be taken to obtain their</w:t>
      </w:r>
      <w:r w:rsidR="002F2CEB">
        <w:rPr>
          <w:rFonts w:ascii="Times New Roman" w:hAnsi="Times New Roman" w:cs="Times New Roman"/>
          <w:b/>
          <w:bCs/>
          <w:sz w:val="24"/>
          <w:szCs w:val="24"/>
        </w:rPr>
        <w:t xml:space="preserve"> </w:t>
      </w:r>
      <w:r w:rsidRPr="002F2CEB">
        <w:rPr>
          <w:rFonts w:ascii="Times New Roman" w:hAnsi="Times New Roman" w:cs="Times New Roman"/>
          <w:b/>
          <w:bCs/>
          <w:sz w:val="24"/>
          <w:szCs w:val="24"/>
        </w:rPr>
        <w:t>consent.</w:t>
      </w:r>
    </w:p>
    <w:p w:rsidR="002B15D5" w:rsidRPr="00E11293" w:rsidP="002B15D5" w14:paraId="19B2A066" w14:textId="29E83F7A">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8902BC" w:rsidP="008902BC" w14:paraId="27703806"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7667DD" w:rsidRPr="00E11293" w:rsidP="00845B84" w14:paraId="79BDBB1C" w14:textId="77777777">
      <w:pPr>
        <w:pStyle w:val="NoSpacing"/>
        <w:ind w:left="720"/>
        <w:rPr>
          <w:rFonts w:ascii="Times New Roman" w:hAnsi="Times New Roman" w:cs="Times New Roman"/>
          <w:sz w:val="24"/>
          <w:szCs w:val="24"/>
        </w:rPr>
      </w:pPr>
    </w:p>
    <w:p w:rsidR="00405F4F" w14:paraId="76F54263" w14:textId="77777777">
      <w:pPr>
        <w:autoSpaceDE/>
        <w:autoSpaceDN/>
        <w:adjustRightInd/>
        <w:spacing w:after="160" w:line="259" w:lineRule="auto"/>
      </w:pPr>
    </w:p>
    <w:p w:rsidR="002B15D5" w:rsidRPr="002F2CEB" w:rsidP="000A0844" w14:paraId="6C94FBDC" w14:textId="087836B9">
      <w:pPr>
        <w:pStyle w:val="ICR3"/>
      </w:pPr>
      <w:r w:rsidRPr="002F2CEB">
        <w:t>12. Provide estimates of the hour burden of the collection of information. The statement should:</w:t>
      </w:r>
    </w:p>
    <w:p w:rsidR="002B15D5" w:rsidRPr="002F2CEB" w:rsidP="00D2495C" w14:paraId="7A483E40" w14:textId="500CC54B">
      <w:pPr>
        <w:pStyle w:val="NoSpacing"/>
        <w:numPr>
          <w:ilvl w:val="0"/>
          <w:numId w:val="17"/>
        </w:numPr>
        <w:rPr>
          <w:rFonts w:ascii="Times New Roman" w:hAnsi="Times New Roman" w:cs="Times New Roman"/>
          <w:b/>
          <w:bCs/>
          <w:sz w:val="24"/>
          <w:szCs w:val="24"/>
        </w:rPr>
      </w:pPr>
      <w:r w:rsidRPr="002F2CEB">
        <w:rPr>
          <w:rFonts w:ascii="Times New Roman" w:hAnsi="Times New Roman" w:cs="Times New Roman"/>
          <w:b/>
          <w:bCs/>
          <w:sz w:val="24"/>
          <w:szCs w:val="24"/>
        </w:rPr>
        <w:t>Indicate the number of respondents, frequency of response, annual hour burden, and an</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explanation of how the burden was estimated. Unless directed to do so, agencies should</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not conduct special surveys to obtain information on which to base hour burden</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estimates. Consultation with a sample (fewer than 10) of potential respondents is</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desirable. If the hour burden on respondents is expected to vary widely because of differences in activity, size, or complexity, show the range of estimated hour burden, and</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explain the reasons for the variance. Generally, estimates should not include burden hours</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for customary and usual business practices.</w:t>
      </w:r>
    </w:p>
    <w:p w:rsidR="002B15D5" w:rsidRPr="002F2CEB" w:rsidP="00D2495C" w14:paraId="65C344D5" w14:textId="092DB1DD">
      <w:pPr>
        <w:pStyle w:val="NoSpacing"/>
        <w:numPr>
          <w:ilvl w:val="0"/>
          <w:numId w:val="17"/>
        </w:numPr>
        <w:rPr>
          <w:rFonts w:ascii="Times New Roman" w:hAnsi="Times New Roman" w:cs="Times New Roman"/>
          <w:b/>
          <w:bCs/>
          <w:sz w:val="24"/>
          <w:szCs w:val="24"/>
        </w:rPr>
      </w:pPr>
      <w:r w:rsidRPr="002F2CEB">
        <w:rPr>
          <w:rFonts w:ascii="Times New Roman" w:hAnsi="Times New Roman" w:cs="Times New Roman"/>
          <w:b/>
          <w:bCs/>
          <w:sz w:val="24"/>
          <w:szCs w:val="24"/>
        </w:rPr>
        <w:t>If this request for approval covers more than one form, provide separate hour burden</w:t>
      </w:r>
      <w:r w:rsidRPr="002F2CEB" w:rsidR="00845B84">
        <w:rPr>
          <w:rFonts w:ascii="Times New Roman" w:hAnsi="Times New Roman" w:cs="Times New Roman"/>
          <w:b/>
          <w:bCs/>
          <w:sz w:val="24"/>
          <w:szCs w:val="24"/>
        </w:rPr>
        <w:t xml:space="preserve"> </w:t>
      </w:r>
      <w:r w:rsidRPr="002F2CEB">
        <w:rPr>
          <w:rFonts w:ascii="Times New Roman" w:hAnsi="Times New Roman" w:cs="Times New Roman"/>
          <w:b/>
          <w:bCs/>
          <w:sz w:val="24"/>
          <w:szCs w:val="24"/>
        </w:rPr>
        <w:t>estimates for each form and aggregate the hour burdens.</w:t>
      </w:r>
    </w:p>
    <w:p w:rsidR="002B15D5" w:rsidRPr="002F2CEB" w:rsidP="00D2495C" w14:paraId="4E9996D9" w14:textId="3F41880A">
      <w:pPr>
        <w:pStyle w:val="NoSpacing"/>
        <w:numPr>
          <w:ilvl w:val="0"/>
          <w:numId w:val="17"/>
        </w:numPr>
        <w:rPr>
          <w:rFonts w:ascii="Times New Roman" w:hAnsi="Times New Roman" w:cs="Times New Roman"/>
          <w:b/>
          <w:bCs/>
          <w:sz w:val="24"/>
          <w:szCs w:val="24"/>
        </w:rPr>
      </w:pPr>
      <w:r w:rsidRPr="002F2CEB">
        <w:rPr>
          <w:rFonts w:ascii="Times New Roman" w:hAnsi="Times New Roman" w:cs="Times New Roman"/>
          <w:b/>
          <w:bCs/>
          <w:sz w:val="24"/>
          <w:szCs w:val="24"/>
        </w:rPr>
        <w:t>Provide estimates of annualized cost to respondents for the hour burdens for collections</w:t>
      </w:r>
      <w:r w:rsidRPr="002F2CEB" w:rsidR="00F05AF7">
        <w:rPr>
          <w:rFonts w:ascii="Times New Roman" w:hAnsi="Times New Roman" w:cs="Times New Roman"/>
          <w:b/>
          <w:bCs/>
          <w:sz w:val="24"/>
          <w:szCs w:val="24"/>
        </w:rPr>
        <w:t xml:space="preserve"> </w:t>
      </w:r>
      <w:r w:rsidRPr="002F2CEB">
        <w:rPr>
          <w:rFonts w:ascii="Times New Roman" w:hAnsi="Times New Roman" w:cs="Times New Roman"/>
          <w:b/>
          <w:bCs/>
          <w:sz w:val="24"/>
          <w:szCs w:val="24"/>
        </w:rPr>
        <w:t>of information, identifying and using appropriate wage rate categories. The cost of</w:t>
      </w:r>
      <w:r w:rsidRPr="002F2CEB" w:rsidR="00F05AF7">
        <w:rPr>
          <w:rFonts w:ascii="Times New Roman" w:hAnsi="Times New Roman" w:cs="Times New Roman"/>
          <w:b/>
          <w:bCs/>
          <w:sz w:val="24"/>
          <w:szCs w:val="24"/>
        </w:rPr>
        <w:t xml:space="preserve"> </w:t>
      </w:r>
      <w:r w:rsidRPr="002F2CEB">
        <w:rPr>
          <w:rFonts w:ascii="Times New Roman" w:hAnsi="Times New Roman" w:cs="Times New Roman"/>
          <w:b/>
          <w:bCs/>
          <w:sz w:val="24"/>
          <w:szCs w:val="24"/>
        </w:rPr>
        <w:t>contracting out or paying outside parties for information collection activities should not</w:t>
      </w:r>
      <w:r w:rsidRPr="002F2CEB" w:rsidR="00F05AF7">
        <w:rPr>
          <w:rFonts w:ascii="Times New Roman" w:hAnsi="Times New Roman" w:cs="Times New Roman"/>
          <w:b/>
          <w:bCs/>
          <w:sz w:val="24"/>
          <w:szCs w:val="24"/>
        </w:rPr>
        <w:t xml:space="preserve"> </w:t>
      </w:r>
      <w:r w:rsidRPr="002F2CEB">
        <w:rPr>
          <w:rFonts w:ascii="Times New Roman" w:hAnsi="Times New Roman" w:cs="Times New Roman"/>
          <w:b/>
          <w:bCs/>
          <w:sz w:val="24"/>
          <w:szCs w:val="24"/>
        </w:rPr>
        <w:t>be included here. Instead, this cost should be included under ‘Annual Cost to Federal</w:t>
      </w:r>
      <w:r w:rsidRPr="002F2CEB" w:rsidR="00F05AF7">
        <w:rPr>
          <w:rFonts w:ascii="Times New Roman" w:hAnsi="Times New Roman" w:cs="Times New Roman"/>
          <w:b/>
          <w:bCs/>
          <w:sz w:val="24"/>
          <w:szCs w:val="24"/>
        </w:rPr>
        <w:t xml:space="preserve"> </w:t>
      </w:r>
      <w:r w:rsidRPr="002F2CEB">
        <w:rPr>
          <w:rFonts w:ascii="Times New Roman" w:hAnsi="Times New Roman" w:cs="Times New Roman"/>
          <w:b/>
          <w:bCs/>
          <w:sz w:val="24"/>
          <w:szCs w:val="24"/>
        </w:rPr>
        <w:t>Government’.</w:t>
      </w:r>
    </w:p>
    <w:p w:rsidR="002B15D5" w:rsidRPr="00E11293" w:rsidP="002B15D5" w14:paraId="55C69F2D" w14:textId="029BDFBE">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587336" w:rsidP="001B29E4" w14:paraId="09BD8566" w14:textId="77777777">
      <w:pPr>
        <w:autoSpaceDE/>
        <w:autoSpaceDN/>
        <w:adjustRightInd/>
        <w:ind w:left="360"/>
        <w:textAlignment w:val="center"/>
      </w:pPr>
    </w:p>
    <w:p w:rsidR="008973F6" w:rsidP="00B96188" w14:paraId="4B66C103" w14:textId="2674AE23">
      <w:pPr>
        <w:autoSpaceDE/>
        <w:autoSpaceDN/>
        <w:adjustRightInd/>
        <w:ind w:left="720"/>
        <w:textAlignment w:val="center"/>
      </w:pPr>
      <w:bookmarkStart w:id="2" w:name="_Hlk198206103"/>
      <w:r>
        <w:t xml:space="preserve">This revised Information Collection Request reflects the estimated burden after removing heavy-duty GHG reporting requirements from </w:t>
      </w:r>
      <w:r w:rsidRPr="008973F6">
        <w:t>EPA ICR 2734.02 (OMB Control Number 2060-0753)</w:t>
      </w:r>
      <w:r>
        <w:t>.</w:t>
      </w:r>
    </w:p>
    <w:bookmarkEnd w:id="2"/>
    <w:p w:rsidR="008973F6" w:rsidP="00B96188" w14:paraId="0A91A92D" w14:textId="77777777">
      <w:pPr>
        <w:autoSpaceDE/>
        <w:autoSpaceDN/>
        <w:adjustRightInd/>
        <w:ind w:left="720"/>
        <w:textAlignment w:val="center"/>
      </w:pPr>
    </w:p>
    <w:p w:rsidR="004633C1" w:rsidP="00B96188" w14:paraId="0B095F7B" w14:textId="0983A12B">
      <w:pPr>
        <w:autoSpaceDE/>
        <w:autoSpaceDN/>
        <w:adjustRightInd/>
        <w:ind w:left="720"/>
        <w:textAlignment w:val="center"/>
      </w:pPr>
      <w:r>
        <w:t>The total labor burden to respondents or recordkeepers resulting from the collection of information</w:t>
      </w:r>
      <w:r>
        <w:t xml:space="preserve"> is</w:t>
      </w:r>
      <w:r w:rsidR="0006433C">
        <w:t xml:space="preserve"> </w:t>
      </w:r>
      <w:r w:rsidRPr="009A0677" w:rsidR="007D7FBF">
        <w:t>0</w:t>
      </w:r>
      <w:r>
        <w:t xml:space="preserve"> hours</w:t>
      </w:r>
      <w:r w:rsidR="00054D97">
        <w:t xml:space="preserve"> because all GHG regulations</w:t>
      </w:r>
      <w:r w:rsidR="00F8410C">
        <w:t xml:space="preserve"> adopted in 2024</w:t>
      </w:r>
      <w:r w:rsidR="00054D97">
        <w:t xml:space="preserve"> are proposed to be removed and there were no non-GHG reporting requirements </w:t>
      </w:r>
      <w:r w:rsidR="004E2D28">
        <w:t xml:space="preserve">associated with activities </w:t>
      </w:r>
      <w:r w:rsidR="00054D97">
        <w:t>included in the original Information Collection Request.</w:t>
      </w:r>
      <w:r>
        <w:t xml:space="preserve">  </w:t>
      </w:r>
    </w:p>
    <w:p w:rsidR="004633C1" w:rsidP="00B96188" w14:paraId="0BFB1B6A" w14:textId="77777777">
      <w:pPr>
        <w:autoSpaceDE/>
        <w:autoSpaceDN/>
        <w:adjustRightInd/>
        <w:ind w:left="720"/>
        <w:textAlignment w:val="center"/>
      </w:pPr>
    </w:p>
    <w:p w:rsidR="004633C1" w:rsidP="00B96188" w14:paraId="38009773" w14:textId="0C4C8512">
      <w:pPr>
        <w:autoSpaceDE/>
        <w:autoSpaceDN/>
        <w:adjustRightInd/>
        <w:ind w:left="720"/>
        <w:textAlignment w:val="center"/>
      </w:pPr>
      <w:r>
        <w:t>E</w:t>
      </w:r>
      <w:r w:rsidRPr="00B745CB">
        <w:t>PA is proposing the removal of all regulations that require new motor vehicle and new motor vehicle engine manufacturers to measure, report, or comply with standards for greenhouse gas (GHG) emissions. This proposal would include the removal of regulations in Parts 85, 86, 600, 1036, 1037</w:t>
      </w:r>
      <w:r w:rsidR="0046297C">
        <w:t>, and 1039</w:t>
      </w:r>
      <w:r w:rsidRPr="00B745CB">
        <w:t xml:space="preserve"> of Title 40 of the Code of Federal Regulations (CFR) that pertain to the control of GHG emissions from highway light-, medium- and heavy-duty vehicles, such as emission standards, test procedures, averaging, banking, and trading (ABT) reporting, and or fleet-average emission requirements. As the result of </w:t>
      </w:r>
      <w:r w:rsidR="008973F6">
        <w:t>the</w:t>
      </w:r>
      <w:r w:rsidRPr="00B745CB">
        <w:t xml:space="preserve"> proposed change</w:t>
      </w:r>
      <w:r w:rsidR="008973F6">
        <w:t>s</w:t>
      </w:r>
      <w:r w:rsidRPr="00B745CB">
        <w:t xml:space="preserve">, engine and vehicle manufacturers would no longer have any future obligations for the measurement, control, and reporting </w:t>
      </w:r>
      <w:r w:rsidRPr="00B745CB">
        <w:t xml:space="preserve">of GHG emissions for any highway engine and vehicle, including model years manufactured prior to </w:t>
      </w:r>
      <w:r w:rsidR="008973F6">
        <w:t>the</w:t>
      </w:r>
      <w:r w:rsidRPr="00B745CB">
        <w:t xml:space="preserve"> proposal. </w:t>
      </w:r>
    </w:p>
    <w:p w:rsidR="004633C1" w:rsidP="004633C1" w14:paraId="7C21DA94" w14:textId="77777777">
      <w:pPr>
        <w:autoSpaceDE/>
        <w:autoSpaceDN/>
        <w:adjustRightInd/>
        <w:ind w:left="360"/>
        <w:textAlignment w:val="center"/>
      </w:pPr>
    </w:p>
    <w:p w:rsidR="001B29E4" w:rsidP="00B96188" w14:paraId="5991A1C0" w14:textId="6E99C7B9">
      <w:pPr>
        <w:autoSpaceDE/>
        <w:autoSpaceDN/>
        <w:adjustRightInd/>
        <w:ind w:left="720"/>
        <w:textAlignment w:val="center"/>
      </w:pPr>
      <w:r>
        <w:t xml:space="preserve">See </w:t>
      </w:r>
      <w:r w:rsidRPr="002470DB">
        <w:rPr>
          <w:b/>
          <w:bCs/>
        </w:rPr>
        <w:t>Supplemental Information</w:t>
      </w:r>
      <w:r w:rsidR="00D37C08">
        <w:t xml:space="preserve">, </w:t>
      </w:r>
      <w:r w:rsidR="00AF53CA">
        <w:t xml:space="preserve">Section </w:t>
      </w:r>
      <w:r w:rsidR="00D37C08">
        <w:t>8,</w:t>
      </w:r>
      <w:r>
        <w:t xml:space="preserve"> for additional information about </w:t>
      </w:r>
      <w:r w:rsidR="004E15F3">
        <w:t xml:space="preserve">information </w:t>
      </w:r>
      <w:r w:rsidR="008902BC">
        <w:t xml:space="preserve">that will no longer </w:t>
      </w:r>
      <w:r w:rsidR="004E15F3">
        <w:t xml:space="preserve">be collected.  </w:t>
      </w:r>
    </w:p>
    <w:p w:rsidR="001B29E4" w:rsidP="00B96188" w14:paraId="1F2A2658" w14:textId="77777777">
      <w:pPr>
        <w:autoSpaceDE/>
        <w:autoSpaceDN/>
        <w:adjustRightInd/>
        <w:ind w:left="720"/>
        <w:textAlignment w:val="center"/>
      </w:pPr>
    </w:p>
    <w:p w:rsidR="005E1637" w:rsidP="00B96188" w14:paraId="2C05D5AF" w14:textId="3B575A24">
      <w:pPr>
        <w:autoSpaceDE/>
        <w:autoSpaceDN/>
        <w:adjustRightInd/>
        <w:spacing w:after="160" w:line="259" w:lineRule="auto"/>
        <w:ind w:left="720"/>
      </w:pPr>
      <w:r>
        <w:t>The 2024</w:t>
      </w:r>
      <w:r w:rsidR="00E17269">
        <w:t xml:space="preserve"> Information Collection Request</w:t>
      </w:r>
      <w:r>
        <w:t xml:space="preserve">, </w:t>
      </w:r>
      <w:r w:rsidR="00E17269">
        <w:t xml:space="preserve">EPA ICR 2734.02, </w:t>
      </w:r>
      <w:r w:rsidRPr="00E11293" w:rsidR="00433630">
        <w:t xml:space="preserve">used the Bureau of Labor Statistics' (BLS) 2016 National Industry-specific Occupational Wage Estimates for the Engine, Turbine and Power Transmission Equipment Manufacturing Industry (NAICS 333600, available </w:t>
      </w:r>
      <w:r w:rsidRPr="00E11293" w:rsidR="00433630">
        <w:rPr>
          <w:color w:val="000000"/>
        </w:rPr>
        <w:t xml:space="preserve">at </w:t>
      </w:r>
      <w:hyperlink r:id="rId10" w:history="1">
        <w:r w:rsidRPr="00E11293" w:rsidR="00433630">
          <w:rPr>
            <w:rStyle w:val="Hyperlink"/>
          </w:rPr>
          <w:t>https://www.bls.gov/oes/2016/may/naics4_333600.htm</w:t>
        </w:r>
      </w:hyperlink>
      <w:r w:rsidRPr="00E11293" w:rsidR="00433630">
        <w:t>).  EPA used mean hourly rates increased by a factor of 2.1 to account for benefits and overhead.</w:t>
      </w:r>
      <w:r w:rsidR="00D56EC3">
        <w:t xml:space="preserve">  The labor costs used </w:t>
      </w:r>
      <w:r>
        <w:t xml:space="preserve">in the 2024 ICR </w:t>
      </w:r>
      <w:r w:rsidR="00D56EC3">
        <w:t xml:space="preserve">are set out in Table </w:t>
      </w:r>
      <w:r w:rsidR="00D71A17">
        <w:t>1</w:t>
      </w:r>
      <w:r w:rsidR="00D56EC3">
        <w:t>.</w:t>
      </w:r>
    </w:p>
    <w:p w:rsidR="004633C1" w:rsidP="00B96188" w14:paraId="025F1908" w14:textId="77777777">
      <w:pPr>
        <w:autoSpaceDE/>
        <w:autoSpaceDN/>
        <w:adjustRightInd/>
        <w:spacing w:after="160" w:line="259" w:lineRule="auto"/>
        <w:ind w:left="720"/>
      </w:pPr>
      <w:r>
        <w:t>For the number of respondents by manufacture category, see SUPPLEMENTAL INFORMATION, Section 4, below.</w:t>
      </w:r>
    </w:p>
    <w:p w:rsidR="003238FA" w:rsidP="00520351" w14:paraId="2B0C0302" w14:textId="77777777">
      <w:pPr>
        <w:pStyle w:val="Caption"/>
        <w:keepNext/>
        <w:jc w:val="center"/>
        <w:rPr>
          <w:sz w:val="24"/>
          <w:szCs w:val="24"/>
        </w:rPr>
      </w:pPr>
    </w:p>
    <w:p w:rsidR="00D93755" w:rsidRPr="00520351" w:rsidP="00520351" w14:paraId="774CFC4D" w14:textId="3517B7D0">
      <w:pPr>
        <w:pStyle w:val="Caption"/>
        <w:keepNext/>
        <w:jc w:val="center"/>
        <w:rPr>
          <w:sz w:val="24"/>
          <w:szCs w:val="24"/>
        </w:rPr>
      </w:pPr>
      <w:r w:rsidRPr="00520351">
        <w:rPr>
          <w:sz w:val="24"/>
          <w:szCs w:val="24"/>
        </w:rPr>
        <w:t xml:space="preserve">Table </w:t>
      </w:r>
      <w:r w:rsidR="003238FA">
        <w:rPr>
          <w:sz w:val="24"/>
          <w:szCs w:val="24"/>
        </w:rPr>
        <w:t>1</w:t>
      </w:r>
      <w:r w:rsidRPr="00520351">
        <w:rPr>
          <w:sz w:val="24"/>
          <w:szCs w:val="24"/>
        </w:rPr>
        <w:t xml:space="preserve"> - Labor Cost Estimates</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3770"/>
        <w:gridCol w:w="1441"/>
        <w:gridCol w:w="1480"/>
        <w:gridCol w:w="2651"/>
      </w:tblGrid>
      <w:tr w14:paraId="5BACB4F0" w14:textId="77777777" w:rsidTr="00412288">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471"/>
        </w:trPr>
        <w:tc>
          <w:tcPr>
            <w:tcW w:w="201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412288" w:rsidP="00D93755" w14:paraId="43C8591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sz w:val="22"/>
                <w:szCs w:val="22"/>
              </w:rPr>
            </w:pPr>
            <w:r w:rsidRPr="00412288">
              <w:rPr>
                <w:b/>
                <w:sz w:val="22"/>
                <w:szCs w:val="22"/>
              </w:rPr>
              <w:t>Occupation</w:t>
            </w:r>
          </w:p>
        </w:tc>
        <w:tc>
          <w:tcPr>
            <w:tcW w:w="771"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412288" w:rsidP="00D93755" w14:paraId="780FCA0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2"/>
                <w:szCs w:val="22"/>
              </w:rPr>
            </w:pPr>
            <w:r w:rsidRPr="00412288">
              <w:rPr>
                <w:b/>
                <w:sz w:val="22"/>
                <w:szCs w:val="22"/>
              </w:rPr>
              <w:t>SOC Code Number</w:t>
            </w:r>
          </w:p>
        </w:tc>
        <w:tc>
          <w:tcPr>
            <w:tcW w:w="792"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412288" w:rsidP="00D93755" w14:paraId="10C78C7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2"/>
                <w:szCs w:val="22"/>
              </w:rPr>
            </w:pPr>
            <w:r w:rsidRPr="00412288">
              <w:rPr>
                <w:b/>
                <w:sz w:val="22"/>
                <w:szCs w:val="22"/>
              </w:rPr>
              <w:t>Mean Hourly Rate</w:t>
            </w:r>
          </w:p>
        </w:tc>
        <w:tc>
          <w:tcPr>
            <w:tcW w:w="1419"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D93755" w:rsidRPr="00412288" w:rsidP="00D93755" w14:paraId="5263D9F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2"/>
                <w:szCs w:val="22"/>
              </w:rPr>
            </w:pPr>
            <w:r w:rsidRPr="00412288">
              <w:rPr>
                <w:b/>
                <w:sz w:val="22"/>
                <w:szCs w:val="22"/>
              </w:rPr>
              <w:t>Adjusted Mean Hourly Rate (Including Benefits and Overhead)</w:t>
            </w:r>
          </w:p>
        </w:tc>
      </w:tr>
      <w:tr w14:paraId="6D5EE6DE"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0BA6327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Mechanical Engineers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01EB639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17-2141</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3E594A1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$45.17</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027C15D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bookmarkStart w:id="3" w:name="RANGE!D2"/>
            <w:r w:rsidRPr="00412288">
              <w:rPr>
                <w:color w:val="000000"/>
                <w:sz w:val="22"/>
                <w:szCs w:val="22"/>
              </w:rPr>
              <w:t>$94.86</w:t>
            </w:r>
            <w:bookmarkEnd w:id="3"/>
          </w:p>
        </w:tc>
      </w:tr>
      <w:tr w14:paraId="1B8B0D5A"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6CCBC5F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Engineering Managers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6076741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11-9041</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3B515F3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$72.53</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3BBEA34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$152.31</w:t>
            </w:r>
          </w:p>
        </w:tc>
      </w:tr>
      <w:tr w14:paraId="7A7D9847"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408BE36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Lawyers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519FB89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23-1011</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777A42D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$85.75</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286309D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$180.08</w:t>
            </w:r>
          </w:p>
        </w:tc>
      </w:tr>
      <w:tr w14:paraId="7CA7B1DD"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3F47E2D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43D52BB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17-3027</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63F9EEE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$31.81</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064E15D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$66.80</w:t>
            </w:r>
          </w:p>
        </w:tc>
      </w:tr>
      <w:tr w14:paraId="6C30F33F"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485F5B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Computer and Information Analysts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0D3E881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15-1210</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32F7C28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$43.78</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65EDBB2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$91.94</w:t>
            </w:r>
          </w:p>
        </w:tc>
      </w:tr>
      <w:tr w14:paraId="17DBB807"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2CF0A7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Secretaries, Except Legal, Medical and Executives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274F391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43-6014</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254D4A4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$21.84</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2128088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$45.86</w:t>
            </w:r>
          </w:p>
        </w:tc>
      </w:tr>
      <w:tr w14:paraId="5E3CDB36" w14:textId="77777777" w:rsidTr="00412288">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D93755" w:rsidRPr="00412288" w:rsidP="00D93755" w14:paraId="632F929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2"/>
                <w:szCs w:val="22"/>
              </w:rPr>
            </w:pPr>
            <w:r w:rsidRPr="00412288">
              <w:rPr>
                <w:color w:val="000000"/>
                <w:sz w:val="22"/>
                <w:szCs w:val="22"/>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D93755" w:rsidRPr="00412288" w:rsidP="00D93755" w14:paraId="3318D2C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17-3027</w:t>
            </w:r>
          </w:p>
        </w:tc>
        <w:tc>
          <w:tcPr>
            <w:tcW w:w="792" w:type="pct"/>
            <w:tcBorders>
              <w:top w:val="single" w:sz="7" w:space="0" w:color="000000"/>
              <w:left w:val="single" w:sz="7" w:space="0" w:color="000000"/>
              <w:bottom w:val="single" w:sz="7" w:space="0" w:color="000000"/>
              <w:right w:val="single" w:sz="7" w:space="0" w:color="000000"/>
            </w:tcBorders>
          </w:tcPr>
          <w:p w:rsidR="00D93755" w:rsidRPr="00412288" w:rsidP="00D93755" w14:paraId="5A5BD1A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$31.81</w:t>
            </w:r>
          </w:p>
        </w:tc>
        <w:tc>
          <w:tcPr>
            <w:tcW w:w="1419" w:type="pct"/>
            <w:tcBorders>
              <w:top w:val="single" w:sz="7" w:space="0" w:color="000000"/>
              <w:left w:val="single" w:sz="7" w:space="0" w:color="000000"/>
              <w:bottom w:val="single" w:sz="7" w:space="0" w:color="000000"/>
              <w:right w:val="single" w:sz="7" w:space="0" w:color="000000"/>
            </w:tcBorders>
          </w:tcPr>
          <w:p w:rsidR="00D93755" w:rsidRPr="00412288" w:rsidP="00D93755" w14:paraId="0F878D1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2"/>
                <w:szCs w:val="22"/>
              </w:rPr>
            </w:pPr>
            <w:r w:rsidRPr="00412288">
              <w:rPr>
                <w:color w:val="000000"/>
                <w:sz w:val="22"/>
                <w:szCs w:val="22"/>
              </w:rPr>
              <w:t>$66.80</w:t>
            </w:r>
          </w:p>
        </w:tc>
      </w:tr>
    </w:tbl>
    <w:p w:rsidR="00E41580" w:rsidP="00C71FCB" w14:paraId="33CDD4D4" w14:textId="3CB43F29">
      <w:pPr>
        <w:autoSpaceDE/>
        <w:autoSpaceDN/>
        <w:adjustRightInd/>
        <w:spacing w:after="160" w:line="259" w:lineRule="auto"/>
      </w:pPr>
    </w:p>
    <w:p w:rsidR="003238FA" w:rsidP="003238FA" w14:paraId="299ED029" w14:textId="77777777">
      <w:pPr>
        <w:autoSpaceDE/>
        <w:autoSpaceDN/>
        <w:adjustRightInd/>
        <w:spacing w:after="160" w:line="259" w:lineRule="auto"/>
      </w:pPr>
    </w:p>
    <w:p w:rsidR="002B15D5" w:rsidRPr="00433630" w:rsidP="000A0844" w14:paraId="43B58143" w14:textId="3EA5ADEE">
      <w:pPr>
        <w:pStyle w:val="ICR3"/>
      </w:pPr>
      <w:r w:rsidRPr="00433630">
        <w:t>13. Provide an estimate for the total annual cost burden to respondents or record keepers</w:t>
      </w:r>
    </w:p>
    <w:p w:rsidR="002B15D5" w:rsidRPr="00433630" w:rsidP="002B15D5" w14:paraId="252CC467" w14:textId="77777777">
      <w:pPr>
        <w:pStyle w:val="NoSpacing"/>
        <w:rPr>
          <w:rFonts w:ascii="Times New Roman" w:hAnsi="Times New Roman" w:cs="Times New Roman"/>
          <w:b/>
          <w:bCs/>
          <w:sz w:val="24"/>
          <w:szCs w:val="24"/>
        </w:rPr>
      </w:pPr>
      <w:r w:rsidRPr="00433630">
        <w:rPr>
          <w:rFonts w:ascii="Times New Roman" w:hAnsi="Times New Roman" w:cs="Times New Roman"/>
          <w:b/>
          <w:bCs/>
          <w:sz w:val="24"/>
          <w:szCs w:val="24"/>
        </w:rPr>
        <w:t>resulting from the collection of information. (Do not include the cost of any hour burden</w:t>
      </w:r>
    </w:p>
    <w:p w:rsidR="002B15D5" w:rsidRPr="00433630" w:rsidP="002B15D5" w14:paraId="41776DD2" w14:textId="77777777">
      <w:pPr>
        <w:pStyle w:val="NoSpacing"/>
        <w:rPr>
          <w:rFonts w:ascii="Times New Roman" w:hAnsi="Times New Roman" w:cs="Times New Roman"/>
          <w:b/>
          <w:bCs/>
          <w:sz w:val="24"/>
          <w:szCs w:val="24"/>
        </w:rPr>
      </w:pPr>
      <w:r w:rsidRPr="00433630">
        <w:rPr>
          <w:rFonts w:ascii="Times New Roman" w:hAnsi="Times New Roman" w:cs="Times New Roman"/>
          <w:b/>
          <w:bCs/>
          <w:sz w:val="24"/>
          <w:szCs w:val="24"/>
        </w:rPr>
        <w:t>already reflected on the burden worksheet).</w:t>
      </w:r>
    </w:p>
    <w:p w:rsidR="00F05AF7" w:rsidRPr="00433630" w:rsidP="002B15D5" w14:paraId="20B35187" w14:textId="77777777">
      <w:pPr>
        <w:pStyle w:val="NoSpacing"/>
        <w:rPr>
          <w:rFonts w:ascii="Times New Roman" w:hAnsi="Times New Roman" w:cs="Times New Roman"/>
          <w:b/>
          <w:bCs/>
          <w:sz w:val="24"/>
          <w:szCs w:val="24"/>
        </w:rPr>
      </w:pPr>
    </w:p>
    <w:p w:rsidR="00E02925" w:rsidRPr="00433630" w:rsidP="00083F37" w14:paraId="3BD5F40B" w14:textId="77777777">
      <w:pPr>
        <w:pStyle w:val="NoSpacing"/>
        <w:numPr>
          <w:ilvl w:val="0"/>
          <w:numId w:val="18"/>
        </w:numPr>
        <w:rPr>
          <w:rFonts w:ascii="Times New Roman" w:hAnsi="Times New Roman" w:cs="Times New Roman"/>
          <w:b/>
          <w:bCs/>
          <w:sz w:val="24"/>
          <w:szCs w:val="24"/>
        </w:rPr>
      </w:pPr>
      <w:r w:rsidRPr="00433630">
        <w:rPr>
          <w:rFonts w:ascii="Times New Roman" w:hAnsi="Times New Roman" w:cs="Times New Roman"/>
          <w:b/>
          <w:bCs/>
          <w:sz w:val="24"/>
          <w:szCs w:val="24"/>
        </w:rPr>
        <w:t>The cost estimate should be split into two components: (a) a total capital and start-up cost</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component (annualized over its expected useful life) and (b) a total operation and</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 xml:space="preserve">maintenance and purchase of services component. The estimates should </w:t>
      </w:r>
      <w:r w:rsidRPr="00433630">
        <w:rPr>
          <w:rFonts w:ascii="Times New Roman" w:hAnsi="Times New Roman" w:cs="Times New Roman"/>
          <w:b/>
          <w:bCs/>
          <w:sz w:val="24"/>
          <w:szCs w:val="24"/>
        </w:rPr>
        <w:t>take into account</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costs associated with generating, maintaining, and disclosing or providing the</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information. Include descriptions of methods used to estimate major cost factors</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including system and technology acquisition, expected useful life of capital equipment,</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 xml:space="preserve">the discount rate(s), and the </w:t>
      </w:r>
      <w:r w:rsidRPr="00433630">
        <w:rPr>
          <w:rFonts w:ascii="Times New Roman" w:hAnsi="Times New Roman" w:cs="Times New Roman"/>
          <w:b/>
          <w:bCs/>
          <w:sz w:val="24"/>
          <w:szCs w:val="24"/>
        </w:rPr>
        <w:t>time period</w:t>
      </w:r>
      <w:r w:rsidRPr="00433630">
        <w:rPr>
          <w:rFonts w:ascii="Times New Roman" w:hAnsi="Times New Roman" w:cs="Times New Roman"/>
          <w:b/>
          <w:bCs/>
          <w:sz w:val="24"/>
          <w:szCs w:val="24"/>
        </w:rPr>
        <w:t xml:space="preserve"> over which costs will be incurred. Capital and</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 xml:space="preserve">start-up costs include, among other items, preparations for </w:t>
      </w:r>
      <w:r w:rsidRPr="00433630">
        <w:rPr>
          <w:rFonts w:ascii="Times New Roman" w:hAnsi="Times New Roman" w:cs="Times New Roman"/>
          <w:b/>
          <w:bCs/>
          <w:sz w:val="24"/>
          <w:szCs w:val="24"/>
        </w:rPr>
        <w:t>collecting information such as</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purchasing computers and software; monitoring, sampling, drilling and testing</w:t>
      </w:r>
      <w:r w:rsidRPr="00433630" w:rsidR="00F05AF7">
        <w:rPr>
          <w:rFonts w:ascii="Times New Roman" w:hAnsi="Times New Roman" w:cs="Times New Roman"/>
          <w:b/>
          <w:bCs/>
          <w:sz w:val="24"/>
          <w:szCs w:val="24"/>
        </w:rPr>
        <w:t xml:space="preserve"> </w:t>
      </w:r>
      <w:r w:rsidRPr="00433630">
        <w:rPr>
          <w:rFonts w:ascii="Times New Roman" w:hAnsi="Times New Roman" w:cs="Times New Roman"/>
          <w:b/>
          <w:bCs/>
          <w:sz w:val="24"/>
          <w:szCs w:val="24"/>
        </w:rPr>
        <w:t>equipment; and record storage facilities.</w:t>
      </w:r>
    </w:p>
    <w:p w:rsidR="00E02925" w:rsidRPr="00433630" w:rsidP="00083F37" w14:paraId="5B637628" w14:textId="77777777">
      <w:pPr>
        <w:pStyle w:val="NoSpacing"/>
        <w:numPr>
          <w:ilvl w:val="0"/>
          <w:numId w:val="18"/>
        </w:numPr>
        <w:rPr>
          <w:rFonts w:ascii="Times New Roman" w:hAnsi="Times New Roman" w:cs="Times New Roman"/>
          <w:b/>
          <w:bCs/>
          <w:sz w:val="24"/>
          <w:szCs w:val="24"/>
        </w:rPr>
      </w:pPr>
      <w:r w:rsidRPr="00433630">
        <w:rPr>
          <w:rFonts w:ascii="Times New Roman" w:hAnsi="Times New Roman" w:cs="Times New Roman"/>
          <w:b/>
          <w:bCs/>
          <w:sz w:val="24"/>
          <w:szCs w:val="24"/>
        </w:rPr>
        <w:t>If cost estimates are expected to vary widely, agencies should present ranges of cost</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burdens and explain the reasons for the variance. The cost of purchasing or contracting</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out information collections services should be a part of this cost burden estimate. In</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developing cost burden estimates, agencies may consult with a sample of respondents</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(fewer than 10), utilize the 60-day pre-OMB submission public comment process and use</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existing economic or regulatory impact analysis associated with the rulemaking</w:t>
      </w:r>
      <w:r w:rsidRPr="00433630">
        <w:rPr>
          <w:rFonts w:ascii="Times New Roman" w:hAnsi="Times New Roman" w:cs="Times New Roman"/>
          <w:b/>
          <w:bCs/>
          <w:sz w:val="24"/>
          <w:szCs w:val="24"/>
        </w:rPr>
        <w:t xml:space="preserve"> </w:t>
      </w:r>
      <w:r w:rsidRPr="00433630">
        <w:rPr>
          <w:rFonts w:ascii="Times New Roman" w:hAnsi="Times New Roman" w:cs="Times New Roman"/>
          <w:b/>
          <w:bCs/>
          <w:sz w:val="24"/>
          <w:szCs w:val="24"/>
        </w:rPr>
        <w:t>containing the information collection, as appropriate.</w:t>
      </w:r>
    </w:p>
    <w:p w:rsidR="002B15D5" w:rsidRPr="00433630" w:rsidP="00083F37" w14:paraId="79E0F209" w14:textId="1845BC84">
      <w:pPr>
        <w:pStyle w:val="NoSpacing"/>
        <w:numPr>
          <w:ilvl w:val="0"/>
          <w:numId w:val="18"/>
        </w:numPr>
        <w:rPr>
          <w:rFonts w:ascii="Times New Roman" w:hAnsi="Times New Roman" w:cs="Times New Roman"/>
          <w:b/>
          <w:bCs/>
          <w:sz w:val="24"/>
          <w:szCs w:val="24"/>
        </w:rPr>
      </w:pPr>
      <w:r w:rsidRPr="00433630">
        <w:rPr>
          <w:rFonts w:ascii="Times New Roman" w:hAnsi="Times New Roman" w:cs="Times New Roman"/>
          <w:b/>
          <w:bCs/>
          <w:sz w:val="24"/>
          <w:szCs w:val="24"/>
        </w:rPr>
        <w:t>Generally, estimates should not include purchases of equipment or services, or portions</w:t>
      </w:r>
      <w:r w:rsidRPr="00433630" w:rsidR="00E02925">
        <w:rPr>
          <w:rFonts w:ascii="Times New Roman" w:hAnsi="Times New Roman" w:cs="Times New Roman"/>
          <w:b/>
          <w:bCs/>
          <w:sz w:val="24"/>
          <w:szCs w:val="24"/>
        </w:rPr>
        <w:t xml:space="preserve"> </w:t>
      </w:r>
      <w:r w:rsidRPr="00433630">
        <w:rPr>
          <w:rFonts w:ascii="Times New Roman" w:hAnsi="Times New Roman" w:cs="Times New Roman"/>
          <w:b/>
          <w:bCs/>
          <w:sz w:val="24"/>
          <w:szCs w:val="24"/>
        </w:rPr>
        <w:t>thereof, made: (1) prior to October 1, 1995, (2) to achieve regulatory compliance with</w:t>
      </w:r>
      <w:r w:rsidRPr="00433630" w:rsidR="00E02925">
        <w:rPr>
          <w:rFonts w:ascii="Times New Roman" w:hAnsi="Times New Roman" w:cs="Times New Roman"/>
          <w:b/>
          <w:bCs/>
          <w:sz w:val="24"/>
          <w:szCs w:val="24"/>
        </w:rPr>
        <w:t xml:space="preserve"> </w:t>
      </w:r>
      <w:r w:rsidRPr="00433630">
        <w:rPr>
          <w:rFonts w:ascii="Times New Roman" w:hAnsi="Times New Roman" w:cs="Times New Roman"/>
          <w:b/>
          <w:bCs/>
          <w:sz w:val="24"/>
          <w:szCs w:val="24"/>
        </w:rPr>
        <w:t>requirements not associated with the information collection, (3) for reasons other than to</w:t>
      </w:r>
      <w:r w:rsidRPr="00433630" w:rsidR="00E02925">
        <w:rPr>
          <w:rFonts w:ascii="Times New Roman" w:hAnsi="Times New Roman" w:cs="Times New Roman"/>
          <w:b/>
          <w:bCs/>
          <w:sz w:val="24"/>
          <w:szCs w:val="24"/>
        </w:rPr>
        <w:t xml:space="preserve"> </w:t>
      </w:r>
      <w:r w:rsidRPr="00433630">
        <w:rPr>
          <w:rFonts w:ascii="Times New Roman" w:hAnsi="Times New Roman" w:cs="Times New Roman"/>
          <w:b/>
          <w:bCs/>
          <w:sz w:val="24"/>
          <w:szCs w:val="24"/>
        </w:rPr>
        <w:t>provide information or keep records for the government, or (4) as part of customary and</w:t>
      </w:r>
      <w:r w:rsidRPr="00433630" w:rsidR="00E02925">
        <w:rPr>
          <w:rFonts w:ascii="Times New Roman" w:hAnsi="Times New Roman" w:cs="Times New Roman"/>
          <w:b/>
          <w:bCs/>
          <w:sz w:val="24"/>
          <w:szCs w:val="24"/>
        </w:rPr>
        <w:t xml:space="preserve"> </w:t>
      </w:r>
      <w:r w:rsidRPr="00433630">
        <w:rPr>
          <w:rFonts w:ascii="Times New Roman" w:hAnsi="Times New Roman" w:cs="Times New Roman"/>
          <w:b/>
          <w:bCs/>
          <w:sz w:val="24"/>
          <w:szCs w:val="24"/>
        </w:rPr>
        <w:t>usual business or private practices.</w:t>
      </w:r>
    </w:p>
    <w:p w:rsidR="00F81FD0" w:rsidRPr="00E11293" w:rsidP="002B15D5" w14:paraId="5BA55A49" w14:textId="58830F87">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3238FA" w:rsidP="00B96188" w14:paraId="09CA1EB8" w14:textId="028D7D5D">
      <w:pPr>
        <w:autoSpaceDE/>
        <w:autoSpaceDN/>
        <w:adjustRightInd/>
        <w:ind w:left="720"/>
        <w:textAlignment w:val="center"/>
      </w:pPr>
      <w:r>
        <w:t xml:space="preserve">Table 2 </w:t>
      </w:r>
      <w:r w:rsidR="00B51746">
        <w:t>summarizes</w:t>
      </w:r>
      <w:r>
        <w:t xml:space="preserve"> the estimated labor and cost burden associated with the proposal</w:t>
      </w:r>
      <w:r w:rsidR="00834030">
        <w:t xml:space="preserve"> to remove GHG regulations</w:t>
      </w:r>
      <w:r>
        <w:t xml:space="preserve">.  It includes the original burden estimates for the 2024 </w:t>
      </w:r>
      <w:r w:rsidR="007D7FBF">
        <w:t xml:space="preserve">HDP3 </w:t>
      </w:r>
      <w:r>
        <w:t xml:space="preserve">rulemaking, the estimated </w:t>
      </w:r>
      <w:r w:rsidR="001531FF">
        <w:t xml:space="preserve">changes </w:t>
      </w:r>
      <w:r>
        <w:t>from the proposal to remove the GHG standards</w:t>
      </w:r>
      <w:r w:rsidR="00B51746">
        <w:t xml:space="preserve"> and related requirements</w:t>
      </w:r>
      <w:r>
        <w:t xml:space="preserve">, and the remaining burden </w:t>
      </w:r>
      <w:r w:rsidR="00834030">
        <w:t>after</w:t>
      </w:r>
      <w:r>
        <w:t xml:space="preserve"> the GHG standards</w:t>
      </w:r>
      <w:r w:rsidR="00B51746">
        <w:t xml:space="preserve"> and related requirements</w:t>
      </w:r>
      <w:r>
        <w:t xml:space="preserve"> </w:t>
      </w:r>
      <w:r w:rsidR="00834030">
        <w:t>are</w:t>
      </w:r>
      <w:r>
        <w:t xml:space="preserve"> removed.  Detailed estimates </w:t>
      </w:r>
      <w:r w:rsidR="00521915">
        <w:t>are provided</w:t>
      </w:r>
      <w:r>
        <w:t xml:space="preserve"> in the appendices to this document.  </w:t>
      </w:r>
    </w:p>
    <w:p w:rsidR="003238FA" w:rsidP="003238FA" w14:paraId="2A09420D" w14:textId="77777777">
      <w:pPr>
        <w:autoSpaceDE/>
        <w:autoSpaceDN/>
        <w:adjustRightInd/>
        <w:ind w:left="360"/>
        <w:textAlignment w:val="center"/>
      </w:pPr>
    </w:p>
    <w:p w:rsidR="00B51746" w:rsidP="00B96188" w14:paraId="72F0779B" w14:textId="5ED871C1">
      <w:pPr>
        <w:autoSpaceDE/>
        <w:autoSpaceDN/>
        <w:adjustRightInd/>
        <w:ind w:left="720"/>
        <w:textAlignment w:val="center"/>
      </w:pPr>
      <w:r>
        <w:t xml:space="preserve">Removal of the GHG standards and related requirements from the </w:t>
      </w:r>
      <w:r w:rsidR="0006433C">
        <w:t>heavy-duty</w:t>
      </w:r>
      <w:r w:rsidR="00344FA4">
        <w:t xml:space="preserve"> vehicle program </w:t>
      </w:r>
      <w:r w:rsidR="00141E7E">
        <w:t xml:space="preserve">results in a revised information </w:t>
      </w:r>
      <w:r w:rsidRPr="009A0677" w:rsidR="00141E7E">
        <w:t>collection of $0</w:t>
      </w:r>
      <w:r w:rsidR="00141E7E">
        <w:t xml:space="preserve"> for EPA ICR 2734.03</w:t>
      </w:r>
      <w:r w:rsidR="0006433C">
        <w:t>.</w:t>
      </w:r>
      <w:r>
        <w:t xml:space="preserve"> </w:t>
      </w:r>
    </w:p>
    <w:p w:rsidR="003238FA" w:rsidP="003238FA" w14:paraId="33B2D78D" w14:textId="77777777">
      <w:pPr>
        <w:autoSpaceDE/>
        <w:autoSpaceDN/>
        <w:adjustRightInd/>
        <w:ind w:left="360"/>
        <w:textAlignment w:val="center"/>
      </w:pPr>
    </w:p>
    <w:p w:rsidR="003238FA" w:rsidP="003238FA" w14:paraId="6F040400" w14:textId="4E64A56D">
      <w:pPr>
        <w:pStyle w:val="Caption"/>
        <w:keepNext/>
        <w:jc w:val="center"/>
        <w:rPr>
          <w:sz w:val="24"/>
          <w:szCs w:val="24"/>
        </w:rPr>
      </w:pPr>
      <w:r w:rsidRPr="00520351">
        <w:rPr>
          <w:sz w:val="24"/>
          <w:szCs w:val="24"/>
        </w:rPr>
        <w:t xml:space="preserve">Table </w:t>
      </w:r>
      <w:r>
        <w:rPr>
          <w:sz w:val="24"/>
          <w:szCs w:val="24"/>
        </w:rPr>
        <w:t>2</w:t>
      </w:r>
      <w:r w:rsidRPr="00520351">
        <w:rPr>
          <w:sz w:val="24"/>
          <w:szCs w:val="24"/>
        </w:rPr>
        <w:t xml:space="preserve"> </w:t>
      </w:r>
      <w:r>
        <w:rPr>
          <w:sz w:val="24"/>
          <w:szCs w:val="24"/>
        </w:rPr>
        <w:t>–</w:t>
      </w:r>
      <w:r w:rsidRPr="00520351">
        <w:rPr>
          <w:sz w:val="24"/>
          <w:szCs w:val="24"/>
        </w:rPr>
        <w:t xml:space="preserve"> </w:t>
      </w:r>
      <w:r>
        <w:rPr>
          <w:sz w:val="24"/>
          <w:szCs w:val="24"/>
        </w:rPr>
        <w:t>Information Collection Burden Estimates</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1272"/>
        <w:gridCol w:w="1201"/>
        <w:gridCol w:w="1226"/>
        <w:gridCol w:w="1142"/>
        <w:gridCol w:w="1562"/>
        <w:gridCol w:w="1485"/>
        <w:gridCol w:w="1454"/>
      </w:tblGrid>
      <w:tr w14:paraId="05401043" w14:textId="77777777" w:rsidTr="009B62DF">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471"/>
        </w:trPr>
        <w:tc>
          <w:tcPr>
            <w:tcW w:w="681"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1404A4F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sz w:val="20"/>
                <w:szCs w:val="20"/>
              </w:rPr>
            </w:pPr>
          </w:p>
        </w:tc>
        <w:tc>
          <w:tcPr>
            <w:tcW w:w="643"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1138A05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p>
        </w:tc>
        <w:tc>
          <w:tcPr>
            <w:tcW w:w="656"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446D28C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691464">
              <w:rPr>
                <w:sz w:val="20"/>
                <w:szCs w:val="20"/>
              </w:rPr>
              <w:t>No. Respondents</w:t>
            </w:r>
          </w:p>
        </w:tc>
        <w:tc>
          <w:tcPr>
            <w:tcW w:w="611"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2AC2A3C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Total Hours</w:t>
            </w:r>
          </w:p>
        </w:tc>
        <w:tc>
          <w:tcPr>
            <w:tcW w:w="836"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0811CD5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Total costs/year</w:t>
            </w:r>
          </w:p>
        </w:tc>
        <w:tc>
          <w:tcPr>
            <w:tcW w:w="795"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2DFEE6A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Total Capital and O&amp;M</w:t>
            </w:r>
          </w:p>
        </w:tc>
        <w:tc>
          <w:tcPr>
            <w:tcW w:w="77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9E5E1B" w:rsidRPr="00691464" w:rsidP="009B62DF" w14:paraId="26E39E6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Hours/ Respondent</w:t>
            </w:r>
          </w:p>
        </w:tc>
      </w:tr>
      <w:tr w14:paraId="4984BDCF" w14:textId="77777777" w:rsidTr="009B62DF">
        <w:tblPrEx>
          <w:tblW w:w="5000" w:type="pct"/>
          <w:tblCellMar>
            <w:left w:w="101" w:type="dxa"/>
            <w:right w:w="101" w:type="dxa"/>
          </w:tblCellMar>
          <w:tblLook w:val="0000"/>
        </w:tblPrEx>
        <w:trPr>
          <w:cantSplit/>
          <w:trHeight w:val="288"/>
        </w:trPr>
        <w:tc>
          <w:tcPr>
            <w:tcW w:w="681" w:type="pct"/>
            <w:vMerge w:val="restart"/>
            <w:tcBorders>
              <w:top w:val="single" w:sz="7" w:space="0" w:color="000000"/>
              <w:left w:val="single" w:sz="7" w:space="0" w:color="000000"/>
              <w:right w:val="single" w:sz="7" w:space="0" w:color="000000"/>
            </w:tcBorders>
          </w:tcPr>
          <w:p w:rsidR="009E5E1B" w:rsidRPr="00691464" w:rsidP="009B62DF" w14:paraId="05BC9B15" w14:textId="0B432B9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sidRPr="00691464">
              <w:rPr>
                <w:color w:val="000000"/>
                <w:sz w:val="20"/>
                <w:szCs w:val="20"/>
              </w:rPr>
              <w:t>Old Estimated Burden (EPA ICR 27</w:t>
            </w:r>
            <w:r>
              <w:rPr>
                <w:color w:val="000000"/>
                <w:sz w:val="20"/>
                <w:szCs w:val="20"/>
              </w:rPr>
              <w:t>34</w:t>
            </w:r>
            <w:r w:rsidRPr="00691464">
              <w:rPr>
                <w:color w:val="000000"/>
                <w:sz w:val="20"/>
                <w:szCs w:val="20"/>
              </w:rPr>
              <w:t>.02)</w:t>
            </w:r>
          </w:p>
        </w:tc>
        <w:tc>
          <w:tcPr>
            <w:tcW w:w="643" w:type="pct"/>
            <w:tcBorders>
              <w:top w:val="single" w:sz="7" w:space="0" w:color="000000"/>
              <w:left w:val="single" w:sz="7" w:space="0" w:color="000000"/>
              <w:bottom w:val="single" w:sz="7" w:space="0" w:color="000000"/>
              <w:right w:val="single" w:sz="7" w:space="0" w:color="000000"/>
            </w:tcBorders>
          </w:tcPr>
          <w:p w:rsidR="009E5E1B" w:rsidRPr="00691464" w:rsidP="009B62DF" w14:paraId="2F9625B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Criteria Pollutants</w:t>
            </w:r>
          </w:p>
        </w:tc>
        <w:tc>
          <w:tcPr>
            <w:tcW w:w="656" w:type="pct"/>
            <w:tcBorders>
              <w:top w:val="single" w:sz="7" w:space="0" w:color="000000"/>
              <w:left w:val="single" w:sz="7" w:space="0" w:color="000000"/>
              <w:bottom w:val="single" w:sz="7" w:space="0" w:color="000000"/>
              <w:right w:val="single" w:sz="7" w:space="0" w:color="000000"/>
            </w:tcBorders>
          </w:tcPr>
          <w:p w:rsidR="009E5E1B" w:rsidRPr="00932EA2" w:rsidP="009B62DF" w14:paraId="2E31699F" w14:textId="79B4762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932EA2">
              <w:rPr>
                <w:color w:val="000000"/>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E5E1B" w:rsidRPr="00932EA2" w:rsidP="009B62DF" w14:paraId="38ADBC93" w14:textId="3B4138F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836" w:type="pct"/>
            <w:tcBorders>
              <w:top w:val="single" w:sz="7" w:space="0" w:color="000000"/>
              <w:left w:val="single" w:sz="7" w:space="0" w:color="000000"/>
              <w:bottom w:val="single" w:sz="7" w:space="0" w:color="000000"/>
              <w:right w:val="single" w:sz="7" w:space="0" w:color="000000"/>
            </w:tcBorders>
          </w:tcPr>
          <w:p w:rsidR="009E5E1B" w:rsidRPr="00932EA2" w:rsidP="009B62DF" w14:paraId="7C2815A3" w14:textId="5032AC3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95" w:type="pct"/>
            <w:tcBorders>
              <w:top w:val="single" w:sz="7" w:space="0" w:color="000000"/>
              <w:left w:val="single" w:sz="7" w:space="0" w:color="000000"/>
              <w:bottom w:val="single" w:sz="7" w:space="0" w:color="000000"/>
              <w:right w:val="single" w:sz="7" w:space="0" w:color="000000"/>
            </w:tcBorders>
          </w:tcPr>
          <w:p w:rsidR="009E5E1B" w:rsidRPr="00932EA2" w:rsidP="009B62DF" w14:paraId="28D2FDEF" w14:textId="430600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78" w:type="pct"/>
            <w:tcBorders>
              <w:top w:val="single" w:sz="7" w:space="0" w:color="000000"/>
              <w:left w:val="single" w:sz="7" w:space="0" w:color="000000"/>
              <w:bottom w:val="single" w:sz="7" w:space="0" w:color="000000"/>
              <w:right w:val="single" w:sz="7" w:space="0" w:color="000000"/>
            </w:tcBorders>
          </w:tcPr>
          <w:p w:rsidR="009E5E1B" w:rsidRPr="00932EA2" w:rsidP="009B62DF" w14:paraId="41648D12" w14:textId="585834E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78BFB541"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right w:val="single" w:sz="7" w:space="0" w:color="000000"/>
            </w:tcBorders>
          </w:tcPr>
          <w:p w:rsidR="009E5E1B" w:rsidRPr="00691464" w:rsidP="009B62DF" w14:paraId="047298F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E5E1B" w:rsidRPr="00691464" w:rsidP="009B62DF" w14:paraId="3B635C14"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GHG</w:t>
            </w:r>
          </w:p>
        </w:tc>
        <w:tc>
          <w:tcPr>
            <w:tcW w:w="656" w:type="pct"/>
            <w:tcBorders>
              <w:top w:val="single" w:sz="7" w:space="0" w:color="000000"/>
              <w:left w:val="single" w:sz="7" w:space="0" w:color="000000"/>
              <w:bottom w:val="single" w:sz="7" w:space="0" w:color="000000"/>
              <w:right w:val="single" w:sz="7" w:space="0" w:color="000000"/>
            </w:tcBorders>
          </w:tcPr>
          <w:p w:rsidR="009E5E1B" w:rsidRPr="00932EA2" w:rsidP="009B62DF" w14:paraId="6DD03A03" w14:textId="18F06ED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932EA2">
              <w:rPr>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E5E1B" w:rsidRPr="00932EA2" w:rsidP="009B62DF" w14:paraId="684E819E" w14:textId="5346436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7,411</w:t>
            </w:r>
          </w:p>
        </w:tc>
        <w:tc>
          <w:tcPr>
            <w:tcW w:w="836" w:type="pct"/>
            <w:tcBorders>
              <w:top w:val="single" w:sz="7" w:space="0" w:color="000000"/>
              <w:left w:val="single" w:sz="7" w:space="0" w:color="000000"/>
              <w:bottom w:val="single" w:sz="7" w:space="0" w:color="000000"/>
              <w:right w:val="single" w:sz="7" w:space="0" w:color="000000"/>
            </w:tcBorders>
          </w:tcPr>
          <w:p w:rsidR="009E5E1B" w:rsidRPr="00932EA2" w:rsidP="009B62DF" w14:paraId="26CF8668" w14:textId="6EF2738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1,622,394</w:t>
            </w:r>
          </w:p>
        </w:tc>
        <w:tc>
          <w:tcPr>
            <w:tcW w:w="795" w:type="pct"/>
            <w:tcBorders>
              <w:top w:val="single" w:sz="7" w:space="0" w:color="000000"/>
              <w:left w:val="single" w:sz="7" w:space="0" w:color="000000"/>
              <w:bottom w:val="single" w:sz="7" w:space="0" w:color="000000"/>
              <w:right w:val="single" w:sz="7" w:space="0" w:color="000000"/>
            </w:tcBorders>
          </w:tcPr>
          <w:p w:rsidR="009E5E1B" w:rsidRPr="00932EA2" w:rsidP="009B62DF" w14:paraId="02640EDD" w14:textId="5C725E7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936,500</w:t>
            </w:r>
          </w:p>
        </w:tc>
        <w:tc>
          <w:tcPr>
            <w:tcW w:w="778" w:type="pct"/>
            <w:tcBorders>
              <w:top w:val="single" w:sz="7" w:space="0" w:color="000000"/>
              <w:left w:val="single" w:sz="7" w:space="0" w:color="000000"/>
              <w:bottom w:val="single" w:sz="7" w:space="0" w:color="000000"/>
              <w:right w:val="single" w:sz="7" w:space="0" w:color="000000"/>
            </w:tcBorders>
          </w:tcPr>
          <w:p w:rsidR="009E5E1B" w:rsidRPr="00932EA2" w:rsidP="009B62DF" w14:paraId="539AE7E9" w14:textId="1395ABB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96</w:t>
            </w:r>
          </w:p>
        </w:tc>
      </w:tr>
      <w:tr w14:paraId="76DCAF24"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bottom w:val="single" w:sz="7" w:space="0" w:color="000000"/>
              <w:right w:val="single" w:sz="7" w:space="0" w:color="000000"/>
            </w:tcBorders>
          </w:tcPr>
          <w:p w:rsidR="00932EA2" w:rsidRPr="00691464" w:rsidP="00932EA2" w14:paraId="4C4122F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79E7440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691464">
              <w:rPr>
                <w:b/>
                <w:bCs/>
                <w:sz w:val="20"/>
                <w:szCs w:val="20"/>
              </w:rPr>
              <w:t>Total</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3828D83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11FCA25C" w14:textId="2FEDACB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7,411</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23ED631D" w14:textId="4C07D23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1,622,394</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65001225" w14:textId="6317FA0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936,500</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4EC501A3" w14:textId="29E05A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96</w:t>
            </w:r>
          </w:p>
        </w:tc>
      </w:tr>
      <w:tr w14:paraId="09C49E24" w14:textId="77777777" w:rsidTr="009B62DF">
        <w:tblPrEx>
          <w:tblW w:w="5000" w:type="pct"/>
          <w:tblCellMar>
            <w:left w:w="101" w:type="dxa"/>
            <w:right w:w="101" w:type="dxa"/>
          </w:tblCellMar>
          <w:tblLook w:val="0000"/>
        </w:tblPrEx>
        <w:trPr>
          <w:cantSplit/>
          <w:trHeight w:val="288"/>
        </w:trPr>
        <w:tc>
          <w:tcPr>
            <w:tcW w:w="681" w:type="pct"/>
            <w:vMerge w:val="restart"/>
            <w:tcBorders>
              <w:top w:val="single" w:sz="7" w:space="0" w:color="000000"/>
              <w:left w:val="single" w:sz="7" w:space="0" w:color="000000"/>
              <w:right w:val="single" w:sz="7" w:space="0" w:color="000000"/>
            </w:tcBorders>
          </w:tcPr>
          <w:p w:rsidR="00932EA2" w:rsidRPr="00691464" w:rsidP="00932EA2" w14:paraId="0B37EB9F" w14:textId="3204279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Pr>
                <w:color w:val="000000"/>
                <w:sz w:val="20"/>
                <w:szCs w:val="20"/>
              </w:rPr>
              <w:t xml:space="preserve">Estimated Burden </w:t>
            </w:r>
            <w:r w:rsidR="00E20A1D">
              <w:rPr>
                <w:color w:val="000000"/>
                <w:sz w:val="20"/>
                <w:szCs w:val="20"/>
              </w:rPr>
              <w:t>Removed</w:t>
            </w: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7B56E9D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Criteria Pollutants</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50557DA0" w14:textId="4AD6330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932EA2">
              <w:rPr>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7AC136AB" w14:textId="3A20F67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615B2C44" w14:textId="1D9D0DC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01BE0725" w14:textId="2D26422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7224D321" w14:textId="2FC4376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70BED207"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right w:val="single" w:sz="7" w:space="0" w:color="000000"/>
            </w:tcBorders>
          </w:tcPr>
          <w:p w:rsidR="00932EA2" w:rsidRPr="00691464" w:rsidP="00932EA2" w14:paraId="56F38CF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5872C66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GHG</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46332B60" w14:textId="113E53E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932EA2">
              <w:rPr>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3413CB4E" w14:textId="77D463D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7,411</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766B4979" w14:textId="2A06C1E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1,622,394</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0CEE9481" w14:textId="6049F84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936,500</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37C3E1EB" w14:textId="10C5FC6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96</w:t>
            </w:r>
          </w:p>
        </w:tc>
      </w:tr>
      <w:tr w14:paraId="172ACC61"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bottom w:val="single" w:sz="7" w:space="0" w:color="000000"/>
              <w:right w:val="single" w:sz="7" w:space="0" w:color="000000"/>
            </w:tcBorders>
          </w:tcPr>
          <w:p w:rsidR="00932EA2" w:rsidRPr="00691464" w:rsidP="00932EA2" w14:paraId="00647E4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2A4DA1F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691464">
              <w:rPr>
                <w:b/>
                <w:bCs/>
                <w:sz w:val="20"/>
                <w:szCs w:val="20"/>
              </w:rPr>
              <w:t>Total</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7F4B6CB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0B9613CE" w14:textId="520A2F3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7,411</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17827438" w14:textId="6BC2A8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1,622,394</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02B14C88" w14:textId="25B7B3B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936,500</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66D1BC1F" w14:textId="1376CF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96</w:t>
            </w:r>
          </w:p>
        </w:tc>
      </w:tr>
      <w:tr w14:paraId="7F5411BA" w14:textId="77777777" w:rsidTr="009B62DF">
        <w:tblPrEx>
          <w:tblW w:w="5000" w:type="pct"/>
          <w:tblCellMar>
            <w:left w:w="101" w:type="dxa"/>
            <w:right w:w="101" w:type="dxa"/>
          </w:tblCellMar>
          <w:tblLook w:val="0000"/>
        </w:tblPrEx>
        <w:trPr>
          <w:cantSplit/>
          <w:trHeight w:val="288"/>
        </w:trPr>
        <w:tc>
          <w:tcPr>
            <w:tcW w:w="681" w:type="pct"/>
            <w:vMerge w:val="restart"/>
            <w:tcBorders>
              <w:top w:val="single" w:sz="7" w:space="0" w:color="000000"/>
              <w:left w:val="single" w:sz="7" w:space="0" w:color="000000"/>
              <w:right w:val="single" w:sz="7" w:space="0" w:color="000000"/>
            </w:tcBorders>
          </w:tcPr>
          <w:p w:rsidR="00932EA2" w:rsidRPr="00691464" w:rsidP="00932EA2" w14:paraId="5FEF6AEC" w14:textId="041F56D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sidRPr="00691464">
              <w:rPr>
                <w:color w:val="000000"/>
                <w:sz w:val="20"/>
                <w:szCs w:val="20"/>
              </w:rPr>
              <w:t>New Estimated Burden (EPA ICR 27</w:t>
            </w:r>
            <w:r>
              <w:rPr>
                <w:color w:val="000000"/>
                <w:sz w:val="20"/>
                <w:szCs w:val="20"/>
              </w:rPr>
              <w:t>34</w:t>
            </w:r>
            <w:r w:rsidRPr="00691464">
              <w:rPr>
                <w:color w:val="000000"/>
                <w:sz w:val="20"/>
                <w:szCs w:val="20"/>
              </w:rPr>
              <w:t>.03)</w:t>
            </w: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7EE5B6B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Criteria Pollutants</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4D9FD2FD" w14:textId="1947667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932EA2">
              <w:rPr>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076E1073" w14:textId="05D6E7F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2479CBC5" w14:textId="208E496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6F8AFCAF" w14:textId="0DA1B36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420CC7A6" w14:textId="0F6BF7E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1E36870A"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right w:val="single" w:sz="7" w:space="0" w:color="000000"/>
            </w:tcBorders>
          </w:tcPr>
          <w:p w:rsidR="00932EA2" w:rsidRPr="00691464" w:rsidP="00932EA2" w14:paraId="5739186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446965B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691464">
              <w:rPr>
                <w:sz w:val="20"/>
                <w:szCs w:val="20"/>
              </w:rPr>
              <w:t>GHG</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1A6F9F22" w14:textId="409A06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932EA2">
              <w:rPr>
                <w:sz w:val="20"/>
                <w:szCs w:val="20"/>
              </w:rPr>
              <w:t>77</w:t>
            </w: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47388EAD" w14:textId="056E5AF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5FC66CF2" w14:textId="75A41EF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5A4E618B" w14:textId="3444481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0C010557" w14:textId="3A8E5EE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664BB305" w14:textId="77777777" w:rsidTr="009B62DF">
        <w:tblPrEx>
          <w:tblW w:w="5000" w:type="pct"/>
          <w:tblCellMar>
            <w:left w:w="101" w:type="dxa"/>
            <w:right w:w="101" w:type="dxa"/>
          </w:tblCellMar>
          <w:tblLook w:val="0000"/>
        </w:tblPrEx>
        <w:trPr>
          <w:cantSplit/>
          <w:trHeight w:val="288"/>
        </w:trPr>
        <w:tc>
          <w:tcPr>
            <w:tcW w:w="681" w:type="pct"/>
            <w:vMerge/>
            <w:tcBorders>
              <w:left w:val="single" w:sz="7" w:space="0" w:color="000000"/>
              <w:bottom w:val="single" w:sz="7" w:space="0" w:color="000000"/>
              <w:right w:val="single" w:sz="7" w:space="0" w:color="000000"/>
            </w:tcBorders>
          </w:tcPr>
          <w:p w:rsidR="00932EA2" w:rsidRPr="00691464" w:rsidP="00932EA2" w14:paraId="06B0EFC4"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643" w:type="pct"/>
            <w:tcBorders>
              <w:top w:val="single" w:sz="7" w:space="0" w:color="000000"/>
              <w:left w:val="single" w:sz="7" w:space="0" w:color="000000"/>
              <w:bottom w:val="single" w:sz="7" w:space="0" w:color="000000"/>
              <w:right w:val="single" w:sz="7" w:space="0" w:color="000000"/>
            </w:tcBorders>
          </w:tcPr>
          <w:p w:rsidR="00932EA2" w:rsidRPr="00691464" w:rsidP="00932EA2" w14:paraId="4CEAD49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691464">
              <w:rPr>
                <w:b/>
                <w:bCs/>
                <w:sz w:val="20"/>
                <w:szCs w:val="20"/>
              </w:rPr>
              <w:t>Total</w:t>
            </w:r>
          </w:p>
        </w:tc>
        <w:tc>
          <w:tcPr>
            <w:tcW w:w="656" w:type="pct"/>
            <w:tcBorders>
              <w:top w:val="single" w:sz="7" w:space="0" w:color="000000"/>
              <w:left w:val="single" w:sz="7" w:space="0" w:color="000000"/>
              <w:bottom w:val="single" w:sz="7" w:space="0" w:color="000000"/>
              <w:right w:val="single" w:sz="7" w:space="0" w:color="000000"/>
            </w:tcBorders>
          </w:tcPr>
          <w:p w:rsidR="00932EA2" w:rsidRPr="00932EA2" w:rsidP="00932EA2" w14:paraId="67EAB35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p>
        </w:tc>
        <w:tc>
          <w:tcPr>
            <w:tcW w:w="611" w:type="pct"/>
            <w:tcBorders>
              <w:top w:val="single" w:sz="7" w:space="0" w:color="000000"/>
              <w:left w:val="single" w:sz="7" w:space="0" w:color="000000"/>
              <w:bottom w:val="single" w:sz="7" w:space="0" w:color="000000"/>
              <w:right w:val="single" w:sz="7" w:space="0" w:color="000000"/>
            </w:tcBorders>
          </w:tcPr>
          <w:p w:rsidR="00932EA2" w:rsidRPr="00932EA2" w:rsidP="00932EA2" w14:paraId="31F0096C" w14:textId="5A398AC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w:t>
            </w:r>
          </w:p>
        </w:tc>
        <w:tc>
          <w:tcPr>
            <w:tcW w:w="836" w:type="pct"/>
            <w:tcBorders>
              <w:top w:val="single" w:sz="7" w:space="0" w:color="000000"/>
              <w:left w:val="single" w:sz="7" w:space="0" w:color="000000"/>
              <w:bottom w:val="single" w:sz="7" w:space="0" w:color="000000"/>
              <w:right w:val="single" w:sz="7" w:space="0" w:color="000000"/>
            </w:tcBorders>
          </w:tcPr>
          <w:p w:rsidR="00932EA2" w:rsidRPr="00932EA2" w:rsidP="00932EA2" w14:paraId="60A639C4" w14:textId="6C8E21D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w:t>
            </w:r>
          </w:p>
        </w:tc>
        <w:tc>
          <w:tcPr>
            <w:tcW w:w="795" w:type="pct"/>
            <w:tcBorders>
              <w:top w:val="single" w:sz="7" w:space="0" w:color="000000"/>
              <w:left w:val="single" w:sz="7" w:space="0" w:color="000000"/>
              <w:bottom w:val="single" w:sz="7" w:space="0" w:color="000000"/>
              <w:right w:val="single" w:sz="7" w:space="0" w:color="000000"/>
            </w:tcBorders>
          </w:tcPr>
          <w:p w:rsidR="00932EA2" w:rsidRPr="00932EA2" w:rsidP="00932EA2" w14:paraId="6403039F" w14:textId="23B48F9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w:t>
            </w:r>
          </w:p>
        </w:tc>
        <w:tc>
          <w:tcPr>
            <w:tcW w:w="778" w:type="pct"/>
            <w:tcBorders>
              <w:top w:val="single" w:sz="7" w:space="0" w:color="000000"/>
              <w:left w:val="single" w:sz="7" w:space="0" w:color="000000"/>
              <w:bottom w:val="single" w:sz="7" w:space="0" w:color="000000"/>
              <w:right w:val="single" w:sz="7" w:space="0" w:color="000000"/>
            </w:tcBorders>
          </w:tcPr>
          <w:p w:rsidR="00932EA2" w:rsidRPr="00932EA2" w:rsidP="00932EA2" w14:paraId="62AEC86C" w14:textId="60F4878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color w:val="000000"/>
                <w:sz w:val="20"/>
                <w:szCs w:val="20"/>
              </w:rPr>
              <w:t>-</w:t>
            </w:r>
          </w:p>
        </w:tc>
      </w:tr>
    </w:tbl>
    <w:p w:rsidR="004A7664" w:rsidRPr="004A7664" w:rsidP="004A7664" w14:paraId="56F22362" w14:textId="77777777"/>
    <w:p w:rsidR="003238FA" w:rsidP="004D5561" w14:paraId="19C1DA26" w14:textId="77777777">
      <w:pPr>
        <w:autoSpaceDE/>
        <w:autoSpaceDN/>
        <w:adjustRightInd/>
        <w:spacing w:after="160" w:line="259" w:lineRule="auto"/>
      </w:pPr>
    </w:p>
    <w:p w:rsidR="00AE1B2C" w:rsidP="00AE1B2C" w14:paraId="4727DDEC" w14:textId="77777777">
      <w:pPr>
        <w:autoSpaceDE/>
        <w:autoSpaceDN/>
        <w:adjustRightInd/>
        <w:textAlignment w:val="center"/>
      </w:pPr>
    </w:p>
    <w:p w:rsidR="002B15D5" w:rsidRPr="00C11EAA" w:rsidP="000A0844" w14:paraId="625FC786" w14:textId="2E098099">
      <w:pPr>
        <w:pStyle w:val="ICR3"/>
      </w:pPr>
      <w:r w:rsidRPr="00C11EAA">
        <w:t>14. Provide estimates of annualized costs to the Federal government. Also, provide a description</w:t>
      </w:r>
      <w:r w:rsidRPr="00C11EAA" w:rsidR="00D85166">
        <w:t xml:space="preserve"> </w:t>
      </w:r>
      <w:r w:rsidRPr="00C11EAA">
        <w:t>of the method used to estimate cost, which should include quantification of hours,</w:t>
      </w:r>
      <w:r w:rsidR="00C11EAA">
        <w:t xml:space="preserve"> </w:t>
      </w:r>
      <w:r w:rsidRPr="00C11EAA">
        <w:t>operational expenses (such as equipment, overhead, printing, and support staff), and any</w:t>
      </w:r>
      <w:r w:rsidR="00C11EAA">
        <w:t xml:space="preserve"> </w:t>
      </w:r>
      <w:r w:rsidRPr="00C11EAA">
        <w:t>other expense that would not have been incurred without this collection of information.</w:t>
      </w:r>
      <w:r w:rsidR="00C11EAA">
        <w:t xml:space="preserve"> </w:t>
      </w:r>
      <w:r w:rsidRPr="00C11EAA">
        <w:t>Agencies may also aggregate cost estimates from Items 12, 13, and 14 in a single table.</w:t>
      </w:r>
    </w:p>
    <w:p w:rsidR="00D85166" w:rsidRPr="00E11293" w:rsidP="00D85166" w14:paraId="4F00244D" w14:textId="26035FEA">
      <w:pPr>
        <w:pStyle w:val="NoSpacing"/>
        <w:rPr>
          <w:rFonts w:ascii="Times New Roman" w:hAnsi="Times New Roman" w:cs="Times New Roman"/>
          <w:sz w:val="24"/>
          <w:szCs w:val="24"/>
        </w:rPr>
      </w:pPr>
      <w:r w:rsidRPr="00C11EAA">
        <w:rPr>
          <w:rFonts w:ascii="Times New Roman" w:hAnsi="Times New Roman" w:cs="Times New Roman"/>
          <w:b/>
          <w:bCs/>
          <w:sz w:val="24"/>
          <w:szCs w:val="24"/>
        </w:rPr>
        <w:tab/>
      </w:r>
    </w:p>
    <w:p w:rsidR="00CD5A4A" w:rsidP="00B96188" w14:paraId="7242F9E1" w14:textId="2129EC20">
      <w:pPr>
        <w:autoSpaceDE/>
        <w:autoSpaceDN/>
        <w:adjustRightInd/>
        <w:ind w:left="720"/>
        <w:textAlignment w:val="center"/>
      </w:pPr>
      <w:r>
        <w:t xml:space="preserve">In the </w:t>
      </w:r>
      <w:r w:rsidR="00234360">
        <w:t>original</w:t>
      </w:r>
      <w:r>
        <w:t xml:space="preserve"> </w:t>
      </w:r>
      <w:r w:rsidR="008902BC">
        <w:t xml:space="preserve">2024 </w:t>
      </w:r>
      <w:r w:rsidR="00234360">
        <w:t>Information Collection Request</w:t>
      </w:r>
      <w:r>
        <w:t xml:space="preserve">, </w:t>
      </w:r>
      <w:r w:rsidR="00234360">
        <w:t xml:space="preserve">EPA 2734.02, </w:t>
      </w:r>
      <w:r>
        <w:t>we</w:t>
      </w:r>
      <w:r w:rsidR="00FF3A85">
        <w:t xml:space="preserve"> </w:t>
      </w:r>
      <w:r w:rsidR="00234360">
        <w:t xml:space="preserve">included </w:t>
      </w:r>
      <w:r>
        <w:t xml:space="preserve">a </w:t>
      </w:r>
      <w:r w:rsidRPr="00E11293">
        <w:t xml:space="preserve">one-time $350,000 </w:t>
      </w:r>
      <w:r>
        <w:t>cost, which</w:t>
      </w:r>
      <w:r w:rsidRPr="006E51AC">
        <w:t xml:space="preserve"> </w:t>
      </w:r>
      <w:r>
        <w:t>was</w:t>
      </w:r>
      <w:r w:rsidRPr="006E51AC">
        <w:t xml:space="preserve"> an estimate </w:t>
      </w:r>
      <w:r w:rsidR="00234360">
        <w:t>of</w:t>
      </w:r>
      <w:r w:rsidRPr="006E51AC">
        <w:t xml:space="preserve"> the share of </w:t>
      </w:r>
      <w:r>
        <w:t>the</w:t>
      </w:r>
      <w:r w:rsidRPr="006E51AC">
        <w:t xml:space="preserve"> total annual EV-CIS contracting cost for the </w:t>
      </w:r>
      <w:r w:rsidR="008902BC">
        <w:t>HD</w:t>
      </w:r>
      <w:r w:rsidR="00155647">
        <w:t>V</w:t>
      </w:r>
      <w:r w:rsidR="008902BC">
        <w:t xml:space="preserve"> </w:t>
      </w:r>
      <w:r w:rsidRPr="006E51AC">
        <w:t xml:space="preserve">Phase 3 </w:t>
      </w:r>
      <w:r>
        <w:t xml:space="preserve">certification data system </w:t>
      </w:r>
      <w:r w:rsidRPr="006E51AC">
        <w:t>module.</w:t>
      </w:r>
      <w:r>
        <w:t xml:space="preserve">  We </w:t>
      </w:r>
      <w:r>
        <w:t xml:space="preserve">also </w:t>
      </w:r>
      <w:r>
        <w:t>estimate</w:t>
      </w:r>
      <w:r>
        <w:t>d</w:t>
      </w:r>
      <w:r>
        <w:t xml:space="preserve"> an annual Agency burden equivalent to 1 full time EPA employee (2,080 hours) and $200,000 in contracting costs during the years 2025 through 2028</w:t>
      </w:r>
      <w:r>
        <w:t xml:space="preserve"> to account for EPA’s p</w:t>
      </w:r>
      <w:r w:rsidRPr="00E17EC5">
        <w:t>ost-</w:t>
      </w:r>
      <w:r>
        <w:t>r</w:t>
      </w:r>
      <w:r w:rsidRPr="00E17EC5">
        <w:t xml:space="preserve">ule </w:t>
      </w:r>
      <w:r>
        <w:t>m</w:t>
      </w:r>
      <w:r w:rsidRPr="00E17EC5">
        <w:t>onitoring</w:t>
      </w:r>
      <w:r>
        <w:t xml:space="preserve"> of the implementation of the heavy-duty vehicle GHG programs</w:t>
      </w:r>
      <w:r>
        <w:t xml:space="preserve">. </w:t>
      </w:r>
      <w:r>
        <w:t xml:space="preserve"> Removal of the GHG standards and related requirements from the heavy-duty vehicle program would </w:t>
      </w:r>
      <w:r w:rsidR="00FF3A85">
        <w:t xml:space="preserve">remove these burdens, which </w:t>
      </w:r>
      <w:r>
        <w:t>reduce</w:t>
      </w:r>
      <w:r w:rsidR="00FF3A85">
        <w:t>s</w:t>
      </w:r>
      <w:r>
        <w:t xml:space="preserve"> the EPA burden of the 2024 HDP3 rule to $</w:t>
      </w:r>
      <w:r w:rsidRPr="009A0677">
        <w:t>0</w:t>
      </w:r>
      <w:r>
        <w:t xml:space="preserve">. </w:t>
      </w:r>
      <w:r w:rsidR="00D71A17">
        <w:t xml:space="preserve"> The Agency burden is set out in Table 3.</w:t>
      </w:r>
    </w:p>
    <w:p w:rsidR="00CD5A4A" w:rsidP="00CD5A4A" w14:paraId="0E7911E5" w14:textId="77777777">
      <w:pPr>
        <w:autoSpaceDE/>
        <w:autoSpaceDN/>
        <w:adjustRightInd/>
        <w:spacing w:after="160" w:line="259" w:lineRule="auto"/>
      </w:pPr>
    </w:p>
    <w:p w:rsidR="00CD5A4A" w:rsidRPr="005E1637" w:rsidP="00CD5A4A" w14:paraId="55B03A0F" w14:textId="77777777">
      <w:pPr>
        <w:pStyle w:val="Caption"/>
        <w:keepNext/>
        <w:jc w:val="center"/>
        <w:rPr>
          <w:sz w:val="24"/>
          <w:szCs w:val="24"/>
        </w:rPr>
      </w:pPr>
      <w:r w:rsidRPr="005E1637">
        <w:rPr>
          <w:sz w:val="24"/>
          <w:szCs w:val="24"/>
        </w:rPr>
        <w:t xml:space="preserve">Table </w:t>
      </w:r>
      <w:r w:rsidRPr="005E1637">
        <w:rPr>
          <w:sz w:val="24"/>
          <w:szCs w:val="24"/>
        </w:rPr>
        <w:fldChar w:fldCharType="begin"/>
      </w:r>
      <w:r w:rsidRPr="005E1637">
        <w:rPr>
          <w:sz w:val="24"/>
          <w:szCs w:val="24"/>
        </w:rPr>
        <w:instrText xml:space="preserve"> SEQ Table \* ARABIC </w:instrText>
      </w:r>
      <w:r w:rsidRPr="005E1637">
        <w:rPr>
          <w:sz w:val="24"/>
          <w:szCs w:val="24"/>
        </w:rPr>
        <w:fldChar w:fldCharType="separate"/>
      </w:r>
      <w:r w:rsidRPr="005E1637">
        <w:rPr>
          <w:noProof/>
          <w:sz w:val="24"/>
          <w:szCs w:val="24"/>
        </w:rPr>
        <w:t>3</w:t>
      </w:r>
      <w:r w:rsidRPr="005E1637">
        <w:rPr>
          <w:sz w:val="24"/>
          <w:szCs w:val="24"/>
        </w:rPr>
        <w:fldChar w:fldCharType="end"/>
      </w:r>
      <w:r w:rsidRPr="005E1637">
        <w:rPr>
          <w:sz w:val="24"/>
          <w:szCs w:val="24"/>
        </w:rPr>
        <w:t xml:space="preserve"> - EPA Burden</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1854"/>
        <w:gridCol w:w="1753"/>
        <w:gridCol w:w="1790"/>
        <w:gridCol w:w="1667"/>
        <w:gridCol w:w="2278"/>
      </w:tblGrid>
      <w:tr w14:paraId="10676D16" w14:textId="77777777" w:rsidTr="00234360">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471"/>
        </w:trPr>
        <w:tc>
          <w:tcPr>
            <w:tcW w:w="993"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234360" w:rsidRPr="00691464" w:rsidP="009B62DF" w14:paraId="4608BAC4"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sz w:val="20"/>
                <w:szCs w:val="20"/>
              </w:rPr>
            </w:pPr>
          </w:p>
        </w:tc>
        <w:tc>
          <w:tcPr>
            <w:tcW w:w="93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234360" w:rsidRPr="00691464" w:rsidP="009B62DF" w14:paraId="57F1BEC1" w14:textId="11C22C8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C14B25">
              <w:rPr>
                <w:rFonts w:cs="Arial"/>
                <w:b/>
                <w:bCs/>
                <w:color w:val="000000"/>
                <w:sz w:val="20"/>
                <w:szCs w:val="20"/>
              </w:rPr>
              <w:t>Collection Activity</w:t>
            </w:r>
          </w:p>
        </w:tc>
        <w:tc>
          <w:tcPr>
            <w:tcW w:w="95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234360" w:rsidRPr="00691464" w:rsidP="009B62DF" w14:paraId="702FCBE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691464">
              <w:rPr>
                <w:sz w:val="20"/>
                <w:szCs w:val="20"/>
              </w:rPr>
              <w:t>No. Respondents</w:t>
            </w:r>
          </w:p>
        </w:tc>
        <w:tc>
          <w:tcPr>
            <w:tcW w:w="892"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234360" w:rsidRPr="00691464" w:rsidP="009B62DF" w14:paraId="74AD417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Total Hours</w:t>
            </w:r>
          </w:p>
        </w:tc>
        <w:tc>
          <w:tcPr>
            <w:tcW w:w="1219"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234360" w:rsidRPr="00691464" w:rsidP="009B62DF" w14:paraId="35B469A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sz w:val="20"/>
                <w:szCs w:val="20"/>
              </w:rPr>
            </w:pPr>
            <w:r w:rsidRPr="00691464">
              <w:rPr>
                <w:sz w:val="20"/>
                <w:szCs w:val="20"/>
              </w:rPr>
              <w:t>Total costs/year</w:t>
            </w:r>
          </w:p>
        </w:tc>
      </w:tr>
      <w:tr w14:paraId="232CF6D3" w14:textId="77777777" w:rsidTr="00234360">
        <w:tblPrEx>
          <w:tblW w:w="5000" w:type="pct"/>
          <w:tblCellMar>
            <w:left w:w="101" w:type="dxa"/>
            <w:right w:w="101" w:type="dxa"/>
          </w:tblCellMar>
          <w:tblLook w:val="0000"/>
        </w:tblPrEx>
        <w:trPr>
          <w:cantSplit/>
          <w:trHeight w:val="288"/>
        </w:trPr>
        <w:tc>
          <w:tcPr>
            <w:tcW w:w="993" w:type="pct"/>
            <w:vMerge w:val="restart"/>
            <w:tcBorders>
              <w:top w:val="single" w:sz="7" w:space="0" w:color="000000"/>
              <w:left w:val="single" w:sz="7" w:space="0" w:color="000000"/>
              <w:right w:val="single" w:sz="7" w:space="0" w:color="000000"/>
            </w:tcBorders>
          </w:tcPr>
          <w:p w:rsidR="00234360" w:rsidRPr="00691464" w:rsidP="00234360" w14:paraId="6AD09A7D" w14:textId="3FA7ADE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sidRPr="00691464">
              <w:rPr>
                <w:color w:val="000000"/>
                <w:sz w:val="20"/>
                <w:szCs w:val="20"/>
              </w:rPr>
              <w:t xml:space="preserve">Old Estimated </w:t>
            </w:r>
            <w:r>
              <w:rPr>
                <w:color w:val="000000"/>
                <w:sz w:val="20"/>
                <w:szCs w:val="20"/>
              </w:rPr>
              <w:t xml:space="preserve">EPA </w:t>
            </w:r>
            <w:r w:rsidRPr="00691464">
              <w:rPr>
                <w:color w:val="000000"/>
                <w:sz w:val="20"/>
                <w:szCs w:val="20"/>
              </w:rPr>
              <w:t>Burden (EPA ICR 27</w:t>
            </w:r>
            <w:r>
              <w:rPr>
                <w:color w:val="000000"/>
                <w:sz w:val="20"/>
                <w:szCs w:val="20"/>
              </w:rPr>
              <w:t>34</w:t>
            </w:r>
            <w:r w:rsidRPr="00691464">
              <w:rPr>
                <w:color w:val="000000"/>
                <w:sz w:val="20"/>
                <w:szCs w:val="20"/>
              </w:rPr>
              <w:t>.02)</w:t>
            </w: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5FC3A1C6" w14:textId="187AEB6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 xml:space="preserve">Changes to EV-CIS to reflect new standards </w:t>
            </w:r>
            <w:r w:rsidRPr="00C14B25">
              <w:rPr>
                <w:rFonts w:cs="Arial"/>
                <w:b/>
                <w:bCs/>
                <w:color w:val="000000"/>
                <w:sz w:val="20"/>
                <w:szCs w:val="20"/>
              </w:rPr>
              <w:t>(one-time cost)</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F220636" w14:textId="069B12C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N/A</w:t>
            </w:r>
            <w:r w:rsidRPr="00C14B25">
              <w:rPr>
                <w:rFonts w:cs="Arial"/>
                <w:color w:val="000000"/>
                <w:sz w:val="20"/>
                <w:szCs w:val="20"/>
                <w:vertAlign w:val="superscript"/>
              </w:rPr>
              <w:t>1</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07554B4B" w14:textId="6220F8D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$350,000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E363185" w14:textId="65339E0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N/A</w:t>
            </w:r>
            <w:r w:rsidRPr="00C14B25">
              <w:rPr>
                <w:rFonts w:cs="Arial"/>
                <w:color w:val="000000"/>
                <w:sz w:val="20"/>
                <w:szCs w:val="20"/>
                <w:vertAlign w:val="superscript"/>
              </w:rPr>
              <w:t>1</w:t>
            </w:r>
          </w:p>
        </w:tc>
      </w:tr>
      <w:tr w14:paraId="071D7681"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right w:val="single" w:sz="7" w:space="0" w:color="000000"/>
            </w:tcBorders>
          </w:tcPr>
          <w:p w:rsidR="00234360" w:rsidRPr="00691464" w:rsidP="00234360" w14:paraId="0F05B88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6984A52C" w14:textId="1CE029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New post-rule data collection</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20C1878A" w14:textId="280B0B8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C14B25">
              <w:rPr>
                <w:rFonts w:cs="Arial"/>
                <w:color w:val="000000"/>
                <w:sz w:val="20"/>
                <w:szCs w:val="20"/>
              </w:rPr>
              <w:t>2,080 (1 FTE)</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3B798AF5" w14:textId="377DB1F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$200,000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40D499F8" w14:textId="6281952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2,080 (1 FTE)</w:t>
            </w:r>
          </w:p>
        </w:tc>
      </w:tr>
      <w:tr w14:paraId="456F2921"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bottom w:val="single" w:sz="7" w:space="0" w:color="000000"/>
              <w:right w:val="single" w:sz="7" w:space="0" w:color="000000"/>
            </w:tcBorders>
          </w:tcPr>
          <w:p w:rsidR="00234360" w:rsidRPr="00691464" w:rsidP="00234360" w14:paraId="1057EA8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17CD620A" w14:textId="6AF9D34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C14B25">
              <w:rPr>
                <w:rFonts w:cs="Arial"/>
                <w:b/>
                <w:bCs/>
                <w:color w:val="000000"/>
                <w:sz w:val="20"/>
                <w:szCs w:val="20"/>
              </w:rPr>
              <w:t>Total</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3D36CC0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7A3F3EA7" w14:textId="41FFEF4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C14B25">
              <w:rPr>
                <w:rFonts w:cs="Arial"/>
                <w:b/>
                <w:bCs/>
                <w:color w:val="000000"/>
                <w:sz w:val="20"/>
                <w:szCs w:val="20"/>
              </w:rPr>
              <w:t>$550,000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7537963" w14:textId="2044AF4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p>
        </w:tc>
      </w:tr>
      <w:tr w14:paraId="0FE10766" w14:textId="77777777" w:rsidTr="00234360">
        <w:tblPrEx>
          <w:tblW w:w="5000" w:type="pct"/>
          <w:tblCellMar>
            <w:left w:w="101" w:type="dxa"/>
            <w:right w:w="101" w:type="dxa"/>
          </w:tblCellMar>
          <w:tblLook w:val="0000"/>
        </w:tblPrEx>
        <w:trPr>
          <w:cantSplit/>
          <w:trHeight w:val="288"/>
        </w:trPr>
        <w:tc>
          <w:tcPr>
            <w:tcW w:w="993" w:type="pct"/>
            <w:vMerge w:val="restart"/>
            <w:tcBorders>
              <w:top w:val="single" w:sz="7" w:space="0" w:color="000000"/>
              <w:left w:val="single" w:sz="7" w:space="0" w:color="000000"/>
              <w:right w:val="single" w:sz="7" w:space="0" w:color="000000"/>
            </w:tcBorders>
          </w:tcPr>
          <w:p w:rsidR="00234360" w:rsidRPr="00691464" w:rsidP="00234360" w14:paraId="54899E0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sidRPr="00691464">
              <w:rPr>
                <w:color w:val="000000"/>
                <w:sz w:val="20"/>
                <w:szCs w:val="20"/>
              </w:rPr>
              <w:t>Elements Removed</w:t>
            </w: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3E800726" w14:textId="1D10EF0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 xml:space="preserve">Changes to EV-CIS to reflect new standards </w:t>
            </w:r>
            <w:r w:rsidRPr="00C14B25">
              <w:rPr>
                <w:rFonts w:cs="Arial"/>
                <w:b/>
                <w:bCs/>
                <w:color w:val="000000"/>
                <w:sz w:val="20"/>
                <w:szCs w:val="20"/>
              </w:rPr>
              <w:t>(one-time cost)</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509F14C5" w14:textId="435AA7D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C14B25">
              <w:rPr>
                <w:rFonts w:cs="Arial"/>
                <w:color w:val="000000"/>
                <w:sz w:val="20"/>
                <w:szCs w:val="20"/>
              </w:rPr>
              <w:t>N/A</w:t>
            </w:r>
            <w:r w:rsidRPr="00C14B25">
              <w:rPr>
                <w:rFonts w:cs="Arial"/>
                <w:color w:val="000000"/>
                <w:sz w:val="20"/>
                <w:szCs w:val="20"/>
                <w:vertAlign w:val="superscript"/>
              </w:rPr>
              <w:t>1</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01ECACDA" w14:textId="3DDD7A4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$350,000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FAFCE28" w14:textId="728AE64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N/A</w:t>
            </w:r>
            <w:r w:rsidRPr="00C14B25">
              <w:rPr>
                <w:rFonts w:cs="Arial"/>
                <w:color w:val="000000"/>
                <w:sz w:val="20"/>
                <w:szCs w:val="20"/>
                <w:vertAlign w:val="superscript"/>
              </w:rPr>
              <w:t>1</w:t>
            </w:r>
          </w:p>
        </w:tc>
      </w:tr>
      <w:tr w14:paraId="39BAB38C"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right w:val="single" w:sz="7" w:space="0" w:color="000000"/>
            </w:tcBorders>
          </w:tcPr>
          <w:p w:rsidR="00234360" w:rsidRPr="00691464" w:rsidP="00234360" w14:paraId="46E586E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6E763F1C" w14:textId="3A8B079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New post-rule data collection</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49600F88" w14:textId="17F9785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sidRPr="00C14B25">
              <w:rPr>
                <w:rFonts w:cs="Arial"/>
                <w:color w:val="000000"/>
                <w:sz w:val="20"/>
                <w:szCs w:val="20"/>
              </w:rPr>
              <w:t>2,080 (1 FTE)</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05409FB7" w14:textId="6372608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$200,000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1B3BD1A6" w14:textId="6CA345D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2,080 (1 FTE)</w:t>
            </w:r>
          </w:p>
        </w:tc>
      </w:tr>
      <w:tr w14:paraId="43375F79"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bottom w:val="single" w:sz="7" w:space="0" w:color="000000"/>
              <w:right w:val="single" w:sz="7" w:space="0" w:color="000000"/>
            </w:tcBorders>
          </w:tcPr>
          <w:p w:rsidR="00234360" w:rsidRPr="00691464" w:rsidP="00234360" w14:paraId="4A86D57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31B89E6F" w14:textId="161D22E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C14B25">
              <w:rPr>
                <w:rFonts w:cs="Arial"/>
                <w:b/>
                <w:bCs/>
                <w:color w:val="000000"/>
                <w:sz w:val="20"/>
                <w:szCs w:val="20"/>
              </w:rPr>
              <w:t>Total</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12A2DE7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0D3E5D45" w14:textId="6ED0918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C14B25">
              <w:rPr>
                <w:rFonts w:cs="Arial"/>
                <w:b/>
                <w:bCs/>
                <w:color w:val="000000"/>
                <w:sz w:val="20"/>
                <w:szCs w:val="20"/>
              </w:rPr>
              <w:t>$550,000</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2C8CDD36" w14:textId="4EBAF33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p>
        </w:tc>
      </w:tr>
      <w:tr w14:paraId="5A9F213D" w14:textId="77777777" w:rsidTr="00234360">
        <w:tblPrEx>
          <w:tblW w:w="5000" w:type="pct"/>
          <w:tblCellMar>
            <w:left w:w="101" w:type="dxa"/>
            <w:right w:w="101" w:type="dxa"/>
          </w:tblCellMar>
          <w:tblLook w:val="0000"/>
        </w:tblPrEx>
        <w:trPr>
          <w:cantSplit/>
          <w:trHeight w:val="288"/>
        </w:trPr>
        <w:tc>
          <w:tcPr>
            <w:tcW w:w="993" w:type="pct"/>
            <w:vMerge w:val="restart"/>
            <w:tcBorders>
              <w:top w:val="single" w:sz="7" w:space="0" w:color="000000"/>
              <w:left w:val="single" w:sz="7" w:space="0" w:color="000000"/>
              <w:right w:val="single" w:sz="7" w:space="0" w:color="000000"/>
            </w:tcBorders>
          </w:tcPr>
          <w:p w:rsidR="00234360" w:rsidRPr="00691464" w:rsidP="00234360" w14:paraId="3E5676C7" w14:textId="1208F76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r w:rsidRPr="00691464">
              <w:rPr>
                <w:color w:val="000000"/>
                <w:sz w:val="20"/>
                <w:szCs w:val="20"/>
              </w:rPr>
              <w:t xml:space="preserve">New Estimated </w:t>
            </w:r>
            <w:r>
              <w:rPr>
                <w:color w:val="000000"/>
                <w:sz w:val="20"/>
                <w:szCs w:val="20"/>
              </w:rPr>
              <w:t xml:space="preserve">EPA </w:t>
            </w:r>
            <w:r w:rsidRPr="00691464">
              <w:rPr>
                <w:color w:val="000000"/>
                <w:sz w:val="20"/>
                <w:szCs w:val="20"/>
              </w:rPr>
              <w:t>Burden (EPA ICR 27</w:t>
            </w:r>
            <w:r>
              <w:rPr>
                <w:color w:val="000000"/>
                <w:sz w:val="20"/>
                <w:szCs w:val="20"/>
              </w:rPr>
              <w:t>34</w:t>
            </w:r>
            <w:r w:rsidRPr="00691464">
              <w:rPr>
                <w:color w:val="000000"/>
                <w:sz w:val="20"/>
                <w:szCs w:val="20"/>
              </w:rPr>
              <w:t>.03)</w:t>
            </w: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1617979F" w14:textId="29FAA78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 xml:space="preserve">Changes to EV-CIS to reflect new standards </w:t>
            </w:r>
            <w:r w:rsidRPr="00C14B25">
              <w:rPr>
                <w:rFonts w:cs="Arial"/>
                <w:b/>
                <w:bCs/>
                <w:color w:val="000000"/>
                <w:sz w:val="20"/>
                <w:szCs w:val="20"/>
              </w:rPr>
              <w:t>(one-time cost)</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222074BF" w14:textId="79F1A08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Pr>
                <w:sz w:val="20"/>
                <w:szCs w:val="20"/>
              </w:rPr>
              <w:t>-</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522B8FE3" w14:textId="45A7EF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C3BE2C3" w14:textId="56A74B1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0082B82D"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right w:val="single" w:sz="7" w:space="0" w:color="000000"/>
            </w:tcBorders>
          </w:tcPr>
          <w:p w:rsidR="00234360" w:rsidRPr="00691464" w:rsidP="00234360" w14:paraId="25CB003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77D5379E" w14:textId="0A0148F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sidRPr="00C14B25">
              <w:rPr>
                <w:rFonts w:cs="Arial"/>
                <w:color w:val="000000"/>
                <w:sz w:val="20"/>
                <w:szCs w:val="20"/>
              </w:rPr>
              <w:t>New post-rule data collection</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49C39438" w14:textId="6AF86CF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sz w:val="20"/>
                <w:szCs w:val="20"/>
              </w:rPr>
            </w:pPr>
            <w:r>
              <w:rPr>
                <w:sz w:val="20"/>
                <w:szCs w:val="20"/>
              </w:rPr>
              <w:t>-</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6F1A10DE" w14:textId="577A62F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5605FD66" w14:textId="0D330F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sz w:val="20"/>
                <w:szCs w:val="20"/>
              </w:rPr>
            </w:pPr>
            <w:r>
              <w:rPr>
                <w:color w:val="000000"/>
                <w:sz w:val="20"/>
                <w:szCs w:val="20"/>
              </w:rPr>
              <w:t>-</w:t>
            </w:r>
          </w:p>
        </w:tc>
      </w:tr>
      <w:tr w14:paraId="51DC53D5" w14:textId="77777777" w:rsidTr="00234360">
        <w:tblPrEx>
          <w:tblW w:w="5000" w:type="pct"/>
          <w:tblCellMar>
            <w:left w:w="101" w:type="dxa"/>
            <w:right w:w="101" w:type="dxa"/>
          </w:tblCellMar>
          <w:tblLook w:val="0000"/>
        </w:tblPrEx>
        <w:trPr>
          <w:cantSplit/>
          <w:trHeight w:val="288"/>
        </w:trPr>
        <w:tc>
          <w:tcPr>
            <w:tcW w:w="993" w:type="pct"/>
            <w:vMerge/>
            <w:tcBorders>
              <w:left w:val="single" w:sz="7" w:space="0" w:color="000000"/>
              <w:bottom w:val="single" w:sz="7" w:space="0" w:color="000000"/>
              <w:right w:val="single" w:sz="7" w:space="0" w:color="000000"/>
            </w:tcBorders>
          </w:tcPr>
          <w:p w:rsidR="00234360" w:rsidRPr="00691464" w:rsidP="00234360" w14:paraId="31E0589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sz w:val="20"/>
                <w:szCs w:val="20"/>
              </w:rPr>
            </w:pPr>
          </w:p>
        </w:tc>
        <w:tc>
          <w:tcPr>
            <w:tcW w:w="938" w:type="pct"/>
            <w:tcBorders>
              <w:top w:val="single" w:sz="7" w:space="0" w:color="000000"/>
              <w:left w:val="single" w:sz="7" w:space="0" w:color="000000"/>
              <w:bottom w:val="single" w:sz="7" w:space="0" w:color="000000"/>
              <w:right w:val="single" w:sz="7" w:space="0" w:color="000000"/>
            </w:tcBorders>
            <w:vAlign w:val="center"/>
          </w:tcPr>
          <w:p w:rsidR="00234360" w:rsidRPr="00691464" w:rsidP="00234360" w14:paraId="06B33BDA" w14:textId="6DA3E53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sidRPr="00C14B25">
              <w:rPr>
                <w:rFonts w:cs="Arial"/>
                <w:b/>
                <w:bCs/>
                <w:color w:val="000000"/>
                <w:sz w:val="20"/>
                <w:szCs w:val="20"/>
              </w:rPr>
              <w:t>Total</w:t>
            </w:r>
          </w:p>
        </w:tc>
        <w:tc>
          <w:tcPr>
            <w:tcW w:w="958"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250BD282" w14:textId="7ADDA1B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sz w:val="20"/>
                <w:szCs w:val="20"/>
              </w:rPr>
            </w:pPr>
            <w:r>
              <w:rPr>
                <w:b/>
                <w:bCs/>
                <w:sz w:val="20"/>
                <w:szCs w:val="20"/>
              </w:rPr>
              <w:t>-</w:t>
            </w:r>
          </w:p>
        </w:tc>
        <w:tc>
          <w:tcPr>
            <w:tcW w:w="892"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519778D0" w14:textId="239270B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b/>
                <w:bCs/>
                <w:color w:val="000000"/>
                <w:sz w:val="20"/>
                <w:szCs w:val="20"/>
              </w:rPr>
              <w:t>-</w:t>
            </w:r>
          </w:p>
        </w:tc>
        <w:tc>
          <w:tcPr>
            <w:tcW w:w="1219" w:type="pct"/>
            <w:tcBorders>
              <w:top w:val="single" w:sz="7" w:space="0" w:color="000000"/>
              <w:left w:val="single" w:sz="7" w:space="0" w:color="000000"/>
              <w:bottom w:val="single" w:sz="7" w:space="0" w:color="000000"/>
              <w:right w:val="single" w:sz="7" w:space="0" w:color="000000"/>
            </w:tcBorders>
            <w:vAlign w:val="center"/>
          </w:tcPr>
          <w:p w:rsidR="00234360" w:rsidRPr="00932EA2" w:rsidP="00234360" w14:paraId="3B02B2DE" w14:textId="43FA874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bCs/>
                <w:color w:val="000000"/>
                <w:sz w:val="20"/>
                <w:szCs w:val="20"/>
              </w:rPr>
            </w:pPr>
            <w:r>
              <w:rPr>
                <w:b/>
                <w:bCs/>
                <w:color w:val="000000"/>
                <w:sz w:val="20"/>
                <w:szCs w:val="20"/>
              </w:rPr>
              <w:t>-</w:t>
            </w:r>
          </w:p>
        </w:tc>
      </w:tr>
    </w:tbl>
    <w:p w:rsidR="00CD5A4A" w:rsidP="00CD5A4A" w14:paraId="58E3481D" w14:textId="77777777">
      <w:pPr>
        <w:autoSpaceDE/>
        <w:autoSpaceDN/>
        <w:adjustRightInd/>
        <w:spacing w:after="160" w:line="259" w:lineRule="auto"/>
      </w:pPr>
    </w:p>
    <w:p w:rsidR="00DF2D61" w:rsidP="006745D3" w14:paraId="27F4F426" w14:textId="2E501DC2">
      <w:pPr>
        <w:autoSpaceDE/>
        <w:autoSpaceDN/>
        <w:adjustRightInd/>
        <w:spacing w:after="160" w:line="259" w:lineRule="auto"/>
        <w:ind w:left="360"/>
      </w:pPr>
      <w:r>
        <w:t xml:space="preserve">  </w:t>
      </w:r>
    </w:p>
    <w:p w:rsidR="00405F4F" w:rsidP="002B15D5" w14:paraId="6E853858" w14:textId="77777777">
      <w:pPr>
        <w:pStyle w:val="NoSpacing"/>
        <w:rPr>
          <w:rFonts w:ascii="Times New Roman" w:hAnsi="Times New Roman" w:cs="Times New Roman"/>
          <w:sz w:val="24"/>
          <w:szCs w:val="24"/>
        </w:rPr>
      </w:pPr>
    </w:p>
    <w:p w:rsidR="002B15D5" w:rsidRPr="005973F2" w:rsidP="000A0844" w14:paraId="7271367E" w14:textId="095DCCC4">
      <w:pPr>
        <w:pStyle w:val="ICR3"/>
      </w:pPr>
      <w:r w:rsidRPr="005973F2">
        <w:t>15. Explain the reasons for any program changes or adjustments reported on the burden worksheet (in hour or cost burden.)</w:t>
      </w:r>
    </w:p>
    <w:p w:rsidR="00F81FD0" w:rsidRPr="00E11293" w:rsidP="002B15D5" w14:paraId="48CB9FFE" w14:textId="2DA53118">
      <w:pPr>
        <w:pStyle w:val="NoSpacing"/>
        <w:rPr>
          <w:rFonts w:ascii="Times New Roman" w:hAnsi="Times New Roman" w:cs="Times New Roman"/>
          <w:sz w:val="24"/>
          <w:szCs w:val="24"/>
        </w:rPr>
      </w:pPr>
      <w:r w:rsidRPr="00E11293">
        <w:rPr>
          <w:rFonts w:ascii="Times New Roman" w:hAnsi="Times New Roman" w:cs="Times New Roman"/>
          <w:sz w:val="24"/>
          <w:szCs w:val="24"/>
        </w:rPr>
        <w:tab/>
      </w:r>
    </w:p>
    <w:p w:rsidR="002B15D5" w:rsidP="00D85166" w14:paraId="369AB4B7" w14:textId="30983FAE">
      <w:pPr>
        <w:pStyle w:val="NoSpacing"/>
        <w:ind w:left="720"/>
        <w:rPr>
          <w:rFonts w:ascii="Times New Roman" w:hAnsi="Times New Roman" w:cs="Times New Roman"/>
          <w:sz w:val="24"/>
          <w:szCs w:val="24"/>
        </w:rPr>
      </w:pPr>
      <w:r w:rsidRPr="00E11293">
        <w:rPr>
          <w:rFonts w:ascii="Times New Roman" w:hAnsi="Times New Roman" w:cs="Times New Roman"/>
          <w:sz w:val="24"/>
          <w:szCs w:val="24"/>
        </w:rPr>
        <w:t xml:space="preserve">This is a </w:t>
      </w:r>
      <w:r w:rsidR="004D5561">
        <w:rPr>
          <w:rFonts w:ascii="Times New Roman" w:hAnsi="Times New Roman" w:cs="Times New Roman"/>
          <w:sz w:val="24"/>
          <w:szCs w:val="24"/>
        </w:rPr>
        <w:t>revised</w:t>
      </w:r>
      <w:r w:rsidRPr="00E11293">
        <w:rPr>
          <w:rFonts w:ascii="Times New Roman" w:hAnsi="Times New Roman" w:cs="Times New Roman"/>
          <w:sz w:val="24"/>
          <w:szCs w:val="24"/>
        </w:rPr>
        <w:t xml:space="preserve"> </w:t>
      </w:r>
      <w:r w:rsidR="00D71A17">
        <w:rPr>
          <w:rFonts w:ascii="Times New Roman" w:hAnsi="Times New Roman" w:cs="Times New Roman"/>
          <w:sz w:val="24"/>
          <w:szCs w:val="24"/>
        </w:rPr>
        <w:t>Information Collection Request</w:t>
      </w:r>
      <w:r w:rsidRPr="00E11293">
        <w:rPr>
          <w:rFonts w:ascii="Times New Roman" w:hAnsi="Times New Roman" w:cs="Times New Roman"/>
          <w:sz w:val="24"/>
          <w:szCs w:val="24"/>
        </w:rPr>
        <w:t xml:space="preserve"> for a </w:t>
      </w:r>
      <w:r w:rsidR="004D5561">
        <w:rPr>
          <w:rFonts w:ascii="Times New Roman" w:hAnsi="Times New Roman" w:cs="Times New Roman"/>
          <w:sz w:val="24"/>
          <w:szCs w:val="24"/>
        </w:rPr>
        <w:t>proposed rulemaking, amending the information collection request for the original 2024</w:t>
      </w:r>
      <w:r w:rsidR="00CD5A4A">
        <w:rPr>
          <w:rFonts w:ascii="Times New Roman" w:hAnsi="Times New Roman" w:cs="Times New Roman"/>
          <w:sz w:val="24"/>
          <w:szCs w:val="24"/>
        </w:rPr>
        <w:t xml:space="preserve"> HDP3</w:t>
      </w:r>
      <w:r w:rsidR="00834030">
        <w:rPr>
          <w:rFonts w:ascii="Times New Roman" w:hAnsi="Times New Roman" w:cs="Times New Roman"/>
          <w:sz w:val="24"/>
          <w:szCs w:val="24"/>
        </w:rPr>
        <w:t xml:space="preserve"> </w:t>
      </w:r>
      <w:r w:rsidRPr="00E11293">
        <w:rPr>
          <w:rFonts w:ascii="Times New Roman" w:hAnsi="Times New Roman" w:cs="Times New Roman"/>
          <w:sz w:val="24"/>
          <w:szCs w:val="24"/>
        </w:rPr>
        <w:t>rulemaking.  There are no program changes or adjustments reported on the burden worksheet.</w:t>
      </w:r>
    </w:p>
    <w:p w:rsidR="00F8410C" w:rsidRPr="00E11293" w:rsidP="00D85166" w14:paraId="3E9DD34A" w14:textId="77777777">
      <w:pPr>
        <w:pStyle w:val="NoSpacing"/>
        <w:ind w:left="720"/>
        <w:rPr>
          <w:rFonts w:ascii="Times New Roman" w:hAnsi="Times New Roman" w:cs="Times New Roman"/>
          <w:sz w:val="24"/>
          <w:szCs w:val="24"/>
        </w:rPr>
      </w:pPr>
    </w:p>
    <w:p w:rsidR="00405F4F" w14:paraId="3B2A0576" w14:textId="77777777">
      <w:pPr>
        <w:autoSpaceDE/>
        <w:autoSpaceDN/>
        <w:adjustRightInd/>
        <w:spacing w:after="160" w:line="259" w:lineRule="auto"/>
      </w:pPr>
    </w:p>
    <w:p w:rsidR="002B15D5" w:rsidRPr="005973F2" w:rsidP="000A0844" w14:paraId="565A2A60" w14:textId="04987823">
      <w:pPr>
        <w:pStyle w:val="ICR3"/>
      </w:pPr>
      <w:r w:rsidRPr="005973F2">
        <w:t>16. For collections of information whose results will be published, outline plans for tabulation</w:t>
      </w:r>
      <w:r w:rsidR="002D5D05">
        <w:t xml:space="preserve"> </w:t>
      </w:r>
      <w:r w:rsidRPr="005973F2">
        <w:t>and publication. Address any complex analytical techniques that will be used. Provide the</w:t>
      </w:r>
      <w:r w:rsidR="002D5D05">
        <w:t xml:space="preserve"> </w:t>
      </w:r>
      <w:r w:rsidRPr="005973F2">
        <w:t>time schedule for the entire project, including beginning and ending dates of the collection of</w:t>
      </w:r>
      <w:r w:rsidR="002D5D05">
        <w:t xml:space="preserve"> </w:t>
      </w:r>
      <w:r w:rsidRPr="005973F2">
        <w:t>information, completion of report, publication dates, and other actions.</w:t>
      </w:r>
    </w:p>
    <w:p w:rsidR="002B15D5" w:rsidRPr="00E11293" w:rsidP="002B15D5" w14:paraId="368F3870" w14:textId="2F74F74E">
      <w:pPr>
        <w:pStyle w:val="NoSpacing"/>
        <w:rPr>
          <w:rFonts w:ascii="Times New Roman" w:hAnsi="Times New Roman" w:cs="Times New Roman"/>
          <w:sz w:val="24"/>
          <w:szCs w:val="24"/>
        </w:rPr>
      </w:pPr>
    </w:p>
    <w:p w:rsidR="00155647" w:rsidP="00155647" w14:paraId="3853ABF3"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155647" w:rsidP="00072E0F" w14:paraId="53438297" w14:textId="77777777">
      <w:pPr>
        <w:autoSpaceDE/>
        <w:autoSpaceDN/>
        <w:adjustRightInd/>
        <w:spacing w:after="160" w:line="259" w:lineRule="auto"/>
        <w:ind w:left="720"/>
      </w:pPr>
    </w:p>
    <w:p w:rsidR="001543EF" w:rsidP="00072E0F" w14:paraId="38ECD58E" w14:textId="77777777">
      <w:pPr>
        <w:autoSpaceDE/>
        <w:autoSpaceDN/>
        <w:adjustRightInd/>
        <w:spacing w:after="160" w:line="259" w:lineRule="auto"/>
        <w:ind w:left="720"/>
      </w:pPr>
    </w:p>
    <w:p w:rsidR="002B15D5" w:rsidRPr="00A11D3D" w:rsidP="000A0844" w14:paraId="35404447" w14:textId="6C5EC699">
      <w:pPr>
        <w:pStyle w:val="ICR3"/>
      </w:pPr>
      <w:r w:rsidRPr="00A11D3D">
        <w:t>17. If seeking approval to not display the expiration date for OMB approval of the information</w:t>
      </w:r>
      <w:r w:rsidR="00A11D3D">
        <w:t xml:space="preserve"> </w:t>
      </w:r>
      <w:r w:rsidRPr="00A11D3D">
        <w:t>collection, explain the reasons that display would be inappropriate.</w:t>
      </w:r>
    </w:p>
    <w:p w:rsidR="00727800" w:rsidRPr="00E11293" w:rsidP="002B15D5" w14:paraId="6F5E706A" w14:textId="150B7E55">
      <w:pPr>
        <w:pStyle w:val="NoSpacing"/>
        <w:rPr>
          <w:rFonts w:ascii="Times New Roman" w:hAnsi="Times New Roman" w:cs="Times New Roman"/>
          <w:sz w:val="24"/>
          <w:szCs w:val="24"/>
        </w:rPr>
      </w:pPr>
    </w:p>
    <w:p w:rsidR="00155647" w:rsidP="00155647" w14:paraId="1DA207B7" w14:textId="7777777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w:t>
      </w:r>
    </w:p>
    <w:p w:rsidR="00155647" w:rsidP="00727800" w14:paraId="2F6F01E4" w14:textId="77777777">
      <w:pPr>
        <w:pStyle w:val="NoSpacing"/>
        <w:ind w:left="720"/>
        <w:rPr>
          <w:rFonts w:ascii="Times New Roman" w:hAnsi="Times New Roman" w:cs="Times New Roman"/>
          <w:sz w:val="24"/>
          <w:szCs w:val="24"/>
        </w:rPr>
      </w:pPr>
    </w:p>
    <w:p w:rsidR="00405F4F" w:rsidP="00405F4F" w14:paraId="41331C5C" w14:textId="0B2D07B1">
      <w:pPr>
        <w:pStyle w:val="NoSpacing"/>
        <w:rPr>
          <w:rFonts w:ascii="Times New Roman" w:hAnsi="Times New Roman" w:cs="Times New Roman"/>
          <w:sz w:val="24"/>
          <w:szCs w:val="24"/>
        </w:rPr>
      </w:pPr>
    </w:p>
    <w:p w:rsidR="00405F4F" w:rsidP="00405F4F" w14:paraId="598CCB98" w14:textId="096B6C33">
      <w:pPr>
        <w:pStyle w:val="NoSpacing"/>
        <w:rPr>
          <w:rFonts w:ascii="Times New Roman" w:hAnsi="Times New Roman" w:cs="Times New Roman"/>
          <w:sz w:val="24"/>
          <w:szCs w:val="24"/>
        </w:rPr>
      </w:pPr>
    </w:p>
    <w:p w:rsidR="002B15D5" w:rsidRPr="00A11D3D" w:rsidP="002B15D5" w14:paraId="0408FE1A" w14:textId="04DAF179">
      <w:pPr>
        <w:pStyle w:val="NoSpacing"/>
        <w:rPr>
          <w:rFonts w:ascii="Times New Roman" w:hAnsi="Times New Roman" w:cs="Times New Roman"/>
          <w:b/>
          <w:bCs/>
          <w:sz w:val="24"/>
          <w:szCs w:val="24"/>
        </w:rPr>
      </w:pPr>
      <w:r w:rsidRPr="00A11D3D">
        <w:rPr>
          <w:rFonts w:ascii="Times New Roman" w:hAnsi="Times New Roman" w:cs="Times New Roman"/>
          <w:b/>
          <w:bCs/>
          <w:sz w:val="24"/>
          <w:szCs w:val="24"/>
        </w:rPr>
        <w:t>18.Explain each exception to the topics of the certification statement identified in “Certification</w:t>
      </w:r>
      <w:r w:rsidR="00A11D3D">
        <w:rPr>
          <w:rFonts w:ascii="Times New Roman" w:hAnsi="Times New Roman" w:cs="Times New Roman"/>
          <w:b/>
          <w:bCs/>
          <w:sz w:val="24"/>
          <w:szCs w:val="24"/>
        </w:rPr>
        <w:t xml:space="preserve"> </w:t>
      </w:r>
      <w:r w:rsidRPr="00A11D3D">
        <w:rPr>
          <w:rFonts w:ascii="Times New Roman" w:hAnsi="Times New Roman" w:cs="Times New Roman"/>
          <w:b/>
          <w:bCs/>
          <w:sz w:val="24"/>
          <w:szCs w:val="24"/>
        </w:rPr>
        <w:t>for Paperwork Reduction Act Submissions.”</w:t>
      </w:r>
    </w:p>
    <w:p w:rsidR="00272EED" w:rsidRPr="00E11293" w:rsidP="002B15D5" w14:paraId="140B6D23" w14:textId="15669DA0">
      <w:pPr>
        <w:pStyle w:val="NoSpacing"/>
        <w:rPr>
          <w:rFonts w:ascii="Times New Roman" w:hAnsi="Times New Roman" w:cs="Times New Roman"/>
          <w:sz w:val="24"/>
          <w:szCs w:val="24"/>
        </w:rPr>
      </w:pPr>
    </w:p>
    <w:p w:rsidR="00272EED" w:rsidP="00F2309F" w14:paraId="41E6E08E" w14:textId="078275C8">
      <w:pPr>
        <w:pStyle w:val="NoSpacing"/>
        <w:ind w:left="720"/>
        <w:rPr>
          <w:rFonts w:ascii="Times New Roman" w:hAnsi="Times New Roman" w:cs="Times New Roman"/>
          <w:sz w:val="24"/>
          <w:szCs w:val="24"/>
        </w:rPr>
      </w:pPr>
      <w:r w:rsidRPr="00F2309F">
        <w:rPr>
          <w:rFonts w:ascii="Times New Roman" w:hAnsi="Times New Roman" w:cs="Times New Roman"/>
          <w:sz w:val="24"/>
          <w:szCs w:val="24"/>
        </w:rPr>
        <w:t>EPA does not request an exception to the certification of this information collection.</w:t>
      </w:r>
    </w:p>
    <w:p w:rsidR="00E30B44" w:rsidP="00E30B44" w14:paraId="66DA6A92" w14:textId="77777777">
      <w:pPr>
        <w:pStyle w:val="NoSpacing"/>
        <w:rPr>
          <w:rFonts w:ascii="Times New Roman" w:hAnsi="Times New Roman" w:cs="Times New Roman"/>
          <w:sz w:val="24"/>
          <w:szCs w:val="24"/>
        </w:rPr>
      </w:pPr>
    </w:p>
    <w:p w:rsidR="00E30B44" w:rsidP="00E30B44" w14:paraId="2E7C9D5D" w14:textId="77777777">
      <w:pPr>
        <w:pStyle w:val="NoSpacing"/>
        <w:rPr>
          <w:rFonts w:ascii="Times New Roman" w:hAnsi="Times New Roman" w:cs="Times New Roman"/>
          <w:sz w:val="24"/>
          <w:szCs w:val="24"/>
        </w:rPr>
      </w:pPr>
    </w:p>
    <w:p w:rsidR="00E30B44" w:rsidP="00E30B44" w14:paraId="0D62793C" w14:textId="77777777">
      <w:pPr>
        <w:pStyle w:val="NoSpacing"/>
        <w:rPr>
          <w:rFonts w:ascii="Times New Roman" w:hAnsi="Times New Roman" w:cs="Times New Roman"/>
          <w:sz w:val="24"/>
          <w:szCs w:val="24"/>
        </w:rPr>
      </w:pPr>
    </w:p>
    <w:p w:rsidR="00BB6BCC" w14:paraId="4C5FCC7C" w14:textId="77777777">
      <w:pPr>
        <w:autoSpaceDE/>
        <w:autoSpaceDN/>
        <w:adjustRightInd/>
        <w:spacing w:after="160" w:line="259" w:lineRule="auto"/>
        <w:rPr>
          <w:rFonts w:eastAsiaTheme="majorEastAsia" w:cstheme="majorBidi"/>
          <w:b/>
          <w:color w:val="000000" w:themeColor="text1"/>
        </w:rPr>
      </w:pPr>
      <w:r>
        <w:br w:type="page"/>
      </w:r>
    </w:p>
    <w:p w:rsidR="00E30B44" w:rsidP="000A0844" w14:paraId="2951812B" w14:textId="3BFF4DFE">
      <w:pPr>
        <w:pStyle w:val="ICR2"/>
      </w:pPr>
      <w:r w:rsidRPr="00D54E6D">
        <w:t>SUPPLEMENTAL INFORMATION</w:t>
      </w:r>
    </w:p>
    <w:p w:rsidR="003D76D6" w:rsidP="00E30B44" w14:paraId="330BE5F5" w14:textId="77777777">
      <w:pPr>
        <w:pStyle w:val="NoSpacing"/>
        <w:rPr>
          <w:rFonts w:ascii="Times New Roman" w:hAnsi="Times New Roman" w:cs="Times New Roman"/>
          <w:b/>
          <w:bCs/>
          <w:sz w:val="24"/>
          <w:szCs w:val="24"/>
        </w:rPr>
      </w:pPr>
    </w:p>
    <w:p w:rsidR="00E43285" w:rsidP="001543EF" w14:paraId="37E56C25" w14:textId="44D9218D">
      <w:pPr>
        <w:pStyle w:val="ICR3"/>
      </w:pPr>
      <w:r>
        <w:t>1.</w:t>
      </w:r>
      <w:r w:rsidR="003D76D6">
        <w:t xml:space="preserve"> </w:t>
      </w:r>
      <w:r>
        <w:t>Statutory Authorities</w:t>
      </w:r>
    </w:p>
    <w:p w:rsidR="00E43285" w:rsidP="00E43285" w14:paraId="77729297" w14:textId="77777777">
      <w:pPr>
        <w:pStyle w:val="NoSpacing"/>
        <w:ind w:left="720"/>
        <w:rPr>
          <w:rFonts w:ascii="Times New Roman" w:hAnsi="Times New Roman" w:cs="Times New Roman"/>
          <w:b/>
          <w:bCs/>
          <w:sz w:val="24"/>
          <w:szCs w:val="24"/>
        </w:rPr>
      </w:pPr>
    </w:p>
    <w:p w:rsidR="00E43285" w:rsidP="00E43285" w14:paraId="016EB22E" w14:textId="70775E43">
      <w:pPr>
        <w:pStyle w:val="NoSpacing"/>
        <w:ind w:left="720"/>
        <w:rPr>
          <w:rFonts w:ascii="Times New Roman" w:hAnsi="Times New Roman" w:cs="Times New Roman"/>
          <w:sz w:val="24"/>
          <w:szCs w:val="24"/>
        </w:rPr>
      </w:pPr>
      <w:r w:rsidRPr="008D2443">
        <w:rPr>
          <w:rFonts w:ascii="Times New Roman" w:hAnsi="Times New Roman" w:cs="Times New Roman"/>
          <w:sz w:val="24"/>
          <w:szCs w:val="24"/>
        </w:rPr>
        <w:t xml:space="preserve">The sections of the CAA that </w:t>
      </w:r>
      <w:r>
        <w:rPr>
          <w:rFonts w:ascii="Times New Roman" w:hAnsi="Times New Roman" w:cs="Times New Roman"/>
          <w:sz w:val="24"/>
          <w:szCs w:val="24"/>
        </w:rPr>
        <w:t>provide</w:t>
      </w:r>
      <w:r w:rsidRPr="008D2443">
        <w:rPr>
          <w:rFonts w:ascii="Times New Roman" w:hAnsi="Times New Roman" w:cs="Times New Roman"/>
          <w:sz w:val="24"/>
          <w:szCs w:val="24"/>
        </w:rPr>
        <w:t xml:space="preserve"> statutory authority for the requirements contained in this </w:t>
      </w:r>
      <w:r w:rsidR="004A1AF7">
        <w:rPr>
          <w:rFonts w:ascii="Times New Roman" w:hAnsi="Times New Roman" w:cs="Times New Roman"/>
          <w:sz w:val="24"/>
          <w:szCs w:val="24"/>
        </w:rPr>
        <w:t>proposed</w:t>
      </w:r>
      <w:r w:rsidR="00B170F0">
        <w:rPr>
          <w:rFonts w:ascii="Times New Roman" w:hAnsi="Times New Roman" w:cs="Times New Roman"/>
          <w:sz w:val="24"/>
          <w:szCs w:val="24"/>
        </w:rPr>
        <w:t xml:space="preserve"> </w:t>
      </w:r>
      <w:r>
        <w:rPr>
          <w:rFonts w:ascii="Times New Roman" w:hAnsi="Times New Roman" w:cs="Times New Roman"/>
          <w:sz w:val="24"/>
          <w:szCs w:val="24"/>
        </w:rPr>
        <w:t>rule</w:t>
      </w:r>
      <w:r w:rsidRPr="008D2443">
        <w:rPr>
          <w:rFonts w:ascii="Times New Roman" w:hAnsi="Times New Roman" w:cs="Times New Roman"/>
          <w:sz w:val="24"/>
          <w:szCs w:val="24"/>
        </w:rPr>
        <w:t xml:space="preserve"> are 202, 203, 206, 207, 208, 213, 216, and 301 (42 U.S.C. 7521, 7522, 7525, 7541, 7542, 7547, 7550, and 7601).</w:t>
      </w:r>
    </w:p>
    <w:p w:rsidR="00E43285" w:rsidP="00E43285" w14:paraId="0EB643FD" w14:textId="77777777">
      <w:pPr>
        <w:pStyle w:val="NoSpacing"/>
        <w:rPr>
          <w:rFonts w:ascii="Times New Roman" w:hAnsi="Times New Roman" w:cs="Times New Roman"/>
          <w:sz w:val="24"/>
          <w:szCs w:val="24"/>
        </w:rPr>
      </w:pPr>
    </w:p>
    <w:p w:rsidR="00E43285" w:rsidP="00E43285" w14:paraId="015AFA03" w14:textId="77777777">
      <w:pPr>
        <w:pStyle w:val="NoSpacing"/>
        <w:ind w:left="720"/>
        <w:rPr>
          <w:rFonts w:ascii="Times New Roman" w:hAnsi="Times New Roman" w:cs="Times New Roman"/>
          <w:b/>
          <w:bCs/>
          <w:sz w:val="24"/>
          <w:szCs w:val="24"/>
        </w:rPr>
      </w:pPr>
    </w:p>
    <w:p w:rsidR="003D76D6" w:rsidP="001543EF" w14:paraId="10784B93" w14:textId="4C46AAF0">
      <w:pPr>
        <w:pStyle w:val="ICR3"/>
      </w:pPr>
      <w:r>
        <w:t xml:space="preserve">2. </w:t>
      </w:r>
      <w:r>
        <w:t>Affected CFR Regulations</w:t>
      </w:r>
    </w:p>
    <w:p w:rsidR="00FB1C7F" w:rsidP="00FB1C7F" w14:paraId="32F15676" w14:textId="77777777">
      <w:pPr>
        <w:pStyle w:val="NoSpacing"/>
        <w:ind w:left="720"/>
        <w:rPr>
          <w:rFonts w:ascii="Times New Roman" w:hAnsi="Times New Roman" w:cs="Times New Roman"/>
          <w:b/>
          <w:bCs/>
          <w:sz w:val="24"/>
          <w:szCs w:val="24"/>
        </w:rPr>
      </w:pPr>
    </w:p>
    <w:p w:rsidR="00FB1C7F" w:rsidP="000665F1" w14:paraId="1A1D02E7" w14:textId="4398FCE0">
      <w:pPr>
        <w:pStyle w:val="NoSpacing"/>
        <w:ind w:firstLine="720"/>
        <w:rPr>
          <w:rFonts w:ascii="Times New Roman" w:hAnsi="Times New Roman" w:cs="Times New Roman"/>
          <w:sz w:val="24"/>
          <w:szCs w:val="24"/>
        </w:rPr>
      </w:pPr>
      <w:r w:rsidRPr="354B8043">
        <w:rPr>
          <w:rFonts w:ascii="Times New Roman" w:hAnsi="Times New Roman" w:cs="Times New Roman"/>
          <w:sz w:val="24"/>
          <w:szCs w:val="24"/>
        </w:rPr>
        <w:t xml:space="preserve">The </w:t>
      </w:r>
      <w:r w:rsidRPr="354B8043" w:rsidR="009C2950">
        <w:rPr>
          <w:rFonts w:ascii="Times New Roman" w:hAnsi="Times New Roman" w:cs="Times New Roman"/>
          <w:sz w:val="24"/>
          <w:szCs w:val="24"/>
        </w:rPr>
        <w:t xml:space="preserve">provisions in the Code of Federal Regulations (CFR) </w:t>
      </w:r>
      <w:r w:rsidRPr="354B8043">
        <w:rPr>
          <w:rFonts w:ascii="Times New Roman" w:hAnsi="Times New Roman" w:cs="Times New Roman"/>
          <w:sz w:val="24"/>
          <w:szCs w:val="24"/>
        </w:rPr>
        <w:t xml:space="preserve">regulations affected by the </w:t>
      </w:r>
      <w:r w:rsidR="004A1AF7">
        <w:rPr>
          <w:rFonts w:ascii="Times New Roman" w:hAnsi="Times New Roman" w:cs="Times New Roman"/>
          <w:sz w:val="24"/>
          <w:szCs w:val="24"/>
        </w:rPr>
        <w:t>proposed</w:t>
      </w:r>
      <w:r w:rsidRPr="354B8043" w:rsidR="00B170F0">
        <w:rPr>
          <w:rFonts w:ascii="Times New Roman" w:hAnsi="Times New Roman" w:cs="Times New Roman"/>
          <w:sz w:val="24"/>
          <w:szCs w:val="24"/>
        </w:rPr>
        <w:t xml:space="preserve"> </w:t>
      </w:r>
      <w:r w:rsidRPr="354B8043">
        <w:rPr>
          <w:rFonts w:ascii="Times New Roman" w:hAnsi="Times New Roman" w:cs="Times New Roman"/>
          <w:sz w:val="24"/>
          <w:szCs w:val="24"/>
        </w:rPr>
        <w:t xml:space="preserve">rule are </w:t>
      </w:r>
      <w:r w:rsidRPr="354B8043" w:rsidR="009C2950">
        <w:rPr>
          <w:rFonts w:ascii="Times New Roman" w:hAnsi="Times New Roman" w:cs="Times New Roman"/>
          <w:sz w:val="24"/>
          <w:szCs w:val="24"/>
        </w:rPr>
        <w:t>set out in Table 4</w:t>
      </w:r>
      <w:r w:rsidRPr="354B8043">
        <w:rPr>
          <w:rFonts w:ascii="Times New Roman" w:hAnsi="Times New Roman" w:cs="Times New Roman"/>
          <w:sz w:val="24"/>
          <w:szCs w:val="24"/>
        </w:rPr>
        <w:t xml:space="preserve">:  </w:t>
      </w:r>
    </w:p>
    <w:p w:rsidR="00FB1C7F" w:rsidP="00FB1C7F" w14:paraId="66051129" w14:textId="77777777">
      <w:pPr>
        <w:pStyle w:val="NoSpacing"/>
        <w:rPr>
          <w:rFonts w:ascii="Times New Roman" w:hAnsi="Times New Roman" w:cs="Times New Roman"/>
          <w:sz w:val="24"/>
          <w:szCs w:val="24"/>
        </w:rPr>
      </w:pPr>
    </w:p>
    <w:p w:rsidR="009812C1" w:rsidRPr="009C2950" w:rsidP="00E43285" w14:paraId="0BA60F9C" w14:textId="54C8F9A0">
      <w:pPr>
        <w:pStyle w:val="Caption"/>
        <w:keepNext/>
        <w:jc w:val="center"/>
        <w:rPr>
          <w:sz w:val="24"/>
          <w:szCs w:val="24"/>
        </w:rPr>
      </w:pPr>
      <w:r w:rsidRPr="330074B2">
        <w:rPr>
          <w:sz w:val="24"/>
          <w:szCs w:val="24"/>
        </w:rPr>
        <w:t xml:space="preserve">Table </w:t>
      </w:r>
      <w:r w:rsidRPr="330074B2">
        <w:rPr>
          <w:color w:val="2B579A"/>
          <w:sz w:val="24"/>
          <w:szCs w:val="24"/>
          <w:shd w:val="clear" w:color="auto" w:fill="E6E6E6"/>
        </w:rPr>
        <w:fldChar w:fldCharType="begin"/>
      </w:r>
      <w:r w:rsidRPr="330074B2">
        <w:rPr>
          <w:sz w:val="24"/>
          <w:szCs w:val="24"/>
        </w:rPr>
        <w:instrText xml:space="preserve"> SEQ Table \* ARABIC </w:instrText>
      </w:r>
      <w:r w:rsidRPr="330074B2">
        <w:rPr>
          <w:color w:val="2B579A"/>
          <w:sz w:val="24"/>
          <w:szCs w:val="24"/>
          <w:shd w:val="clear" w:color="auto" w:fill="E6E6E6"/>
        </w:rPr>
        <w:fldChar w:fldCharType="separate"/>
      </w:r>
      <w:r w:rsidRPr="330074B2" w:rsidR="00BB757D">
        <w:rPr>
          <w:noProof/>
          <w:sz w:val="24"/>
          <w:szCs w:val="24"/>
        </w:rPr>
        <w:t>4</w:t>
      </w:r>
      <w:r w:rsidRPr="330074B2">
        <w:rPr>
          <w:noProof/>
          <w:color w:val="2B579A"/>
          <w:sz w:val="24"/>
          <w:szCs w:val="24"/>
          <w:shd w:val="clear" w:color="auto" w:fill="E6E6E6"/>
        </w:rPr>
        <w:fldChar w:fldCharType="end"/>
      </w:r>
      <w:r w:rsidRPr="330074B2">
        <w:rPr>
          <w:sz w:val="24"/>
          <w:szCs w:val="24"/>
        </w:rPr>
        <w:t xml:space="preserve"> - </w:t>
      </w:r>
      <w:r w:rsidRPr="330074B2" w:rsidR="00E43285">
        <w:rPr>
          <w:sz w:val="24"/>
          <w:szCs w:val="24"/>
        </w:rPr>
        <w:t>Principal</w:t>
      </w:r>
      <w:r w:rsidRPr="330074B2">
        <w:rPr>
          <w:sz w:val="24"/>
          <w:szCs w:val="24"/>
        </w:rPr>
        <w:t xml:space="preserve"> Regulations Amended by the </w:t>
      </w:r>
      <w:r w:rsidR="00D2529F">
        <w:rPr>
          <w:sz w:val="24"/>
          <w:szCs w:val="24"/>
        </w:rPr>
        <w:t>Proposed</w:t>
      </w:r>
      <w:r w:rsidRPr="330074B2" w:rsidR="00B170F0">
        <w:rPr>
          <w:sz w:val="24"/>
          <w:szCs w:val="24"/>
        </w:rPr>
        <w:t xml:space="preserve"> </w:t>
      </w:r>
      <w:r w:rsidRPr="330074B2">
        <w:rPr>
          <w:sz w:val="24"/>
          <w:szCs w:val="24"/>
        </w:rPr>
        <w:t>Rule</w:t>
      </w:r>
    </w:p>
    <w:tbl>
      <w:tblPr>
        <w:tblW w:w="82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72"/>
        <w:gridCol w:w="1800"/>
      </w:tblGrid>
      <w:tr w14:paraId="30A70EDB" w14:textId="77777777" w:rsidTr="00CB684C">
        <w:tblPrEx>
          <w:tblW w:w="82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6472"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9812C1" w:rsidRPr="00FF55C0" w:rsidP="00FD1E6A" w14:paraId="415F24DB" w14:textId="77777777">
            <w:pPr>
              <w:jc w:val="center"/>
              <w:textAlignment w:val="baseline"/>
            </w:pPr>
            <w:r w:rsidRPr="00FF55C0">
              <w:t>Industry</w:t>
            </w:r>
          </w:p>
        </w:tc>
        <w:tc>
          <w:tcPr>
            <w:tcW w:w="18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bottom"/>
            <w:hideMark/>
          </w:tcPr>
          <w:p w:rsidR="009812C1" w:rsidRPr="00FF55C0" w:rsidP="00FD1E6A" w14:paraId="7A15C803" w14:textId="77777777">
            <w:pPr>
              <w:jc w:val="center"/>
              <w:textAlignment w:val="baseline"/>
            </w:pPr>
            <w:r w:rsidRPr="00FF55C0">
              <w:t>40 CFR</w:t>
            </w:r>
            <w:r>
              <w:rPr>
                <w:rStyle w:val="FootnoteReference"/>
              </w:rPr>
              <w:footnoteReference w:id="4"/>
            </w:r>
            <w:r w:rsidRPr="00FF55C0">
              <w:t xml:space="preserve"> Part</w:t>
            </w:r>
          </w:p>
        </w:tc>
      </w:tr>
      <w:tr w14:paraId="629D6CE0" w14:textId="77777777" w:rsidTr="00CB684C">
        <w:tblPrEx>
          <w:tblW w:w="8272" w:type="dxa"/>
          <w:jc w:val="center"/>
          <w:tblCellMar>
            <w:left w:w="0" w:type="dxa"/>
            <w:right w:w="0" w:type="dxa"/>
          </w:tblCellMar>
          <w:tblLook w:val="04A0"/>
        </w:tblPrEx>
        <w:trPr>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bottom"/>
          </w:tcPr>
          <w:p w:rsidR="009812C1" w:rsidRPr="005A4C15" w:rsidP="00FD1E6A" w14:paraId="13F1B377" w14:textId="0D3360A2">
            <w:pPr>
              <w:textAlignment w:val="baseline"/>
            </w:pPr>
            <w:r>
              <w:t xml:space="preserve">Requirements for </w:t>
            </w:r>
            <w:r w:rsidR="00D26D8A">
              <w:t>LD and MD</w:t>
            </w:r>
            <w:r>
              <w:t xml:space="preserve"> Engines &amp; Vehicles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rsidR="009812C1" w:rsidRPr="005A4C15" w:rsidP="00FD1E6A" w14:paraId="245EC44C" w14:textId="2B2DB45E">
            <w:pPr>
              <w:jc w:val="center"/>
              <w:textAlignment w:val="baseline"/>
            </w:pPr>
            <w:r>
              <w:t xml:space="preserve">85, 86, </w:t>
            </w:r>
            <w:r w:rsidR="00D26D8A">
              <w:t>600</w:t>
            </w:r>
          </w:p>
        </w:tc>
      </w:tr>
      <w:tr w14:paraId="2900E2DE" w14:textId="77777777" w:rsidTr="00CB684C">
        <w:tblPrEx>
          <w:tblW w:w="8272" w:type="dxa"/>
          <w:jc w:val="center"/>
          <w:tblCellMar>
            <w:left w:w="0" w:type="dxa"/>
            <w:right w:w="0" w:type="dxa"/>
          </w:tblCellMar>
          <w:tblLook w:val="04A0"/>
        </w:tblPrEx>
        <w:trPr>
          <w:trHeight w:val="300"/>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bottom"/>
          </w:tcPr>
          <w:p w:rsidR="696AD845" w:rsidP="696AD845" w14:paraId="60D7583F" w14:textId="40A42ED5">
            <w:r>
              <w:t>Control of Emissions from New and In-Use Heavy-Duty Highway Engines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rsidR="696AD845" w:rsidP="696AD845" w14:paraId="6D444327" w14:textId="07CCD7FD">
            <w:pPr>
              <w:jc w:val="center"/>
            </w:pPr>
            <w:r>
              <w:t>1036</w:t>
            </w:r>
          </w:p>
        </w:tc>
      </w:tr>
      <w:tr w14:paraId="0B282CDF" w14:textId="77777777" w:rsidTr="00CB684C">
        <w:tblPrEx>
          <w:tblW w:w="8272" w:type="dxa"/>
          <w:jc w:val="center"/>
          <w:tblCellMar>
            <w:left w:w="0" w:type="dxa"/>
            <w:right w:w="0" w:type="dxa"/>
          </w:tblCellMar>
          <w:tblLook w:val="04A0"/>
        </w:tblPrEx>
        <w:trPr>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bottom"/>
          </w:tcPr>
          <w:p w:rsidR="00D231BE" w:rsidRPr="005A4C15" w:rsidP="00FD1E6A" w14:paraId="6EA631E1" w14:textId="7237356E">
            <w:pPr>
              <w:textAlignment w:val="baseline"/>
            </w:pPr>
            <w:r>
              <w:t>Control of Emissions from New Heavy-Duty Motor Vehicles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rsidR="00D231BE" w:rsidRPr="005A4C15" w:rsidP="00FD1E6A" w14:paraId="78D47F65" w14:textId="3CF278AA">
            <w:pPr>
              <w:jc w:val="center"/>
              <w:textAlignment w:val="baseline"/>
            </w:pPr>
            <w:r>
              <w:t>1037</w:t>
            </w:r>
          </w:p>
        </w:tc>
      </w:tr>
      <w:tr w14:paraId="562F28B3" w14:textId="77777777" w:rsidTr="00CB684C">
        <w:tblPrEx>
          <w:tblW w:w="8272" w:type="dxa"/>
          <w:jc w:val="center"/>
          <w:tblCellMar>
            <w:left w:w="0" w:type="dxa"/>
            <w:right w:w="0" w:type="dxa"/>
          </w:tblCellMar>
          <w:tblLook w:val="04A0"/>
        </w:tblPrEx>
        <w:trPr>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812C1" w:rsidRPr="005A4C15" w:rsidP="00FD1E6A" w14:paraId="48A0C488" w14:textId="1AEEB5EE">
            <w:pPr>
              <w:textAlignment w:val="baseline"/>
            </w:pPr>
            <w:r>
              <w:t>Control of Emissions from New and In-Use Nonroad Compression-Ignition Engines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812C1" w:rsidRPr="005A4C15" w:rsidP="00FD1E6A" w14:paraId="5AA06428" w14:textId="616280A9">
            <w:pPr>
              <w:jc w:val="center"/>
              <w:textAlignment w:val="baseline"/>
            </w:pPr>
            <w:r>
              <w:t>1039</w:t>
            </w:r>
          </w:p>
        </w:tc>
      </w:tr>
    </w:tbl>
    <w:p w:rsidR="00FB1C7F" w:rsidP="00FB1C7F" w14:paraId="5047E382" w14:textId="77777777">
      <w:pPr>
        <w:pStyle w:val="NoSpacing"/>
        <w:ind w:left="720"/>
        <w:rPr>
          <w:rFonts w:ascii="Times New Roman" w:hAnsi="Times New Roman" w:cs="Times New Roman"/>
          <w:b/>
          <w:bCs/>
          <w:sz w:val="24"/>
          <w:szCs w:val="24"/>
        </w:rPr>
      </w:pPr>
    </w:p>
    <w:p w:rsidR="00E46ADB" w:rsidP="00FB1C7F" w14:paraId="6C98244B" w14:textId="77777777">
      <w:pPr>
        <w:pStyle w:val="NoSpacing"/>
        <w:ind w:left="720"/>
        <w:rPr>
          <w:rFonts w:ascii="Times New Roman" w:hAnsi="Times New Roman" w:cs="Times New Roman"/>
          <w:b/>
          <w:bCs/>
          <w:sz w:val="24"/>
          <w:szCs w:val="24"/>
        </w:rPr>
      </w:pPr>
    </w:p>
    <w:p w:rsidR="008D2443" w:rsidP="001543EF" w14:paraId="5C6C96F7" w14:textId="055C400A">
      <w:pPr>
        <w:pStyle w:val="ICR3"/>
      </w:pPr>
      <w:r>
        <w:t xml:space="preserve">3. </w:t>
      </w:r>
      <w:r>
        <w:t>Industries affected</w:t>
      </w:r>
    </w:p>
    <w:p w:rsidR="00FB1C7F" w:rsidP="00FB1C7F" w14:paraId="6861C304" w14:textId="77777777">
      <w:pPr>
        <w:pStyle w:val="NoSpacing"/>
        <w:ind w:left="720"/>
        <w:rPr>
          <w:rFonts w:ascii="Times New Roman" w:hAnsi="Times New Roman" w:cs="Times New Roman"/>
          <w:b/>
          <w:bCs/>
          <w:sz w:val="24"/>
          <w:szCs w:val="24"/>
        </w:rPr>
      </w:pPr>
    </w:p>
    <w:p w:rsidR="008416C9" w:rsidP="008416C9" w14:paraId="0DA04B30" w14:textId="325EE908">
      <w:pPr>
        <w:pStyle w:val="NoSpacing"/>
        <w:ind w:left="720"/>
        <w:rPr>
          <w:rFonts w:ascii="Times New Roman" w:hAnsi="Times New Roman" w:cs="Times New Roman"/>
          <w:sz w:val="24"/>
          <w:szCs w:val="24"/>
        </w:rPr>
      </w:pPr>
      <w:r w:rsidRPr="00222857">
        <w:rPr>
          <w:rFonts w:ascii="Times New Roman" w:hAnsi="Times New Roman" w:cs="Times New Roman"/>
          <w:sz w:val="24"/>
          <w:szCs w:val="24"/>
        </w:rPr>
        <w:t xml:space="preserve">Respondents are manufacturers that sell or import into the United States new </w:t>
      </w:r>
      <w:r w:rsidR="00CD5A4A">
        <w:rPr>
          <w:rFonts w:ascii="Times New Roman" w:hAnsi="Times New Roman" w:cs="Times New Roman"/>
          <w:sz w:val="24"/>
          <w:szCs w:val="24"/>
        </w:rPr>
        <w:t>heavy-duty</w:t>
      </w:r>
      <w:r w:rsidRPr="00222857">
        <w:rPr>
          <w:rFonts w:ascii="Times New Roman" w:hAnsi="Times New Roman" w:cs="Times New Roman"/>
          <w:sz w:val="24"/>
          <w:szCs w:val="24"/>
        </w:rPr>
        <w:t xml:space="preserve"> highway engines and vehicles. </w:t>
      </w:r>
      <w:r w:rsidR="004E3986">
        <w:rPr>
          <w:rFonts w:ascii="Times New Roman" w:hAnsi="Times New Roman" w:cs="Times New Roman"/>
          <w:sz w:val="24"/>
          <w:szCs w:val="24"/>
        </w:rPr>
        <w:t xml:space="preserve"> </w:t>
      </w:r>
      <w:r w:rsidRPr="00222857">
        <w:rPr>
          <w:rFonts w:ascii="Times New Roman" w:hAnsi="Times New Roman" w:cs="Times New Roman"/>
          <w:sz w:val="24"/>
          <w:szCs w:val="24"/>
        </w:rPr>
        <w:t xml:space="preserve">Respondents affected by the </w:t>
      </w:r>
      <w:r w:rsidR="004A1AF7">
        <w:rPr>
          <w:rFonts w:ascii="Times New Roman" w:hAnsi="Times New Roman" w:cs="Times New Roman"/>
          <w:sz w:val="24"/>
          <w:szCs w:val="24"/>
        </w:rPr>
        <w:t>proposal</w:t>
      </w:r>
      <w:r w:rsidRPr="00222857">
        <w:rPr>
          <w:rFonts w:ascii="Times New Roman" w:hAnsi="Times New Roman" w:cs="Times New Roman"/>
          <w:sz w:val="24"/>
          <w:szCs w:val="24"/>
        </w:rPr>
        <w:t xml:space="preserve"> </w:t>
      </w:r>
      <w:r w:rsidR="004A1AF7">
        <w:rPr>
          <w:rFonts w:ascii="Times New Roman" w:hAnsi="Times New Roman" w:cs="Times New Roman"/>
          <w:sz w:val="24"/>
          <w:szCs w:val="24"/>
        </w:rPr>
        <w:t xml:space="preserve">are </w:t>
      </w:r>
      <w:r w:rsidRPr="00222857">
        <w:rPr>
          <w:rFonts w:ascii="Times New Roman" w:hAnsi="Times New Roman" w:cs="Times New Roman"/>
          <w:sz w:val="24"/>
          <w:szCs w:val="24"/>
        </w:rPr>
        <w:t xml:space="preserve">classified in the North American Industry Classification System codes (NAICS) listed </w:t>
      </w:r>
      <w:r w:rsidR="009C2950">
        <w:rPr>
          <w:rFonts w:ascii="Times New Roman" w:hAnsi="Times New Roman" w:cs="Times New Roman"/>
          <w:sz w:val="24"/>
          <w:szCs w:val="24"/>
        </w:rPr>
        <w:t>in Table 5</w:t>
      </w:r>
      <w:r w:rsidRPr="00222857">
        <w:rPr>
          <w:rFonts w:ascii="Times New Roman" w:hAnsi="Times New Roman" w:cs="Times New Roman"/>
          <w:sz w:val="24"/>
          <w:szCs w:val="24"/>
        </w:rPr>
        <w:t>.</w:t>
      </w:r>
      <w:r>
        <w:rPr>
          <w:rFonts w:ascii="Times New Roman" w:hAnsi="Times New Roman" w:cs="Times New Roman"/>
          <w:sz w:val="24"/>
          <w:szCs w:val="24"/>
        </w:rPr>
        <w:t xml:space="preserve">  </w:t>
      </w:r>
    </w:p>
    <w:p w:rsidR="008416C9" w:rsidRPr="0028753B" w:rsidP="008416C9" w14:paraId="72F91DEF" w14:textId="77777777">
      <w:pPr>
        <w:widowControl w:val="0"/>
        <w:autoSpaceDE/>
        <w:autoSpaceDN/>
        <w:adjustRightInd/>
        <w:jc w:val="center"/>
        <w:rPr>
          <w:b/>
          <w:bCs/>
          <w:sz w:val="20"/>
          <w:szCs w:val="20"/>
        </w:rPr>
      </w:pPr>
    </w:p>
    <w:p w:rsidR="008416C9" w:rsidRPr="009C2950" w:rsidP="008416C9" w14:paraId="7BF26C92" w14:textId="4EA4D615">
      <w:pPr>
        <w:pStyle w:val="Caption"/>
        <w:keepNext/>
        <w:jc w:val="center"/>
        <w:rPr>
          <w:sz w:val="24"/>
          <w:szCs w:val="24"/>
        </w:rPr>
      </w:pPr>
      <w:r w:rsidRPr="009C2950">
        <w:rPr>
          <w:sz w:val="24"/>
          <w:szCs w:val="24"/>
        </w:rPr>
        <w:t xml:space="preserve">Table </w:t>
      </w:r>
      <w:r w:rsidRPr="009C2950" w:rsidR="005E7F5D">
        <w:rPr>
          <w:color w:val="2B579A"/>
          <w:sz w:val="24"/>
          <w:szCs w:val="24"/>
          <w:shd w:val="clear" w:color="auto" w:fill="E6E6E6"/>
        </w:rPr>
        <w:fldChar w:fldCharType="begin"/>
      </w:r>
      <w:r w:rsidRPr="009C2950" w:rsidR="005E7F5D">
        <w:rPr>
          <w:sz w:val="24"/>
          <w:szCs w:val="24"/>
        </w:rPr>
        <w:instrText xml:space="preserve"> SEQ Table \* ARABIC </w:instrText>
      </w:r>
      <w:r w:rsidRPr="009C2950" w:rsidR="005E7F5D">
        <w:rPr>
          <w:color w:val="2B579A"/>
          <w:sz w:val="24"/>
          <w:szCs w:val="24"/>
          <w:shd w:val="clear" w:color="auto" w:fill="E6E6E6"/>
        </w:rPr>
        <w:fldChar w:fldCharType="separate"/>
      </w:r>
      <w:r w:rsidRPr="009C2950" w:rsidR="00BB757D">
        <w:rPr>
          <w:noProof/>
          <w:sz w:val="24"/>
          <w:szCs w:val="24"/>
        </w:rPr>
        <w:t>5</w:t>
      </w:r>
      <w:r w:rsidRPr="009C2950" w:rsidR="005E7F5D">
        <w:rPr>
          <w:noProof/>
          <w:color w:val="2B579A"/>
          <w:sz w:val="24"/>
          <w:szCs w:val="24"/>
          <w:shd w:val="clear" w:color="auto" w:fill="E6E6E6"/>
        </w:rPr>
        <w:fldChar w:fldCharType="end"/>
      </w:r>
      <w:r w:rsidRPr="009C2950">
        <w:rPr>
          <w:sz w:val="24"/>
          <w:szCs w:val="24"/>
        </w:rPr>
        <w:t xml:space="preserve"> - Respondents North American Industry Classification Codes</w:t>
      </w:r>
    </w:p>
    <w:tbl>
      <w:tblPr>
        <w:tblStyle w:val="TableGrid"/>
        <w:tblW w:w="0" w:type="auto"/>
        <w:tblLook w:val="04A0"/>
      </w:tblPr>
      <w:tblGrid>
        <w:gridCol w:w="2065"/>
        <w:gridCol w:w="7285"/>
      </w:tblGrid>
      <w:tr w14:paraId="0A77BDA9" w14:textId="77777777" w:rsidTr="00822AFE">
        <w:tblPrEx>
          <w:tblW w:w="0" w:type="auto"/>
          <w:tblLook w:val="04A0"/>
        </w:tblPrEx>
        <w:trPr>
          <w:cantSplit/>
          <w:tblHeader/>
        </w:trPr>
        <w:tc>
          <w:tcPr>
            <w:tcW w:w="2065" w:type="dxa"/>
            <w:shd w:val="clear" w:color="auto" w:fill="B4C6E7" w:themeFill="accent1" w:themeFillTint="66"/>
          </w:tcPr>
          <w:p w:rsidR="0046297C" w:rsidRPr="002D0E03" w:rsidP="00CB684C" w14:paraId="15B0D0B0" w14:textId="77777777">
            <w:bookmarkStart w:id="4" w:name="_Hlk198015089"/>
            <w:r w:rsidRPr="002D0E03">
              <w:t>NAICS Code</w:t>
            </w:r>
            <w:r w:rsidRPr="002D0E03">
              <w:rPr>
                <w:vertAlign w:val="superscript"/>
              </w:rPr>
              <w:t>a</w:t>
            </w:r>
          </w:p>
        </w:tc>
        <w:tc>
          <w:tcPr>
            <w:tcW w:w="7285" w:type="dxa"/>
            <w:shd w:val="clear" w:color="auto" w:fill="B4C6E7" w:themeFill="accent1" w:themeFillTint="66"/>
          </w:tcPr>
          <w:p w:rsidR="0046297C" w:rsidRPr="002D0E03" w:rsidP="00CB684C" w14:paraId="3B42BDCA" w14:textId="77777777">
            <w:r w:rsidRPr="002D0E03">
              <w:t>NAICS Title</w:t>
            </w:r>
          </w:p>
        </w:tc>
      </w:tr>
      <w:tr w14:paraId="00E38021" w14:textId="77777777" w:rsidTr="00822AFE">
        <w:tblPrEx>
          <w:tblW w:w="0" w:type="auto"/>
          <w:tblLook w:val="04A0"/>
        </w:tblPrEx>
        <w:tc>
          <w:tcPr>
            <w:tcW w:w="2065" w:type="dxa"/>
            <w:tcBorders>
              <w:bottom w:val="single" w:sz="4" w:space="0" w:color="auto"/>
            </w:tcBorders>
            <w:vAlign w:val="center"/>
          </w:tcPr>
          <w:p w:rsidR="0046297C" w:rsidRPr="002D0E03" w:rsidP="00CB684C" w14:paraId="2EB3B69D" w14:textId="77777777">
            <w:r w:rsidRPr="002D0E03">
              <w:t>336110</w:t>
            </w:r>
          </w:p>
        </w:tc>
        <w:tc>
          <w:tcPr>
            <w:tcW w:w="7285" w:type="dxa"/>
            <w:tcBorders>
              <w:bottom w:val="single" w:sz="4" w:space="0" w:color="auto"/>
            </w:tcBorders>
            <w:vAlign w:val="center"/>
          </w:tcPr>
          <w:p w:rsidR="0046297C" w:rsidRPr="002D0E03" w:rsidP="00CB684C" w14:paraId="3F71840B" w14:textId="77777777">
            <w:r w:rsidRPr="002D0E03">
              <w:t>Automobile and Light-duty Motor Vehicle Manufacturing</w:t>
            </w:r>
          </w:p>
        </w:tc>
      </w:tr>
      <w:tr w14:paraId="2B631B89" w14:textId="77777777" w:rsidTr="00822AFE">
        <w:tblPrEx>
          <w:tblW w:w="0" w:type="auto"/>
          <w:tblLook w:val="04A0"/>
        </w:tblPrEx>
        <w:tc>
          <w:tcPr>
            <w:tcW w:w="2065" w:type="dxa"/>
            <w:tcBorders>
              <w:bottom w:val="single" w:sz="4" w:space="0" w:color="auto"/>
            </w:tcBorders>
            <w:vAlign w:val="center"/>
          </w:tcPr>
          <w:p w:rsidR="0046297C" w:rsidRPr="002D0E03" w:rsidP="00CB684C" w14:paraId="32B71535" w14:textId="77777777">
            <w:r w:rsidRPr="002D0E03">
              <w:t>336120</w:t>
            </w:r>
          </w:p>
        </w:tc>
        <w:tc>
          <w:tcPr>
            <w:tcW w:w="7285" w:type="dxa"/>
            <w:tcBorders>
              <w:bottom w:val="single" w:sz="4" w:space="0" w:color="auto"/>
            </w:tcBorders>
            <w:vAlign w:val="center"/>
          </w:tcPr>
          <w:p w:rsidR="0046297C" w:rsidRPr="002D0E03" w:rsidP="00CB684C" w14:paraId="34B553F8" w14:textId="77777777">
            <w:r w:rsidRPr="002D0E03">
              <w:t>Heavy Duty Truck Manufacturing</w:t>
            </w:r>
          </w:p>
        </w:tc>
      </w:tr>
      <w:tr w14:paraId="59E26899" w14:textId="77777777" w:rsidTr="00822AFE">
        <w:tblPrEx>
          <w:tblW w:w="0" w:type="auto"/>
          <w:tblLook w:val="04A0"/>
        </w:tblPrEx>
        <w:tc>
          <w:tcPr>
            <w:tcW w:w="2065" w:type="dxa"/>
            <w:tcBorders>
              <w:bottom w:val="single" w:sz="4" w:space="0" w:color="auto"/>
            </w:tcBorders>
            <w:vAlign w:val="center"/>
          </w:tcPr>
          <w:p w:rsidR="0046297C" w:rsidRPr="002D0E03" w:rsidP="00CB684C" w14:paraId="14242F13" w14:textId="77777777">
            <w:r w:rsidRPr="002D0E03">
              <w:t>336211</w:t>
            </w:r>
          </w:p>
        </w:tc>
        <w:tc>
          <w:tcPr>
            <w:tcW w:w="7285" w:type="dxa"/>
            <w:tcBorders>
              <w:bottom w:val="single" w:sz="4" w:space="0" w:color="auto"/>
            </w:tcBorders>
            <w:vAlign w:val="center"/>
          </w:tcPr>
          <w:p w:rsidR="0046297C" w:rsidRPr="002D0E03" w:rsidP="00CB684C" w14:paraId="4B2EB4FF" w14:textId="77777777">
            <w:r w:rsidRPr="002D0E03">
              <w:t>Motor Vehicle Body Manufacturing</w:t>
            </w:r>
          </w:p>
        </w:tc>
      </w:tr>
      <w:tr w14:paraId="278A5ECB" w14:textId="77777777" w:rsidTr="00822AFE">
        <w:tblPrEx>
          <w:tblW w:w="0" w:type="auto"/>
          <w:tblLook w:val="04A0"/>
        </w:tblPrEx>
        <w:tc>
          <w:tcPr>
            <w:tcW w:w="2065" w:type="dxa"/>
            <w:tcBorders>
              <w:bottom w:val="single" w:sz="4" w:space="0" w:color="auto"/>
            </w:tcBorders>
            <w:vAlign w:val="center"/>
          </w:tcPr>
          <w:p w:rsidR="0046297C" w:rsidRPr="002D0E03" w:rsidP="00CB684C" w14:paraId="5DD3A287" w14:textId="77777777">
            <w:r w:rsidRPr="002D0E03">
              <w:t>336213</w:t>
            </w:r>
          </w:p>
        </w:tc>
        <w:tc>
          <w:tcPr>
            <w:tcW w:w="7285" w:type="dxa"/>
            <w:tcBorders>
              <w:bottom w:val="single" w:sz="4" w:space="0" w:color="auto"/>
            </w:tcBorders>
            <w:vAlign w:val="center"/>
          </w:tcPr>
          <w:p w:rsidR="0046297C" w:rsidRPr="002D0E03" w:rsidP="00CB684C" w14:paraId="1B0EF2EE" w14:textId="77777777">
            <w:r w:rsidRPr="002D0E03">
              <w:t>Motor Home Manufacturing</w:t>
            </w:r>
          </w:p>
        </w:tc>
      </w:tr>
      <w:tr w14:paraId="1CCFB123" w14:textId="77777777" w:rsidTr="00822AFE">
        <w:tblPrEx>
          <w:tblW w:w="0" w:type="auto"/>
          <w:tblLook w:val="04A0"/>
        </w:tblPrEx>
        <w:tc>
          <w:tcPr>
            <w:tcW w:w="2065" w:type="dxa"/>
            <w:tcBorders>
              <w:bottom w:val="single" w:sz="4" w:space="0" w:color="auto"/>
            </w:tcBorders>
          </w:tcPr>
          <w:p w:rsidR="0046297C" w:rsidRPr="002D0E03" w:rsidP="00CB684C" w14:paraId="02634C6B" w14:textId="77777777">
            <w:r w:rsidRPr="002D0E03">
              <w:t>336310</w:t>
            </w:r>
          </w:p>
        </w:tc>
        <w:tc>
          <w:tcPr>
            <w:tcW w:w="7285" w:type="dxa"/>
            <w:tcBorders>
              <w:bottom w:val="single" w:sz="4" w:space="0" w:color="auto"/>
            </w:tcBorders>
          </w:tcPr>
          <w:p w:rsidR="0046297C" w:rsidRPr="002D0E03" w:rsidP="00CB684C" w14:paraId="367760F7" w14:textId="77777777">
            <w:r w:rsidRPr="002D0E03">
              <w:t>Motor Vehicle Gasoline Engine and Engine Parts Manufacturing</w:t>
            </w:r>
          </w:p>
        </w:tc>
      </w:tr>
      <w:tr w14:paraId="64A0FA39" w14:textId="77777777" w:rsidTr="00822AFE">
        <w:tblPrEx>
          <w:tblW w:w="0" w:type="auto"/>
          <w:tblLook w:val="04A0"/>
        </w:tblPrEx>
        <w:tc>
          <w:tcPr>
            <w:tcW w:w="2065" w:type="dxa"/>
            <w:tcBorders>
              <w:bottom w:val="single" w:sz="4" w:space="0" w:color="auto"/>
            </w:tcBorders>
            <w:vAlign w:val="center"/>
          </w:tcPr>
          <w:p w:rsidR="0046297C" w:rsidRPr="002D0E03" w:rsidP="00CB684C" w14:paraId="66CB482E" w14:textId="77777777">
            <w:r w:rsidRPr="002D0E03">
              <w:t>336390</w:t>
            </w:r>
          </w:p>
        </w:tc>
        <w:tc>
          <w:tcPr>
            <w:tcW w:w="7285" w:type="dxa"/>
            <w:tcBorders>
              <w:bottom w:val="single" w:sz="4" w:space="0" w:color="auto"/>
            </w:tcBorders>
            <w:vAlign w:val="center"/>
          </w:tcPr>
          <w:p w:rsidR="0046297C" w:rsidRPr="002D0E03" w:rsidP="00CB684C" w14:paraId="1F9CFCF5" w14:textId="77777777">
            <w:r w:rsidRPr="002D0E03">
              <w:t>Other Motor Vehicle Parts Manufacturing</w:t>
            </w:r>
          </w:p>
        </w:tc>
      </w:tr>
      <w:tr w14:paraId="1E2ACE25" w14:textId="77777777" w:rsidTr="00822AFE">
        <w:tblPrEx>
          <w:tblW w:w="0" w:type="auto"/>
          <w:tblLook w:val="04A0"/>
        </w:tblPrEx>
        <w:tc>
          <w:tcPr>
            <w:tcW w:w="2065" w:type="dxa"/>
            <w:tcBorders>
              <w:bottom w:val="single" w:sz="4" w:space="0" w:color="auto"/>
            </w:tcBorders>
            <w:vAlign w:val="center"/>
          </w:tcPr>
          <w:p w:rsidR="0046297C" w:rsidRPr="002D0E03" w:rsidP="00CB684C" w14:paraId="0EAC57E4" w14:textId="77777777">
            <w:r w:rsidRPr="002D0E03">
              <w:t>333618</w:t>
            </w:r>
          </w:p>
        </w:tc>
        <w:tc>
          <w:tcPr>
            <w:tcW w:w="7285" w:type="dxa"/>
            <w:tcBorders>
              <w:bottom w:val="single" w:sz="4" w:space="0" w:color="auto"/>
            </w:tcBorders>
            <w:vAlign w:val="center"/>
          </w:tcPr>
          <w:p w:rsidR="0046297C" w:rsidRPr="002D0E03" w:rsidP="00CB684C" w14:paraId="04B490FC" w14:textId="77777777">
            <w:r w:rsidRPr="002D0E03">
              <w:t>Other Engine Equipment Manufacturing</w:t>
            </w:r>
          </w:p>
        </w:tc>
      </w:tr>
      <w:tr w14:paraId="63C391FA" w14:textId="77777777" w:rsidTr="00822AFE">
        <w:tblPrEx>
          <w:tblW w:w="0" w:type="auto"/>
          <w:tblLook w:val="04A0"/>
        </w:tblPrEx>
        <w:tc>
          <w:tcPr>
            <w:tcW w:w="2065" w:type="dxa"/>
            <w:tcBorders>
              <w:bottom w:val="single" w:sz="4" w:space="0" w:color="auto"/>
            </w:tcBorders>
          </w:tcPr>
          <w:p w:rsidR="0046297C" w:rsidRPr="002D0E03" w:rsidP="00CB684C" w14:paraId="6B331690" w14:textId="77777777">
            <w:r w:rsidRPr="002D0E03">
              <w:t>423110</w:t>
            </w:r>
          </w:p>
        </w:tc>
        <w:tc>
          <w:tcPr>
            <w:tcW w:w="7285" w:type="dxa"/>
            <w:tcBorders>
              <w:bottom w:val="single" w:sz="4" w:space="0" w:color="auto"/>
            </w:tcBorders>
          </w:tcPr>
          <w:p w:rsidR="0046297C" w:rsidRPr="002D0E03" w:rsidP="00CB684C" w14:paraId="21F58A33" w14:textId="77777777">
            <w:r w:rsidRPr="002D0E03">
              <w:t>Automobile and Other Motor Vehicle Merchant Wholesalers</w:t>
            </w:r>
          </w:p>
        </w:tc>
      </w:tr>
      <w:tr w14:paraId="3A86A681" w14:textId="77777777" w:rsidTr="00822AFE">
        <w:tblPrEx>
          <w:tblW w:w="0" w:type="auto"/>
          <w:tblLook w:val="04A0"/>
        </w:tblPrEx>
        <w:tc>
          <w:tcPr>
            <w:tcW w:w="2065" w:type="dxa"/>
            <w:tcBorders>
              <w:bottom w:val="single" w:sz="4" w:space="0" w:color="auto"/>
            </w:tcBorders>
            <w:vAlign w:val="center"/>
          </w:tcPr>
          <w:p w:rsidR="0046297C" w:rsidRPr="002D0E03" w:rsidP="00CB684C" w14:paraId="60C420A6" w14:textId="77777777">
            <w:r w:rsidRPr="002D0E03">
              <w:t>811198</w:t>
            </w:r>
          </w:p>
        </w:tc>
        <w:tc>
          <w:tcPr>
            <w:tcW w:w="7285" w:type="dxa"/>
            <w:tcBorders>
              <w:bottom w:val="single" w:sz="4" w:space="0" w:color="auto"/>
            </w:tcBorders>
            <w:vAlign w:val="center"/>
          </w:tcPr>
          <w:p w:rsidR="0046297C" w:rsidRPr="002D0E03" w:rsidP="00CB684C" w14:paraId="5F2571AB" w14:textId="77777777">
            <w:r w:rsidRPr="002D0E03">
              <w:t>All Other Automotive Repair and Maintenance</w:t>
            </w:r>
          </w:p>
        </w:tc>
      </w:tr>
      <w:tr w14:paraId="746E45FD" w14:textId="77777777" w:rsidTr="00822AFE">
        <w:tblPrEx>
          <w:tblW w:w="0" w:type="auto"/>
          <w:tblLook w:val="04A0"/>
        </w:tblPrEx>
        <w:tc>
          <w:tcPr>
            <w:tcW w:w="9350" w:type="dxa"/>
            <w:gridSpan w:val="2"/>
            <w:tcBorders>
              <w:top w:val="single" w:sz="4" w:space="0" w:color="auto"/>
              <w:left w:val="nil"/>
              <w:bottom w:val="nil"/>
              <w:right w:val="nil"/>
            </w:tcBorders>
          </w:tcPr>
          <w:p w:rsidR="0046297C" w:rsidRPr="00BF410E" w:rsidP="00CB684C" w14:paraId="5AAE8697" w14:textId="77777777">
            <w:pPr>
              <w:rPr>
                <w:sz w:val="20"/>
                <w:szCs w:val="20"/>
              </w:rPr>
            </w:pPr>
            <w:r w:rsidRPr="00BF410E">
              <w:rPr>
                <w:sz w:val="20"/>
                <w:szCs w:val="20"/>
                <w:vertAlign w:val="superscript"/>
              </w:rPr>
              <w:t>a</w:t>
            </w:r>
            <w:r w:rsidRPr="00BF410E">
              <w:rPr>
                <w:sz w:val="20"/>
                <w:szCs w:val="20"/>
              </w:rPr>
              <w:t xml:space="preserve"> NAICS Association. NAICS &amp; SIC Identification Tools. Available online: </w:t>
            </w:r>
            <w:r w:rsidRPr="00BF410E">
              <w:rPr>
                <w:i/>
                <w:iCs/>
                <w:sz w:val="20"/>
                <w:szCs w:val="20"/>
              </w:rPr>
              <w:t>https://www.naics.com/search</w:t>
            </w:r>
            <w:r w:rsidRPr="00BF410E">
              <w:rPr>
                <w:sz w:val="20"/>
                <w:szCs w:val="20"/>
              </w:rPr>
              <w:t>.</w:t>
            </w:r>
          </w:p>
        </w:tc>
      </w:tr>
      <w:bookmarkEnd w:id="4"/>
    </w:tbl>
    <w:p w:rsidR="008416C9" w:rsidRPr="0028753B" w:rsidP="008416C9" w14:paraId="72A954DD" w14:textId="77777777">
      <w:pPr>
        <w:widowControl w:val="0"/>
        <w:autoSpaceDE/>
        <w:autoSpaceDN/>
        <w:adjustRightInd/>
        <w:jc w:val="center"/>
        <w:rPr>
          <w:b/>
          <w:bCs/>
          <w:sz w:val="20"/>
          <w:szCs w:val="20"/>
        </w:rPr>
      </w:pPr>
    </w:p>
    <w:p w:rsidR="008416C9" w:rsidP="00FB1C7F" w14:paraId="623B079F" w14:textId="77777777">
      <w:pPr>
        <w:pStyle w:val="NoSpacing"/>
        <w:ind w:left="720"/>
        <w:rPr>
          <w:rFonts w:ascii="Times New Roman" w:hAnsi="Times New Roman" w:cs="Times New Roman"/>
          <w:b/>
          <w:bCs/>
          <w:sz w:val="24"/>
          <w:szCs w:val="24"/>
        </w:rPr>
      </w:pPr>
    </w:p>
    <w:p w:rsidR="0040012C" w:rsidP="001543EF" w14:paraId="7DBE492D" w14:textId="73CC8E43">
      <w:pPr>
        <w:pStyle w:val="ICR3"/>
      </w:pPr>
      <w:r>
        <w:t xml:space="preserve">4. </w:t>
      </w:r>
      <w:r>
        <w:t>Number of Respondents</w:t>
      </w:r>
    </w:p>
    <w:p w:rsidR="0040012C" w:rsidP="0040012C" w14:paraId="2B2B7126" w14:textId="77777777">
      <w:pPr>
        <w:pStyle w:val="NoSpacing"/>
        <w:ind w:left="720"/>
        <w:rPr>
          <w:rFonts w:ascii="Times New Roman" w:hAnsi="Times New Roman" w:cs="Times New Roman"/>
          <w:b/>
          <w:bCs/>
          <w:sz w:val="24"/>
          <w:szCs w:val="24"/>
        </w:rPr>
      </w:pPr>
    </w:p>
    <w:p w:rsidR="005E6D26" w:rsidRPr="005E6D26" w:rsidP="005E6D26" w14:paraId="50E6E638" w14:textId="1D5A349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There are 77 heavy-duty manufacturers that would be </w:t>
      </w:r>
      <w:r w:rsidR="005D1922">
        <w:rPr>
          <w:rFonts w:ascii="Times New Roman" w:hAnsi="Times New Roman" w:cs="Times New Roman"/>
          <w:sz w:val="24"/>
          <w:szCs w:val="24"/>
        </w:rPr>
        <w:t xml:space="preserve">affected by this </w:t>
      </w:r>
      <w:r>
        <w:rPr>
          <w:rFonts w:ascii="Times New Roman" w:hAnsi="Times New Roman" w:cs="Times New Roman"/>
          <w:sz w:val="24"/>
          <w:szCs w:val="24"/>
        </w:rPr>
        <w:t xml:space="preserve">revised </w:t>
      </w:r>
      <w:r w:rsidR="005D1922">
        <w:rPr>
          <w:rFonts w:ascii="Times New Roman" w:hAnsi="Times New Roman" w:cs="Times New Roman"/>
          <w:sz w:val="24"/>
          <w:szCs w:val="24"/>
        </w:rPr>
        <w:t>I</w:t>
      </w:r>
      <w:r w:rsidR="00034206">
        <w:rPr>
          <w:rFonts w:ascii="Times New Roman" w:hAnsi="Times New Roman" w:cs="Times New Roman"/>
          <w:sz w:val="24"/>
          <w:szCs w:val="24"/>
        </w:rPr>
        <w:t xml:space="preserve">nformation </w:t>
      </w:r>
      <w:r w:rsidR="005D1922">
        <w:rPr>
          <w:rFonts w:ascii="Times New Roman" w:hAnsi="Times New Roman" w:cs="Times New Roman"/>
          <w:sz w:val="24"/>
          <w:szCs w:val="24"/>
        </w:rPr>
        <w:t>C</w:t>
      </w:r>
      <w:r w:rsidR="00034206">
        <w:rPr>
          <w:rFonts w:ascii="Times New Roman" w:hAnsi="Times New Roman" w:cs="Times New Roman"/>
          <w:sz w:val="24"/>
          <w:szCs w:val="24"/>
        </w:rPr>
        <w:t xml:space="preserve">ollection </w:t>
      </w:r>
      <w:r w:rsidR="005D1922">
        <w:rPr>
          <w:rFonts w:ascii="Times New Roman" w:hAnsi="Times New Roman" w:cs="Times New Roman"/>
          <w:sz w:val="24"/>
          <w:szCs w:val="24"/>
        </w:rPr>
        <w:t>R</w:t>
      </w:r>
      <w:r w:rsidR="00034206">
        <w:rPr>
          <w:rFonts w:ascii="Times New Roman" w:hAnsi="Times New Roman" w:cs="Times New Roman"/>
          <w:sz w:val="24"/>
          <w:szCs w:val="24"/>
        </w:rPr>
        <w:t>equest</w:t>
      </w:r>
      <w:r>
        <w:rPr>
          <w:rFonts w:ascii="Times New Roman" w:hAnsi="Times New Roman" w:cs="Times New Roman"/>
          <w:sz w:val="24"/>
          <w:szCs w:val="24"/>
        </w:rPr>
        <w:t xml:space="preserve">.  These are the same companies that were expected to be affected by the 2024 HDP3 rulemaking.  </w:t>
      </w:r>
    </w:p>
    <w:p w:rsidR="005E6D26" w:rsidRPr="005E6D26" w:rsidP="005E6D26" w14:paraId="451AD2B4" w14:textId="77777777">
      <w:pPr>
        <w:pStyle w:val="NoSpacing"/>
        <w:ind w:left="720"/>
        <w:rPr>
          <w:rFonts w:ascii="Times New Roman" w:hAnsi="Times New Roman" w:cs="Times New Roman"/>
          <w:sz w:val="24"/>
          <w:szCs w:val="24"/>
        </w:rPr>
      </w:pPr>
    </w:p>
    <w:p w:rsidR="005E6D26" w:rsidRPr="005E6D26" w:rsidP="005E6D26" w14:paraId="71DED68D" w14:textId="77777777">
      <w:pPr>
        <w:pStyle w:val="NoSpacing"/>
        <w:ind w:left="720"/>
        <w:rPr>
          <w:b/>
          <w:bCs/>
        </w:rPr>
      </w:pPr>
    </w:p>
    <w:p w:rsidR="0040012C" w:rsidRPr="0040012C" w:rsidP="0040012C" w14:paraId="469453D2" w14:textId="77777777">
      <w:pPr>
        <w:pStyle w:val="NoSpacing"/>
        <w:ind w:left="720"/>
        <w:rPr>
          <w:rFonts w:ascii="Times New Roman" w:hAnsi="Times New Roman" w:cs="Times New Roman"/>
          <w:b/>
          <w:bCs/>
          <w:sz w:val="24"/>
          <w:szCs w:val="24"/>
        </w:rPr>
      </w:pPr>
    </w:p>
    <w:p w:rsidR="008D2443" w:rsidP="001543EF" w14:paraId="20836061" w14:textId="104C518E">
      <w:pPr>
        <w:pStyle w:val="ICR3"/>
      </w:pPr>
      <w:r>
        <w:t>5. Re</w:t>
      </w:r>
      <w:r>
        <w:t>spondent Activities</w:t>
      </w:r>
    </w:p>
    <w:p w:rsidR="008416C9" w:rsidP="008416C9" w14:paraId="5B16AA5A" w14:textId="77777777">
      <w:pPr>
        <w:pStyle w:val="NoSpacing"/>
        <w:rPr>
          <w:rFonts w:ascii="Times New Roman" w:hAnsi="Times New Roman" w:cs="Times New Roman"/>
          <w:b/>
          <w:bCs/>
          <w:sz w:val="24"/>
          <w:szCs w:val="24"/>
        </w:rPr>
      </w:pPr>
    </w:p>
    <w:p w:rsidR="00155647" w:rsidP="00155647" w14:paraId="47FB0587" w14:textId="2AD1A57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 and therefore there are no respondent activities.</w:t>
      </w:r>
    </w:p>
    <w:p w:rsidR="00155647" w:rsidP="00A25815" w14:paraId="391B433A" w14:textId="77777777">
      <w:pPr>
        <w:pStyle w:val="NoSpacing"/>
        <w:ind w:left="720"/>
        <w:rPr>
          <w:rFonts w:ascii="Times New Roman" w:hAnsi="Times New Roman" w:cs="Times New Roman"/>
          <w:sz w:val="24"/>
          <w:szCs w:val="24"/>
        </w:rPr>
      </w:pPr>
    </w:p>
    <w:p w:rsidR="00155647" w:rsidP="00A25815" w14:paraId="5EF53AE5" w14:textId="77777777">
      <w:pPr>
        <w:pStyle w:val="NoSpacing"/>
        <w:ind w:left="720"/>
        <w:rPr>
          <w:rFonts w:ascii="Times New Roman" w:hAnsi="Times New Roman" w:cs="Times New Roman"/>
          <w:sz w:val="24"/>
          <w:szCs w:val="24"/>
        </w:rPr>
      </w:pPr>
    </w:p>
    <w:p w:rsidR="008416C9" w:rsidRPr="00A25815" w:rsidP="00A25815" w14:paraId="72B5B216" w14:textId="77777777">
      <w:pPr>
        <w:pStyle w:val="NoSpacing"/>
        <w:ind w:left="720"/>
        <w:rPr>
          <w:rFonts w:ascii="Times New Roman" w:hAnsi="Times New Roman" w:cs="Times New Roman"/>
          <w:sz w:val="24"/>
          <w:szCs w:val="24"/>
        </w:rPr>
      </w:pPr>
    </w:p>
    <w:p w:rsidR="00FB1C7F" w:rsidP="00FB1C7F" w14:paraId="17CD7151" w14:textId="77777777">
      <w:pPr>
        <w:pStyle w:val="NoSpacing"/>
        <w:ind w:left="720"/>
        <w:rPr>
          <w:rFonts w:ascii="Times New Roman" w:hAnsi="Times New Roman" w:cs="Times New Roman"/>
          <w:b/>
          <w:bCs/>
          <w:sz w:val="24"/>
          <w:szCs w:val="24"/>
        </w:rPr>
      </w:pPr>
    </w:p>
    <w:p w:rsidR="008D2443" w:rsidRPr="008D2443" w:rsidP="001543EF" w14:paraId="738D78BB" w14:textId="7E75A789">
      <w:pPr>
        <w:pStyle w:val="ICR3"/>
      </w:pPr>
      <w:r>
        <w:t xml:space="preserve">6. </w:t>
      </w:r>
      <w:r>
        <w:t>Agency Activities</w:t>
      </w:r>
    </w:p>
    <w:p w:rsidR="003D76D6" w:rsidRPr="003D76D6" w:rsidP="003D76D6" w14:paraId="2CA9E4DA" w14:textId="77777777">
      <w:pPr>
        <w:pStyle w:val="NoSpacing"/>
        <w:ind w:left="720"/>
        <w:rPr>
          <w:rFonts w:ascii="Times New Roman" w:hAnsi="Times New Roman" w:cs="Times New Roman"/>
          <w:b/>
          <w:bCs/>
          <w:sz w:val="24"/>
          <w:szCs w:val="24"/>
        </w:rPr>
      </w:pPr>
    </w:p>
    <w:p w:rsidR="00155647" w:rsidP="00155647" w14:paraId="7D0AC902" w14:textId="021A2CA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Pr="00C45FE9">
        <w:rPr>
          <w:rFonts w:ascii="Times New Roman" w:hAnsi="Times New Roman" w:cs="Times New Roman"/>
          <w:sz w:val="24"/>
          <w:szCs w:val="24"/>
        </w:rPr>
        <w:t>.</w:t>
      </w:r>
      <w:r>
        <w:rPr>
          <w:rFonts w:ascii="Times New Roman" w:hAnsi="Times New Roman" w:cs="Times New Roman"/>
          <w:sz w:val="24"/>
          <w:szCs w:val="24"/>
        </w:rPr>
        <w:t xml:space="preserve">  No information will be collected under this revised ICR and therefore there are no Agency activities.</w:t>
      </w:r>
    </w:p>
    <w:p w:rsidR="00155647" w:rsidP="006264AA" w14:paraId="4CBFC3E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lang w:val="en"/>
        </w:rPr>
      </w:pPr>
    </w:p>
    <w:p w:rsidR="00155647" w:rsidP="006264AA" w14:paraId="2B5AF26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lang w:val="en"/>
        </w:rPr>
      </w:pPr>
    </w:p>
    <w:p w:rsidR="00E30B44" w:rsidRPr="0038414C" w:rsidP="00E46ADB" w14:paraId="76F73927" w14:textId="4C9A2F30">
      <w:pPr>
        <w:pStyle w:val="NoSpacing"/>
        <w:rPr>
          <w:rFonts w:ascii="Times New Roman" w:hAnsi="Times New Roman" w:cs="Times New Roman"/>
          <w:sz w:val="24"/>
          <w:szCs w:val="24"/>
        </w:rPr>
      </w:pPr>
    </w:p>
    <w:p w:rsidR="00E30B44" w:rsidP="00E30B44" w14:paraId="2DF58CB6" w14:textId="77777777">
      <w:pPr>
        <w:pStyle w:val="NoSpacing"/>
        <w:rPr>
          <w:rFonts w:ascii="Times New Roman" w:hAnsi="Times New Roman" w:cs="Times New Roman"/>
          <w:sz w:val="24"/>
          <w:szCs w:val="24"/>
        </w:rPr>
      </w:pPr>
    </w:p>
    <w:p w:rsidR="00CF707E" w:rsidP="00235E9D" w14:paraId="02F0111D" w14:textId="007DD1DA">
      <w:pPr>
        <w:pStyle w:val="ICR3"/>
      </w:pPr>
      <w:r>
        <w:t>7. Programmatic Information Collection Request</w:t>
      </w:r>
    </w:p>
    <w:p w:rsidR="00CF707E" w:rsidP="00E30B44" w14:paraId="33F3E40A" w14:textId="77777777">
      <w:pPr>
        <w:pStyle w:val="NoSpacing"/>
        <w:rPr>
          <w:rFonts w:ascii="Times New Roman" w:hAnsi="Times New Roman" w:cs="Times New Roman"/>
          <w:b/>
          <w:bCs/>
          <w:sz w:val="24"/>
          <w:szCs w:val="24"/>
        </w:rPr>
      </w:pPr>
    </w:p>
    <w:p w:rsidR="00235E9D" w:rsidP="006264AA" w14:paraId="799010B8" w14:textId="22858AD1">
      <w:pPr>
        <w:autoSpaceDE/>
        <w:autoSpaceDN/>
        <w:adjustRightInd/>
        <w:spacing w:after="160" w:line="259" w:lineRule="auto"/>
        <w:ind w:left="720"/>
      </w:pPr>
      <w:r>
        <w:t xml:space="preserve">The reporting requirements for EPA’s </w:t>
      </w:r>
      <w:r w:rsidR="0041229A">
        <w:t xml:space="preserve">HDV </w:t>
      </w:r>
      <w:r>
        <w:t xml:space="preserve">program are covered by </w:t>
      </w:r>
      <w:r w:rsidR="00AF496C">
        <w:t xml:space="preserve">a “programmatic” </w:t>
      </w:r>
      <w:r>
        <w:t xml:space="preserve">Information Collection Request:  </w:t>
      </w:r>
      <w:r w:rsidR="0084346A">
        <w:t>Emissions Certification and Compliance Requirements for Nonroad Compression-ignition Engines and On-highway Heavy Duty Engines</w:t>
      </w:r>
      <w:r w:rsidR="00CB684C">
        <w:t xml:space="preserve"> </w:t>
      </w:r>
      <w:r w:rsidR="0084346A">
        <w:t>(Revision)</w:t>
      </w:r>
      <w:r>
        <w:t xml:space="preserve">, EPA ICR </w:t>
      </w:r>
      <w:r w:rsidR="0084346A">
        <w:t>1684.21</w:t>
      </w:r>
      <w:r>
        <w:t>, OMB Control Number 2060-</w:t>
      </w:r>
      <w:r w:rsidR="0084346A">
        <w:t>0287</w:t>
      </w:r>
      <w:r>
        <w:t>.</w:t>
      </w:r>
      <w:r w:rsidR="001126C7">
        <w:t xml:space="preserve">  A copy of that document can be found in the docket for that ICR, </w:t>
      </w:r>
      <w:r w:rsidRPr="0046483F" w:rsidR="0084346A">
        <w:t>EPA-HQ-OAR-2007-1182</w:t>
      </w:r>
      <w:r w:rsidR="00BC6CBE">
        <w:t xml:space="preserve">, and at </w:t>
      </w:r>
      <w:hyperlink w:history="1">
        <w:r w:rsidRPr="00E40F80" w:rsidR="009C353C">
          <w:rPr>
            <w:rStyle w:val="Hyperlink"/>
          </w:rPr>
          <w:t>https://www.reginfo.gov, PRA Search Criteria:   OMB Control Number=2060-0287.</w:t>
        </w:r>
        <w:r w:rsidRPr="00E40F80" w:rsidR="009C353C">
          <w:rPr>
            <w:rStyle w:val="Hyperlink"/>
          </w:rPr>
          <w:t xml:space="preserve">     </w:t>
        </w:r>
      </w:hyperlink>
      <w:r w:rsidR="00BC6CBE">
        <w:t xml:space="preserve"> </w:t>
      </w:r>
    </w:p>
    <w:p w:rsidR="00BE3666" w:rsidP="0006433C" w14:paraId="001837ED" w14:textId="34E004C8">
      <w:pPr>
        <w:pStyle w:val="Style6"/>
        <w:jc w:val="left"/>
        <w:rPr>
          <w:spacing w:val="6"/>
        </w:rPr>
      </w:pPr>
      <w:r>
        <w:rPr>
          <w:spacing w:val="6"/>
        </w:rPr>
        <w:tab/>
      </w:r>
    </w:p>
    <w:p w:rsidR="0091075D" w:rsidP="0091075D" w14:paraId="3B7A5D3F" w14:textId="62F67EC1">
      <w:pPr>
        <w:pStyle w:val="ICR3"/>
      </w:pPr>
      <w:r>
        <w:t>8. Description of Information to be Collected by Manufacturers</w:t>
      </w:r>
    </w:p>
    <w:p w:rsidR="00BD5A23" w:rsidP="000344BF" w14:paraId="46510C6F" w14:textId="77777777"/>
    <w:p w:rsidR="00BF410E" w:rsidP="000344BF" w14:paraId="42F84FDE" w14:textId="77777777">
      <w:pPr>
        <w:rPr>
          <w:bCs/>
        </w:rPr>
      </w:pPr>
    </w:p>
    <w:p w:rsidR="00777525" w:rsidP="000344BF" w14:paraId="22DF8428" w14:textId="127F62B9">
      <w:pPr>
        <w:rPr>
          <w:bCs/>
        </w:rPr>
      </w:pPr>
      <w:r>
        <w:rPr>
          <w:bCs/>
        </w:rPr>
        <w:t xml:space="preserve">a) </w:t>
      </w:r>
      <w:r w:rsidRPr="00834030" w:rsidR="00834030">
        <w:rPr>
          <w:bCs/>
          <w:u w:val="single"/>
        </w:rPr>
        <w:t xml:space="preserve">Description of </w:t>
      </w:r>
      <w:r w:rsidRPr="00834030">
        <w:rPr>
          <w:bCs/>
          <w:u w:val="single"/>
        </w:rPr>
        <w:t>Information Required to be Collected</w:t>
      </w:r>
      <w:r w:rsidRPr="00834030" w:rsidR="00834030">
        <w:rPr>
          <w:bCs/>
          <w:u w:val="single"/>
        </w:rPr>
        <w:t xml:space="preserve"> by Manufacturers</w:t>
      </w:r>
    </w:p>
    <w:p w:rsidR="00777525" w:rsidP="000344BF" w14:paraId="19982801" w14:textId="77777777">
      <w:pPr>
        <w:rPr>
          <w:bCs/>
        </w:rPr>
      </w:pPr>
    </w:p>
    <w:p w:rsidR="00744BB2" w:rsidP="006264AA" w14:paraId="04446FFB" w14:textId="777CD982">
      <w:pPr>
        <w:ind w:left="720"/>
      </w:pPr>
      <w:r>
        <w:t xml:space="preserve">Manufacturers </w:t>
      </w:r>
      <w:r w:rsidR="0006433C">
        <w:t xml:space="preserve">would not be required to collect any information </w:t>
      </w:r>
      <w:r w:rsidR="000E7735">
        <w:t xml:space="preserve">under this revised Information Collection Request </w:t>
      </w:r>
      <w:r w:rsidR="0006433C">
        <w:t xml:space="preserve">pursuant to the proposal to remove all GHG standards.  </w:t>
      </w:r>
    </w:p>
    <w:p w:rsidR="00744BB2" w:rsidP="00744BB2" w14:paraId="5088B4E4" w14:textId="77777777"/>
    <w:p w:rsidR="005E77DD" w:rsidP="00744BB2" w14:paraId="27324B59" w14:textId="77777777"/>
    <w:p w:rsidR="00777525" w:rsidP="00744BB2" w14:paraId="1110ABA2" w14:textId="0279F76B">
      <w:r>
        <w:t xml:space="preserve">b. </w:t>
      </w:r>
      <w:r w:rsidRPr="00834030" w:rsidR="00834030">
        <w:rPr>
          <w:u w:val="single"/>
        </w:rPr>
        <w:t xml:space="preserve">Description of </w:t>
      </w:r>
      <w:r w:rsidRPr="00834030">
        <w:rPr>
          <w:u w:val="single"/>
        </w:rPr>
        <w:t xml:space="preserve">Information No Longer to </w:t>
      </w:r>
      <w:r w:rsidR="00834030">
        <w:rPr>
          <w:u w:val="single"/>
        </w:rPr>
        <w:t>b</w:t>
      </w:r>
      <w:r w:rsidRPr="00834030">
        <w:rPr>
          <w:u w:val="single"/>
        </w:rPr>
        <w:t>e Collected</w:t>
      </w:r>
      <w:r w:rsidRPr="00834030" w:rsidR="00834030">
        <w:rPr>
          <w:u w:val="single"/>
        </w:rPr>
        <w:t xml:space="preserve"> by Manufacturers</w:t>
      </w:r>
    </w:p>
    <w:p w:rsidR="00777525" w:rsidP="00744BB2" w14:paraId="3D3EA598" w14:textId="77777777"/>
    <w:p w:rsidR="00155647" w:rsidRPr="003C2395" w:rsidP="00155647" w14:paraId="16C2827D" w14:textId="18A800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Consistent with </w:t>
      </w:r>
      <w:r w:rsidRPr="00C45FE9">
        <w:rPr>
          <w:rFonts w:ascii="Times New Roman" w:hAnsi="Times New Roman" w:cs="Times New Roman"/>
          <w:sz w:val="24"/>
          <w:szCs w:val="24"/>
        </w:rPr>
        <w:t>EPA’s proposed rule to reconsider the 2009 Greenhouse Gas Endangerment Finding (endangerment finding)</w:t>
      </w:r>
      <w:r>
        <w:rPr>
          <w:rFonts w:ascii="Times New Roman" w:hAnsi="Times New Roman" w:cs="Times New Roman"/>
          <w:sz w:val="24"/>
          <w:szCs w:val="24"/>
        </w:rPr>
        <w:t xml:space="preserve"> and remove </w:t>
      </w:r>
      <w:r w:rsidRPr="00C45FE9">
        <w:rPr>
          <w:rFonts w:ascii="Times New Roman" w:hAnsi="Times New Roman" w:cs="Times New Roman"/>
          <w:sz w:val="24"/>
          <w:szCs w:val="24"/>
        </w:rPr>
        <w:t>all regulations that require new motor vehicle and new motor vehicle engine manufacturers to measure, report, or comply with standards for greenhouse gas (GHG) emissions</w:t>
      </w:r>
      <w:r>
        <w:rPr>
          <w:rFonts w:ascii="Times New Roman" w:hAnsi="Times New Roman" w:cs="Times New Roman"/>
          <w:sz w:val="24"/>
          <w:szCs w:val="24"/>
        </w:rPr>
        <w:t>, the Agency is revising EPA ICR No. 2750.02 to remove all HDV GHG information collection requirements contained in that ICR</w:t>
      </w:r>
      <w:r w:rsidR="003C2395">
        <w:rPr>
          <w:rFonts w:ascii="Times New Roman" w:hAnsi="Times New Roman" w:cs="Times New Roman"/>
          <w:sz w:val="24"/>
          <w:szCs w:val="24"/>
        </w:rPr>
        <w:t>:</w:t>
      </w:r>
      <w:r>
        <w:rPr>
          <w:rFonts w:ascii="Times New Roman" w:hAnsi="Times New Roman" w:cs="Times New Roman"/>
          <w:sz w:val="24"/>
          <w:szCs w:val="24"/>
        </w:rPr>
        <w:t xml:space="preserve">  </w:t>
      </w:r>
    </w:p>
    <w:p w:rsidR="00155647" w:rsidRPr="003C2395" w:rsidP="006264AA" w14:paraId="4CC8C430" w14:textId="77777777">
      <w:pPr>
        <w:autoSpaceDE/>
        <w:autoSpaceDN/>
        <w:adjustRightInd/>
        <w:spacing w:after="160" w:line="259" w:lineRule="auto"/>
        <w:ind w:left="720"/>
      </w:pPr>
    </w:p>
    <w:p w:rsidR="003C2395" w:rsidRPr="003C2395" w:rsidP="003C2395" w14:paraId="7BE48F71" w14:textId="559A644C">
      <w:pPr>
        <w:pStyle w:val="ListParagraph"/>
        <w:numPr>
          <w:ilvl w:val="0"/>
          <w:numId w:val="28"/>
        </w:numPr>
        <w:spacing w:after="160" w:line="259" w:lineRule="auto"/>
        <w:rPr>
          <w:sz w:val="24"/>
          <w:szCs w:val="24"/>
        </w:rPr>
      </w:pPr>
      <w:r w:rsidRPr="003C2395">
        <w:rPr>
          <w:sz w:val="24"/>
          <w:szCs w:val="24"/>
        </w:rPr>
        <w:t>All manufacturers:  r</w:t>
      </w:r>
      <w:r w:rsidRPr="003C2395" w:rsidR="00337FE4">
        <w:rPr>
          <w:sz w:val="24"/>
          <w:szCs w:val="24"/>
        </w:rPr>
        <w:t xml:space="preserve">eview the new regulations and making general systems changes to reporting processes, for all manufacturers.  </w:t>
      </w:r>
    </w:p>
    <w:p w:rsidR="003C2395" w:rsidRPr="003C2395" w:rsidP="003C2395" w14:paraId="510B1F82" w14:textId="58D8E807">
      <w:pPr>
        <w:pStyle w:val="ListParagraph"/>
        <w:numPr>
          <w:ilvl w:val="0"/>
          <w:numId w:val="28"/>
        </w:numPr>
        <w:spacing w:after="160" w:line="259" w:lineRule="auto"/>
        <w:rPr>
          <w:sz w:val="24"/>
          <w:szCs w:val="24"/>
        </w:rPr>
      </w:pPr>
      <w:r w:rsidRPr="003C2395">
        <w:rPr>
          <w:sz w:val="24"/>
          <w:szCs w:val="24"/>
        </w:rPr>
        <w:t>Manufacturers of plug-in hybrid and battery electric vehicles</w:t>
      </w:r>
      <w:r w:rsidRPr="003C2395">
        <w:rPr>
          <w:sz w:val="24"/>
          <w:szCs w:val="24"/>
        </w:rPr>
        <w:t xml:space="preserve">:  implement </w:t>
      </w:r>
      <w:r w:rsidRPr="003C2395">
        <w:rPr>
          <w:sz w:val="24"/>
          <w:szCs w:val="24"/>
        </w:rPr>
        <w:t xml:space="preserve">a new regulation to provide customer-facing battery state-of-health monitors and make associated changes to vehicle owners manuals.  </w:t>
      </w:r>
    </w:p>
    <w:p w:rsidR="003C2395" w:rsidP="003C2395" w14:paraId="3B84246B" w14:textId="46799F71">
      <w:pPr>
        <w:pStyle w:val="ListParagraph"/>
        <w:numPr>
          <w:ilvl w:val="0"/>
          <w:numId w:val="28"/>
        </w:numPr>
        <w:spacing w:after="160" w:line="259" w:lineRule="auto"/>
        <w:rPr>
          <w:sz w:val="24"/>
          <w:szCs w:val="24"/>
        </w:rPr>
      </w:pPr>
      <w:r w:rsidRPr="003C2395">
        <w:rPr>
          <w:sz w:val="24"/>
          <w:szCs w:val="24"/>
        </w:rPr>
        <w:t xml:space="preserve">EV manufacturers:  report </w:t>
      </w:r>
      <w:r w:rsidRPr="003C2395" w:rsidR="00337FE4">
        <w:rPr>
          <w:sz w:val="24"/>
          <w:szCs w:val="24"/>
        </w:rPr>
        <w:t xml:space="preserve">warranty periods on their certification application and updating </w:t>
      </w:r>
      <w:r w:rsidRPr="003C2395" w:rsidR="00337FE4">
        <w:rPr>
          <w:sz w:val="24"/>
          <w:szCs w:val="24"/>
        </w:rPr>
        <w:t>owners</w:t>
      </w:r>
      <w:r w:rsidRPr="003C2395" w:rsidR="00337FE4">
        <w:rPr>
          <w:sz w:val="24"/>
          <w:szCs w:val="24"/>
        </w:rPr>
        <w:t xml:space="preserve"> manuals.  </w:t>
      </w:r>
    </w:p>
    <w:p w:rsidR="00337FE4" w:rsidRPr="003C2395" w:rsidP="003C2395" w14:paraId="43EF6319" w14:textId="1CE95C79">
      <w:pPr>
        <w:pStyle w:val="ListParagraph"/>
        <w:spacing w:after="160" w:line="259" w:lineRule="auto"/>
        <w:ind w:left="1440"/>
        <w:rPr>
          <w:sz w:val="24"/>
          <w:szCs w:val="24"/>
        </w:rPr>
      </w:pPr>
    </w:p>
    <w:p w:rsidR="004C179D" w:rsidP="006264AA" w14:paraId="2A624524" w14:textId="0F8EBD18">
      <w:pPr>
        <w:ind w:left="720"/>
      </w:pPr>
      <w:r>
        <w:t>All of</w:t>
      </w:r>
      <w:r>
        <w:t xml:space="preserve"> the above activities are proposed to be removed from the HDV regulations, and thus there would be no reporting requirements.</w:t>
      </w:r>
    </w:p>
    <w:p w:rsidR="00337FE4" w:rsidP="00E47CE4" w14:paraId="3CBBE6B7" w14:textId="77777777"/>
    <w:p w:rsidR="00337FE4" w:rsidP="00E47CE4" w14:paraId="7365EFD4" w14:textId="77777777"/>
    <w:p w:rsidR="00337FE4" w:rsidP="00E47CE4" w14:paraId="49C2742B" w14:textId="77777777"/>
    <w:p w:rsidR="00E30B44" w:rsidRPr="00D54E6D" w:rsidP="001543EF" w14:paraId="3C0D7FA3" w14:textId="12348844">
      <w:pPr>
        <w:pStyle w:val="ICR2"/>
      </w:pPr>
      <w:r w:rsidRPr="00D54E6D">
        <w:t>LIST OF ATTACHMENTS</w:t>
      </w:r>
    </w:p>
    <w:p w:rsidR="001E5168" w:rsidP="00FB1C7F" w14:paraId="2F6CA3EE" w14:textId="0BD041B2">
      <w:pPr>
        <w:pStyle w:val="NoSpacing"/>
        <w:rPr>
          <w:rFonts w:ascii="Times New Roman" w:hAnsi="Times New Roman" w:cs="Times New Roman"/>
          <w:sz w:val="24"/>
          <w:szCs w:val="24"/>
        </w:rPr>
      </w:pPr>
      <w:r>
        <w:rPr>
          <w:rFonts w:ascii="Times New Roman" w:hAnsi="Times New Roman" w:cs="Times New Roman"/>
          <w:sz w:val="24"/>
          <w:szCs w:val="24"/>
        </w:rPr>
        <w:tab/>
      </w:r>
    </w:p>
    <w:p w:rsidR="006B6E3D" w:rsidP="006B054E" w14:paraId="65FD8704" w14:textId="7B38A4C8">
      <w:pPr>
        <w:pStyle w:val="NoSpacing"/>
        <w:rPr>
          <w:rFonts w:ascii="Times New Roman" w:hAnsi="Times New Roman" w:cs="Times New Roman"/>
          <w:sz w:val="24"/>
          <w:szCs w:val="24"/>
        </w:rPr>
      </w:pPr>
      <w:r>
        <w:rPr>
          <w:rFonts w:ascii="Times New Roman" w:hAnsi="Times New Roman" w:cs="Times New Roman"/>
          <w:sz w:val="24"/>
          <w:szCs w:val="24"/>
        </w:rPr>
        <w:t xml:space="preserve">Attachment A:  Original Estimated Burden </w:t>
      </w:r>
      <w:r w:rsidR="004A7664">
        <w:rPr>
          <w:rFonts w:ascii="Times New Roman" w:hAnsi="Times New Roman" w:cs="Times New Roman"/>
          <w:sz w:val="24"/>
          <w:szCs w:val="24"/>
        </w:rPr>
        <w:t xml:space="preserve">from </w:t>
      </w:r>
      <w:r w:rsidRPr="004A7664" w:rsidR="004A7664">
        <w:rPr>
          <w:rFonts w:ascii="Times New Roman" w:hAnsi="Times New Roman" w:cs="Times New Roman"/>
          <w:sz w:val="24"/>
          <w:szCs w:val="24"/>
        </w:rPr>
        <w:t>EPA ICR 27</w:t>
      </w:r>
      <w:r w:rsidR="00B24A53">
        <w:rPr>
          <w:rFonts w:ascii="Times New Roman" w:hAnsi="Times New Roman" w:cs="Times New Roman"/>
          <w:sz w:val="24"/>
          <w:szCs w:val="24"/>
        </w:rPr>
        <w:t>34</w:t>
      </w:r>
      <w:r w:rsidRPr="004A7664" w:rsidR="004A7664">
        <w:rPr>
          <w:rFonts w:ascii="Times New Roman" w:hAnsi="Times New Roman" w:cs="Times New Roman"/>
          <w:sz w:val="24"/>
          <w:szCs w:val="24"/>
        </w:rPr>
        <w:t>.02, OMB Control 2060-07</w:t>
      </w:r>
      <w:r w:rsidR="00B24A53">
        <w:rPr>
          <w:rFonts w:ascii="Times New Roman" w:hAnsi="Times New Roman" w:cs="Times New Roman"/>
          <w:sz w:val="24"/>
          <w:szCs w:val="24"/>
        </w:rPr>
        <w:t>53</w:t>
      </w:r>
      <w:r w:rsidR="004A7664">
        <w:rPr>
          <w:rFonts w:ascii="Times New Roman" w:hAnsi="Times New Roman" w:cs="Times New Roman"/>
          <w:sz w:val="24"/>
          <w:szCs w:val="24"/>
        </w:rPr>
        <w:t xml:space="preserve"> </w:t>
      </w:r>
    </w:p>
    <w:p w:rsidR="004A7664" w:rsidP="006B6E3D" w14:paraId="684DC65D" w14:textId="77777777">
      <w:pPr>
        <w:pStyle w:val="NoSpacing"/>
        <w:rPr>
          <w:rFonts w:ascii="Times New Roman" w:hAnsi="Times New Roman" w:cs="Times New Roman"/>
          <w:sz w:val="24"/>
          <w:szCs w:val="24"/>
        </w:rPr>
      </w:pPr>
    </w:p>
    <w:p w:rsidR="00525F12" w:rsidP="004A7664" w14:paraId="04020D4F" w14:textId="378B9BC9">
      <w:pPr>
        <w:pStyle w:val="NoSpacing"/>
        <w:rPr>
          <w:rFonts w:ascii="Times New Roman" w:hAnsi="Times New Roman" w:cs="Times New Roman"/>
          <w:sz w:val="24"/>
          <w:szCs w:val="24"/>
        </w:rPr>
      </w:pPr>
      <w:r>
        <w:rPr>
          <w:rFonts w:ascii="Times New Roman" w:hAnsi="Times New Roman" w:cs="Times New Roman"/>
          <w:sz w:val="24"/>
          <w:szCs w:val="24"/>
        </w:rPr>
        <w:t xml:space="preserve">Attachment B:  GHG Burden </w:t>
      </w:r>
      <w:r w:rsidR="00843A88">
        <w:rPr>
          <w:rFonts w:ascii="Times New Roman" w:hAnsi="Times New Roman" w:cs="Times New Roman"/>
          <w:sz w:val="24"/>
          <w:szCs w:val="24"/>
        </w:rPr>
        <w:t>R</w:t>
      </w:r>
      <w:r>
        <w:rPr>
          <w:rFonts w:ascii="Times New Roman" w:hAnsi="Times New Roman" w:cs="Times New Roman"/>
          <w:sz w:val="24"/>
          <w:szCs w:val="24"/>
        </w:rPr>
        <w:t>emoved</w:t>
      </w:r>
      <w:r w:rsidR="004A7664">
        <w:rPr>
          <w:rFonts w:ascii="Times New Roman" w:hAnsi="Times New Roman" w:cs="Times New Roman"/>
          <w:sz w:val="24"/>
          <w:szCs w:val="24"/>
        </w:rPr>
        <w:t xml:space="preserve"> </w:t>
      </w:r>
      <w:r w:rsidRPr="004A7664" w:rsidR="004A7664">
        <w:rPr>
          <w:rFonts w:ascii="Times New Roman" w:hAnsi="Times New Roman" w:cs="Times New Roman"/>
          <w:sz w:val="24"/>
          <w:szCs w:val="24"/>
        </w:rPr>
        <w:t>from</w:t>
      </w:r>
      <w:r w:rsidR="004A7664">
        <w:rPr>
          <w:rFonts w:ascii="Times New Roman" w:hAnsi="Times New Roman" w:cs="Times New Roman"/>
          <w:sz w:val="24"/>
          <w:szCs w:val="24"/>
        </w:rPr>
        <w:t xml:space="preserve"> </w:t>
      </w:r>
      <w:r w:rsidRPr="004A7664" w:rsidR="004A7664">
        <w:rPr>
          <w:rFonts w:ascii="Times New Roman" w:hAnsi="Times New Roman" w:cs="Times New Roman"/>
          <w:sz w:val="24"/>
          <w:szCs w:val="24"/>
        </w:rPr>
        <w:t xml:space="preserve">EPA </w:t>
      </w:r>
      <w:r w:rsidRPr="004A7664" w:rsidR="00A01705">
        <w:rPr>
          <w:rFonts w:ascii="Times New Roman" w:hAnsi="Times New Roman" w:cs="Times New Roman"/>
          <w:sz w:val="24"/>
          <w:szCs w:val="24"/>
        </w:rPr>
        <w:t>ICR 27</w:t>
      </w:r>
      <w:r w:rsidR="00A01705">
        <w:rPr>
          <w:rFonts w:ascii="Times New Roman" w:hAnsi="Times New Roman" w:cs="Times New Roman"/>
          <w:sz w:val="24"/>
          <w:szCs w:val="24"/>
        </w:rPr>
        <w:t>34</w:t>
      </w:r>
      <w:r w:rsidRPr="004A7664" w:rsidR="00A01705">
        <w:rPr>
          <w:rFonts w:ascii="Times New Roman" w:hAnsi="Times New Roman" w:cs="Times New Roman"/>
          <w:sz w:val="24"/>
          <w:szCs w:val="24"/>
        </w:rPr>
        <w:t>.02, OMB Control 2060-07</w:t>
      </w:r>
      <w:r w:rsidR="00A01705">
        <w:rPr>
          <w:rFonts w:ascii="Times New Roman" w:hAnsi="Times New Roman" w:cs="Times New Roman"/>
          <w:sz w:val="24"/>
          <w:szCs w:val="24"/>
        </w:rPr>
        <w:t>53</w:t>
      </w:r>
    </w:p>
    <w:p w:rsidR="00525F12" w:rsidP="00E30B44" w14:paraId="319F312A" w14:textId="77777777">
      <w:pPr>
        <w:pStyle w:val="NoSpacing"/>
        <w:rPr>
          <w:rFonts w:ascii="Times New Roman" w:hAnsi="Times New Roman" w:cs="Times New Roman"/>
          <w:sz w:val="24"/>
          <w:szCs w:val="24"/>
        </w:rPr>
      </w:pPr>
    </w:p>
    <w:p w:rsidR="004A7664" w:rsidP="004A7664" w14:paraId="55D0C07D" w14:textId="087B232E">
      <w:pPr>
        <w:pStyle w:val="NoSpacing"/>
        <w:rPr>
          <w:rFonts w:ascii="Times New Roman" w:hAnsi="Times New Roman" w:cs="Times New Roman"/>
          <w:sz w:val="24"/>
          <w:szCs w:val="24"/>
        </w:rPr>
      </w:pPr>
      <w:r>
        <w:rPr>
          <w:rFonts w:ascii="Times New Roman" w:hAnsi="Times New Roman" w:cs="Times New Roman"/>
          <w:sz w:val="24"/>
          <w:szCs w:val="24"/>
        </w:rPr>
        <w:t xml:space="preserve">Attachment C:  </w:t>
      </w:r>
      <w:bookmarkStart w:id="5" w:name="_Hlk198037420"/>
      <w:r>
        <w:rPr>
          <w:rFonts w:ascii="Times New Roman" w:hAnsi="Times New Roman" w:cs="Times New Roman"/>
          <w:sz w:val="24"/>
          <w:szCs w:val="24"/>
        </w:rPr>
        <w:t xml:space="preserve">Revised </w:t>
      </w:r>
      <w:r w:rsidR="009339DE">
        <w:rPr>
          <w:rFonts w:ascii="Times New Roman" w:hAnsi="Times New Roman" w:cs="Times New Roman"/>
          <w:sz w:val="24"/>
          <w:szCs w:val="24"/>
        </w:rPr>
        <w:t xml:space="preserve">Net </w:t>
      </w:r>
      <w:r>
        <w:rPr>
          <w:rFonts w:ascii="Times New Roman" w:hAnsi="Times New Roman" w:cs="Times New Roman"/>
          <w:sz w:val="24"/>
          <w:szCs w:val="24"/>
        </w:rPr>
        <w:t>Burden</w:t>
      </w:r>
      <w:r>
        <w:rPr>
          <w:rFonts w:ascii="Times New Roman" w:hAnsi="Times New Roman" w:cs="Times New Roman"/>
          <w:sz w:val="24"/>
          <w:szCs w:val="24"/>
        </w:rPr>
        <w:t xml:space="preserve"> Remaining </w:t>
      </w:r>
      <w:bookmarkEnd w:id="5"/>
      <w:r w:rsidR="00B24A53">
        <w:rPr>
          <w:rFonts w:ascii="Times New Roman" w:hAnsi="Times New Roman" w:cs="Times New Roman"/>
          <w:sz w:val="24"/>
          <w:szCs w:val="24"/>
        </w:rPr>
        <w:t xml:space="preserve">EPA </w:t>
      </w:r>
      <w:r w:rsidRPr="004A7664" w:rsidR="00A01705">
        <w:rPr>
          <w:rFonts w:ascii="Times New Roman" w:hAnsi="Times New Roman" w:cs="Times New Roman"/>
          <w:sz w:val="24"/>
          <w:szCs w:val="24"/>
        </w:rPr>
        <w:t>ICR 27</w:t>
      </w:r>
      <w:r w:rsidR="00A01705">
        <w:rPr>
          <w:rFonts w:ascii="Times New Roman" w:hAnsi="Times New Roman" w:cs="Times New Roman"/>
          <w:sz w:val="24"/>
          <w:szCs w:val="24"/>
        </w:rPr>
        <w:t>34</w:t>
      </w:r>
      <w:r w:rsidRPr="004A7664" w:rsidR="00A01705">
        <w:rPr>
          <w:rFonts w:ascii="Times New Roman" w:hAnsi="Times New Roman" w:cs="Times New Roman"/>
          <w:sz w:val="24"/>
          <w:szCs w:val="24"/>
        </w:rPr>
        <w:t>.0</w:t>
      </w:r>
      <w:r w:rsidR="00707AD2">
        <w:rPr>
          <w:rFonts w:ascii="Times New Roman" w:hAnsi="Times New Roman" w:cs="Times New Roman"/>
          <w:sz w:val="24"/>
          <w:szCs w:val="24"/>
        </w:rPr>
        <w:t>3</w:t>
      </w:r>
      <w:r w:rsidRPr="004A7664" w:rsidR="00A01705">
        <w:rPr>
          <w:rFonts w:ascii="Times New Roman" w:hAnsi="Times New Roman" w:cs="Times New Roman"/>
          <w:sz w:val="24"/>
          <w:szCs w:val="24"/>
        </w:rPr>
        <w:t>, OMB Control 2060-</w:t>
      </w:r>
      <w:r w:rsidR="002E708B">
        <w:rPr>
          <w:rFonts w:ascii="Times New Roman" w:hAnsi="Times New Roman" w:cs="Times New Roman"/>
          <w:sz w:val="24"/>
          <w:szCs w:val="24"/>
        </w:rPr>
        <w:t>NEW</w:t>
      </w:r>
    </w:p>
    <w:p w:rsidR="00525F12" w:rsidP="00E30B44" w14:paraId="55235573" w14:textId="44755EC4">
      <w:pPr>
        <w:pStyle w:val="NoSpacing"/>
        <w:rPr>
          <w:rFonts w:ascii="Times New Roman" w:hAnsi="Times New Roman" w:cs="Times New Roman"/>
          <w:sz w:val="24"/>
          <w:szCs w:val="24"/>
        </w:rPr>
      </w:pPr>
    </w:p>
    <w:p w:rsidR="00542FAD" w14:paraId="178212FF" w14:textId="741F86EB">
      <w:pPr>
        <w:autoSpaceDE/>
        <w:autoSpaceDN/>
        <w:adjustRightInd/>
        <w:spacing w:after="160" w:line="259" w:lineRule="auto"/>
        <w:rPr>
          <w:rFonts w:eastAsiaTheme="minorHAnsi"/>
        </w:rPr>
      </w:pPr>
      <w:r>
        <w:br w:type="page"/>
      </w:r>
    </w:p>
    <w:p w:rsidR="00542FAD" w:rsidP="00E30B44" w14:paraId="793DAB01" w14:textId="77777777">
      <w:pPr>
        <w:pStyle w:val="NoSpacing"/>
        <w:rPr>
          <w:rFonts w:ascii="Times New Roman" w:hAnsi="Times New Roman" w:cs="Times New Roman"/>
          <w:sz w:val="24"/>
          <w:szCs w:val="24"/>
        </w:rPr>
        <w:sectPr w:rsidSect="006F6F55">
          <w:footerReference w:type="default" r:id="rId11"/>
          <w:pgSz w:w="12240" w:h="15840"/>
          <w:pgMar w:top="1440" w:right="1440" w:bottom="1440" w:left="1440" w:header="720" w:footer="720" w:gutter="0"/>
          <w:cols w:space="720"/>
          <w:docGrid w:linePitch="360"/>
        </w:sectPr>
      </w:pPr>
    </w:p>
    <w:p w:rsidR="00542FAD" w:rsidP="002D68F3" w14:paraId="6C5988C5" w14:textId="6B90FF61">
      <w:pPr>
        <w:pStyle w:val="ICR3"/>
        <w:jc w:val="center"/>
      </w:pPr>
      <w:r>
        <w:t xml:space="preserve">Attachment A:  Original Estimated Burden </w:t>
      </w:r>
      <w:r w:rsidR="004A7664">
        <w:t xml:space="preserve">from </w:t>
      </w:r>
    </w:p>
    <w:p w:rsidR="006B054E" w:rsidRPr="006B054E" w:rsidP="00542FAD" w14:paraId="3CF91936" w14:textId="4362811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EPA </w:t>
      </w:r>
      <w:r w:rsidRPr="006B054E">
        <w:rPr>
          <w:rFonts w:ascii="Times New Roman" w:hAnsi="Times New Roman" w:cs="Times New Roman"/>
          <w:b/>
          <w:bCs/>
          <w:sz w:val="24"/>
          <w:szCs w:val="24"/>
        </w:rPr>
        <w:t>ICR 2734.02, OMB Control 2060-0753</w:t>
      </w:r>
    </w:p>
    <w:p w:rsidR="006B054E" w14:paraId="1102C7FA" w14:textId="0229D794">
      <w:pPr>
        <w:autoSpaceDE/>
        <w:autoSpaceDN/>
        <w:adjustRightInd/>
        <w:spacing w:after="160" w:line="259" w:lineRule="auto"/>
        <w:rPr>
          <w:b/>
          <w:bCs/>
        </w:rPr>
      </w:pPr>
    </w:p>
    <w:tbl>
      <w:tblPr>
        <w:tblW w:w="5000" w:type="pct"/>
        <w:tblLook w:val="04A0"/>
      </w:tblPr>
      <w:tblGrid>
        <w:gridCol w:w="1227"/>
        <w:gridCol w:w="860"/>
        <w:gridCol w:w="820"/>
        <w:gridCol w:w="818"/>
        <w:gridCol w:w="1000"/>
        <w:gridCol w:w="813"/>
        <w:gridCol w:w="818"/>
        <w:gridCol w:w="638"/>
        <w:gridCol w:w="818"/>
        <w:gridCol w:w="728"/>
        <w:gridCol w:w="818"/>
        <w:gridCol w:w="1093"/>
        <w:gridCol w:w="1080"/>
        <w:gridCol w:w="728"/>
        <w:gridCol w:w="974"/>
      </w:tblGrid>
      <w:tr w14:paraId="62990779" w14:textId="77777777" w:rsidTr="00B63E92">
        <w:tblPrEx>
          <w:tblW w:w="5000" w:type="pct"/>
          <w:tblLook w:val="04A0"/>
        </w:tblPrEx>
        <w:trPr>
          <w:trHeight w:val="20"/>
        </w:trPr>
        <w:tc>
          <w:tcPr>
            <w:tcW w:w="46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0262C97B"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Information Collection Activity</w:t>
            </w:r>
          </w:p>
        </w:tc>
        <w:tc>
          <w:tcPr>
            <w:tcW w:w="3072" w:type="pct"/>
            <w:gridSpan w:val="10"/>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hideMark/>
          </w:tcPr>
          <w:p w:rsidR="006B054E" w:rsidRPr="00347E68" w:rsidP="00B63E92" w14:paraId="22D82A4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Burden and Cost Per Application</w:t>
            </w:r>
          </w:p>
        </w:tc>
        <w:tc>
          <w:tcPr>
            <w:tcW w:w="1464" w:type="pct"/>
            <w:gridSpan w:val="4"/>
            <w:tcBorders>
              <w:top w:val="single" w:sz="4" w:space="0" w:color="auto"/>
              <w:left w:val="nil"/>
              <w:bottom w:val="nil"/>
              <w:right w:val="single" w:sz="8" w:space="0" w:color="000000" w:themeColor="text1"/>
            </w:tcBorders>
            <w:shd w:val="clear" w:color="auto" w:fill="D9E2F3" w:themeFill="accent1" w:themeFillTint="33"/>
            <w:hideMark/>
          </w:tcPr>
          <w:p w:rsidR="006B054E" w:rsidRPr="00347E68" w:rsidP="00B63E92" w14:paraId="59DBDC23"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Burden and Cost</w:t>
            </w:r>
          </w:p>
        </w:tc>
      </w:tr>
      <w:tr w14:paraId="583B68E8" w14:textId="77777777" w:rsidTr="00B63E92">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D9E2F3" w:themeFill="accent1" w:themeFillTint="33"/>
            <w:vAlign w:val="center"/>
            <w:hideMark/>
          </w:tcPr>
          <w:p w:rsidR="006B054E" w:rsidRPr="00347E68" w:rsidP="00B63E92" w14:paraId="23C0A837" w14:textId="77777777">
            <w:pPr>
              <w:autoSpaceDE/>
              <w:autoSpaceDN/>
              <w:adjustRightInd/>
              <w:rPr>
                <w:rFonts w:ascii="Calibri" w:hAnsi="Calibri" w:cs="Calibri"/>
                <w:b/>
                <w:bCs/>
                <w:color w:val="000000"/>
                <w:sz w:val="16"/>
                <w:szCs w:val="16"/>
              </w:rPr>
            </w:pPr>
          </w:p>
        </w:tc>
        <w:tc>
          <w:tcPr>
            <w:tcW w:w="325" w:type="pct"/>
            <w:tcBorders>
              <w:top w:val="nil"/>
              <w:left w:val="single" w:sz="4" w:space="0" w:color="auto"/>
              <w:bottom w:val="single" w:sz="4" w:space="0" w:color="auto"/>
              <w:right w:val="single" w:sz="4" w:space="0" w:color="auto"/>
            </w:tcBorders>
            <w:shd w:val="clear" w:color="auto" w:fill="D9E2F3" w:themeFill="accent1" w:themeFillTint="33"/>
            <w:vAlign w:val="bottom"/>
            <w:hideMark/>
          </w:tcPr>
          <w:p w:rsidR="006B054E" w:rsidRPr="00347E68" w:rsidP="00B63E92" w14:paraId="3102181A"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Engineer hourly rate</w:t>
            </w:r>
          </w:p>
        </w:tc>
        <w:tc>
          <w:tcPr>
            <w:tcW w:w="310" w:type="pct"/>
            <w:tcBorders>
              <w:top w:val="nil"/>
              <w:left w:val="nil"/>
              <w:bottom w:val="single" w:sz="4" w:space="0" w:color="auto"/>
              <w:right w:val="single" w:sz="4" w:space="0" w:color="auto"/>
            </w:tcBorders>
            <w:shd w:val="clear" w:color="auto" w:fill="D9E2F3" w:themeFill="accent1" w:themeFillTint="33"/>
            <w:vAlign w:val="bottom"/>
            <w:hideMark/>
          </w:tcPr>
          <w:p w:rsidR="006B054E" w:rsidRPr="00347E68" w:rsidP="00B63E92" w14:paraId="38637A48"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Manager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6B054E" w:rsidRPr="00347E68" w:rsidP="00B63E92" w14:paraId="5B56F804"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Legal hourly rate</w:t>
            </w:r>
          </w:p>
        </w:tc>
        <w:tc>
          <w:tcPr>
            <w:tcW w:w="378" w:type="pct"/>
            <w:tcBorders>
              <w:top w:val="nil"/>
              <w:left w:val="nil"/>
              <w:bottom w:val="single" w:sz="4" w:space="0" w:color="auto"/>
              <w:right w:val="single" w:sz="4" w:space="0" w:color="auto"/>
            </w:tcBorders>
            <w:shd w:val="clear" w:color="auto" w:fill="D9E2F3" w:themeFill="accent1" w:themeFillTint="33"/>
            <w:vAlign w:val="bottom"/>
            <w:hideMark/>
          </w:tcPr>
          <w:p w:rsidR="006B054E" w:rsidRPr="00347E68" w:rsidP="00B63E92" w14:paraId="3275A5D1"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Mechanical Engineer Technical hourly rate</w:t>
            </w:r>
          </w:p>
        </w:tc>
        <w:tc>
          <w:tcPr>
            <w:tcW w:w="307" w:type="pct"/>
            <w:tcBorders>
              <w:top w:val="nil"/>
              <w:left w:val="nil"/>
              <w:bottom w:val="single" w:sz="4" w:space="0" w:color="auto"/>
              <w:right w:val="single" w:sz="4" w:space="0" w:color="auto"/>
            </w:tcBorders>
            <w:shd w:val="clear" w:color="auto" w:fill="D9E2F3" w:themeFill="accent1" w:themeFillTint="33"/>
            <w:vAlign w:val="bottom"/>
            <w:hideMark/>
          </w:tcPr>
          <w:p w:rsidR="006B054E" w:rsidRPr="00347E68" w:rsidP="00B63E92" w14:paraId="6667202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IT Analysts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6B054E" w:rsidRPr="00347E68" w:rsidP="00B63E92" w14:paraId="1D48B70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Clerical hourly rate</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09A373D9"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Hours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5EA0048D"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Costs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3BDB825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Capital Startup Costs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6F23493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O&amp;M Cost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37BDDE56"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Frequency</w:t>
            </w:r>
            <w:r w:rsidRPr="00347E68">
              <w:rPr>
                <w:rFonts w:ascii="Calibri" w:hAnsi="Calibri" w:cs="Calibri"/>
                <w:b/>
                <w:bCs/>
                <w:color w:val="000000"/>
                <w:sz w:val="16"/>
                <w:szCs w:val="16"/>
                <w:vertAlign w:val="superscript"/>
              </w:rPr>
              <w:t>1</w:t>
            </w:r>
            <w:r w:rsidRPr="00347E68">
              <w:rPr>
                <w:rFonts w:ascii="Calibri" w:hAnsi="Calibri" w:cs="Calibri"/>
                <w:b/>
                <w:bCs/>
                <w:color w:val="000000"/>
                <w:sz w:val="16"/>
                <w:szCs w:val="16"/>
              </w:rPr>
              <w:t xml:space="preserve"> (Estimated Responses per Respondent)</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0A076B2D"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Number of Respondents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59A76055"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Hours</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6B054E" w:rsidRPr="00347E68" w:rsidP="00B63E92" w14:paraId="0527858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Costs</w:t>
            </w:r>
          </w:p>
        </w:tc>
      </w:tr>
      <w:tr w14:paraId="6FB6E8B9" w14:textId="77777777" w:rsidTr="00B63E92">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B4C6E7" w:themeFill="accent1" w:themeFillTint="66"/>
            <w:vAlign w:val="center"/>
            <w:hideMark/>
          </w:tcPr>
          <w:p w:rsidR="006B054E" w:rsidRPr="000A78B1" w:rsidP="00B63E92" w14:paraId="7A3481B1" w14:textId="77777777">
            <w:pPr>
              <w:autoSpaceDE/>
              <w:autoSpaceDN/>
              <w:adjustRightInd/>
              <w:rPr>
                <w:rFonts w:ascii="Calibri" w:hAnsi="Calibri" w:cs="Calibri"/>
                <w:color w:val="000000"/>
                <w:sz w:val="16"/>
                <w:szCs w:val="16"/>
              </w:rPr>
            </w:pPr>
          </w:p>
        </w:tc>
        <w:tc>
          <w:tcPr>
            <w:tcW w:w="325" w:type="pct"/>
            <w:tcBorders>
              <w:top w:val="nil"/>
              <w:left w:val="single" w:sz="4" w:space="0" w:color="auto"/>
              <w:bottom w:val="single" w:sz="8" w:space="0" w:color="auto"/>
              <w:right w:val="single" w:sz="4" w:space="0" w:color="auto"/>
            </w:tcBorders>
            <w:shd w:val="clear" w:color="auto" w:fill="D9E2F3" w:themeFill="accent1" w:themeFillTint="33"/>
            <w:hideMark/>
          </w:tcPr>
          <w:p w:rsidR="006B054E" w:rsidRPr="000A78B1" w:rsidP="00B63E92" w14:paraId="4B605557"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$94.86</w:t>
            </w:r>
          </w:p>
        </w:tc>
        <w:tc>
          <w:tcPr>
            <w:tcW w:w="310" w:type="pct"/>
            <w:tcBorders>
              <w:top w:val="nil"/>
              <w:left w:val="nil"/>
              <w:bottom w:val="single" w:sz="8" w:space="0" w:color="auto"/>
              <w:right w:val="single" w:sz="4" w:space="0" w:color="auto"/>
            </w:tcBorders>
            <w:shd w:val="clear" w:color="auto" w:fill="D9E2F3" w:themeFill="accent1" w:themeFillTint="33"/>
            <w:hideMark/>
          </w:tcPr>
          <w:p w:rsidR="006B054E" w:rsidRPr="000A78B1" w:rsidP="00B63E92" w14:paraId="49B6D621"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$152.31</w:t>
            </w:r>
          </w:p>
        </w:tc>
        <w:tc>
          <w:tcPr>
            <w:tcW w:w="309" w:type="pct"/>
            <w:tcBorders>
              <w:top w:val="nil"/>
              <w:left w:val="nil"/>
              <w:bottom w:val="single" w:sz="8" w:space="0" w:color="auto"/>
              <w:right w:val="single" w:sz="4" w:space="0" w:color="auto"/>
            </w:tcBorders>
            <w:shd w:val="clear" w:color="auto" w:fill="D9E2F3" w:themeFill="accent1" w:themeFillTint="33"/>
            <w:hideMark/>
          </w:tcPr>
          <w:p w:rsidR="006B054E" w:rsidRPr="000A78B1" w:rsidP="00B63E92" w14:paraId="06417C92"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$180.08</w:t>
            </w:r>
          </w:p>
        </w:tc>
        <w:tc>
          <w:tcPr>
            <w:tcW w:w="378" w:type="pct"/>
            <w:tcBorders>
              <w:top w:val="nil"/>
              <w:left w:val="nil"/>
              <w:bottom w:val="single" w:sz="8" w:space="0" w:color="auto"/>
              <w:right w:val="single" w:sz="4" w:space="0" w:color="auto"/>
            </w:tcBorders>
            <w:shd w:val="clear" w:color="auto" w:fill="D9E2F3" w:themeFill="accent1" w:themeFillTint="33"/>
            <w:hideMark/>
          </w:tcPr>
          <w:p w:rsidR="006B054E" w:rsidRPr="000A78B1" w:rsidP="00B63E92" w14:paraId="19549295"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$66.80</w:t>
            </w:r>
          </w:p>
        </w:tc>
        <w:tc>
          <w:tcPr>
            <w:tcW w:w="307" w:type="pct"/>
            <w:tcBorders>
              <w:top w:val="nil"/>
              <w:left w:val="nil"/>
              <w:bottom w:val="single" w:sz="8" w:space="0" w:color="auto"/>
              <w:right w:val="single" w:sz="4" w:space="0" w:color="auto"/>
            </w:tcBorders>
            <w:shd w:val="clear" w:color="auto" w:fill="D9E2F3" w:themeFill="accent1" w:themeFillTint="33"/>
            <w:hideMark/>
          </w:tcPr>
          <w:p w:rsidR="006B054E" w:rsidRPr="000A78B1" w:rsidP="00B63E92" w14:paraId="5C8811AE"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$91.94</w:t>
            </w:r>
          </w:p>
        </w:tc>
        <w:tc>
          <w:tcPr>
            <w:tcW w:w="309" w:type="pct"/>
            <w:tcBorders>
              <w:top w:val="nil"/>
              <w:left w:val="nil"/>
              <w:bottom w:val="single" w:sz="8" w:space="0" w:color="auto"/>
              <w:right w:val="single" w:sz="4" w:space="0" w:color="auto"/>
            </w:tcBorders>
            <w:shd w:val="clear" w:color="auto" w:fill="D9E2F3" w:themeFill="accent1" w:themeFillTint="33"/>
            <w:hideMark/>
          </w:tcPr>
          <w:p w:rsidR="006B054E" w:rsidRPr="000A78B1" w:rsidP="00B63E92" w14:paraId="6B1B18D9"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$45.86</w:t>
            </w:r>
          </w:p>
        </w:tc>
        <w:tc>
          <w:tcPr>
            <w:tcW w:w="241" w:type="pct"/>
            <w:vMerge/>
            <w:tcBorders>
              <w:top w:val="single" w:sz="4" w:space="0" w:color="auto"/>
              <w:bottom w:val="single" w:sz="4" w:space="0" w:color="auto"/>
              <w:right w:val="single" w:sz="4" w:space="0" w:color="auto"/>
            </w:tcBorders>
            <w:vAlign w:val="center"/>
            <w:hideMark/>
          </w:tcPr>
          <w:p w:rsidR="006B054E" w:rsidRPr="000A78B1" w:rsidP="00B63E92" w14:paraId="09953878"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3CA3FBFB"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7A06A259"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6B8F2C30" w14:textId="77777777">
            <w:pPr>
              <w:autoSpaceDE/>
              <w:autoSpaceDN/>
              <w:adjustRightInd/>
              <w:rPr>
                <w:rFonts w:ascii="Calibri" w:hAnsi="Calibri" w:cs="Calibri"/>
                <w:color w:val="000000"/>
                <w:sz w:val="16"/>
                <w:szCs w:val="16"/>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6E9F1104" w14:textId="77777777">
            <w:pPr>
              <w:autoSpaceDE/>
              <w:autoSpaceDN/>
              <w:adjustRightInd/>
              <w:rPr>
                <w:rFonts w:ascii="Calibri" w:hAnsi="Calibri" w:cs="Calibri"/>
                <w:color w:val="000000"/>
                <w:sz w:val="16"/>
                <w:szCs w:val="16"/>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675CAFBA"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69CE5459" w14:textId="77777777">
            <w:pPr>
              <w:autoSpaceDE/>
              <w:autoSpaceDN/>
              <w:adjustRightInd/>
              <w:rPr>
                <w:rFonts w:ascii="Calibri" w:hAnsi="Calibri" w:cs="Calibri"/>
                <w:color w:val="000000"/>
                <w:sz w:val="16"/>
                <w:szCs w:val="16"/>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6B054E" w:rsidRPr="000A78B1" w:rsidP="00B63E92" w14:paraId="2B86DC1C" w14:textId="77777777">
            <w:pPr>
              <w:autoSpaceDE/>
              <w:autoSpaceDN/>
              <w:adjustRightInd/>
              <w:rPr>
                <w:rFonts w:ascii="Calibri" w:hAnsi="Calibri" w:cs="Calibri"/>
                <w:color w:val="000000"/>
                <w:sz w:val="16"/>
                <w:szCs w:val="16"/>
              </w:rPr>
            </w:pPr>
          </w:p>
        </w:tc>
      </w:tr>
      <w:tr w14:paraId="2C0013DB" w14:textId="77777777" w:rsidTr="00B63E92">
        <w:tblPrEx>
          <w:tblW w:w="5000" w:type="pct"/>
          <w:tblLook w:val="04A0"/>
        </w:tblPrEx>
        <w:trPr>
          <w:trHeight w:val="20"/>
        </w:trPr>
        <w:tc>
          <w:tcPr>
            <w:tcW w:w="464" w:type="pct"/>
            <w:tcBorders>
              <w:top w:val="single" w:sz="4" w:space="0" w:color="auto"/>
              <w:left w:val="single" w:sz="8" w:space="0" w:color="auto"/>
              <w:bottom w:val="single" w:sz="8" w:space="0" w:color="auto"/>
              <w:right w:val="single" w:sz="8" w:space="0" w:color="auto"/>
            </w:tcBorders>
            <w:shd w:val="clear" w:color="auto" w:fill="auto"/>
            <w:hideMark/>
          </w:tcPr>
          <w:p w:rsidR="006B054E" w:rsidRPr="000A78B1" w:rsidP="00B63E92" w14:paraId="570AF725" w14:textId="77777777">
            <w:pPr>
              <w:autoSpaceDE/>
              <w:autoSpaceDN/>
              <w:adjustRightInd/>
              <w:rPr>
                <w:rFonts w:ascii="Calibri" w:hAnsi="Calibri" w:cs="Calibri"/>
                <w:color w:val="000000"/>
                <w:sz w:val="16"/>
                <w:szCs w:val="16"/>
              </w:rPr>
            </w:pPr>
            <w:r w:rsidRPr="000A78B1">
              <w:rPr>
                <w:rFonts w:ascii="Calibri" w:hAnsi="Calibri" w:cs="Calibri"/>
                <w:color w:val="000000"/>
                <w:sz w:val="16"/>
                <w:szCs w:val="16"/>
              </w:rPr>
              <w:t xml:space="preserve">HD engine manufacturers:  review of new regulations, general </w:t>
            </w:r>
            <w:r>
              <w:rPr>
                <w:rFonts w:ascii="Calibri" w:hAnsi="Calibri" w:cs="Calibri"/>
                <w:color w:val="000000"/>
                <w:sz w:val="16"/>
                <w:szCs w:val="16"/>
              </w:rPr>
              <w:t xml:space="preserve">reporting </w:t>
            </w:r>
            <w:r w:rsidRPr="000A78B1">
              <w:rPr>
                <w:rFonts w:ascii="Calibri" w:hAnsi="Calibri" w:cs="Calibri"/>
                <w:color w:val="000000"/>
                <w:sz w:val="16"/>
                <w:szCs w:val="16"/>
              </w:rPr>
              <w:t>system changes</w:t>
            </w:r>
          </w:p>
        </w:tc>
        <w:tc>
          <w:tcPr>
            <w:tcW w:w="325" w:type="pct"/>
            <w:tcBorders>
              <w:top w:val="nil"/>
              <w:left w:val="nil"/>
              <w:bottom w:val="single" w:sz="8" w:space="0" w:color="auto"/>
              <w:right w:val="single" w:sz="4" w:space="0" w:color="auto"/>
            </w:tcBorders>
            <w:shd w:val="clear" w:color="auto" w:fill="auto"/>
            <w:vAlign w:val="center"/>
            <w:hideMark/>
          </w:tcPr>
          <w:p w:rsidR="006B054E" w:rsidRPr="000A78B1" w:rsidP="00B63E92" w14:paraId="5AB81CAF"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20</w:t>
            </w:r>
          </w:p>
        </w:tc>
        <w:tc>
          <w:tcPr>
            <w:tcW w:w="310" w:type="pct"/>
            <w:tcBorders>
              <w:top w:val="nil"/>
              <w:left w:val="nil"/>
              <w:bottom w:val="single" w:sz="8" w:space="0" w:color="auto"/>
              <w:right w:val="single" w:sz="4" w:space="0" w:color="auto"/>
            </w:tcBorders>
            <w:shd w:val="clear" w:color="auto" w:fill="auto"/>
            <w:vAlign w:val="center"/>
            <w:hideMark/>
          </w:tcPr>
          <w:p w:rsidR="006B054E" w:rsidRPr="000A78B1" w:rsidP="00B63E92" w14:paraId="64314209"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10</w:t>
            </w:r>
          </w:p>
        </w:tc>
        <w:tc>
          <w:tcPr>
            <w:tcW w:w="309" w:type="pct"/>
            <w:tcBorders>
              <w:top w:val="nil"/>
              <w:left w:val="nil"/>
              <w:bottom w:val="single" w:sz="8" w:space="0" w:color="auto"/>
              <w:right w:val="single" w:sz="4" w:space="0" w:color="auto"/>
            </w:tcBorders>
            <w:shd w:val="clear" w:color="auto" w:fill="auto"/>
            <w:vAlign w:val="center"/>
            <w:hideMark/>
          </w:tcPr>
          <w:p w:rsidR="006B054E" w:rsidRPr="000A78B1" w:rsidP="00B63E92" w14:paraId="50BF32A7"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5</w:t>
            </w:r>
          </w:p>
        </w:tc>
        <w:tc>
          <w:tcPr>
            <w:tcW w:w="378" w:type="pct"/>
            <w:tcBorders>
              <w:top w:val="nil"/>
              <w:left w:val="nil"/>
              <w:bottom w:val="single" w:sz="8" w:space="0" w:color="auto"/>
              <w:right w:val="single" w:sz="4" w:space="0" w:color="auto"/>
            </w:tcBorders>
            <w:shd w:val="clear" w:color="auto" w:fill="auto"/>
            <w:vAlign w:val="center"/>
            <w:hideMark/>
          </w:tcPr>
          <w:p w:rsidR="006B054E" w:rsidRPr="000A78B1" w:rsidP="00B63E92" w14:paraId="52071346" w14:textId="77777777">
            <w:pPr>
              <w:jc w:val="center"/>
            </w:pPr>
            <w:r w:rsidRPr="4A715EC3">
              <w:rPr>
                <w:rFonts w:ascii="Calibri" w:hAnsi="Calibri" w:cs="Calibri"/>
                <w:color w:val="000000" w:themeColor="text1"/>
                <w:sz w:val="16"/>
                <w:szCs w:val="16"/>
              </w:rPr>
              <w:t>5</w:t>
            </w:r>
          </w:p>
        </w:tc>
        <w:tc>
          <w:tcPr>
            <w:tcW w:w="307" w:type="pct"/>
            <w:tcBorders>
              <w:top w:val="nil"/>
              <w:left w:val="nil"/>
              <w:bottom w:val="single" w:sz="8" w:space="0" w:color="auto"/>
              <w:right w:val="single" w:sz="4" w:space="0" w:color="auto"/>
            </w:tcBorders>
            <w:shd w:val="clear" w:color="auto" w:fill="auto"/>
            <w:vAlign w:val="center"/>
            <w:hideMark/>
          </w:tcPr>
          <w:p w:rsidR="006B054E" w:rsidRPr="000A78B1" w:rsidP="00B63E92" w14:paraId="747B3FC4"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0</w:t>
            </w:r>
          </w:p>
        </w:tc>
        <w:tc>
          <w:tcPr>
            <w:tcW w:w="309" w:type="pct"/>
            <w:tcBorders>
              <w:top w:val="nil"/>
              <w:left w:val="nil"/>
              <w:bottom w:val="single" w:sz="8" w:space="0" w:color="auto"/>
              <w:right w:val="single" w:sz="4" w:space="0" w:color="auto"/>
            </w:tcBorders>
            <w:shd w:val="clear" w:color="auto" w:fill="auto"/>
            <w:vAlign w:val="center"/>
            <w:hideMark/>
          </w:tcPr>
          <w:p w:rsidR="006B054E" w:rsidRPr="000A78B1" w:rsidP="00B63E92" w14:paraId="374A2C27"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338CA804"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40</w:t>
            </w: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36165EBF"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 xml:space="preserve">$4,655 </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133D8F32"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hideMark/>
          </w:tcPr>
          <w:p w:rsidR="006B054E" w:rsidRPr="000A78B1" w:rsidP="00B63E92" w14:paraId="3BAB216B" w14:textId="77777777">
            <w:pPr>
              <w:jc w:val="center"/>
            </w:pPr>
            <w:r w:rsidRPr="4A715EC3">
              <w:rPr>
                <w:rFonts w:ascii="Calibri" w:hAnsi="Calibri" w:cs="Calibri"/>
                <w:color w:val="000000" w:themeColor="text1"/>
                <w:sz w:val="16"/>
                <w:szCs w:val="16"/>
              </w:rPr>
              <w:t>$ 200</w:t>
            </w:r>
          </w:p>
        </w:tc>
        <w:tc>
          <w:tcPr>
            <w:tcW w:w="413"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2F2DDED0"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0DC99C58"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77</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6B054E" w:rsidRPr="000A78B1" w:rsidP="00B63E92" w14:paraId="0A7F9A17" w14:textId="77777777">
            <w:r w:rsidRPr="4A715EC3">
              <w:rPr>
                <w:rFonts w:ascii="Calibri" w:hAnsi="Calibri" w:cs="Calibri"/>
                <w:color w:val="000000" w:themeColor="text1"/>
                <w:sz w:val="16"/>
                <w:szCs w:val="16"/>
              </w:rPr>
              <w:t>3,080</w:t>
            </w:r>
          </w:p>
        </w:tc>
        <w:tc>
          <w:tcPr>
            <w:tcW w:w="369" w:type="pct"/>
            <w:tcBorders>
              <w:top w:val="single" w:sz="4" w:space="0" w:color="auto"/>
              <w:left w:val="nil"/>
              <w:bottom w:val="single" w:sz="8" w:space="0" w:color="auto"/>
              <w:right w:val="single" w:sz="8" w:space="0" w:color="auto"/>
            </w:tcBorders>
            <w:shd w:val="clear" w:color="auto" w:fill="auto"/>
            <w:vAlign w:val="center"/>
            <w:hideMark/>
          </w:tcPr>
          <w:p w:rsidR="006B054E" w:rsidRPr="000A78B1" w:rsidP="00B63E92" w14:paraId="5C4707B8" w14:textId="77777777">
            <w:pPr>
              <w:jc w:val="center"/>
            </w:pPr>
            <w:r w:rsidRPr="4A715EC3">
              <w:rPr>
                <w:rFonts w:ascii="Calibri" w:hAnsi="Calibri" w:cs="Calibri"/>
                <w:color w:val="000000" w:themeColor="text1"/>
                <w:sz w:val="16"/>
                <w:szCs w:val="16"/>
              </w:rPr>
              <w:t>$ 373,808</w:t>
            </w:r>
          </w:p>
        </w:tc>
      </w:tr>
      <w:tr w14:paraId="16E025AC" w14:textId="77777777" w:rsidTr="00B63E92">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6B054E" w:rsidRPr="00D755A8" w:rsidP="00B63E92" w14:paraId="1A06959F" w14:textId="77777777">
            <w:pPr>
              <w:autoSpaceDE/>
              <w:autoSpaceDN/>
              <w:adjustRightInd/>
              <w:rPr>
                <w:rFonts w:ascii="Calibri" w:hAnsi="Calibri" w:cs="Calibri"/>
                <w:color w:val="000000"/>
                <w:sz w:val="16"/>
                <w:szCs w:val="16"/>
              </w:rPr>
            </w:pPr>
            <w:r w:rsidRPr="119C225E">
              <w:rPr>
                <w:rFonts w:ascii="Calibri" w:hAnsi="Calibri" w:cs="Calibri"/>
                <w:color w:val="000000" w:themeColor="text1"/>
                <w:sz w:val="16"/>
                <w:szCs w:val="16"/>
              </w:rPr>
              <w:t xml:space="preserve">EV vehicle battery health monitor and </w:t>
            </w:r>
            <w:r w:rsidRPr="119C225E">
              <w:rPr>
                <w:rFonts w:ascii="Calibri" w:hAnsi="Calibri" w:cs="Calibri"/>
                <w:color w:val="000000" w:themeColor="text1"/>
                <w:sz w:val="16"/>
                <w:szCs w:val="16"/>
              </w:rPr>
              <w:t>owners</w:t>
            </w:r>
            <w:r w:rsidRPr="119C225E">
              <w:rPr>
                <w:rFonts w:ascii="Calibri" w:hAnsi="Calibri" w:cs="Calibri"/>
                <w:color w:val="000000" w:themeColor="text1"/>
                <w:sz w:val="16"/>
                <w:szCs w:val="16"/>
              </w:rPr>
              <w:t xml:space="preserve"> man. update</w:t>
            </w:r>
          </w:p>
        </w:tc>
        <w:tc>
          <w:tcPr>
            <w:tcW w:w="325"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09A6BF2B"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20</w:t>
            </w:r>
          </w:p>
        </w:tc>
        <w:tc>
          <w:tcPr>
            <w:tcW w:w="310"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5D009642"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3</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7A91404F"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78"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315D0AD7"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20</w:t>
            </w:r>
          </w:p>
        </w:tc>
        <w:tc>
          <w:tcPr>
            <w:tcW w:w="307"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5975A28F"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10EA3A98"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15</w:t>
            </w:r>
          </w:p>
        </w:tc>
        <w:tc>
          <w:tcPr>
            <w:tcW w:w="241"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04D68940"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58</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355C204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$4,378</w:t>
            </w:r>
          </w:p>
        </w:tc>
        <w:tc>
          <w:tcPr>
            <w:tcW w:w="275"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2A4F67AA"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6B054E" w:rsidRPr="00D755A8" w:rsidP="00B63E92" w14:paraId="4348A1C0"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$15,100</w:t>
            </w:r>
          </w:p>
        </w:tc>
        <w:tc>
          <w:tcPr>
            <w:tcW w:w="413"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5472170B"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37EAE819" w14:textId="77777777">
            <w:pPr>
              <w:autoSpaceDE/>
              <w:autoSpaceDN/>
              <w:adjustRightInd/>
              <w:jc w:val="center"/>
              <w:rPr>
                <w:rFonts w:ascii="Calibri" w:hAnsi="Calibri" w:cs="Calibri"/>
                <w:color w:val="000000"/>
                <w:sz w:val="16"/>
                <w:szCs w:val="16"/>
              </w:rPr>
            </w:pPr>
            <w:r w:rsidRPr="119C225E">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6B054E" w:rsidRPr="00D755A8" w:rsidP="00B63E92" w14:paraId="49D6DE86" w14:textId="77777777">
            <w:pPr>
              <w:autoSpaceDE/>
              <w:autoSpaceDN/>
              <w:adjustRightInd/>
              <w:jc w:val="center"/>
              <w:rPr>
                <w:rFonts w:ascii="Calibri" w:hAnsi="Calibri" w:cs="Calibri"/>
                <w:color w:val="000000"/>
                <w:sz w:val="16"/>
                <w:szCs w:val="16"/>
              </w:rPr>
            </w:pPr>
            <w:r w:rsidRPr="119C225E">
              <w:rPr>
                <w:rFonts w:ascii="Calibri" w:hAnsi="Calibri" w:cs="Calibri"/>
                <w:color w:val="000000" w:themeColor="text1"/>
                <w:sz w:val="16"/>
                <w:szCs w:val="16"/>
              </w:rPr>
              <w:t>3,538</w:t>
            </w:r>
          </w:p>
        </w:tc>
        <w:tc>
          <w:tcPr>
            <w:tcW w:w="369" w:type="pct"/>
            <w:tcBorders>
              <w:top w:val="single" w:sz="4" w:space="0" w:color="auto"/>
              <w:left w:val="nil"/>
              <w:bottom w:val="single" w:sz="8" w:space="0" w:color="auto"/>
              <w:right w:val="single" w:sz="8" w:space="0" w:color="auto"/>
            </w:tcBorders>
            <w:shd w:val="clear" w:color="auto" w:fill="auto"/>
            <w:vAlign w:val="center"/>
          </w:tcPr>
          <w:p w:rsidR="006B054E" w:rsidRPr="00D755A8" w:rsidP="00B63E92" w14:paraId="5323938B" w14:textId="77777777">
            <w:pPr>
              <w:jc w:val="center"/>
              <w:rPr>
                <w:rFonts w:ascii="Calibri" w:eastAsia="Calibri" w:hAnsi="Calibri" w:cs="Calibri"/>
                <w:sz w:val="16"/>
                <w:szCs w:val="16"/>
              </w:rPr>
            </w:pPr>
            <w:r w:rsidRPr="119C225E">
              <w:rPr>
                <w:rFonts w:ascii="Calibri" w:hAnsi="Calibri" w:cs="Calibri"/>
                <w:color w:val="000000" w:themeColor="text1"/>
                <w:sz w:val="16"/>
                <w:szCs w:val="16"/>
              </w:rPr>
              <w:t>$1,188,162</w:t>
            </w:r>
          </w:p>
        </w:tc>
      </w:tr>
      <w:tr w14:paraId="398EE0B4" w14:textId="77777777" w:rsidTr="00B63E92">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6B054E" w:rsidRPr="00D55D60" w:rsidP="00B63E92" w14:paraId="3011F9B9" w14:textId="77777777">
            <w:pPr>
              <w:autoSpaceDE/>
              <w:autoSpaceDN/>
              <w:adjustRightInd/>
              <w:rPr>
                <w:rFonts w:ascii="Calibri" w:hAnsi="Calibri" w:cs="Calibri"/>
                <w:color w:val="000000" w:themeColor="text1"/>
                <w:sz w:val="16"/>
                <w:szCs w:val="16"/>
              </w:rPr>
            </w:pPr>
            <w:r w:rsidRPr="00D55D60">
              <w:rPr>
                <w:rFonts w:ascii="Calibri" w:hAnsi="Calibri" w:cs="Calibri"/>
                <w:color w:val="000000" w:themeColor="text1"/>
                <w:sz w:val="16"/>
                <w:szCs w:val="16"/>
              </w:rPr>
              <w:t xml:space="preserve">EV manufacturers only - report warranty periods pursuant to new regulatory requirement and update </w:t>
            </w:r>
            <w:r w:rsidRPr="00D55D60">
              <w:rPr>
                <w:rFonts w:ascii="Calibri" w:hAnsi="Calibri" w:cs="Calibri"/>
                <w:color w:val="000000" w:themeColor="text1"/>
                <w:sz w:val="16"/>
                <w:szCs w:val="16"/>
              </w:rPr>
              <w:t>owners</w:t>
            </w:r>
            <w:r w:rsidRPr="00D55D60">
              <w:rPr>
                <w:rFonts w:ascii="Calibri" w:hAnsi="Calibri" w:cs="Calibri"/>
                <w:color w:val="000000" w:themeColor="text1"/>
                <w:sz w:val="16"/>
                <w:szCs w:val="16"/>
              </w:rPr>
              <w:t xml:space="preserve"> manual to show regulatory warranty periods</w:t>
            </w:r>
          </w:p>
        </w:tc>
        <w:tc>
          <w:tcPr>
            <w:tcW w:w="325"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3CA5F790"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10"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4617227C"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0092BA5B"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78"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1803D73B"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5</w:t>
            </w:r>
          </w:p>
        </w:tc>
        <w:tc>
          <w:tcPr>
            <w:tcW w:w="307"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66649F51"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 0</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3D40C433"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5</w:t>
            </w:r>
          </w:p>
        </w:tc>
        <w:tc>
          <w:tcPr>
            <w:tcW w:w="241"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78B3AB8B"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13</w:t>
            </w:r>
          </w:p>
        </w:tc>
        <w:tc>
          <w:tcPr>
            <w:tcW w:w="309"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1FC8FD97" w14:textId="77777777">
            <w:pPr>
              <w:autoSpaceDE/>
              <w:autoSpaceDN/>
              <w:adjustRightInd/>
              <w:jc w:val="right"/>
              <w:rPr>
                <w:rFonts w:ascii="Calibri" w:hAnsi="Calibri" w:cs="Calibri"/>
                <w:color w:val="000000"/>
                <w:sz w:val="16"/>
                <w:szCs w:val="16"/>
              </w:rPr>
            </w:pPr>
            <w:r w:rsidRPr="00D55D60">
              <w:rPr>
                <w:rFonts w:ascii="Calibri" w:hAnsi="Calibri" w:cs="Calibri"/>
                <w:color w:val="000000"/>
                <w:sz w:val="16"/>
                <w:szCs w:val="16"/>
              </w:rPr>
              <w:t xml:space="preserve">$991 </w:t>
            </w:r>
          </w:p>
        </w:tc>
        <w:tc>
          <w:tcPr>
            <w:tcW w:w="275"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7CB55AB3"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tcPr>
          <w:p w:rsidR="006B054E" w:rsidRPr="00D55D60" w:rsidP="00B63E92" w14:paraId="546584DB" w14:textId="77777777">
            <w:pPr>
              <w:autoSpaceDE/>
              <w:autoSpaceDN/>
              <w:adjustRightInd/>
              <w:rPr>
                <w:rFonts w:ascii="Calibri" w:hAnsi="Calibri" w:cs="Calibri"/>
                <w:color w:val="000000"/>
                <w:sz w:val="16"/>
                <w:szCs w:val="16"/>
              </w:rPr>
            </w:pPr>
            <w:r w:rsidRPr="00D55D60">
              <w:rPr>
                <w:rFonts w:ascii="Calibri" w:hAnsi="Calibri" w:cs="Calibri"/>
                <w:color w:val="000000"/>
                <w:sz w:val="16"/>
                <w:szCs w:val="16"/>
              </w:rPr>
              <w:t xml:space="preserve">$     -   </w:t>
            </w:r>
          </w:p>
        </w:tc>
        <w:tc>
          <w:tcPr>
            <w:tcW w:w="413"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55A69AE7"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7391657C" w14:textId="77777777">
            <w:pPr>
              <w:autoSpaceDE/>
              <w:autoSpaceDN/>
              <w:adjustRightInd/>
              <w:jc w:val="center"/>
              <w:rPr>
                <w:rFonts w:ascii="Calibri" w:hAnsi="Calibri" w:cs="Calibri"/>
                <w:color w:val="000000" w:themeColor="text1"/>
                <w:sz w:val="16"/>
                <w:szCs w:val="16"/>
              </w:rPr>
            </w:pPr>
            <w:r w:rsidRPr="00D55D60">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6B054E" w:rsidRPr="00D55D60" w:rsidP="00B63E92" w14:paraId="2BEF3086" w14:textId="77777777">
            <w:pPr>
              <w:autoSpaceDE/>
              <w:autoSpaceDN/>
              <w:adjustRightInd/>
              <w:jc w:val="right"/>
              <w:rPr>
                <w:rFonts w:ascii="Calibri" w:hAnsi="Calibri" w:cs="Calibri"/>
                <w:color w:val="000000" w:themeColor="text1"/>
                <w:sz w:val="16"/>
                <w:szCs w:val="16"/>
              </w:rPr>
            </w:pPr>
            <w:r>
              <w:rPr>
                <w:rFonts w:ascii="Calibri" w:hAnsi="Calibri" w:cs="Calibri"/>
                <w:color w:val="000000" w:themeColor="text1"/>
                <w:sz w:val="16"/>
                <w:szCs w:val="16"/>
              </w:rPr>
              <w:t>793</w:t>
            </w:r>
          </w:p>
        </w:tc>
        <w:tc>
          <w:tcPr>
            <w:tcW w:w="369" w:type="pct"/>
            <w:tcBorders>
              <w:top w:val="single" w:sz="4" w:space="0" w:color="auto"/>
              <w:left w:val="nil"/>
              <w:bottom w:val="single" w:sz="8" w:space="0" w:color="auto"/>
              <w:right w:val="single" w:sz="8" w:space="0" w:color="auto"/>
            </w:tcBorders>
            <w:shd w:val="clear" w:color="auto" w:fill="auto"/>
            <w:vAlign w:val="center"/>
          </w:tcPr>
          <w:p w:rsidR="006B054E" w:rsidRPr="00D55D60" w:rsidP="00B63E92" w14:paraId="12253C81" w14:textId="77777777">
            <w:pPr>
              <w:jc w:val="right"/>
              <w:rPr>
                <w:rFonts w:ascii="Calibri" w:hAnsi="Calibri" w:cs="Calibri"/>
                <w:color w:val="000000" w:themeColor="text1"/>
                <w:sz w:val="16"/>
                <w:szCs w:val="16"/>
              </w:rPr>
            </w:pPr>
            <w:r w:rsidRPr="00D55D60">
              <w:rPr>
                <w:rFonts w:ascii="Calibri" w:hAnsi="Calibri" w:cs="Calibri"/>
                <w:color w:val="000000" w:themeColor="text1"/>
                <w:sz w:val="16"/>
                <w:szCs w:val="16"/>
              </w:rPr>
              <w:t xml:space="preserve">$ 60,425 </w:t>
            </w:r>
          </w:p>
        </w:tc>
      </w:tr>
      <w:tr w14:paraId="7BF8BBA2" w14:textId="77777777" w:rsidTr="00B63E92">
        <w:tblPrEx>
          <w:tblW w:w="5000" w:type="pct"/>
          <w:tblLook w:val="04A0"/>
        </w:tblPrEx>
        <w:trPr>
          <w:trHeight w:val="20"/>
        </w:trPr>
        <w:tc>
          <w:tcPr>
            <w:tcW w:w="464" w:type="pct"/>
            <w:tcBorders>
              <w:top w:val="single" w:sz="4" w:space="0" w:color="auto"/>
              <w:left w:val="single" w:sz="8" w:space="0" w:color="auto"/>
              <w:bottom w:val="single" w:sz="4" w:space="0" w:color="auto"/>
              <w:right w:val="single" w:sz="8" w:space="0" w:color="auto"/>
            </w:tcBorders>
            <w:shd w:val="clear" w:color="auto" w:fill="auto"/>
            <w:vAlign w:val="center"/>
          </w:tcPr>
          <w:p w:rsidR="006B054E" w:rsidRPr="000A78B1" w:rsidP="00B63E92" w14:paraId="394F29F0" w14:textId="77777777">
            <w:pPr>
              <w:autoSpaceDE/>
              <w:autoSpaceDN/>
              <w:adjustRightInd/>
              <w:rPr>
                <w:rFonts w:ascii="Calibri" w:hAnsi="Calibri" w:cs="Calibri"/>
                <w:color w:val="000000"/>
                <w:sz w:val="16"/>
                <w:szCs w:val="16"/>
              </w:rPr>
            </w:pPr>
            <w:r w:rsidRPr="00D755A8">
              <w:rPr>
                <w:rFonts w:ascii="Calibri" w:hAnsi="Calibri" w:cs="Calibri"/>
                <w:color w:val="000000"/>
                <w:sz w:val="16"/>
                <w:szCs w:val="16"/>
              </w:rPr>
              <w:t>Total</w:t>
            </w:r>
          </w:p>
        </w:tc>
        <w:tc>
          <w:tcPr>
            <w:tcW w:w="325" w:type="pct"/>
            <w:tcBorders>
              <w:top w:val="nil"/>
              <w:left w:val="nil"/>
              <w:bottom w:val="single" w:sz="4" w:space="0" w:color="auto"/>
              <w:right w:val="single" w:sz="4" w:space="0" w:color="auto"/>
            </w:tcBorders>
            <w:shd w:val="clear" w:color="auto" w:fill="auto"/>
            <w:vAlign w:val="center"/>
          </w:tcPr>
          <w:p w:rsidR="006B054E" w:rsidRPr="000A78B1" w:rsidP="00B63E92" w14:paraId="2D08C025"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10" w:type="pct"/>
            <w:tcBorders>
              <w:top w:val="nil"/>
              <w:left w:val="nil"/>
              <w:bottom w:val="single" w:sz="4" w:space="0" w:color="auto"/>
              <w:right w:val="single" w:sz="4" w:space="0" w:color="auto"/>
            </w:tcBorders>
            <w:shd w:val="clear" w:color="auto" w:fill="auto"/>
            <w:vAlign w:val="center"/>
          </w:tcPr>
          <w:p w:rsidR="006B054E" w:rsidRPr="000A78B1" w:rsidP="00B63E92" w14:paraId="43C00AC2"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6B054E" w:rsidRPr="000A78B1" w:rsidP="00B63E92" w14:paraId="39697A9C"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78" w:type="pct"/>
            <w:tcBorders>
              <w:top w:val="nil"/>
              <w:left w:val="nil"/>
              <w:bottom w:val="single" w:sz="4" w:space="0" w:color="auto"/>
              <w:right w:val="single" w:sz="4" w:space="0" w:color="auto"/>
            </w:tcBorders>
            <w:shd w:val="clear" w:color="auto" w:fill="auto"/>
            <w:vAlign w:val="center"/>
          </w:tcPr>
          <w:p w:rsidR="006B054E" w:rsidRPr="000A78B1" w:rsidP="00B63E92" w14:paraId="1E918D1D"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7" w:type="pct"/>
            <w:tcBorders>
              <w:top w:val="nil"/>
              <w:left w:val="nil"/>
              <w:bottom w:val="single" w:sz="4" w:space="0" w:color="auto"/>
              <w:right w:val="single" w:sz="4" w:space="0" w:color="auto"/>
            </w:tcBorders>
            <w:shd w:val="clear" w:color="auto" w:fill="auto"/>
            <w:vAlign w:val="center"/>
          </w:tcPr>
          <w:p w:rsidR="006B054E" w:rsidRPr="000A78B1" w:rsidP="00B63E92" w14:paraId="50DF4E3A"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6B054E" w:rsidRPr="000A78B1" w:rsidP="00B63E92" w14:paraId="21C8E5DB"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241" w:type="pct"/>
            <w:tcBorders>
              <w:top w:val="nil"/>
              <w:left w:val="nil"/>
              <w:bottom w:val="single" w:sz="4" w:space="0" w:color="auto"/>
              <w:right w:val="single" w:sz="4" w:space="0" w:color="auto"/>
            </w:tcBorders>
            <w:shd w:val="clear" w:color="auto" w:fill="auto"/>
            <w:vAlign w:val="center"/>
          </w:tcPr>
          <w:p w:rsidR="006B054E" w:rsidRPr="000A78B1" w:rsidP="00B63E92" w14:paraId="3326D3C8"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111</w:t>
            </w:r>
          </w:p>
        </w:tc>
        <w:tc>
          <w:tcPr>
            <w:tcW w:w="309" w:type="pct"/>
            <w:tcBorders>
              <w:top w:val="nil"/>
              <w:left w:val="nil"/>
              <w:bottom w:val="single" w:sz="4" w:space="0" w:color="auto"/>
              <w:right w:val="single" w:sz="4" w:space="0" w:color="auto"/>
            </w:tcBorders>
            <w:shd w:val="clear" w:color="auto" w:fill="auto"/>
            <w:vAlign w:val="center"/>
          </w:tcPr>
          <w:p w:rsidR="006B054E" w:rsidRPr="000A78B1" w:rsidP="00B63E92" w14:paraId="73977599" w14:textId="77777777">
            <w:pPr>
              <w:autoSpaceDE/>
              <w:autoSpaceDN/>
              <w:adjustRightInd/>
              <w:rPr>
                <w:rFonts w:ascii="Calibri" w:hAnsi="Calibri" w:cs="Calibri"/>
                <w:color w:val="000000"/>
                <w:sz w:val="16"/>
                <w:szCs w:val="16"/>
              </w:rPr>
            </w:pPr>
            <w:r w:rsidRPr="4A715EC3">
              <w:rPr>
                <w:rFonts w:ascii="Calibri" w:hAnsi="Calibri" w:cs="Calibri"/>
                <w:color w:val="000000" w:themeColor="text1"/>
                <w:sz w:val="16"/>
                <w:szCs w:val="16"/>
              </w:rPr>
              <w:t>$10,023</w:t>
            </w:r>
          </w:p>
        </w:tc>
        <w:tc>
          <w:tcPr>
            <w:tcW w:w="275" w:type="pct"/>
            <w:tcBorders>
              <w:top w:val="nil"/>
              <w:left w:val="nil"/>
              <w:bottom w:val="single" w:sz="4" w:space="0" w:color="auto"/>
              <w:right w:val="single" w:sz="4" w:space="0" w:color="auto"/>
            </w:tcBorders>
            <w:shd w:val="clear" w:color="auto" w:fill="auto"/>
            <w:vAlign w:val="center"/>
          </w:tcPr>
          <w:p w:rsidR="006B054E" w:rsidRPr="000A78B1" w:rsidP="00B63E92" w14:paraId="1487558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nil"/>
              <w:left w:val="nil"/>
              <w:bottom w:val="single" w:sz="4" w:space="0" w:color="auto"/>
              <w:right w:val="single" w:sz="8" w:space="0" w:color="auto"/>
            </w:tcBorders>
            <w:shd w:val="clear" w:color="auto" w:fill="auto"/>
            <w:vAlign w:val="center"/>
          </w:tcPr>
          <w:p w:rsidR="006B054E" w:rsidRPr="000A78B1" w:rsidP="00B63E92" w14:paraId="26E9326D" w14:textId="77777777">
            <w:pPr>
              <w:autoSpaceDE/>
              <w:autoSpaceDN/>
              <w:adjustRightInd/>
              <w:rPr>
                <w:rFonts w:ascii="Calibri" w:hAnsi="Calibri" w:cs="Calibri"/>
                <w:color w:val="000000"/>
                <w:sz w:val="16"/>
                <w:szCs w:val="16"/>
              </w:rPr>
            </w:pPr>
            <w:r w:rsidRPr="4A715EC3">
              <w:rPr>
                <w:rFonts w:ascii="Calibri" w:hAnsi="Calibri" w:cs="Calibri"/>
                <w:color w:val="000000" w:themeColor="text1"/>
                <w:sz w:val="16"/>
                <w:szCs w:val="16"/>
              </w:rPr>
              <w:t>$15,300</w:t>
            </w:r>
          </w:p>
        </w:tc>
        <w:tc>
          <w:tcPr>
            <w:tcW w:w="413" w:type="pct"/>
            <w:tcBorders>
              <w:top w:val="nil"/>
              <w:left w:val="nil"/>
              <w:bottom w:val="single" w:sz="4" w:space="0" w:color="auto"/>
              <w:right w:val="single" w:sz="4" w:space="0" w:color="auto"/>
            </w:tcBorders>
            <w:shd w:val="clear" w:color="auto" w:fill="auto"/>
            <w:vAlign w:val="center"/>
          </w:tcPr>
          <w:p w:rsidR="006B054E" w:rsidRPr="000A78B1" w:rsidP="00B63E92" w14:paraId="5B404847"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tcPr>
          <w:p w:rsidR="006B054E" w:rsidRPr="000A78B1" w:rsidP="00B63E92" w14:paraId="4C21ACF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77</w:t>
            </w:r>
          </w:p>
        </w:tc>
        <w:tc>
          <w:tcPr>
            <w:tcW w:w="275" w:type="pct"/>
            <w:tcBorders>
              <w:top w:val="nil"/>
              <w:left w:val="nil"/>
              <w:bottom w:val="single" w:sz="4" w:space="0" w:color="auto"/>
              <w:right w:val="single" w:sz="4" w:space="0" w:color="auto"/>
            </w:tcBorders>
            <w:shd w:val="clear" w:color="auto" w:fill="auto"/>
            <w:vAlign w:val="center"/>
          </w:tcPr>
          <w:p w:rsidR="006B054E" w:rsidRPr="000A78B1" w:rsidP="00B63E92" w14:paraId="42F5BCDA" w14:textId="77777777">
            <w:r w:rsidRPr="4A715EC3">
              <w:rPr>
                <w:rFonts w:ascii="Calibri" w:hAnsi="Calibri" w:cs="Calibri"/>
                <w:color w:val="000000" w:themeColor="text1"/>
                <w:sz w:val="16"/>
                <w:szCs w:val="16"/>
              </w:rPr>
              <w:t>7,411</w:t>
            </w:r>
          </w:p>
        </w:tc>
        <w:tc>
          <w:tcPr>
            <w:tcW w:w="369" w:type="pct"/>
            <w:tcBorders>
              <w:top w:val="nil"/>
              <w:left w:val="nil"/>
              <w:bottom w:val="single" w:sz="4" w:space="0" w:color="auto"/>
              <w:right w:val="single" w:sz="8" w:space="0" w:color="auto"/>
            </w:tcBorders>
            <w:shd w:val="clear" w:color="auto" w:fill="auto"/>
            <w:vAlign w:val="center"/>
          </w:tcPr>
          <w:p w:rsidR="006B054E" w:rsidRPr="000A78B1" w:rsidP="00B63E92" w14:paraId="685ABC5A" w14:textId="77777777">
            <w:pPr>
              <w:jc w:val="center"/>
            </w:pPr>
            <w:r w:rsidRPr="4A715EC3">
              <w:rPr>
                <w:rFonts w:ascii="Calibri" w:hAnsi="Calibri" w:cs="Calibri"/>
                <w:color w:val="000000" w:themeColor="text1"/>
                <w:sz w:val="16"/>
                <w:szCs w:val="16"/>
              </w:rPr>
              <w:t>$1,622,394</w:t>
            </w:r>
          </w:p>
        </w:tc>
      </w:tr>
      <w:tr w14:paraId="34CE4413" w14:textId="77777777" w:rsidTr="00B63E92">
        <w:tblPrEx>
          <w:tblW w:w="5000" w:type="pct"/>
          <w:tblLook w:val="04A0"/>
        </w:tblPrEx>
        <w:trPr>
          <w:trHeight w:val="20"/>
        </w:trPr>
        <w:tc>
          <w:tcPr>
            <w:tcW w:w="5000" w:type="pct"/>
            <w:gridSpan w:val="15"/>
            <w:tcBorders>
              <w:top w:val="single" w:sz="4" w:space="0" w:color="auto"/>
              <w:bottom w:val="nil"/>
              <w:right w:val="nil"/>
            </w:tcBorders>
            <w:shd w:val="clear" w:color="auto" w:fill="auto"/>
            <w:vAlign w:val="center"/>
            <w:hideMark/>
          </w:tcPr>
          <w:p w:rsidR="006B054E" w:rsidP="00B63E92" w14:paraId="1043281F" w14:textId="77777777">
            <w:pPr>
              <w:autoSpaceDE/>
              <w:autoSpaceDN/>
              <w:adjustRightInd/>
              <w:rPr>
                <w:color w:val="000000"/>
                <w:sz w:val="16"/>
                <w:szCs w:val="16"/>
              </w:rPr>
            </w:pPr>
            <w:r w:rsidRPr="000A78B1">
              <w:rPr>
                <w:color w:val="000000"/>
                <w:sz w:val="16"/>
                <w:szCs w:val="16"/>
                <w:vertAlign w:val="superscript"/>
              </w:rPr>
              <w:t>1</w:t>
            </w:r>
            <w:r w:rsidRPr="000A78B1">
              <w:rPr>
                <w:color w:val="000000"/>
                <w:sz w:val="16"/>
                <w:szCs w:val="16"/>
              </w:rPr>
              <w:t>Estimated Responses per Respondent refers to the number of times a respondent performs each task per year. Generally, this refers to the number of applications in each category, which is often the number of engine families.  In this case, there are no reporting burdens apart from reviewing the regulations, which is a one-time activity for each manufacturer.</w:t>
            </w:r>
          </w:p>
          <w:p w:rsidR="006B054E" w:rsidRPr="000A78B1" w:rsidP="00B63E92" w14:paraId="7B66E0E2" w14:textId="77777777">
            <w:pPr>
              <w:autoSpaceDE/>
              <w:autoSpaceDN/>
              <w:adjustRightInd/>
              <w:rPr>
                <w:color w:val="000000"/>
                <w:sz w:val="16"/>
                <w:szCs w:val="16"/>
              </w:rPr>
            </w:pPr>
          </w:p>
        </w:tc>
      </w:tr>
    </w:tbl>
    <w:p w:rsidR="006B054E" w14:paraId="23386E26" w14:textId="77777777">
      <w:pPr>
        <w:autoSpaceDE/>
        <w:autoSpaceDN/>
        <w:adjustRightInd/>
        <w:spacing w:after="160" w:line="259" w:lineRule="auto"/>
        <w:rPr>
          <w:b/>
          <w:bCs/>
        </w:rPr>
      </w:pPr>
    </w:p>
    <w:p w:rsidR="00A01705" w:rsidP="00A01705" w14:paraId="62800720" w14:textId="19211213">
      <w:pPr>
        <w:pStyle w:val="ICR3"/>
        <w:jc w:val="center"/>
      </w:pPr>
      <w:r>
        <w:rPr>
          <w:b w:val="0"/>
          <w:bCs/>
        </w:rPr>
        <w:br w:type="page"/>
      </w:r>
      <w:r>
        <w:t xml:space="preserve">Attachment B:  </w:t>
      </w:r>
      <w:r w:rsidRPr="00A01705">
        <w:t xml:space="preserve">GHG Burden </w:t>
      </w:r>
      <w:r w:rsidR="00382CF0">
        <w:t>R</w:t>
      </w:r>
      <w:r w:rsidRPr="00A01705">
        <w:t>emoved from</w:t>
      </w:r>
    </w:p>
    <w:p w:rsidR="00A01705" w:rsidRPr="006B054E" w:rsidP="00A01705" w14:paraId="649E31BC" w14:textId="5AE51FF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EPA </w:t>
      </w:r>
      <w:r w:rsidRPr="006B054E">
        <w:rPr>
          <w:rFonts w:ascii="Times New Roman" w:hAnsi="Times New Roman" w:cs="Times New Roman"/>
          <w:b/>
          <w:bCs/>
          <w:sz w:val="24"/>
          <w:szCs w:val="24"/>
        </w:rPr>
        <w:t>ICR 2734.02, OMB Control 2060-0753</w:t>
      </w:r>
    </w:p>
    <w:p w:rsidR="00A01705" w:rsidP="00A01705" w14:paraId="23E6F4B5" w14:textId="77777777">
      <w:pPr>
        <w:autoSpaceDE/>
        <w:autoSpaceDN/>
        <w:adjustRightInd/>
        <w:spacing w:after="160" w:line="259" w:lineRule="auto"/>
        <w:rPr>
          <w:b/>
          <w:bCs/>
        </w:rPr>
      </w:pPr>
    </w:p>
    <w:tbl>
      <w:tblPr>
        <w:tblW w:w="5000" w:type="pct"/>
        <w:tblLook w:val="04A0"/>
      </w:tblPr>
      <w:tblGrid>
        <w:gridCol w:w="1227"/>
        <w:gridCol w:w="860"/>
        <w:gridCol w:w="820"/>
        <w:gridCol w:w="818"/>
        <w:gridCol w:w="1000"/>
        <w:gridCol w:w="813"/>
        <w:gridCol w:w="818"/>
        <w:gridCol w:w="638"/>
        <w:gridCol w:w="818"/>
        <w:gridCol w:w="728"/>
        <w:gridCol w:w="818"/>
        <w:gridCol w:w="1093"/>
        <w:gridCol w:w="1080"/>
        <w:gridCol w:w="728"/>
        <w:gridCol w:w="974"/>
      </w:tblGrid>
      <w:tr w14:paraId="26158874" w14:textId="77777777" w:rsidTr="00B63E92">
        <w:tblPrEx>
          <w:tblW w:w="5000" w:type="pct"/>
          <w:tblLook w:val="04A0"/>
        </w:tblPrEx>
        <w:trPr>
          <w:trHeight w:val="20"/>
        </w:trPr>
        <w:tc>
          <w:tcPr>
            <w:tcW w:w="46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6E467D7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Information Collection Activity</w:t>
            </w:r>
          </w:p>
        </w:tc>
        <w:tc>
          <w:tcPr>
            <w:tcW w:w="3072" w:type="pct"/>
            <w:gridSpan w:val="10"/>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hideMark/>
          </w:tcPr>
          <w:p w:rsidR="00A01705" w:rsidRPr="00347E68" w:rsidP="00B63E92" w14:paraId="21477960"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Burden and Cost Per Application</w:t>
            </w:r>
          </w:p>
        </w:tc>
        <w:tc>
          <w:tcPr>
            <w:tcW w:w="1464" w:type="pct"/>
            <w:gridSpan w:val="4"/>
            <w:tcBorders>
              <w:top w:val="single" w:sz="4" w:space="0" w:color="auto"/>
              <w:left w:val="nil"/>
              <w:bottom w:val="nil"/>
              <w:right w:val="single" w:sz="8" w:space="0" w:color="000000" w:themeColor="text1"/>
            </w:tcBorders>
            <w:shd w:val="clear" w:color="auto" w:fill="D9E2F3" w:themeFill="accent1" w:themeFillTint="33"/>
            <w:hideMark/>
          </w:tcPr>
          <w:p w:rsidR="00A01705" w:rsidRPr="00347E68" w:rsidP="00B63E92" w14:paraId="4E080E33"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Burden and Cost</w:t>
            </w:r>
          </w:p>
        </w:tc>
      </w:tr>
      <w:tr w14:paraId="0BA44287" w14:textId="77777777" w:rsidTr="00B63E92">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D9E2F3" w:themeFill="accent1" w:themeFillTint="33"/>
            <w:vAlign w:val="center"/>
            <w:hideMark/>
          </w:tcPr>
          <w:p w:rsidR="00A01705" w:rsidRPr="00347E68" w:rsidP="00B63E92" w14:paraId="2320A063" w14:textId="77777777">
            <w:pPr>
              <w:autoSpaceDE/>
              <w:autoSpaceDN/>
              <w:adjustRightInd/>
              <w:rPr>
                <w:rFonts w:ascii="Calibri" w:hAnsi="Calibri" w:cs="Calibri"/>
                <w:b/>
                <w:bCs/>
                <w:color w:val="000000"/>
                <w:sz w:val="16"/>
                <w:szCs w:val="16"/>
              </w:rPr>
            </w:pPr>
          </w:p>
        </w:tc>
        <w:tc>
          <w:tcPr>
            <w:tcW w:w="325" w:type="pct"/>
            <w:tcBorders>
              <w:top w:val="nil"/>
              <w:left w:val="single" w:sz="4" w:space="0" w:color="auto"/>
              <w:bottom w:val="single" w:sz="4" w:space="0" w:color="auto"/>
              <w:right w:val="single" w:sz="4" w:space="0" w:color="auto"/>
            </w:tcBorders>
            <w:shd w:val="clear" w:color="auto" w:fill="D9E2F3" w:themeFill="accent1" w:themeFillTint="33"/>
            <w:vAlign w:val="bottom"/>
            <w:hideMark/>
          </w:tcPr>
          <w:p w:rsidR="00A01705" w:rsidRPr="00347E68" w:rsidP="00B63E92" w14:paraId="35B5AC10"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Engineer hourly rate</w:t>
            </w:r>
          </w:p>
        </w:tc>
        <w:tc>
          <w:tcPr>
            <w:tcW w:w="310"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1596C133"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Manager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537E7DC5"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Legal hourly rate</w:t>
            </w:r>
          </w:p>
        </w:tc>
        <w:tc>
          <w:tcPr>
            <w:tcW w:w="378"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36ABC9E8"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Mechanical Engineer Technical hourly rate</w:t>
            </w:r>
          </w:p>
        </w:tc>
        <w:tc>
          <w:tcPr>
            <w:tcW w:w="307"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776D8CDD"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IT Analysts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40C1F458"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Clerical hourly rate</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6BC7A9C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Hours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65C876DA"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Costs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5684814E"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Capital Startup Costs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34616DB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O&amp;M Cost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18BA0FC5"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Frequency</w:t>
            </w:r>
            <w:r w:rsidRPr="00347E68">
              <w:rPr>
                <w:rFonts w:ascii="Calibri" w:hAnsi="Calibri" w:cs="Calibri"/>
                <w:b/>
                <w:bCs/>
                <w:color w:val="000000"/>
                <w:sz w:val="16"/>
                <w:szCs w:val="16"/>
                <w:vertAlign w:val="superscript"/>
              </w:rPr>
              <w:t>1</w:t>
            </w:r>
            <w:r w:rsidRPr="00347E68">
              <w:rPr>
                <w:rFonts w:ascii="Calibri" w:hAnsi="Calibri" w:cs="Calibri"/>
                <w:b/>
                <w:bCs/>
                <w:color w:val="000000"/>
                <w:sz w:val="16"/>
                <w:szCs w:val="16"/>
              </w:rPr>
              <w:t xml:space="preserve"> (Estimated Responses per Respondent)</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34FBC4B2"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Number of Respondents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39B5A91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Hours</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0925D68B"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Costs</w:t>
            </w:r>
          </w:p>
        </w:tc>
      </w:tr>
      <w:tr w14:paraId="5EC977A9" w14:textId="77777777" w:rsidTr="00B63E92">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B4C6E7" w:themeFill="accent1" w:themeFillTint="66"/>
            <w:vAlign w:val="center"/>
            <w:hideMark/>
          </w:tcPr>
          <w:p w:rsidR="00A01705" w:rsidRPr="000A78B1" w:rsidP="00B63E92" w14:paraId="3798F914" w14:textId="77777777">
            <w:pPr>
              <w:autoSpaceDE/>
              <w:autoSpaceDN/>
              <w:adjustRightInd/>
              <w:rPr>
                <w:rFonts w:ascii="Calibri" w:hAnsi="Calibri" w:cs="Calibri"/>
                <w:color w:val="000000"/>
                <w:sz w:val="16"/>
                <w:szCs w:val="16"/>
              </w:rPr>
            </w:pPr>
          </w:p>
        </w:tc>
        <w:tc>
          <w:tcPr>
            <w:tcW w:w="325" w:type="pct"/>
            <w:tcBorders>
              <w:top w:val="nil"/>
              <w:left w:val="single" w:sz="4" w:space="0" w:color="auto"/>
              <w:bottom w:val="single" w:sz="8" w:space="0" w:color="auto"/>
              <w:right w:val="single" w:sz="4" w:space="0" w:color="auto"/>
            </w:tcBorders>
            <w:shd w:val="clear" w:color="auto" w:fill="D9E2F3" w:themeFill="accent1" w:themeFillTint="33"/>
            <w:hideMark/>
          </w:tcPr>
          <w:p w:rsidR="00A01705" w:rsidRPr="000A78B1" w:rsidP="00B63E92" w14:paraId="02984B69"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$94.86</w:t>
            </w:r>
          </w:p>
        </w:tc>
        <w:tc>
          <w:tcPr>
            <w:tcW w:w="310"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2791B823"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$152.31</w:t>
            </w:r>
          </w:p>
        </w:tc>
        <w:tc>
          <w:tcPr>
            <w:tcW w:w="309"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1C51EB04"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$180.08</w:t>
            </w:r>
          </w:p>
        </w:tc>
        <w:tc>
          <w:tcPr>
            <w:tcW w:w="378"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0DB1A9D6"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$66.80</w:t>
            </w:r>
          </w:p>
        </w:tc>
        <w:tc>
          <w:tcPr>
            <w:tcW w:w="307"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73CD1EC0"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$91.94</w:t>
            </w:r>
          </w:p>
        </w:tc>
        <w:tc>
          <w:tcPr>
            <w:tcW w:w="309"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1F21ABCE"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$45.86</w:t>
            </w:r>
          </w:p>
        </w:tc>
        <w:tc>
          <w:tcPr>
            <w:tcW w:w="241" w:type="pct"/>
            <w:vMerge/>
            <w:tcBorders>
              <w:top w:val="single" w:sz="4" w:space="0" w:color="auto"/>
              <w:bottom w:val="single" w:sz="4" w:space="0" w:color="auto"/>
              <w:right w:val="single" w:sz="4" w:space="0" w:color="auto"/>
            </w:tcBorders>
            <w:vAlign w:val="center"/>
            <w:hideMark/>
          </w:tcPr>
          <w:p w:rsidR="00A01705" w:rsidRPr="000A78B1" w:rsidP="00B63E92" w14:paraId="69C8C1A5"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55B9BF8A"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51F600DA"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658B7E5D" w14:textId="77777777">
            <w:pPr>
              <w:autoSpaceDE/>
              <w:autoSpaceDN/>
              <w:adjustRightInd/>
              <w:rPr>
                <w:rFonts w:ascii="Calibri" w:hAnsi="Calibri" w:cs="Calibri"/>
                <w:color w:val="000000"/>
                <w:sz w:val="16"/>
                <w:szCs w:val="16"/>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337BA774" w14:textId="77777777">
            <w:pPr>
              <w:autoSpaceDE/>
              <w:autoSpaceDN/>
              <w:adjustRightInd/>
              <w:rPr>
                <w:rFonts w:ascii="Calibri" w:hAnsi="Calibri" w:cs="Calibri"/>
                <w:color w:val="000000"/>
                <w:sz w:val="16"/>
                <w:szCs w:val="16"/>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29D3D5AC"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3EB8FABB" w14:textId="77777777">
            <w:pPr>
              <w:autoSpaceDE/>
              <w:autoSpaceDN/>
              <w:adjustRightInd/>
              <w:rPr>
                <w:rFonts w:ascii="Calibri" w:hAnsi="Calibri" w:cs="Calibri"/>
                <w:color w:val="000000"/>
                <w:sz w:val="16"/>
                <w:szCs w:val="16"/>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5977AA34" w14:textId="77777777">
            <w:pPr>
              <w:autoSpaceDE/>
              <w:autoSpaceDN/>
              <w:adjustRightInd/>
              <w:rPr>
                <w:rFonts w:ascii="Calibri" w:hAnsi="Calibri" w:cs="Calibri"/>
                <w:color w:val="000000"/>
                <w:sz w:val="16"/>
                <w:szCs w:val="16"/>
              </w:rPr>
            </w:pPr>
          </w:p>
        </w:tc>
      </w:tr>
      <w:tr w14:paraId="05C31158" w14:textId="77777777" w:rsidTr="00B63E92">
        <w:tblPrEx>
          <w:tblW w:w="5000" w:type="pct"/>
          <w:tblLook w:val="04A0"/>
        </w:tblPrEx>
        <w:trPr>
          <w:trHeight w:val="20"/>
        </w:trPr>
        <w:tc>
          <w:tcPr>
            <w:tcW w:w="464" w:type="pct"/>
            <w:tcBorders>
              <w:top w:val="single" w:sz="4" w:space="0" w:color="auto"/>
              <w:left w:val="single" w:sz="8" w:space="0" w:color="auto"/>
              <w:bottom w:val="single" w:sz="8" w:space="0" w:color="auto"/>
              <w:right w:val="single" w:sz="8" w:space="0" w:color="auto"/>
            </w:tcBorders>
            <w:shd w:val="clear" w:color="auto" w:fill="auto"/>
            <w:hideMark/>
          </w:tcPr>
          <w:p w:rsidR="00A01705" w:rsidRPr="000A78B1" w:rsidP="00B63E92" w14:paraId="72008860" w14:textId="77777777">
            <w:pPr>
              <w:autoSpaceDE/>
              <w:autoSpaceDN/>
              <w:adjustRightInd/>
              <w:rPr>
                <w:rFonts w:ascii="Calibri" w:hAnsi="Calibri" w:cs="Calibri"/>
                <w:color w:val="000000"/>
                <w:sz w:val="16"/>
                <w:szCs w:val="16"/>
              </w:rPr>
            </w:pPr>
            <w:r w:rsidRPr="000A78B1">
              <w:rPr>
                <w:rFonts w:ascii="Calibri" w:hAnsi="Calibri" w:cs="Calibri"/>
                <w:color w:val="000000"/>
                <w:sz w:val="16"/>
                <w:szCs w:val="16"/>
              </w:rPr>
              <w:t xml:space="preserve">HD engine manufacturers:  review of new regulations, general </w:t>
            </w:r>
            <w:r>
              <w:rPr>
                <w:rFonts w:ascii="Calibri" w:hAnsi="Calibri" w:cs="Calibri"/>
                <w:color w:val="000000"/>
                <w:sz w:val="16"/>
                <w:szCs w:val="16"/>
              </w:rPr>
              <w:t xml:space="preserve">reporting </w:t>
            </w:r>
            <w:r w:rsidRPr="000A78B1">
              <w:rPr>
                <w:rFonts w:ascii="Calibri" w:hAnsi="Calibri" w:cs="Calibri"/>
                <w:color w:val="000000"/>
                <w:sz w:val="16"/>
                <w:szCs w:val="16"/>
              </w:rPr>
              <w:t>system changes</w:t>
            </w:r>
          </w:p>
        </w:tc>
        <w:tc>
          <w:tcPr>
            <w:tcW w:w="325" w:type="pct"/>
            <w:tcBorders>
              <w:top w:val="nil"/>
              <w:left w:val="nil"/>
              <w:bottom w:val="single" w:sz="8" w:space="0" w:color="auto"/>
              <w:right w:val="single" w:sz="4" w:space="0" w:color="auto"/>
            </w:tcBorders>
            <w:shd w:val="clear" w:color="auto" w:fill="auto"/>
            <w:vAlign w:val="center"/>
            <w:hideMark/>
          </w:tcPr>
          <w:p w:rsidR="00A01705" w:rsidRPr="000A78B1" w:rsidP="00B63E92" w14:paraId="197CBFFE"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20</w:t>
            </w:r>
          </w:p>
        </w:tc>
        <w:tc>
          <w:tcPr>
            <w:tcW w:w="310" w:type="pct"/>
            <w:tcBorders>
              <w:top w:val="nil"/>
              <w:left w:val="nil"/>
              <w:bottom w:val="single" w:sz="8" w:space="0" w:color="auto"/>
              <w:right w:val="single" w:sz="4" w:space="0" w:color="auto"/>
            </w:tcBorders>
            <w:shd w:val="clear" w:color="auto" w:fill="auto"/>
            <w:vAlign w:val="center"/>
            <w:hideMark/>
          </w:tcPr>
          <w:p w:rsidR="00A01705" w:rsidRPr="000A78B1" w:rsidP="00B63E92" w14:paraId="61DE2327"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10</w:t>
            </w:r>
          </w:p>
        </w:tc>
        <w:tc>
          <w:tcPr>
            <w:tcW w:w="309" w:type="pct"/>
            <w:tcBorders>
              <w:top w:val="nil"/>
              <w:left w:val="nil"/>
              <w:bottom w:val="single" w:sz="8" w:space="0" w:color="auto"/>
              <w:right w:val="single" w:sz="4" w:space="0" w:color="auto"/>
            </w:tcBorders>
            <w:shd w:val="clear" w:color="auto" w:fill="auto"/>
            <w:vAlign w:val="center"/>
            <w:hideMark/>
          </w:tcPr>
          <w:p w:rsidR="00A01705" w:rsidRPr="000A78B1" w:rsidP="00B63E92" w14:paraId="21F76BA2"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5</w:t>
            </w:r>
          </w:p>
        </w:tc>
        <w:tc>
          <w:tcPr>
            <w:tcW w:w="378" w:type="pct"/>
            <w:tcBorders>
              <w:top w:val="nil"/>
              <w:left w:val="nil"/>
              <w:bottom w:val="single" w:sz="8" w:space="0" w:color="auto"/>
              <w:right w:val="single" w:sz="4" w:space="0" w:color="auto"/>
            </w:tcBorders>
            <w:shd w:val="clear" w:color="auto" w:fill="auto"/>
            <w:vAlign w:val="center"/>
            <w:hideMark/>
          </w:tcPr>
          <w:p w:rsidR="00A01705" w:rsidRPr="000A78B1" w:rsidP="00B63E92" w14:paraId="2BE8DEE0" w14:textId="77777777">
            <w:pPr>
              <w:jc w:val="center"/>
            </w:pPr>
            <w:r w:rsidRPr="4A715EC3">
              <w:rPr>
                <w:rFonts w:ascii="Calibri" w:hAnsi="Calibri" w:cs="Calibri"/>
                <w:color w:val="000000" w:themeColor="text1"/>
                <w:sz w:val="16"/>
                <w:szCs w:val="16"/>
              </w:rPr>
              <w:t>5</w:t>
            </w:r>
          </w:p>
        </w:tc>
        <w:tc>
          <w:tcPr>
            <w:tcW w:w="307" w:type="pct"/>
            <w:tcBorders>
              <w:top w:val="nil"/>
              <w:left w:val="nil"/>
              <w:bottom w:val="single" w:sz="8" w:space="0" w:color="auto"/>
              <w:right w:val="single" w:sz="4" w:space="0" w:color="auto"/>
            </w:tcBorders>
            <w:shd w:val="clear" w:color="auto" w:fill="auto"/>
            <w:vAlign w:val="center"/>
            <w:hideMark/>
          </w:tcPr>
          <w:p w:rsidR="00A01705" w:rsidRPr="000A78B1" w:rsidP="00B63E92" w14:paraId="1FBAF39F"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0</w:t>
            </w:r>
          </w:p>
        </w:tc>
        <w:tc>
          <w:tcPr>
            <w:tcW w:w="309" w:type="pct"/>
            <w:tcBorders>
              <w:top w:val="nil"/>
              <w:left w:val="nil"/>
              <w:bottom w:val="single" w:sz="8" w:space="0" w:color="auto"/>
              <w:right w:val="single" w:sz="4" w:space="0" w:color="auto"/>
            </w:tcBorders>
            <w:shd w:val="clear" w:color="auto" w:fill="auto"/>
            <w:vAlign w:val="center"/>
            <w:hideMark/>
          </w:tcPr>
          <w:p w:rsidR="00A01705" w:rsidRPr="000A78B1" w:rsidP="00B63E92" w14:paraId="6220CFBC"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1FCE493F"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40</w:t>
            </w: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47DCC995"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 xml:space="preserve">$4,655 </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7C2E2ED8"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hideMark/>
          </w:tcPr>
          <w:p w:rsidR="00A01705" w:rsidRPr="000A78B1" w:rsidP="00B63E92" w14:paraId="12C80CE2" w14:textId="77777777">
            <w:pPr>
              <w:jc w:val="center"/>
            </w:pPr>
            <w:r w:rsidRPr="4A715EC3">
              <w:rPr>
                <w:rFonts w:ascii="Calibri" w:hAnsi="Calibri" w:cs="Calibri"/>
                <w:color w:val="000000" w:themeColor="text1"/>
                <w:sz w:val="16"/>
                <w:szCs w:val="16"/>
              </w:rPr>
              <w:t>$ 200</w:t>
            </w:r>
          </w:p>
        </w:tc>
        <w:tc>
          <w:tcPr>
            <w:tcW w:w="413"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1FA2E9AF"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47EB9F2A"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77</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B63E92" w14:paraId="3545D7C3" w14:textId="77777777">
            <w:r w:rsidRPr="4A715EC3">
              <w:rPr>
                <w:rFonts w:ascii="Calibri" w:hAnsi="Calibri" w:cs="Calibri"/>
                <w:color w:val="000000" w:themeColor="text1"/>
                <w:sz w:val="16"/>
                <w:szCs w:val="16"/>
              </w:rPr>
              <w:t>3,080</w:t>
            </w:r>
          </w:p>
        </w:tc>
        <w:tc>
          <w:tcPr>
            <w:tcW w:w="369" w:type="pct"/>
            <w:tcBorders>
              <w:top w:val="single" w:sz="4" w:space="0" w:color="auto"/>
              <w:left w:val="nil"/>
              <w:bottom w:val="single" w:sz="8" w:space="0" w:color="auto"/>
              <w:right w:val="single" w:sz="8" w:space="0" w:color="auto"/>
            </w:tcBorders>
            <w:shd w:val="clear" w:color="auto" w:fill="auto"/>
            <w:vAlign w:val="center"/>
            <w:hideMark/>
          </w:tcPr>
          <w:p w:rsidR="00A01705" w:rsidRPr="000A78B1" w:rsidP="00B63E92" w14:paraId="537334F2" w14:textId="77777777">
            <w:pPr>
              <w:jc w:val="center"/>
            </w:pPr>
            <w:r w:rsidRPr="4A715EC3">
              <w:rPr>
                <w:rFonts w:ascii="Calibri" w:hAnsi="Calibri" w:cs="Calibri"/>
                <w:color w:val="000000" w:themeColor="text1"/>
                <w:sz w:val="16"/>
                <w:szCs w:val="16"/>
              </w:rPr>
              <w:t>$ 373,808</w:t>
            </w:r>
          </w:p>
        </w:tc>
      </w:tr>
      <w:tr w14:paraId="79EFE55B" w14:textId="77777777" w:rsidTr="00B63E92">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A01705" w:rsidRPr="00D755A8" w:rsidP="00B63E92" w14:paraId="277CFFE3" w14:textId="77777777">
            <w:pPr>
              <w:autoSpaceDE/>
              <w:autoSpaceDN/>
              <w:adjustRightInd/>
              <w:rPr>
                <w:rFonts w:ascii="Calibri" w:hAnsi="Calibri" w:cs="Calibri"/>
                <w:color w:val="000000"/>
                <w:sz w:val="16"/>
                <w:szCs w:val="16"/>
              </w:rPr>
            </w:pPr>
            <w:r w:rsidRPr="119C225E">
              <w:rPr>
                <w:rFonts w:ascii="Calibri" w:hAnsi="Calibri" w:cs="Calibri"/>
                <w:color w:val="000000" w:themeColor="text1"/>
                <w:sz w:val="16"/>
                <w:szCs w:val="16"/>
              </w:rPr>
              <w:t xml:space="preserve">EV vehicle battery health monitor and </w:t>
            </w:r>
            <w:r w:rsidRPr="119C225E">
              <w:rPr>
                <w:rFonts w:ascii="Calibri" w:hAnsi="Calibri" w:cs="Calibri"/>
                <w:color w:val="000000" w:themeColor="text1"/>
                <w:sz w:val="16"/>
                <w:szCs w:val="16"/>
              </w:rPr>
              <w:t>owners</w:t>
            </w:r>
            <w:r w:rsidRPr="119C225E">
              <w:rPr>
                <w:rFonts w:ascii="Calibri" w:hAnsi="Calibri" w:cs="Calibri"/>
                <w:color w:val="000000" w:themeColor="text1"/>
                <w:sz w:val="16"/>
                <w:szCs w:val="16"/>
              </w:rPr>
              <w:t xml:space="preserve"> man. update</w:t>
            </w:r>
          </w:p>
        </w:tc>
        <w:tc>
          <w:tcPr>
            <w:tcW w:w="325"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017173AC"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20</w:t>
            </w:r>
          </w:p>
        </w:tc>
        <w:tc>
          <w:tcPr>
            <w:tcW w:w="310"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786F368B"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3</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5D8C6104"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78"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6D72B8D5"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20</w:t>
            </w:r>
          </w:p>
        </w:tc>
        <w:tc>
          <w:tcPr>
            <w:tcW w:w="307"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6529B02C"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0B587E4D"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15</w:t>
            </w:r>
          </w:p>
        </w:tc>
        <w:tc>
          <w:tcPr>
            <w:tcW w:w="241"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5CF1FC2E"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58</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4A6450FE"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$4,378</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058409C7"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A01705" w:rsidRPr="00D755A8" w:rsidP="00B63E92" w14:paraId="3577C12E"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$15,100</w:t>
            </w:r>
          </w:p>
        </w:tc>
        <w:tc>
          <w:tcPr>
            <w:tcW w:w="413"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4E3AC9CB"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405C408C" w14:textId="77777777">
            <w:pPr>
              <w:autoSpaceDE/>
              <w:autoSpaceDN/>
              <w:adjustRightInd/>
              <w:jc w:val="center"/>
              <w:rPr>
                <w:rFonts w:ascii="Calibri" w:hAnsi="Calibri" w:cs="Calibri"/>
                <w:color w:val="000000"/>
                <w:sz w:val="16"/>
                <w:szCs w:val="16"/>
              </w:rPr>
            </w:pPr>
            <w:r w:rsidRPr="119C225E">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755A8" w:rsidP="00B63E92" w14:paraId="2E24FF7F" w14:textId="77777777">
            <w:pPr>
              <w:autoSpaceDE/>
              <w:autoSpaceDN/>
              <w:adjustRightInd/>
              <w:jc w:val="center"/>
              <w:rPr>
                <w:rFonts w:ascii="Calibri" w:hAnsi="Calibri" w:cs="Calibri"/>
                <w:color w:val="000000"/>
                <w:sz w:val="16"/>
                <w:szCs w:val="16"/>
              </w:rPr>
            </w:pPr>
            <w:r w:rsidRPr="119C225E">
              <w:rPr>
                <w:rFonts w:ascii="Calibri" w:hAnsi="Calibri" w:cs="Calibri"/>
                <w:color w:val="000000" w:themeColor="text1"/>
                <w:sz w:val="16"/>
                <w:szCs w:val="16"/>
              </w:rPr>
              <w:t>3,538</w:t>
            </w:r>
          </w:p>
        </w:tc>
        <w:tc>
          <w:tcPr>
            <w:tcW w:w="369" w:type="pct"/>
            <w:tcBorders>
              <w:top w:val="single" w:sz="4" w:space="0" w:color="auto"/>
              <w:left w:val="nil"/>
              <w:bottom w:val="single" w:sz="8" w:space="0" w:color="auto"/>
              <w:right w:val="single" w:sz="8" w:space="0" w:color="auto"/>
            </w:tcBorders>
            <w:shd w:val="clear" w:color="auto" w:fill="auto"/>
            <w:vAlign w:val="center"/>
          </w:tcPr>
          <w:p w:rsidR="00A01705" w:rsidRPr="00D755A8" w:rsidP="00B63E92" w14:paraId="5C6A6D4C" w14:textId="77777777">
            <w:pPr>
              <w:jc w:val="center"/>
              <w:rPr>
                <w:rFonts w:ascii="Calibri" w:eastAsia="Calibri" w:hAnsi="Calibri" w:cs="Calibri"/>
                <w:sz w:val="16"/>
                <w:szCs w:val="16"/>
              </w:rPr>
            </w:pPr>
            <w:r w:rsidRPr="119C225E">
              <w:rPr>
                <w:rFonts w:ascii="Calibri" w:hAnsi="Calibri" w:cs="Calibri"/>
                <w:color w:val="000000" w:themeColor="text1"/>
                <w:sz w:val="16"/>
                <w:szCs w:val="16"/>
              </w:rPr>
              <w:t>$1,188,162</w:t>
            </w:r>
          </w:p>
        </w:tc>
      </w:tr>
      <w:tr w14:paraId="068DA64C" w14:textId="77777777" w:rsidTr="00B63E92">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A01705" w:rsidRPr="00D55D60" w:rsidP="00B63E92" w14:paraId="033ED1B8" w14:textId="77777777">
            <w:pPr>
              <w:autoSpaceDE/>
              <w:autoSpaceDN/>
              <w:adjustRightInd/>
              <w:rPr>
                <w:rFonts w:ascii="Calibri" w:hAnsi="Calibri" w:cs="Calibri"/>
                <w:color w:val="000000" w:themeColor="text1"/>
                <w:sz w:val="16"/>
                <w:szCs w:val="16"/>
              </w:rPr>
            </w:pPr>
            <w:r w:rsidRPr="00D55D60">
              <w:rPr>
                <w:rFonts w:ascii="Calibri" w:hAnsi="Calibri" w:cs="Calibri"/>
                <w:color w:val="000000" w:themeColor="text1"/>
                <w:sz w:val="16"/>
                <w:szCs w:val="16"/>
              </w:rPr>
              <w:t xml:space="preserve">EV manufacturers only - report warranty periods pursuant to new regulatory requirement and update </w:t>
            </w:r>
            <w:r w:rsidRPr="00D55D60">
              <w:rPr>
                <w:rFonts w:ascii="Calibri" w:hAnsi="Calibri" w:cs="Calibri"/>
                <w:color w:val="000000" w:themeColor="text1"/>
                <w:sz w:val="16"/>
                <w:szCs w:val="16"/>
              </w:rPr>
              <w:t>owners</w:t>
            </w:r>
            <w:r w:rsidRPr="00D55D60">
              <w:rPr>
                <w:rFonts w:ascii="Calibri" w:hAnsi="Calibri" w:cs="Calibri"/>
                <w:color w:val="000000" w:themeColor="text1"/>
                <w:sz w:val="16"/>
                <w:szCs w:val="16"/>
              </w:rPr>
              <w:t xml:space="preserve"> manual to show regulatory warranty periods</w:t>
            </w:r>
          </w:p>
        </w:tc>
        <w:tc>
          <w:tcPr>
            <w:tcW w:w="325"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1C00247C"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10"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4C847C12"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119892E9"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w:t>
            </w:r>
          </w:p>
        </w:tc>
        <w:tc>
          <w:tcPr>
            <w:tcW w:w="378"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2548BC5A"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5</w:t>
            </w:r>
          </w:p>
        </w:tc>
        <w:tc>
          <w:tcPr>
            <w:tcW w:w="307"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726E9C03"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 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18641EB2"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5</w:t>
            </w:r>
          </w:p>
        </w:tc>
        <w:tc>
          <w:tcPr>
            <w:tcW w:w="241"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53FA5307"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13</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45500E82" w14:textId="77777777">
            <w:pPr>
              <w:autoSpaceDE/>
              <w:autoSpaceDN/>
              <w:adjustRightInd/>
              <w:jc w:val="right"/>
              <w:rPr>
                <w:rFonts w:ascii="Calibri" w:hAnsi="Calibri" w:cs="Calibri"/>
                <w:color w:val="000000"/>
                <w:sz w:val="16"/>
                <w:szCs w:val="16"/>
              </w:rPr>
            </w:pPr>
            <w:r w:rsidRPr="00D55D60">
              <w:rPr>
                <w:rFonts w:ascii="Calibri" w:hAnsi="Calibri" w:cs="Calibri"/>
                <w:color w:val="000000"/>
                <w:sz w:val="16"/>
                <w:szCs w:val="16"/>
              </w:rPr>
              <w:t xml:space="preserve">$991 </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2B495856"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tcPr>
          <w:p w:rsidR="00A01705" w:rsidRPr="00D55D60" w:rsidP="00B63E92" w14:paraId="37CE9D2E" w14:textId="77777777">
            <w:pPr>
              <w:autoSpaceDE/>
              <w:autoSpaceDN/>
              <w:adjustRightInd/>
              <w:rPr>
                <w:rFonts w:ascii="Calibri" w:hAnsi="Calibri" w:cs="Calibri"/>
                <w:color w:val="000000"/>
                <w:sz w:val="16"/>
                <w:szCs w:val="16"/>
              </w:rPr>
            </w:pPr>
            <w:r w:rsidRPr="00D55D60">
              <w:rPr>
                <w:rFonts w:ascii="Calibri" w:hAnsi="Calibri" w:cs="Calibri"/>
                <w:color w:val="000000"/>
                <w:sz w:val="16"/>
                <w:szCs w:val="16"/>
              </w:rPr>
              <w:t xml:space="preserve">$     -   </w:t>
            </w:r>
          </w:p>
        </w:tc>
        <w:tc>
          <w:tcPr>
            <w:tcW w:w="413"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0C70C18F"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5CBE483D" w14:textId="77777777">
            <w:pPr>
              <w:autoSpaceDE/>
              <w:autoSpaceDN/>
              <w:adjustRightInd/>
              <w:jc w:val="center"/>
              <w:rPr>
                <w:rFonts w:ascii="Calibri" w:hAnsi="Calibri" w:cs="Calibri"/>
                <w:color w:val="000000" w:themeColor="text1"/>
                <w:sz w:val="16"/>
                <w:szCs w:val="16"/>
              </w:rPr>
            </w:pPr>
            <w:r w:rsidRPr="00D55D60">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55D60" w:rsidP="00B63E92" w14:paraId="0AE63C55" w14:textId="77777777">
            <w:pPr>
              <w:autoSpaceDE/>
              <w:autoSpaceDN/>
              <w:adjustRightInd/>
              <w:jc w:val="right"/>
              <w:rPr>
                <w:rFonts w:ascii="Calibri" w:hAnsi="Calibri" w:cs="Calibri"/>
                <w:color w:val="000000" w:themeColor="text1"/>
                <w:sz w:val="16"/>
                <w:szCs w:val="16"/>
              </w:rPr>
            </w:pPr>
            <w:r>
              <w:rPr>
                <w:rFonts w:ascii="Calibri" w:hAnsi="Calibri" w:cs="Calibri"/>
                <w:color w:val="000000" w:themeColor="text1"/>
                <w:sz w:val="16"/>
                <w:szCs w:val="16"/>
              </w:rPr>
              <w:t>793</w:t>
            </w:r>
          </w:p>
        </w:tc>
        <w:tc>
          <w:tcPr>
            <w:tcW w:w="369" w:type="pct"/>
            <w:tcBorders>
              <w:top w:val="single" w:sz="4" w:space="0" w:color="auto"/>
              <w:left w:val="nil"/>
              <w:bottom w:val="single" w:sz="8" w:space="0" w:color="auto"/>
              <w:right w:val="single" w:sz="8" w:space="0" w:color="auto"/>
            </w:tcBorders>
            <w:shd w:val="clear" w:color="auto" w:fill="auto"/>
            <w:vAlign w:val="center"/>
          </w:tcPr>
          <w:p w:rsidR="00A01705" w:rsidRPr="00D55D60" w:rsidP="00B63E92" w14:paraId="3DA53922" w14:textId="77777777">
            <w:pPr>
              <w:jc w:val="right"/>
              <w:rPr>
                <w:rFonts w:ascii="Calibri" w:hAnsi="Calibri" w:cs="Calibri"/>
                <w:color w:val="000000" w:themeColor="text1"/>
                <w:sz w:val="16"/>
                <w:szCs w:val="16"/>
              </w:rPr>
            </w:pPr>
            <w:r w:rsidRPr="00D55D60">
              <w:rPr>
                <w:rFonts w:ascii="Calibri" w:hAnsi="Calibri" w:cs="Calibri"/>
                <w:color w:val="000000" w:themeColor="text1"/>
                <w:sz w:val="16"/>
                <w:szCs w:val="16"/>
              </w:rPr>
              <w:t xml:space="preserve">$ 60,425 </w:t>
            </w:r>
          </w:p>
        </w:tc>
      </w:tr>
      <w:tr w14:paraId="31E28805" w14:textId="77777777" w:rsidTr="00B63E92">
        <w:tblPrEx>
          <w:tblW w:w="5000" w:type="pct"/>
          <w:tblLook w:val="04A0"/>
        </w:tblPrEx>
        <w:trPr>
          <w:trHeight w:val="20"/>
        </w:trPr>
        <w:tc>
          <w:tcPr>
            <w:tcW w:w="464" w:type="pct"/>
            <w:tcBorders>
              <w:top w:val="single" w:sz="4" w:space="0" w:color="auto"/>
              <w:left w:val="single" w:sz="8" w:space="0" w:color="auto"/>
              <w:bottom w:val="single" w:sz="4" w:space="0" w:color="auto"/>
              <w:right w:val="single" w:sz="8" w:space="0" w:color="auto"/>
            </w:tcBorders>
            <w:shd w:val="clear" w:color="auto" w:fill="auto"/>
            <w:vAlign w:val="center"/>
          </w:tcPr>
          <w:p w:rsidR="00A01705" w:rsidRPr="000A78B1" w:rsidP="00B63E92" w14:paraId="03315607" w14:textId="77777777">
            <w:pPr>
              <w:autoSpaceDE/>
              <w:autoSpaceDN/>
              <w:adjustRightInd/>
              <w:rPr>
                <w:rFonts w:ascii="Calibri" w:hAnsi="Calibri" w:cs="Calibri"/>
                <w:color w:val="000000"/>
                <w:sz w:val="16"/>
                <w:szCs w:val="16"/>
              </w:rPr>
            </w:pPr>
            <w:r w:rsidRPr="00D755A8">
              <w:rPr>
                <w:rFonts w:ascii="Calibri" w:hAnsi="Calibri" w:cs="Calibri"/>
                <w:color w:val="000000"/>
                <w:sz w:val="16"/>
                <w:szCs w:val="16"/>
              </w:rPr>
              <w:t>Total</w:t>
            </w:r>
          </w:p>
        </w:tc>
        <w:tc>
          <w:tcPr>
            <w:tcW w:w="325" w:type="pct"/>
            <w:tcBorders>
              <w:top w:val="nil"/>
              <w:left w:val="nil"/>
              <w:bottom w:val="single" w:sz="4" w:space="0" w:color="auto"/>
              <w:right w:val="single" w:sz="4" w:space="0" w:color="auto"/>
            </w:tcBorders>
            <w:shd w:val="clear" w:color="auto" w:fill="auto"/>
            <w:vAlign w:val="center"/>
          </w:tcPr>
          <w:p w:rsidR="00A01705" w:rsidRPr="000A78B1" w:rsidP="00B63E92" w14:paraId="16BE08A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10" w:type="pct"/>
            <w:tcBorders>
              <w:top w:val="nil"/>
              <w:left w:val="nil"/>
              <w:bottom w:val="single" w:sz="4" w:space="0" w:color="auto"/>
              <w:right w:val="single" w:sz="4" w:space="0" w:color="auto"/>
            </w:tcBorders>
            <w:shd w:val="clear" w:color="auto" w:fill="auto"/>
            <w:vAlign w:val="center"/>
          </w:tcPr>
          <w:p w:rsidR="00A01705" w:rsidRPr="000A78B1" w:rsidP="00B63E92" w14:paraId="135F0521"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A01705" w:rsidRPr="000A78B1" w:rsidP="00B63E92" w14:paraId="3F548347"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78" w:type="pct"/>
            <w:tcBorders>
              <w:top w:val="nil"/>
              <w:left w:val="nil"/>
              <w:bottom w:val="single" w:sz="4" w:space="0" w:color="auto"/>
              <w:right w:val="single" w:sz="4" w:space="0" w:color="auto"/>
            </w:tcBorders>
            <w:shd w:val="clear" w:color="auto" w:fill="auto"/>
            <w:vAlign w:val="center"/>
          </w:tcPr>
          <w:p w:rsidR="00A01705" w:rsidRPr="000A78B1" w:rsidP="00B63E92" w14:paraId="283D0ECA"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7" w:type="pct"/>
            <w:tcBorders>
              <w:top w:val="nil"/>
              <w:left w:val="nil"/>
              <w:bottom w:val="single" w:sz="4" w:space="0" w:color="auto"/>
              <w:right w:val="single" w:sz="4" w:space="0" w:color="auto"/>
            </w:tcBorders>
            <w:shd w:val="clear" w:color="auto" w:fill="auto"/>
            <w:vAlign w:val="center"/>
          </w:tcPr>
          <w:p w:rsidR="00A01705" w:rsidRPr="000A78B1" w:rsidP="00B63E92" w14:paraId="496D269C"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A01705" w:rsidRPr="000A78B1" w:rsidP="00B63E92" w14:paraId="7B6F1698"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241" w:type="pct"/>
            <w:tcBorders>
              <w:top w:val="nil"/>
              <w:left w:val="nil"/>
              <w:bottom w:val="single" w:sz="4" w:space="0" w:color="auto"/>
              <w:right w:val="single" w:sz="4" w:space="0" w:color="auto"/>
            </w:tcBorders>
            <w:shd w:val="clear" w:color="auto" w:fill="auto"/>
            <w:vAlign w:val="center"/>
          </w:tcPr>
          <w:p w:rsidR="00A01705" w:rsidRPr="000A78B1" w:rsidP="00B63E92" w14:paraId="6FC2C2F2" w14:textId="77777777">
            <w:pPr>
              <w:autoSpaceDE/>
              <w:autoSpaceDN/>
              <w:adjustRightInd/>
              <w:jc w:val="center"/>
              <w:rPr>
                <w:rFonts w:ascii="Calibri" w:hAnsi="Calibri" w:cs="Calibri"/>
                <w:color w:val="000000"/>
                <w:sz w:val="16"/>
                <w:szCs w:val="16"/>
              </w:rPr>
            </w:pPr>
            <w:r w:rsidRPr="4A715EC3">
              <w:rPr>
                <w:rFonts w:ascii="Calibri" w:hAnsi="Calibri" w:cs="Calibri"/>
                <w:color w:val="000000" w:themeColor="text1"/>
                <w:sz w:val="16"/>
                <w:szCs w:val="16"/>
              </w:rPr>
              <w:t>111</w:t>
            </w:r>
          </w:p>
        </w:tc>
        <w:tc>
          <w:tcPr>
            <w:tcW w:w="309" w:type="pct"/>
            <w:tcBorders>
              <w:top w:val="nil"/>
              <w:left w:val="nil"/>
              <w:bottom w:val="single" w:sz="4" w:space="0" w:color="auto"/>
              <w:right w:val="single" w:sz="4" w:space="0" w:color="auto"/>
            </w:tcBorders>
            <w:shd w:val="clear" w:color="auto" w:fill="auto"/>
            <w:vAlign w:val="center"/>
          </w:tcPr>
          <w:p w:rsidR="00A01705" w:rsidRPr="000A78B1" w:rsidP="00B63E92" w14:paraId="1DBDB654" w14:textId="77777777">
            <w:pPr>
              <w:autoSpaceDE/>
              <w:autoSpaceDN/>
              <w:adjustRightInd/>
              <w:rPr>
                <w:rFonts w:ascii="Calibri" w:hAnsi="Calibri" w:cs="Calibri"/>
                <w:color w:val="000000"/>
                <w:sz w:val="16"/>
                <w:szCs w:val="16"/>
              </w:rPr>
            </w:pPr>
            <w:r w:rsidRPr="4A715EC3">
              <w:rPr>
                <w:rFonts w:ascii="Calibri" w:hAnsi="Calibri" w:cs="Calibri"/>
                <w:color w:val="000000" w:themeColor="text1"/>
                <w:sz w:val="16"/>
                <w:szCs w:val="16"/>
              </w:rPr>
              <w:t>$10,023</w:t>
            </w:r>
          </w:p>
        </w:tc>
        <w:tc>
          <w:tcPr>
            <w:tcW w:w="275" w:type="pct"/>
            <w:tcBorders>
              <w:top w:val="nil"/>
              <w:left w:val="nil"/>
              <w:bottom w:val="single" w:sz="4" w:space="0" w:color="auto"/>
              <w:right w:val="single" w:sz="4" w:space="0" w:color="auto"/>
            </w:tcBorders>
            <w:shd w:val="clear" w:color="auto" w:fill="auto"/>
            <w:vAlign w:val="center"/>
          </w:tcPr>
          <w:p w:rsidR="00A01705" w:rsidRPr="000A78B1" w:rsidP="00B63E92" w14:paraId="1208641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$0</w:t>
            </w:r>
          </w:p>
        </w:tc>
        <w:tc>
          <w:tcPr>
            <w:tcW w:w="309" w:type="pct"/>
            <w:tcBorders>
              <w:top w:val="nil"/>
              <w:left w:val="nil"/>
              <w:bottom w:val="single" w:sz="4" w:space="0" w:color="auto"/>
              <w:right w:val="single" w:sz="8" w:space="0" w:color="auto"/>
            </w:tcBorders>
            <w:shd w:val="clear" w:color="auto" w:fill="auto"/>
            <w:vAlign w:val="center"/>
          </w:tcPr>
          <w:p w:rsidR="00A01705" w:rsidRPr="000A78B1" w:rsidP="00B63E92" w14:paraId="66F4D3AB" w14:textId="77777777">
            <w:pPr>
              <w:autoSpaceDE/>
              <w:autoSpaceDN/>
              <w:adjustRightInd/>
              <w:rPr>
                <w:rFonts w:ascii="Calibri" w:hAnsi="Calibri" w:cs="Calibri"/>
                <w:color w:val="000000"/>
                <w:sz w:val="16"/>
                <w:szCs w:val="16"/>
              </w:rPr>
            </w:pPr>
            <w:r w:rsidRPr="4A715EC3">
              <w:rPr>
                <w:rFonts w:ascii="Calibri" w:hAnsi="Calibri" w:cs="Calibri"/>
                <w:color w:val="000000" w:themeColor="text1"/>
                <w:sz w:val="16"/>
                <w:szCs w:val="16"/>
              </w:rPr>
              <w:t>$15,300</w:t>
            </w:r>
          </w:p>
        </w:tc>
        <w:tc>
          <w:tcPr>
            <w:tcW w:w="413" w:type="pct"/>
            <w:tcBorders>
              <w:top w:val="nil"/>
              <w:left w:val="nil"/>
              <w:bottom w:val="single" w:sz="4" w:space="0" w:color="auto"/>
              <w:right w:val="single" w:sz="4" w:space="0" w:color="auto"/>
            </w:tcBorders>
            <w:shd w:val="clear" w:color="auto" w:fill="auto"/>
            <w:vAlign w:val="center"/>
          </w:tcPr>
          <w:p w:rsidR="00A01705" w:rsidRPr="000A78B1" w:rsidP="00B63E92" w14:paraId="596936FD"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tcPr>
          <w:p w:rsidR="00A01705" w:rsidRPr="000A78B1" w:rsidP="00B63E92" w14:paraId="346F6905"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77</w:t>
            </w:r>
          </w:p>
        </w:tc>
        <w:tc>
          <w:tcPr>
            <w:tcW w:w="275" w:type="pct"/>
            <w:tcBorders>
              <w:top w:val="nil"/>
              <w:left w:val="nil"/>
              <w:bottom w:val="single" w:sz="4" w:space="0" w:color="auto"/>
              <w:right w:val="single" w:sz="4" w:space="0" w:color="auto"/>
            </w:tcBorders>
            <w:shd w:val="clear" w:color="auto" w:fill="auto"/>
            <w:vAlign w:val="center"/>
          </w:tcPr>
          <w:p w:rsidR="00A01705" w:rsidRPr="000A78B1" w:rsidP="00B63E92" w14:paraId="311CA7E1" w14:textId="77777777">
            <w:r w:rsidRPr="4A715EC3">
              <w:rPr>
                <w:rFonts w:ascii="Calibri" w:hAnsi="Calibri" w:cs="Calibri"/>
                <w:color w:val="000000" w:themeColor="text1"/>
                <w:sz w:val="16"/>
                <w:szCs w:val="16"/>
              </w:rPr>
              <w:t>7,411</w:t>
            </w:r>
          </w:p>
        </w:tc>
        <w:tc>
          <w:tcPr>
            <w:tcW w:w="369" w:type="pct"/>
            <w:tcBorders>
              <w:top w:val="nil"/>
              <w:left w:val="nil"/>
              <w:bottom w:val="single" w:sz="4" w:space="0" w:color="auto"/>
              <w:right w:val="single" w:sz="8" w:space="0" w:color="auto"/>
            </w:tcBorders>
            <w:shd w:val="clear" w:color="auto" w:fill="auto"/>
            <w:vAlign w:val="center"/>
          </w:tcPr>
          <w:p w:rsidR="00A01705" w:rsidRPr="000A78B1" w:rsidP="00B63E92" w14:paraId="33612C05" w14:textId="77777777">
            <w:pPr>
              <w:jc w:val="center"/>
            </w:pPr>
            <w:r w:rsidRPr="4A715EC3">
              <w:rPr>
                <w:rFonts w:ascii="Calibri" w:hAnsi="Calibri" w:cs="Calibri"/>
                <w:color w:val="000000" w:themeColor="text1"/>
                <w:sz w:val="16"/>
                <w:szCs w:val="16"/>
              </w:rPr>
              <w:t>$1,622,394</w:t>
            </w:r>
          </w:p>
        </w:tc>
      </w:tr>
      <w:tr w14:paraId="35BC62FB" w14:textId="77777777" w:rsidTr="00B63E92">
        <w:tblPrEx>
          <w:tblW w:w="5000" w:type="pct"/>
          <w:tblLook w:val="04A0"/>
        </w:tblPrEx>
        <w:trPr>
          <w:trHeight w:val="20"/>
        </w:trPr>
        <w:tc>
          <w:tcPr>
            <w:tcW w:w="5000" w:type="pct"/>
            <w:gridSpan w:val="15"/>
            <w:tcBorders>
              <w:top w:val="single" w:sz="4" w:space="0" w:color="auto"/>
              <w:bottom w:val="nil"/>
              <w:right w:val="nil"/>
            </w:tcBorders>
            <w:shd w:val="clear" w:color="auto" w:fill="auto"/>
            <w:vAlign w:val="center"/>
            <w:hideMark/>
          </w:tcPr>
          <w:p w:rsidR="00A01705" w:rsidP="00B63E92" w14:paraId="5A88F73D" w14:textId="77777777">
            <w:pPr>
              <w:autoSpaceDE/>
              <w:autoSpaceDN/>
              <w:adjustRightInd/>
              <w:rPr>
                <w:color w:val="000000"/>
                <w:sz w:val="16"/>
                <w:szCs w:val="16"/>
              </w:rPr>
            </w:pPr>
            <w:r w:rsidRPr="000A78B1">
              <w:rPr>
                <w:color w:val="000000"/>
                <w:sz w:val="16"/>
                <w:szCs w:val="16"/>
                <w:vertAlign w:val="superscript"/>
              </w:rPr>
              <w:t>1</w:t>
            </w:r>
            <w:r w:rsidRPr="000A78B1">
              <w:rPr>
                <w:color w:val="000000"/>
                <w:sz w:val="16"/>
                <w:szCs w:val="16"/>
              </w:rPr>
              <w:t>Estimated Responses per Respondent refers to the number of times a respondent performs each task per year. Generally, this refers to the number of applications in each category, which is often the number of engine families.  In this case, there are no reporting burdens apart from reviewing the regulations, which is a one-time activity for each manufacturer.</w:t>
            </w:r>
          </w:p>
          <w:p w:rsidR="00A01705" w:rsidRPr="000A78B1" w:rsidP="00B63E92" w14:paraId="5381CDAE" w14:textId="77777777">
            <w:pPr>
              <w:autoSpaceDE/>
              <w:autoSpaceDN/>
              <w:adjustRightInd/>
              <w:rPr>
                <w:color w:val="000000"/>
                <w:sz w:val="16"/>
                <w:szCs w:val="16"/>
              </w:rPr>
            </w:pPr>
          </w:p>
        </w:tc>
      </w:tr>
    </w:tbl>
    <w:p w:rsidR="00A01705" w:rsidP="00A01705" w14:paraId="172DF7B3" w14:textId="77777777">
      <w:pPr>
        <w:autoSpaceDE/>
        <w:autoSpaceDN/>
        <w:adjustRightInd/>
        <w:spacing w:after="160" w:line="259" w:lineRule="auto"/>
        <w:rPr>
          <w:b/>
          <w:bCs/>
        </w:rPr>
      </w:pPr>
    </w:p>
    <w:p w:rsidR="00A01705" w:rsidP="00A01705" w14:paraId="4413898A" w14:textId="78C400D5">
      <w:pPr>
        <w:pStyle w:val="ICR3"/>
        <w:jc w:val="center"/>
      </w:pPr>
      <w:r>
        <w:rPr>
          <w:b w:val="0"/>
          <w:bCs/>
        </w:rPr>
        <w:br w:type="page"/>
      </w:r>
      <w:r>
        <w:t xml:space="preserve">Attachment C:  </w:t>
      </w:r>
      <w:r w:rsidRPr="00A01705">
        <w:t>Revised Net Burden Remaining</w:t>
      </w:r>
      <w:r>
        <w:t xml:space="preserve"> </w:t>
      </w:r>
    </w:p>
    <w:p w:rsidR="00A01705" w:rsidRPr="006B054E" w:rsidP="00A01705" w14:paraId="3C905C2F" w14:textId="52F83F5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EPA </w:t>
      </w:r>
      <w:r w:rsidRPr="006B054E">
        <w:rPr>
          <w:rFonts w:ascii="Times New Roman" w:hAnsi="Times New Roman" w:cs="Times New Roman"/>
          <w:b/>
          <w:bCs/>
          <w:sz w:val="24"/>
          <w:szCs w:val="24"/>
        </w:rPr>
        <w:t>ICR 2734.0</w:t>
      </w:r>
      <w:r w:rsidR="00707AD2">
        <w:rPr>
          <w:rFonts w:ascii="Times New Roman" w:hAnsi="Times New Roman" w:cs="Times New Roman"/>
          <w:b/>
          <w:bCs/>
          <w:sz w:val="24"/>
          <w:szCs w:val="24"/>
        </w:rPr>
        <w:t>3</w:t>
      </w:r>
      <w:r w:rsidRPr="006B054E">
        <w:rPr>
          <w:rFonts w:ascii="Times New Roman" w:hAnsi="Times New Roman" w:cs="Times New Roman"/>
          <w:b/>
          <w:bCs/>
          <w:sz w:val="24"/>
          <w:szCs w:val="24"/>
        </w:rPr>
        <w:t>, OMB Control 2060-</w:t>
      </w:r>
      <w:r w:rsidR="00CD6FCC">
        <w:rPr>
          <w:rFonts w:ascii="Times New Roman" w:hAnsi="Times New Roman" w:cs="Times New Roman"/>
          <w:b/>
          <w:bCs/>
          <w:sz w:val="24"/>
          <w:szCs w:val="24"/>
        </w:rPr>
        <w:t>NEW</w:t>
      </w:r>
    </w:p>
    <w:p w:rsidR="00A01705" w:rsidP="00A01705" w14:paraId="092D43E1" w14:textId="77777777">
      <w:pPr>
        <w:autoSpaceDE/>
        <w:autoSpaceDN/>
        <w:adjustRightInd/>
        <w:spacing w:after="160" w:line="259" w:lineRule="auto"/>
        <w:rPr>
          <w:b/>
          <w:bCs/>
        </w:rPr>
      </w:pPr>
    </w:p>
    <w:tbl>
      <w:tblPr>
        <w:tblW w:w="5000" w:type="pct"/>
        <w:tblLook w:val="04A0"/>
      </w:tblPr>
      <w:tblGrid>
        <w:gridCol w:w="1227"/>
        <w:gridCol w:w="860"/>
        <w:gridCol w:w="820"/>
        <w:gridCol w:w="818"/>
        <w:gridCol w:w="1000"/>
        <w:gridCol w:w="813"/>
        <w:gridCol w:w="818"/>
        <w:gridCol w:w="638"/>
        <w:gridCol w:w="818"/>
        <w:gridCol w:w="728"/>
        <w:gridCol w:w="818"/>
        <w:gridCol w:w="1093"/>
        <w:gridCol w:w="1080"/>
        <w:gridCol w:w="728"/>
        <w:gridCol w:w="974"/>
      </w:tblGrid>
      <w:tr w14:paraId="5ACF21AE" w14:textId="77777777" w:rsidTr="00B63E92">
        <w:tblPrEx>
          <w:tblW w:w="5000" w:type="pct"/>
          <w:tblLook w:val="04A0"/>
        </w:tblPrEx>
        <w:trPr>
          <w:trHeight w:val="20"/>
        </w:trPr>
        <w:tc>
          <w:tcPr>
            <w:tcW w:w="46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2891C92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Information Collection Activity</w:t>
            </w:r>
          </w:p>
        </w:tc>
        <w:tc>
          <w:tcPr>
            <w:tcW w:w="3072" w:type="pct"/>
            <w:gridSpan w:val="10"/>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hideMark/>
          </w:tcPr>
          <w:p w:rsidR="00A01705" w:rsidRPr="00347E68" w:rsidP="00B63E92" w14:paraId="7BDFDD9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Burden and Cost Per Application</w:t>
            </w:r>
          </w:p>
        </w:tc>
        <w:tc>
          <w:tcPr>
            <w:tcW w:w="1464" w:type="pct"/>
            <w:gridSpan w:val="4"/>
            <w:tcBorders>
              <w:top w:val="single" w:sz="4" w:space="0" w:color="auto"/>
              <w:left w:val="nil"/>
              <w:bottom w:val="nil"/>
              <w:right w:val="single" w:sz="8" w:space="0" w:color="000000" w:themeColor="text1"/>
            </w:tcBorders>
            <w:shd w:val="clear" w:color="auto" w:fill="D9E2F3" w:themeFill="accent1" w:themeFillTint="33"/>
            <w:hideMark/>
          </w:tcPr>
          <w:p w:rsidR="00A01705" w:rsidRPr="00347E68" w:rsidP="00B63E92" w14:paraId="56461CE3"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Burden and Cost</w:t>
            </w:r>
          </w:p>
        </w:tc>
      </w:tr>
      <w:tr w14:paraId="0002DDCB" w14:textId="77777777" w:rsidTr="00A01705">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D9E2F3" w:themeFill="accent1" w:themeFillTint="33"/>
            <w:vAlign w:val="center"/>
            <w:hideMark/>
          </w:tcPr>
          <w:p w:rsidR="00A01705" w:rsidRPr="00347E68" w:rsidP="00B63E92" w14:paraId="574BFBA8" w14:textId="77777777">
            <w:pPr>
              <w:autoSpaceDE/>
              <w:autoSpaceDN/>
              <w:adjustRightInd/>
              <w:rPr>
                <w:rFonts w:ascii="Calibri" w:hAnsi="Calibri" w:cs="Calibri"/>
                <w:b/>
                <w:bCs/>
                <w:color w:val="000000"/>
                <w:sz w:val="16"/>
                <w:szCs w:val="16"/>
              </w:rPr>
            </w:pPr>
          </w:p>
        </w:tc>
        <w:tc>
          <w:tcPr>
            <w:tcW w:w="325" w:type="pct"/>
            <w:tcBorders>
              <w:top w:val="nil"/>
              <w:left w:val="single" w:sz="4" w:space="0" w:color="auto"/>
              <w:bottom w:val="single" w:sz="4" w:space="0" w:color="auto"/>
              <w:right w:val="single" w:sz="4" w:space="0" w:color="auto"/>
            </w:tcBorders>
            <w:shd w:val="clear" w:color="auto" w:fill="D9E2F3" w:themeFill="accent1" w:themeFillTint="33"/>
            <w:vAlign w:val="bottom"/>
            <w:hideMark/>
          </w:tcPr>
          <w:p w:rsidR="00A01705" w:rsidRPr="00347E68" w:rsidP="00B63E92" w14:paraId="19024801"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Engineer hourly rate</w:t>
            </w:r>
          </w:p>
        </w:tc>
        <w:tc>
          <w:tcPr>
            <w:tcW w:w="310"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07911E64"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Manager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65479581"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Legal hourly rate</w:t>
            </w:r>
          </w:p>
        </w:tc>
        <w:tc>
          <w:tcPr>
            <w:tcW w:w="378"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063F5207"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Mechanical Engineer Technical hourly rate</w:t>
            </w:r>
          </w:p>
        </w:tc>
        <w:tc>
          <w:tcPr>
            <w:tcW w:w="307"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463A9A0E"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IT Analysts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A01705" w:rsidRPr="00347E68" w:rsidP="00B63E92" w14:paraId="5134D7D0"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Clerical hourly rate</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73482066"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Hours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310FE117"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Labor Costs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493B08E5"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Capital Startup Costs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78D1155A"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O&amp;M Cost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082D0793"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Frequency</w:t>
            </w:r>
            <w:r w:rsidRPr="00347E68">
              <w:rPr>
                <w:rFonts w:ascii="Calibri" w:hAnsi="Calibri" w:cs="Calibri"/>
                <w:b/>
                <w:bCs/>
                <w:color w:val="000000"/>
                <w:sz w:val="16"/>
                <w:szCs w:val="16"/>
                <w:vertAlign w:val="superscript"/>
              </w:rPr>
              <w:t>1</w:t>
            </w:r>
            <w:r w:rsidRPr="00347E68">
              <w:rPr>
                <w:rFonts w:ascii="Calibri" w:hAnsi="Calibri" w:cs="Calibri"/>
                <w:b/>
                <w:bCs/>
                <w:color w:val="000000"/>
                <w:sz w:val="16"/>
                <w:szCs w:val="16"/>
              </w:rPr>
              <w:t xml:space="preserve"> (Estimated Responses per Respondent)</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428838D7"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Number of Respondents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7EF970E9"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Hours</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A01705" w:rsidRPr="00347E68" w:rsidP="00B63E92" w14:paraId="426D8E8F" w14:textId="77777777">
            <w:pPr>
              <w:autoSpaceDE/>
              <w:autoSpaceDN/>
              <w:adjustRightInd/>
              <w:jc w:val="center"/>
              <w:rPr>
                <w:rFonts w:ascii="Calibri" w:hAnsi="Calibri" w:cs="Calibri"/>
                <w:b/>
                <w:bCs/>
                <w:color w:val="000000"/>
                <w:sz w:val="16"/>
                <w:szCs w:val="16"/>
              </w:rPr>
            </w:pPr>
            <w:r w:rsidRPr="00347E68">
              <w:rPr>
                <w:rFonts w:ascii="Calibri" w:hAnsi="Calibri" w:cs="Calibri"/>
                <w:b/>
                <w:bCs/>
                <w:color w:val="000000"/>
                <w:sz w:val="16"/>
                <w:szCs w:val="16"/>
              </w:rPr>
              <w:t>Total Costs</w:t>
            </w:r>
          </w:p>
        </w:tc>
      </w:tr>
      <w:tr w14:paraId="1B7BE284" w14:textId="77777777" w:rsidTr="00A01705">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B4C6E7" w:themeFill="accent1" w:themeFillTint="66"/>
            <w:vAlign w:val="center"/>
            <w:hideMark/>
          </w:tcPr>
          <w:p w:rsidR="00A01705" w:rsidRPr="000A78B1" w:rsidP="00B63E92" w14:paraId="0903600F" w14:textId="77777777">
            <w:pPr>
              <w:autoSpaceDE/>
              <w:autoSpaceDN/>
              <w:adjustRightInd/>
              <w:rPr>
                <w:rFonts w:ascii="Calibri" w:hAnsi="Calibri" w:cs="Calibri"/>
                <w:color w:val="000000"/>
                <w:sz w:val="16"/>
                <w:szCs w:val="16"/>
              </w:rPr>
            </w:pPr>
          </w:p>
        </w:tc>
        <w:tc>
          <w:tcPr>
            <w:tcW w:w="325" w:type="pct"/>
            <w:tcBorders>
              <w:top w:val="nil"/>
              <w:left w:val="single" w:sz="4" w:space="0" w:color="auto"/>
              <w:bottom w:val="single" w:sz="8" w:space="0" w:color="auto"/>
              <w:right w:val="single" w:sz="4" w:space="0" w:color="auto"/>
            </w:tcBorders>
            <w:shd w:val="clear" w:color="auto" w:fill="D9E2F3" w:themeFill="accent1" w:themeFillTint="33"/>
            <w:hideMark/>
          </w:tcPr>
          <w:p w:rsidR="00A01705" w:rsidRPr="000A78B1" w:rsidP="00B63E92" w14:paraId="6188D27A"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$94.86</w:t>
            </w:r>
          </w:p>
        </w:tc>
        <w:tc>
          <w:tcPr>
            <w:tcW w:w="310"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58FF6E61"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$152.31</w:t>
            </w:r>
          </w:p>
        </w:tc>
        <w:tc>
          <w:tcPr>
            <w:tcW w:w="309"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5A3A5AB9"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$180.08</w:t>
            </w:r>
          </w:p>
        </w:tc>
        <w:tc>
          <w:tcPr>
            <w:tcW w:w="378"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0BB76319"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$66.80</w:t>
            </w:r>
          </w:p>
        </w:tc>
        <w:tc>
          <w:tcPr>
            <w:tcW w:w="307"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15615B2D"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$91.94</w:t>
            </w:r>
          </w:p>
        </w:tc>
        <w:tc>
          <w:tcPr>
            <w:tcW w:w="309" w:type="pct"/>
            <w:tcBorders>
              <w:top w:val="nil"/>
              <w:left w:val="nil"/>
              <w:bottom w:val="single" w:sz="8" w:space="0" w:color="auto"/>
              <w:right w:val="single" w:sz="4" w:space="0" w:color="auto"/>
            </w:tcBorders>
            <w:shd w:val="clear" w:color="auto" w:fill="D9E2F3" w:themeFill="accent1" w:themeFillTint="33"/>
            <w:hideMark/>
          </w:tcPr>
          <w:p w:rsidR="00A01705" w:rsidRPr="000A78B1" w:rsidP="00B63E92" w14:paraId="52F37D73" w14:textId="77777777">
            <w:pPr>
              <w:autoSpaceDE/>
              <w:autoSpaceDN/>
              <w:adjustRightInd/>
              <w:jc w:val="center"/>
              <w:rPr>
                <w:rFonts w:ascii="Calibri" w:hAnsi="Calibri" w:cs="Calibri"/>
                <w:color w:val="000000"/>
                <w:sz w:val="14"/>
                <w:szCs w:val="14"/>
              </w:rPr>
            </w:pPr>
            <w:r w:rsidRPr="000A78B1">
              <w:rPr>
                <w:rFonts w:ascii="Calibri" w:hAnsi="Calibri" w:cs="Calibri"/>
                <w:color w:val="000000"/>
                <w:sz w:val="14"/>
                <w:szCs w:val="14"/>
              </w:rPr>
              <w:t>$45.86</w:t>
            </w:r>
          </w:p>
        </w:tc>
        <w:tc>
          <w:tcPr>
            <w:tcW w:w="241" w:type="pct"/>
            <w:vMerge/>
            <w:tcBorders>
              <w:top w:val="single" w:sz="4" w:space="0" w:color="auto"/>
              <w:bottom w:val="single" w:sz="4" w:space="0" w:color="auto"/>
              <w:right w:val="single" w:sz="4" w:space="0" w:color="auto"/>
            </w:tcBorders>
            <w:vAlign w:val="center"/>
            <w:hideMark/>
          </w:tcPr>
          <w:p w:rsidR="00A01705" w:rsidRPr="000A78B1" w:rsidP="00B63E92" w14:paraId="62209624"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172CDC77"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2F127E99" w14:textId="77777777">
            <w:pPr>
              <w:autoSpaceDE/>
              <w:autoSpaceDN/>
              <w:adjustRightInd/>
              <w:rPr>
                <w:rFonts w:ascii="Calibri" w:hAnsi="Calibri" w:cs="Calibr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738F845A" w14:textId="77777777">
            <w:pPr>
              <w:autoSpaceDE/>
              <w:autoSpaceDN/>
              <w:adjustRightInd/>
              <w:rPr>
                <w:rFonts w:ascii="Calibri" w:hAnsi="Calibri" w:cs="Calibri"/>
                <w:color w:val="000000"/>
                <w:sz w:val="16"/>
                <w:szCs w:val="16"/>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63D5698E" w14:textId="77777777">
            <w:pPr>
              <w:autoSpaceDE/>
              <w:autoSpaceDN/>
              <w:adjustRightInd/>
              <w:rPr>
                <w:rFonts w:ascii="Calibri" w:hAnsi="Calibri" w:cs="Calibri"/>
                <w:color w:val="000000"/>
                <w:sz w:val="16"/>
                <w:szCs w:val="16"/>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0D3F45FB" w14:textId="77777777">
            <w:pPr>
              <w:autoSpaceDE/>
              <w:autoSpaceDN/>
              <w:adjustRightInd/>
              <w:rPr>
                <w:rFonts w:ascii="Calibri" w:hAnsi="Calibri" w:cs="Calibr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4F6C560B" w14:textId="77777777">
            <w:pPr>
              <w:autoSpaceDE/>
              <w:autoSpaceDN/>
              <w:adjustRightInd/>
              <w:rPr>
                <w:rFonts w:ascii="Calibri" w:hAnsi="Calibri" w:cs="Calibri"/>
                <w:color w:val="000000"/>
                <w:sz w:val="16"/>
                <w:szCs w:val="16"/>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A01705" w:rsidRPr="000A78B1" w:rsidP="00B63E92" w14:paraId="0A2DD61E" w14:textId="77777777">
            <w:pPr>
              <w:autoSpaceDE/>
              <w:autoSpaceDN/>
              <w:adjustRightInd/>
              <w:rPr>
                <w:rFonts w:ascii="Calibri" w:hAnsi="Calibri" w:cs="Calibri"/>
                <w:color w:val="000000"/>
                <w:sz w:val="16"/>
                <w:szCs w:val="16"/>
              </w:rPr>
            </w:pPr>
          </w:p>
        </w:tc>
      </w:tr>
      <w:tr w14:paraId="06BC5492" w14:textId="77777777" w:rsidTr="00A01705">
        <w:tblPrEx>
          <w:tblW w:w="5000" w:type="pct"/>
          <w:tblLook w:val="04A0"/>
        </w:tblPrEx>
        <w:trPr>
          <w:trHeight w:val="20"/>
        </w:trPr>
        <w:tc>
          <w:tcPr>
            <w:tcW w:w="464" w:type="pct"/>
            <w:tcBorders>
              <w:top w:val="single" w:sz="4" w:space="0" w:color="auto"/>
              <w:left w:val="single" w:sz="8" w:space="0" w:color="auto"/>
              <w:bottom w:val="single" w:sz="8" w:space="0" w:color="auto"/>
              <w:right w:val="single" w:sz="8" w:space="0" w:color="auto"/>
            </w:tcBorders>
            <w:shd w:val="clear" w:color="auto" w:fill="auto"/>
            <w:hideMark/>
          </w:tcPr>
          <w:p w:rsidR="00A01705" w:rsidRPr="000A78B1" w:rsidP="00A01705" w14:paraId="7AAD9C78" w14:textId="77777777">
            <w:pPr>
              <w:autoSpaceDE/>
              <w:autoSpaceDN/>
              <w:adjustRightInd/>
              <w:rPr>
                <w:rFonts w:ascii="Calibri" w:hAnsi="Calibri" w:cs="Calibri"/>
                <w:color w:val="000000"/>
                <w:sz w:val="16"/>
                <w:szCs w:val="16"/>
              </w:rPr>
            </w:pPr>
            <w:r w:rsidRPr="000A78B1">
              <w:rPr>
                <w:rFonts w:ascii="Calibri" w:hAnsi="Calibri" w:cs="Calibri"/>
                <w:color w:val="000000"/>
                <w:sz w:val="16"/>
                <w:szCs w:val="16"/>
              </w:rPr>
              <w:t xml:space="preserve">HD engine manufacturers:  review of new regulations, general </w:t>
            </w:r>
            <w:r>
              <w:rPr>
                <w:rFonts w:ascii="Calibri" w:hAnsi="Calibri" w:cs="Calibri"/>
                <w:color w:val="000000"/>
                <w:sz w:val="16"/>
                <w:szCs w:val="16"/>
              </w:rPr>
              <w:t xml:space="preserve">reporting </w:t>
            </w:r>
            <w:r w:rsidRPr="000A78B1">
              <w:rPr>
                <w:rFonts w:ascii="Calibri" w:hAnsi="Calibri" w:cs="Calibri"/>
                <w:color w:val="000000"/>
                <w:sz w:val="16"/>
                <w:szCs w:val="16"/>
              </w:rPr>
              <w:t>system changes</w:t>
            </w:r>
          </w:p>
        </w:tc>
        <w:tc>
          <w:tcPr>
            <w:tcW w:w="325" w:type="pct"/>
            <w:tcBorders>
              <w:top w:val="nil"/>
              <w:left w:val="nil"/>
              <w:bottom w:val="single" w:sz="8" w:space="0" w:color="auto"/>
              <w:right w:val="single" w:sz="4" w:space="0" w:color="auto"/>
            </w:tcBorders>
            <w:shd w:val="clear" w:color="auto" w:fill="auto"/>
            <w:vAlign w:val="center"/>
          </w:tcPr>
          <w:p w:rsidR="00A01705" w:rsidRPr="000A78B1" w:rsidP="00A01705" w14:paraId="7158A279" w14:textId="730536DA">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10" w:type="pct"/>
            <w:tcBorders>
              <w:top w:val="nil"/>
              <w:left w:val="nil"/>
              <w:bottom w:val="single" w:sz="8" w:space="0" w:color="auto"/>
              <w:right w:val="single" w:sz="4" w:space="0" w:color="auto"/>
            </w:tcBorders>
            <w:shd w:val="clear" w:color="auto" w:fill="auto"/>
            <w:vAlign w:val="center"/>
          </w:tcPr>
          <w:p w:rsidR="00A01705" w:rsidRPr="000A78B1" w:rsidP="00A01705" w14:paraId="705DF7F6" w14:textId="04C9496D">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nil"/>
              <w:left w:val="nil"/>
              <w:bottom w:val="single" w:sz="8" w:space="0" w:color="auto"/>
              <w:right w:val="single" w:sz="4" w:space="0" w:color="auto"/>
            </w:tcBorders>
            <w:shd w:val="clear" w:color="auto" w:fill="auto"/>
            <w:vAlign w:val="center"/>
          </w:tcPr>
          <w:p w:rsidR="00A01705" w:rsidRPr="000A78B1" w:rsidP="00A01705" w14:paraId="5FFE89E2" w14:textId="5916D8F2">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78" w:type="pct"/>
            <w:tcBorders>
              <w:top w:val="nil"/>
              <w:left w:val="nil"/>
              <w:bottom w:val="single" w:sz="8" w:space="0" w:color="auto"/>
              <w:right w:val="single" w:sz="4" w:space="0" w:color="auto"/>
            </w:tcBorders>
            <w:shd w:val="clear" w:color="auto" w:fill="auto"/>
            <w:vAlign w:val="center"/>
          </w:tcPr>
          <w:p w:rsidR="00A01705" w:rsidRPr="000A78B1" w:rsidP="00A01705" w14:paraId="42FC8422" w14:textId="6CBF34B8">
            <w:pPr>
              <w:jc w:val="center"/>
            </w:pPr>
            <w:r w:rsidRPr="00A01705">
              <w:rPr>
                <w:rFonts w:ascii="Calibri" w:hAnsi="Calibri" w:cs="Calibri"/>
                <w:color w:val="000000"/>
                <w:sz w:val="16"/>
                <w:szCs w:val="16"/>
              </w:rPr>
              <w:t>0</w:t>
            </w:r>
          </w:p>
        </w:tc>
        <w:tc>
          <w:tcPr>
            <w:tcW w:w="307" w:type="pct"/>
            <w:tcBorders>
              <w:top w:val="nil"/>
              <w:left w:val="nil"/>
              <w:bottom w:val="single" w:sz="8" w:space="0" w:color="auto"/>
              <w:right w:val="single" w:sz="4" w:space="0" w:color="auto"/>
            </w:tcBorders>
            <w:shd w:val="clear" w:color="auto" w:fill="auto"/>
            <w:vAlign w:val="center"/>
          </w:tcPr>
          <w:p w:rsidR="00A01705" w:rsidRPr="000A78B1" w:rsidP="00A01705" w14:paraId="6C65EECE" w14:textId="20B61826">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nil"/>
              <w:left w:val="nil"/>
              <w:bottom w:val="single" w:sz="8" w:space="0" w:color="auto"/>
              <w:right w:val="single" w:sz="4" w:space="0" w:color="auto"/>
            </w:tcBorders>
            <w:shd w:val="clear" w:color="auto" w:fill="auto"/>
            <w:vAlign w:val="center"/>
          </w:tcPr>
          <w:p w:rsidR="00A01705" w:rsidRPr="000A78B1" w:rsidP="00A01705" w14:paraId="1D87489A" w14:textId="21F9C35C">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tcPr>
          <w:p w:rsidR="00A01705" w:rsidRPr="000A78B1" w:rsidP="00A01705" w14:paraId="69F907D8" w14:textId="582F8EB4">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0A78B1" w:rsidP="00A01705" w14:paraId="11AEE9C0" w14:textId="0ACA6119">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0A78B1" w:rsidP="00A01705" w14:paraId="7E4A1D06" w14:textId="645204CB">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A01705" w:rsidRPr="000A78B1" w:rsidP="00A01705" w14:paraId="7C486ACF" w14:textId="01A2E079">
            <w:pPr>
              <w:jc w:val="center"/>
            </w:pPr>
            <w:r>
              <w:rPr>
                <w:rFonts w:ascii="Calibri" w:hAnsi="Calibri" w:cs="Calibri"/>
                <w:color w:val="000000"/>
                <w:sz w:val="16"/>
                <w:szCs w:val="16"/>
              </w:rPr>
              <w:t>$0</w:t>
            </w:r>
          </w:p>
        </w:tc>
        <w:tc>
          <w:tcPr>
            <w:tcW w:w="413"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A01705" w14:paraId="01367C51"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hideMark/>
          </w:tcPr>
          <w:p w:rsidR="00A01705" w:rsidRPr="000A78B1" w:rsidP="00A01705" w14:paraId="224BDF4F" w14:textId="77777777">
            <w:pPr>
              <w:autoSpaceDE/>
              <w:autoSpaceDN/>
              <w:adjustRightInd/>
              <w:jc w:val="center"/>
              <w:rPr>
                <w:rFonts w:ascii="Calibri" w:hAnsi="Calibri" w:cs="Calibri"/>
                <w:color w:val="000000"/>
                <w:sz w:val="16"/>
                <w:szCs w:val="16"/>
              </w:rPr>
            </w:pPr>
            <w:r w:rsidRPr="000A78B1">
              <w:rPr>
                <w:rFonts w:ascii="Calibri" w:hAnsi="Calibri" w:cs="Calibri"/>
                <w:color w:val="000000"/>
                <w:sz w:val="16"/>
                <w:szCs w:val="16"/>
              </w:rPr>
              <w:t>77</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A01705" w:rsidP="00A01705" w14:paraId="53C28FCC" w14:textId="1C338976">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68" w:type="pct"/>
            <w:tcBorders>
              <w:top w:val="single" w:sz="4" w:space="0" w:color="auto"/>
              <w:left w:val="nil"/>
              <w:bottom w:val="single" w:sz="8" w:space="0" w:color="auto"/>
              <w:right w:val="single" w:sz="8" w:space="0" w:color="auto"/>
            </w:tcBorders>
            <w:shd w:val="clear" w:color="auto" w:fill="auto"/>
            <w:vAlign w:val="center"/>
          </w:tcPr>
          <w:p w:rsidR="00A01705" w:rsidRPr="000A78B1" w:rsidP="00A01705" w14:paraId="6A136FFE" w14:textId="705B835B">
            <w:pPr>
              <w:jc w:val="center"/>
            </w:pPr>
            <w:r>
              <w:rPr>
                <w:rFonts w:ascii="Calibri" w:hAnsi="Calibri" w:cs="Calibri"/>
                <w:color w:val="000000"/>
                <w:sz w:val="16"/>
                <w:szCs w:val="16"/>
              </w:rPr>
              <w:t>$0</w:t>
            </w:r>
          </w:p>
        </w:tc>
      </w:tr>
      <w:tr w14:paraId="235C6A86" w14:textId="77777777" w:rsidTr="00A01705">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A01705" w:rsidRPr="00D755A8" w:rsidP="00A01705" w14:paraId="02050ABB" w14:textId="77777777">
            <w:pPr>
              <w:autoSpaceDE/>
              <w:autoSpaceDN/>
              <w:adjustRightInd/>
              <w:rPr>
                <w:rFonts w:ascii="Calibri" w:hAnsi="Calibri" w:cs="Calibri"/>
                <w:color w:val="000000"/>
                <w:sz w:val="16"/>
                <w:szCs w:val="16"/>
              </w:rPr>
            </w:pPr>
            <w:r w:rsidRPr="119C225E">
              <w:rPr>
                <w:rFonts w:ascii="Calibri" w:hAnsi="Calibri" w:cs="Calibri"/>
                <w:color w:val="000000" w:themeColor="text1"/>
                <w:sz w:val="16"/>
                <w:szCs w:val="16"/>
              </w:rPr>
              <w:t xml:space="preserve">EV vehicle battery health monitor and </w:t>
            </w:r>
            <w:r w:rsidRPr="119C225E">
              <w:rPr>
                <w:rFonts w:ascii="Calibri" w:hAnsi="Calibri" w:cs="Calibri"/>
                <w:color w:val="000000" w:themeColor="text1"/>
                <w:sz w:val="16"/>
                <w:szCs w:val="16"/>
              </w:rPr>
              <w:t>owners</w:t>
            </w:r>
            <w:r w:rsidRPr="119C225E">
              <w:rPr>
                <w:rFonts w:ascii="Calibri" w:hAnsi="Calibri" w:cs="Calibri"/>
                <w:color w:val="000000" w:themeColor="text1"/>
                <w:sz w:val="16"/>
                <w:szCs w:val="16"/>
              </w:rPr>
              <w:t xml:space="preserve"> man. update</w:t>
            </w:r>
          </w:p>
        </w:tc>
        <w:tc>
          <w:tcPr>
            <w:tcW w:w="325"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1679696C" w14:textId="2A163D1C">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10"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4ACE24A2" w14:textId="3912926C">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616047DF" w14:textId="5C8D99B9">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78"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45B21ADD" w14:textId="7E566C2E">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7"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5CBD7CDB" w14:textId="04C92E98">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6C6BBEF7" w14:textId="05C85B18">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7C89E8A9" w14:textId="338285B4">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51AFA0FE" w14:textId="10FBA094">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59C00504" w14:textId="398EDB14">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A01705" w:rsidRPr="00D755A8" w:rsidP="00A01705" w14:paraId="368D5501" w14:textId="608A265F">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413"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6702C614"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7075C860" w14:textId="77777777">
            <w:pPr>
              <w:autoSpaceDE/>
              <w:autoSpaceDN/>
              <w:adjustRightInd/>
              <w:jc w:val="center"/>
              <w:rPr>
                <w:rFonts w:ascii="Calibri" w:hAnsi="Calibri" w:cs="Calibri"/>
                <w:color w:val="000000"/>
                <w:sz w:val="16"/>
                <w:szCs w:val="16"/>
              </w:rPr>
            </w:pPr>
            <w:r w:rsidRPr="119C225E">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755A8" w:rsidP="00A01705" w14:paraId="71950647" w14:textId="7EE0B898">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68" w:type="pct"/>
            <w:tcBorders>
              <w:top w:val="single" w:sz="4" w:space="0" w:color="auto"/>
              <w:left w:val="nil"/>
              <w:bottom w:val="single" w:sz="8" w:space="0" w:color="auto"/>
              <w:right w:val="single" w:sz="8" w:space="0" w:color="auto"/>
            </w:tcBorders>
            <w:shd w:val="clear" w:color="auto" w:fill="auto"/>
            <w:vAlign w:val="center"/>
          </w:tcPr>
          <w:p w:rsidR="00A01705" w:rsidRPr="00D755A8" w:rsidP="00A01705" w14:paraId="7D1ED849" w14:textId="01CB1BFE">
            <w:pPr>
              <w:jc w:val="center"/>
              <w:rPr>
                <w:rFonts w:ascii="Calibri" w:eastAsia="Calibri" w:hAnsi="Calibri" w:cs="Calibri"/>
                <w:sz w:val="16"/>
                <w:szCs w:val="16"/>
              </w:rPr>
            </w:pPr>
            <w:r>
              <w:rPr>
                <w:rFonts w:ascii="Calibri" w:hAnsi="Calibri" w:cs="Calibri"/>
                <w:color w:val="000000"/>
                <w:sz w:val="16"/>
                <w:szCs w:val="16"/>
              </w:rPr>
              <w:t>$0</w:t>
            </w:r>
          </w:p>
        </w:tc>
      </w:tr>
      <w:tr w14:paraId="4691C224" w14:textId="77777777" w:rsidTr="00A01705">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A01705" w:rsidRPr="00D55D60" w:rsidP="00A01705" w14:paraId="2B6F4FDA" w14:textId="77777777">
            <w:pPr>
              <w:autoSpaceDE/>
              <w:autoSpaceDN/>
              <w:adjustRightInd/>
              <w:rPr>
                <w:rFonts w:ascii="Calibri" w:hAnsi="Calibri" w:cs="Calibri"/>
                <w:color w:val="000000" w:themeColor="text1"/>
                <w:sz w:val="16"/>
                <w:szCs w:val="16"/>
              </w:rPr>
            </w:pPr>
            <w:r w:rsidRPr="00D55D60">
              <w:rPr>
                <w:rFonts w:ascii="Calibri" w:hAnsi="Calibri" w:cs="Calibri"/>
                <w:color w:val="000000" w:themeColor="text1"/>
                <w:sz w:val="16"/>
                <w:szCs w:val="16"/>
              </w:rPr>
              <w:t xml:space="preserve">EV manufacturers only - report warranty periods pursuant to new regulatory requirement and update </w:t>
            </w:r>
            <w:r w:rsidRPr="00D55D60">
              <w:rPr>
                <w:rFonts w:ascii="Calibri" w:hAnsi="Calibri" w:cs="Calibri"/>
                <w:color w:val="000000" w:themeColor="text1"/>
                <w:sz w:val="16"/>
                <w:szCs w:val="16"/>
              </w:rPr>
              <w:t>owners</w:t>
            </w:r>
            <w:r w:rsidRPr="00D55D60">
              <w:rPr>
                <w:rFonts w:ascii="Calibri" w:hAnsi="Calibri" w:cs="Calibri"/>
                <w:color w:val="000000" w:themeColor="text1"/>
                <w:sz w:val="16"/>
                <w:szCs w:val="16"/>
              </w:rPr>
              <w:t xml:space="preserve"> manual to show regulatory warranty periods</w:t>
            </w:r>
          </w:p>
        </w:tc>
        <w:tc>
          <w:tcPr>
            <w:tcW w:w="325"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6857285F" w14:textId="32333503">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10"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72B4BDF8" w14:textId="1887F913">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1AE8BDCB" w14:textId="3F4F37EE">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78"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6DC5E165" w14:textId="54810BEF">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7"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5B64D8ED" w14:textId="350D26F4">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46E2D20A" w14:textId="725B63CF">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06A0B097" w14:textId="31501CF6">
            <w:pPr>
              <w:autoSpaceDE/>
              <w:autoSpaceDN/>
              <w:adjustRightInd/>
              <w:jc w:val="center"/>
              <w:rPr>
                <w:rFonts w:ascii="Calibri" w:hAnsi="Calibri" w:cs="Calibri"/>
                <w:color w:val="000000"/>
                <w:sz w:val="16"/>
                <w:szCs w:val="16"/>
              </w:rPr>
            </w:pPr>
            <w:r w:rsidRPr="00A01705">
              <w:rPr>
                <w:rFonts w:ascii="Calibri" w:hAnsi="Calibri" w:cs="Calibr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5DA333FF" w14:textId="204BF7FD">
            <w:pPr>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590E9EBE" w14:textId="3877675B">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A01705" w:rsidRPr="00D55D60" w:rsidP="00A01705" w14:paraId="20ECC873" w14:textId="2EEEEEFE">
            <w:pPr>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413"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36D2AD0F" w14:textId="77777777">
            <w:pPr>
              <w:autoSpaceDE/>
              <w:autoSpaceDN/>
              <w:adjustRightInd/>
              <w:jc w:val="center"/>
              <w:rPr>
                <w:rFonts w:ascii="Calibri" w:hAnsi="Calibri" w:cs="Calibri"/>
                <w:color w:val="000000"/>
                <w:sz w:val="16"/>
                <w:szCs w:val="16"/>
              </w:rPr>
            </w:pPr>
            <w:r w:rsidRPr="00D55D60">
              <w:rPr>
                <w:rFonts w:ascii="Calibri" w:hAnsi="Calibri" w:cs="Calibr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4B45E4A7" w14:textId="77777777">
            <w:pPr>
              <w:autoSpaceDE/>
              <w:autoSpaceDN/>
              <w:adjustRightInd/>
              <w:jc w:val="center"/>
              <w:rPr>
                <w:rFonts w:ascii="Calibri" w:hAnsi="Calibri" w:cs="Calibri"/>
                <w:color w:val="000000" w:themeColor="text1"/>
                <w:sz w:val="16"/>
                <w:szCs w:val="16"/>
              </w:rPr>
            </w:pPr>
            <w:r w:rsidRPr="00D55D60">
              <w:rPr>
                <w:rFonts w:ascii="Calibri" w:hAnsi="Calibri" w:cs="Calibr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A01705" w:rsidRPr="00D55D60" w:rsidP="00A01705" w14:paraId="5361AA17" w14:textId="0E16A21F">
            <w:pPr>
              <w:autoSpaceDE/>
              <w:autoSpaceDN/>
              <w:adjustRightInd/>
              <w:jc w:val="center"/>
              <w:rPr>
                <w:rFonts w:ascii="Calibri" w:hAnsi="Calibri" w:cs="Calibri"/>
                <w:color w:val="000000" w:themeColor="text1"/>
                <w:sz w:val="16"/>
                <w:szCs w:val="16"/>
              </w:rPr>
            </w:pPr>
            <w:r w:rsidRPr="00A01705">
              <w:rPr>
                <w:rFonts w:ascii="Calibri" w:hAnsi="Calibri" w:cs="Calibri"/>
                <w:color w:val="000000"/>
                <w:sz w:val="16"/>
                <w:szCs w:val="16"/>
              </w:rPr>
              <w:t>0</w:t>
            </w:r>
          </w:p>
        </w:tc>
        <w:tc>
          <w:tcPr>
            <w:tcW w:w="368" w:type="pct"/>
            <w:tcBorders>
              <w:top w:val="single" w:sz="4" w:space="0" w:color="auto"/>
              <w:left w:val="nil"/>
              <w:bottom w:val="single" w:sz="8" w:space="0" w:color="auto"/>
              <w:right w:val="single" w:sz="8" w:space="0" w:color="auto"/>
            </w:tcBorders>
            <w:shd w:val="clear" w:color="auto" w:fill="auto"/>
            <w:vAlign w:val="center"/>
          </w:tcPr>
          <w:p w:rsidR="00A01705" w:rsidRPr="00D55D60" w:rsidP="00A01705" w14:paraId="64C722DF" w14:textId="67FDA255">
            <w:pPr>
              <w:jc w:val="center"/>
              <w:rPr>
                <w:rFonts w:ascii="Calibri" w:hAnsi="Calibri" w:cs="Calibri"/>
                <w:color w:val="000000" w:themeColor="text1"/>
                <w:sz w:val="16"/>
                <w:szCs w:val="16"/>
              </w:rPr>
            </w:pPr>
            <w:r>
              <w:rPr>
                <w:rFonts w:ascii="Calibri" w:hAnsi="Calibri" w:cs="Calibri"/>
                <w:color w:val="000000"/>
                <w:sz w:val="16"/>
                <w:szCs w:val="16"/>
              </w:rPr>
              <w:t>$0</w:t>
            </w:r>
          </w:p>
        </w:tc>
      </w:tr>
      <w:tr w14:paraId="7CE519A1" w14:textId="77777777" w:rsidTr="00A01705">
        <w:tblPrEx>
          <w:tblW w:w="5000" w:type="pct"/>
          <w:tblLook w:val="04A0"/>
        </w:tblPrEx>
        <w:trPr>
          <w:trHeight w:val="20"/>
        </w:trPr>
        <w:tc>
          <w:tcPr>
            <w:tcW w:w="464" w:type="pct"/>
            <w:tcBorders>
              <w:top w:val="single" w:sz="4" w:space="0" w:color="auto"/>
              <w:left w:val="single" w:sz="8" w:space="0" w:color="auto"/>
              <w:bottom w:val="single" w:sz="4" w:space="0" w:color="auto"/>
              <w:right w:val="single" w:sz="8" w:space="0" w:color="auto"/>
            </w:tcBorders>
            <w:shd w:val="clear" w:color="auto" w:fill="auto"/>
            <w:vAlign w:val="center"/>
          </w:tcPr>
          <w:p w:rsidR="00A01705" w:rsidRPr="000A78B1" w:rsidP="00A01705" w14:paraId="60D1C5F4" w14:textId="77777777">
            <w:pPr>
              <w:autoSpaceDE/>
              <w:autoSpaceDN/>
              <w:adjustRightInd/>
              <w:rPr>
                <w:rFonts w:ascii="Calibri" w:hAnsi="Calibri" w:cs="Calibri"/>
                <w:color w:val="000000"/>
                <w:sz w:val="16"/>
                <w:szCs w:val="16"/>
              </w:rPr>
            </w:pPr>
            <w:r w:rsidRPr="00D755A8">
              <w:rPr>
                <w:rFonts w:ascii="Calibri" w:hAnsi="Calibri" w:cs="Calibri"/>
                <w:color w:val="000000"/>
                <w:sz w:val="16"/>
                <w:szCs w:val="16"/>
              </w:rPr>
              <w:t>Total</w:t>
            </w:r>
          </w:p>
        </w:tc>
        <w:tc>
          <w:tcPr>
            <w:tcW w:w="325" w:type="pct"/>
            <w:tcBorders>
              <w:top w:val="nil"/>
              <w:left w:val="nil"/>
              <w:bottom w:val="single" w:sz="4" w:space="0" w:color="auto"/>
              <w:right w:val="single" w:sz="4" w:space="0" w:color="auto"/>
            </w:tcBorders>
            <w:shd w:val="clear" w:color="auto" w:fill="auto"/>
            <w:vAlign w:val="center"/>
          </w:tcPr>
          <w:p w:rsidR="00A01705" w:rsidRPr="000A78B1" w:rsidP="00A01705" w14:paraId="6AA40A8A"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10" w:type="pct"/>
            <w:tcBorders>
              <w:top w:val="nil"/>
              <w:left w:val="nil"/>
              <w:bottom w:val="single" w:sz="4" w:space="0" w:color="auto"/>
              <w:right w:val="single" w:sz="4" w:space="0" w:color="auto"/>
            </w:tcBorders>
            <w:shd w:val="clear" w:color="auto" w:fill="auto"/>
            <w:vAlign w:val="center"/>
          </w:tcPr>
          <w:p w:rsidR="00A01705" w:rsidRPr="000A78B1" w:rsidP="00A01705" w14:paraId="3235355D"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A01705" w:rsidRPr="000A78B1" w:rsidP="00A01705" w14:paraId="3E4CF37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78" w:type="pct"/>
            <w:tcBorders>
              <w:top w:val="nil"/>
              <w:left w:val="nil"/>
              <w:bottom w:val="single" w:sz="4" w:space="0" w:color="auto"/>
              <w:right w:val="single" w:sz="4" w:space="0" w:color="auto"/>
            </w:tcBorders>
            <w:shd w:val="clear" w:color="auto" w:fill="auto"/>
            <w:vAlign w:val="center"/>
          </w:tcPr>
          <w:p w:rsidR="00A01705" w:rsidRPr="000A78B1" w:rsidP="00A01705" w14:paraId="292535C3"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7" w:type="pct"/>
            <w:tcBorders>
              <w:top w:val="nil"/>
              <w:left w:val="nil"/>
              <w:bottom w:val="single" w:sz="4" w:space="0" w:color="auto"/>
              <w:right w:val="single" w:sz="4" w:space="0" w:color="auto"/>
            </w:tcBorders>
            <w:shd w:val="clear" w:color="auto" w:fill="auto"/>
            <w:vAlign w:val="center"/>
          </w:tcPr>
          <w:p w:rsidR="00A01705" w:rsidRPr="000A78B1" w:rsidP="00A01705" w14:paraId="138C3449"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A01705" w:rsidRPr="000A78B1" w:rsidP="00A01705" w14:paraId="04BEA213"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241" w:type="pct"/>
            <w:tcBorders>
              <w:top w:val="nil"/>
              <w:left w:val="nil"/>
              <w:bottom w:val="single" w:sz="4" w:space="0" w:color="auto"/>
              <w:right w:val="single" w:sz="4" w:space="0" w:color="auto"/>
            </w:tcBorders>
            <w:shd w:val="clear" w:color="auto" w:fill="auto"/>
            <w:vAlign w:val="center"/>
          </w:tcPr>
          <w:p w:rsidR="00A01705" w:rsidRPr="000A78B1" w:rsidP="00A01705" w14:paraId="205C664E" w14:textId="6A78F15A">
            <w:pPr>
              <w:autoSpaceDE/>
              <w:autoSpaceDN/>
              <w:adjustRightInd/>
              <w:jc w:val="center"/>
              <w:rPr>
                <w:rFonts w:ascii="Calibri" w:hAnsi="Calibri" w:cs="Calibri"/>
                <w:color w:val="000000"/>
                <w:sz w:val="16"/>
                <w:szCs w:val="16"/>
              </w:rPr>
            </w:pPr>
          </w:p>
        </w:tc>
        <w:tc>
          <w:tcPr>
            <w:tcW w:w="309" w:type="pct"/>
            <w:tcBorders>
              <w:top w:val="nil"/>
              <w:left w:val="nil"/>
              <w:bottom w:val="single" w:sz="4" w:space="0" w:color="auto"/>
              <w:right w:val="single" w:sz="4" w:space="0" w:color="auto"/>
            </w:tcBorders>
            <w:shd w:val="clear" w:color="auto" w:fill="auto"/>
            <w:vAlign w:val="center"/>
          </w:tcPr>
          <w:p w:rsidR="00A01705" w:rsidRPr="000A78B1" w:rsidP="00A01705" w14:paraId="13CD890B" w14:textId="3769A202">
            <w:pPr>
              <w:autoSpaceDE/>
              <w:autoSpaceDN/>
              <w:adjustRightInd/>
              <w:rPr>
                <w:rFonts w:ascii="Calibri" w:hAnsi="Calibri" w:cs="Calibri"/>
                <w:color w:val="000000"/>
                <w:sz w:val="16"/>
                <w:szCs w:val="16"/>
              </w:rPr>
            </w:pPr>
          </w:p>
        </w:tc>
        <w:tc>
          <w:tcPr>
            <w:tcW w:w="275" w:type="pct"/>
            <w:tcBorders>
              <w:top w:val="nil"/>
              <w:left w:val="nil"/>
              <w:bottom w:val="single" w:sz="4" w:space="0" w:color="auto"/>
              <w:right w:val="single" w:sz="4" w:space="0" w:color="auto"/>
            </w:tcBorders>
            <w:shd w:val="clear" w:color="auto" w:fill="auto"/>
            <w:vAlign w:val="center"/>
          </w:tcPr>
          <w:p w:rsidR="00A01705" w:rsidRPr="000A78B1" w:rsidP="00A01705" w14:paraId="4F0F2225" w14:textId="32FD3867">
            <w:pPr>
              <w:autoSpaceDE/>
              <w:autoSpaceDN/>
              <w:adjustRightInd/>
              <w:jc w:val="center"/>
              <w:rPr>
                <w:rFonts w:ascii="Calibri" w:hAnsi="Calibri" w:cs="Calibri"/>
                <w:color w:val="000000"/>
                <w:sz w:val="16"/>
                <w:szCs w:val="16"/>
              </w:rPr>
            </w:pPr>
          </w:p>
        </w:tc>
        <w:tc>
          <w:tcPr>
            <w:tcW w:w="309" w:type="pct"/>
            <w:tcBorders>
              <w:top w:val="nil"/>
              <w:left w:val="nil"/>
              <w:bottom w:val="single" w:sz="4" w:space="0" w:color="auto"/>
              <w:right w:val="single" w:sz="8" w:space="0" w:color="auto"/>
            </w:tcBorders>
            <w:shd w:val="clear" w:color="auto" w:fill="auto"/>
            <w:vAlign w:val="center"/>
          </w:tcPr>
          <w:p w:rsidR="00A01705" w:rsidRPr="000A78B1" w:rsidP="00A01705" w14:paraId="129DB34C" w14:textId="0FBBCEE7">
            <w:pPr>
              <w:autoSpaceDE/>
              <w:autoSpaceDN/>
              <w:adjustRightInd/>
              <w:rPr>
                <w:rFonts w:ascii="Calibri" w:hAnsi="Calibri" w:cs="Calibri"/>
                <w:color w:val="000000"/>
                <w:sz w:val="16"/>
                <w:szCs w:val="16"/>
              </w:rPr>
            </w:pPr>
          </w:p>
        </w:tc>
        <w:tc>
          <w:tcPr>
            <w:tcW w:w="413" w:type="pct"/>
            <w:tcBorders>
              <w:top w:val="nil"/>
              <w:left w:val="nil"/>
              <w:bottom w:val="single" w:sz="4" w:space="0" w:color="auto"/>
              <w:right w:val="single" w:sz="4" w:space="0" w:color="auto"/>
            </w:tcBorders>
            <w:shd w:val="clear" w:color="auto" w:fill="auto"/>
            <w:vAlign w:val="center"/>
          </w:tcPr>
          <w:p w:rsidR="00A01705" w:rsidRPr="000A78B1" w:rsidP="00A01705" w14:paraId="46F41385"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tcPr>
          <w:p w:rsidR="00A01705" w:rsidRPr="000A78B1" w:rsidP="00A01705" w14:paraId="1C9DB5E7" w14:textId="77777777">
            <w:pPr>
              <w:autoSpaceDE/>
              <w:autoSpaceDN/>
              <w:adjustRightInd/>
              <w:jc w:val="center"/>
              <w:rPr>
                <w:rFonts w:ascii="Calibri" w:hAnsi="Calibri" w:cs="Calibri"/>
                <w:color w:val="000000"/>
                <w:sz w:val="16"/>
                <w:szCs w:val="16"/>
              </w:rPr>
            </w:pPr>
            <w:r w:rsidRPr="00D755A8">
              <w:rPr>
                <w:rFonts w:ascii="Calibri" w:hAnsi="Calibri" w:cs="Calibri"/>
                <w:color w:val="000000"/>
                <w:sz w:val="16"/>
                <w:szCs w:val="16"/>
              </w:rPr>
              <w:t>77</w:t>
            </w:r>
          </w:p>
        </w:tc>
        <w:tc>
          <w:tcPr>
            <w:tcW w:w="275" w:type="pct"/>
            <w:tcBorders>
              <w:top w:val="nil"/>
              <w:left w:val="nil"/>
              <w:bottom w:val="single" w:sz="4" w:space="0" w:color="auto"/>
              <w:right w:val="single" w:sz="4" w:space="0" w:color="auto"/>
            </w:tcBorders>
            <w:shd w:val="clear" w:color="auto" w:fill="auto"/>
            <w:vAlign w:val="center"/>
          </w:tcPr>
          <w:p w:rsidR="00A01705" w:rsidRPr="000A78B1" w:rsidP="00A01705" w14:paraId="69581790" w14:textId="15563F54">
            <w:pPr>
              <w:jc w:val="center"/>
            </w:pPr>
            <w:r w:rsidRPr="00A01705">
              <w:rPr>
                <w:rFonts w:ascii="Calibri" w:hAnsi="Calibri" w:cs="Calibri"/>
                <w:color w:val="000000"/>
                <w:sz w:val="16"/>
                <w:szCs w:val="16"/>
              </w:rPr>
              <w:t>0</w:t>
            </w:r>
          </w:p>
        </w:tc>
        <w:tc>
          <w:tcPr>
            <w:tcW w:w="368" w:type="pct"/>
            <w:tcBorders>
              <w:top w:val="nil"/>
              <w:left w:val="nil"/>
              <w:bottom w:val="single" w:sz="4" w:space="0" w:color="auto"/>
              <w:right w:val="single" w:sz="8" w:space="0" w:color="auto"/>
            </w:tcBorders>
            <w:shd w:val="clear" w:color="auto" w:fill="auto"/>
            <w:vAlign w:val="center"/>
          </w:tcPr>
          <w:p w:rsidR="00A01705" w:rsidRPr="00A01705" w:rsidP="00A01705" w14:paraId="738CD570" w14:textId="348BCF8E">
            <w:pPr>
              <w:jc w:val="center"/>
              <w:rPr>
                <w:rFonts w:ascii="Calibri" w:hAnsi="Calibri" w:cs="Calibri"/>
                <w:color w:val="000000"/>
                <w:sz w:val="16"/>
                <w:szCs w:val="16"/>
              </w:rPr>
            </w:pPr>
            <w:r>
              <w:rPr>
                <w:rFonts w:ascii="Calibri" w:hAnsi="Calibri" w:cs="Calibri"/>
                <w:color w:val="000000"/>
                <w:sz w:val="16"/>
                <w:szCs w:val="16"/>
              </w:rPr>
              <w:t>$0</w:t>
            </w:r>
          </w:p>
        </w:tc>
      </w:tr>
      <w:tr w14:paraId="172CE4C8" w14:textId="77777777" w:rsidTr="00B63E92">
        <w:tblPrEx>
          <w:tblW w:w="5000" w:type="pct"/>
          <w:tblLook w:val="04A0"/>
        </w:tblPrEx>
        <w:trPr>
          <w:trHeight w:val="20"/>
        </w:trPr>
        <w:tc>
          <w:tcPr>
            <w:tcW w:w="5000" w:type="pct"/>
            <w:gridSpan w:val="15"/>
            <w:tcBorders>
              <w:top w:val="single" w:sz="4" w:space="0" w:color="auto"/>
              <w:bottom w:val="nil"/>
              <w:right w:val="nil"/>
            </w:tcBorders>
            <w:shd w:val="clear" w:color="auto" w:fill="auto"/>
            <w:vAlign w:val="center"/>
            <w:hideMark/>
          </w:tcPr>
          <w:p w:rsidR="00A01705" w:rsidP="00A01705" w14:paraId="7C151DB6" w14:textId="77777777">
            <w:pPr>
              <w:autoSpaceDE/>
              <w:autoSpaceDN/>
              <w:adjustRightInd/>
              <w:rPr>
                <w:color w:val="000000"/>
                <w:sz w:val="16"/>
                <w:szCs w:val="16"/>
              </w:rPr>
            </w:pPr>
            <w:r w:rsidRPr="000A78B1">
              <w:rPr>
                <w:color w:val="000000"/>
                <w:sz w:val="16"/>
                <w:szCs w:val="16"/>
                <w:vertAlign w:val="superscript"/>
              </w:rPr>
              <w:t>1</w:t>
            </w:r>
            <w:r w:rsidRPr="000A78B1">
              <w:rPr>
                <w:color w:val="000000"/>
                <w:sz w:val="16"/>
                <w:szCs w:val="16"/>
              </w:rPr>
              <w:t>Estimated Responses per Respondent refers to the number of times a respondent performs each task per year. Generally, this refers to the number of applications in each category, which is often the number of engine families.  In this case, there are no reporting burdens apart from reviewing the regulations, which is a one-time activity for each manufacturer.</w:t>
            </w:r>
          </w:p>
          <w:p w:rsidR="00A01705" w:rsidRPr="000A78B1" w:rsidP="00A01705" w14:paraId="5121C26E" w14:textId="77777777">
            <w:pPr>
              <w:autoSpaceDE/>
              <w:autoSpaceDN/>
              <w:adjustRightInd/>
              <w:rPr>
                <w:color w:val="000000"/>
                <w:sz w:val="16"/>
                <w:szCs w:val="16"/>
              </w:rPr>
            </w:pPr>
          </w:p>
        </w:tc>
      </w:tr>
    </w:tbl>
    <w:p w:rsidR="00A01705" w:rsidP="00A01705" w14:paraId="305198EF" w14:textId="77777777">
      <w:pPr>
        <w:autoSpaceDE/>
        <w:autoSpaceDN/>
        <w:adjustRightInd/>
        <w:spacing w:after="160" w:line="259" w:lineRule="auto"/>
        <w:rPr>
          <w:b/>
          <w:bCs/>
        </w:rPr>
      </w:pPr>
    </w:p>
    <w:p w:rsidR="006B054E" w:rsidP="00A01705" w14:paraId="1153A7C9" w14:textId="6B756E9B">
      <w:pPr>
        <w:autoSpaceDE/>
        <w:autoSpaceDN/>
        <w:adjustRightInd/>
        <w:spacing w:after="160" w:line="259" w:lineRule="auto"/>
        <w:rPr>
          <w:b/>
          <w:bCs/>
        </w:rPr>
      </w:pPr>
    </w:p>
    <w:sectPr w:rsidSect="00542FAD">
      <w:pgSz w:w="15840" w:h="12240" w:orient="landscape"/>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51067"/>
      <w:docPartObj>
        <w:docPartGallery w:val="Page Numbers (Bottom of Page)"/>
        <w:docPartUnique/>
      </w:docPartObj>
    </w:sdtPr>
    <w:sdtEndPr>
      <w:rPr>
        <w:noProof/>
      </w:rPr>
    </w:sdtEndPr>
    <w:sdtContent>
      <w:p w:rsidR="00405F4F" w14:paraId="4A91918F" w14:textId="41808F8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405F4F" w14:paraId="496836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6B1D" w:rsidP="00405F4F" w14:paraId="5A7D030F" w14:textId="77777777">
      <w:r>
        <w:separator/>
      </w:r>
    </w:p>
  </w:footnote>
  <w:footnote w:type="continuationSeparator" w:id="1">
    <w:p w:rsidR="00376B1D" w:rsidP="00405F4F" w14:paraId="41047FED" w14:textId="77777777">
      <w:r>
        <w:continuationSeparator/>
      </w:r>
    </w:p>
  </w:footnote>
  <w:footnote w:type="continuationNotice" w:id="2">
    <w:p w:rsidR="00376B1D" w14:paraId="497F217D" w14:textId="77777777"/>
  </w:footnote>
  <w:footnote w:id="3">
    <w:p w:rsidR="00FA02E2" w14:paraId="3C9DB938" w14:textId="25312B2D">
      <w:pPr>
        <w:pStyle w:val="FootnoteText"/>
      </w:pPr>
      <w:r>
        <w:rPr>
          <w:rStyle w:val="FootnoteReference"/>
        </w:rPr>
        <w:footnoteRef/>
      </w:r>
      <w:r>
        <w:t xml:space="preserve"> </w:t>
      </w:r>
      <w:r w:rsidRPr="00FA02E2">
        <w:t>Final Rule: Greenhouse Gas Emissions Standards for Heavy-Duty Vehicles – Phase 3</w:t>
      </w:r>
      <w:r>
        <w:t xml:space="preserve">, 83 FR 29440, April 22, 2024; a copy of this rule may be found at:  </w:t>
      </w:r>
      <w:hyperlink r:id="rId1" w:history="1">
        <w:r w:rsidRPr="00A001F4">
          <w:rPr>
            <w:rStyle w:val="Hyperlink"/>
          </w:rPr>
          <w:t>https://www.epa.gov/regulations-emissions-vehicles-and-engines/final-rule-greenhouse-gas-emissions-standards-heavy-duty</w:t>
        </w:r>
      </w:hyperlink>
      <w:r>
        <w:t xml:space="preserve"> </w:t>
      </w:r>
    </w:p>
  </w:footnote>
  <w:footnote w:id="4">
    <w:p w:rsidR="009812C1" w:rsidRPr="006E7535" w:rsidP="009812C1" w14:paraId="030008F9" w14:textId="77777777">
      <w:pPr>
        <w:pStyle w:val="FootnoteText"/>
        <w:rPr>
          <w:sz w:val="16"/>
          <w:szCs w:val="16"/>
        </w:rPr>
      </w:pPr>
      <w:r>
        <w:rPr>
          <w:rStyle w:val="FootnoteReference"/>
        </w:rPr>
        <w:footnoteRef/>
      </w:r>
      <w:r>
        <w:t xml:space="preserve"> </w:t>
      </w:r>
      <w:r w:rsidRPr="006E7535">
        <w:rPr>
          <w:sz w:val="16"/>
          <w:szCs w:val="16"/>
        </w:rPr>
        <w:t xml:space="preserve">Code of Federal Regulations, </w:t>
      </w:r>
      <w:hyperlink r:id="rId2" w:history="1">
        <w:r w:rsidRPr="006E7535">
          <w:rPr>
            <w:rStyle w:val="Hyperlink"/>
            <w:sz w:val="16"/>
            <w:szCs w:val="16"/>
          </w:rPr>
          <w:t>https://www.ecfr.gov/</w:t>
        </w:r>
      </w:hyperlink>
      <w:r w:rsidRPr="006E7535">
        <w:rPr>
          <w:sz w:val="16"/>
          <w:szCs w:val="16"/>
        </w:rPr>
        <w:t>. EPA emissions regulations are found in Title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A5649B"/>
    <w:multiLevelType w:val="hybridMultilevel"/>
    <w:tmpl w:val="D78A8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201C4"/>
    <w:multiLevelType w:val="hybridMultilevel"/>
    <w:tmpl w:val="8262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355534"/>
    <w:multiLevelType w:val="hybridMultilevel"/>
    <w:tmpl w:val="FF5C0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1B156C"/>
    <w:multiLevelType w:val="hybridMultilevel"/>
    <w:tmpl w:val="0FF47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087B0B"/>
    <w:multiLevelType w:val="hybridMultilevel"/>
    <w:tmpl w:val="D1EC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1F122E"/>
    <w:multiLevelType w:val="hybridMultilevel"/>
    <w:tmpl w:val="1F8A3E5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AA3541"/>
    <w:multiLevelType w:val="hybridMultilevel"/>
    <w:tmpl w:val="878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AC6739"/>
    <w:multiLevelType w:val="hybridMultilevel"/>
    <w:tmpl w:val="956E1F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495313"/>
    <w:multiLevelType w:val="hybridMultilevel"/>
    <w:tmpl w:val="B2CA980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A775D9"/>
    <w:multiLevelType w:val="multilevel"/>
    <w:tmpl w:val="8EE45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3CF11DD2"/>
    <w:multiLevelType w:val="hybridMultilevel"/>
    <w:tmpl w:val="82989AF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EC832F1"/>
    <w:multiLevelType w:val="hybridMultilevel"/>
    <w:tmpl w:val="7FD4666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C366EF"/>
    <w:multiLevelType w:val="hybridMultilevel"/>
    <w:tmpl w:val="67F47F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D1667"/>
    <w:multiLevelType w:val="hybridMultilevel"/>
    <w:tmpl w:val="66204A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DD1072"/>
    <w:multiLevelType w:val="hybridMultilevel"/>
    <w:tmpl w:val="49EA1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C187759"/>
    <w:multiLevelType w:val="hybridMultilevel"/>
    <w:tmpl w:val="A9886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406EFE"/>
    <w:multiLevelType w:val="hybridMultilevel"/>
    <w:tmpl w:val="3FB8C15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843158"/>
    <w:multiLevelType w:val="hybridMultilevel"/>
    <w:tmpl w:val="59DEE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7F105D"/>
    <w:multiLevelType w:val="hybridMultilevel"/>
    <w:tmpl w:val="F9D0440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43B08"/>
    <w:multiLevelType w:val="hybridMultilevel"/>
    <w:tmpl w:val="C3DA3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A3672A"/>
    <w:multiLevelType w:val="hybridMultilevel"/>
    <w:tmpl w:val="4AD2D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6C7ABF"/>
    <w:multiLevelType w:val="hybridMultilevel"/>
    <w:tmpl w:val="73145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8E6340"/>
    <w:multiLevelType w:val="hybridMultilevel"/>
    <w:tmpl w:val="03869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2EE6442"/>
    <w:multiLevelType w:val="hybridMultilevel"/>
    <w:tmpl w:val="FF38AF3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7B535D0"/>
    <w:multiLevelType w:val="multilevel"/>
    <w:tmpl w:val="515223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nsid w:val="7E444B1C"/>
    <w:multiLevelType w:val="hybridMultilevel"/>
    <w:tmpl w:val="7FD8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7166260">
    <w:abstractNumId w:val="24"/>
  </w:num>
  <w:num w:numId="2" w16cid:durableId="1953432991">
    <w:abstractNumId w:val="5"/>
  </w:num>
  <w:num w:numId="3" w16cid:durableId="1091319554">
    <w:abstractNumId w:val="3"/>
  </w:num>
  <w:num w:numId="4" w16cid:durableId="1766800268">
    <w:abstractNumId w:val="1"/>
  </w:num>
  <w:num w:numId="5" w16cid:durableId="214588326">
    <w:abstractNumId w:val="27"/>
  </w:num>
  <w:num w:numId="6" w16cid:durableId="187720484">
    <w:abstractNumId w:val="7"/>
  </w:num>
  <w:num w:numId="7" w16cid:durableId="1418941995">
    <w:abstractNumId w:val="14"/>
  </w:num>
  <w:num w:numId="8" w16cid:durableId="1383018394">
    <w:abstractNumId w:val="2"/>
  </w:num>
  <w:num w:numId="9" w16cid:durableId="1178160822">
    <w:abstractNumId w:val="26"/>
  </w:num>
  <w:num w:numId="10" w16cid:durableId="1728529092">
    <w:abstractNumId w:val="10"/>
  </w:num>
  <w:num w:numId="11" w16cid:durableId="853225281">
    <w:abstractNumId w:val="22"/>
  </w:num>
  <w:num w:numId="12" w16cid:durableId="143395670">
    <w:abstractNumId w:val="12"/>
  </w:num>
  <w:num w:numId="13" w16cid:durableId="136923929">
    <w:abstractNumId w:val="8"/>
  </w:num>
  <w:num w:numId="14" w16cid:durableId="1210338256">
    <w:abstractNumId w:val="0"/>
  </w:num>
  <w:num w:numId="15" w16cid:durableId="1477723991">
    <w:abstractNumId w:val="21"/>
  </w:num>
  <w:num w:numId="16" w16cid:durableId="507720995">
    <w:abstractNumId w:val="11"/>
  </w:num>
  <w:num w:numId="17" w16cid:durableId="1409645748">
    <w:abstractNumId w:val="13"/>
  </w:num>
  <w:num w:numId="18" w16cid:durableId="48921934">
    <w:abstractNumId w:val="18"/>
  </w:num>
  <w:num w:numId="19" w16cid:durableId="1933925541">
    <w:abstractNumId w:val="17"/>
  </w:num>
  <w:num w:numId="20" w16cid:durableId="100417059">
    <w:abstractNumId w:val="25"/>
  </w:num>
  <w:num w:numId="21" w16cid:durableId="509609820">
    <w:abstractNumId w:val="4"/>
  </w:num>
  <w:num w:numId="22" w16cid:durableId="905530359">
    <w:abstractNumId w:val="23"/>
  </w:num>
  <w:num w:numId="23" w16cid:durableId="1888255381">
    <w:abstractNumId w:val="16"/>
  </w:num>
  <w:num w:numId="24" w16cid:durableId="129976653">
    <w:abstractNumId w:val="20"/>
  </w:num>
  <w:num w:numId="25" w16cid:durableId="771826096">
    <w:abstractNumId w:val="19"/>
  </w:num>
  <w:num w:numId="26" w16cid:durableId="731654944">
    <w:abstractNumId w:val="9"/>
  </w:num>
  <w:num w:numId="27" w16cid:durableId="631981654">
    <w:abstractNumId w:val="6"/>
  </w:num>
  <w:num w:numId="28" w16cid:durableId="454907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5"/>
    <w:rsid w:val="00001EAF"/>
    <w:rsid w:val="000029ED"/>
    <w:rsid w:val="00005D67"/>
    <w:rsid w:val="00013DB1"/>
    <w:rsid w:val="00015AAF"/>
    <w:rsid w:val="0001635F"/>
    <w:rsid w:val="00016664"/>
    <w:rsid w:val="000202A7"/>
    <w:rsid w:val="000216E2"/>
    <w:rsid w:val="000240B0"/>
    <w:rsid w:val="00031FB7"/>
    <w:rsid w:val="00033495"/>
    <w:rsid w:val="00034206"/>
    <w:rsid w:val="00034405"/>
    <w:rsid w:val="000344BF"/>
    <w:rsid w:val="00034E56"/>
    <w:rsid w:val="000373E0"/>
    <w:rsid w:val="0004043C"/>
    <w:rsid w:val="00041386"/>
    <w:rsid w:val="00054D97"/>
    <w:rsid w:val="00056EB6"/>
    <w:rsid w:val="0006082D"/>
    <w:rsid w:val="0006153F"/>
    <w:rsid w:val="00064127"/>
    <w:rsid w:val="0006433C"/>
    <w:rsid w:val="000648C5"/>
    <w:rsid w:val="000665F1"/>
    <w:rsid w:val="00071B69"/>
    <w:rsid w:val="00072E0F"/>
    <w:rsid w:val="00075317"/>
    <w:rsid w:val="00080EFF"/>
    <w:rsid w:val="0008171B"/>
    <w:rsid w:val="00083F37"/>
    <w:rsid w:val="0008491E"/>
    <w:rsid w:val="00090013"/>
    <w:rsid w:val="00092C52"/>
    <w:rsid w:val="000A0844"/>
    <w:rsid w:val="000A78B1"/>
    <w:rsid w:val="000B0BA5"/>
    <w:rsid w:val="000C0DA5"/>
    <w:rsid w:val="000C4797"/>
    <w:rsid w:val="000C6544"/>
    <w:rsid w:val="000D0456"/>
    <w:rsid w:val="000D3CB5"/>
    <w:rsid w:val="000E0FDC"/>
    <w:rsid w:val="000E4994"/>
    <w:rsid w:val="000E7735"/>
    <w:rsid w:val="000F1F7B"/>
    <w:rsid w:val="000F5F96"/>
    <w:rsid w:val="00102D8F"/>
    <w:rsid w:val="0010512D"/>
    <w:rsid w:val="0011064C"/>
    <w:rsid w:val="001121D3"/>
    <w:rsid w:val="001126C7"/>
    <w:rsid w:val="00120668"/>
    <w:rsid w:val="0012346B"/>
    <w:rsid w:val="00134BC2"/>
    <w:rsid w:val="00135DFE"/>
    <w:rsid w:val="00140E1C"/>
    <w:rsid w:val="00141E7E"/>
    <w:rsid w:val="00142188"/>
    <w:rsid w:val="0014400D"/>
    <w:rsid w:val="00145ED2"/>
    <w:rsid w:val="00146226"/>
    <w:rsid w:val="00147224"/>
    <w:rsid w:val="0015285E"/>
    <w:rsid w:val="001531FF"/>
    <w:rsid w:val="001542F2"/>
    <w:rsid w:val="001543EF"/>
    <w:rsid w:val="00154BFD"/>
    <w:rsid w:val="00155647"/>
    <w:rsid w:val="001577E6"/>
    <w:rsid w:val="00160E76"/>
    <w:rsid w:val="00162202"/>
    <w:rsid w:val="00162D68"/>
    <w:rsid w:val="00163A5B"/>
    <w:rsid w:val="00164186"/>
    <w:rsid w:val="001676F0"/>
    <w:rsid w:val="0017164D"/>
    <w:rsid w:val="001718AA"/>
    <w:rsid w:val="001737EF"/>
    <w:rsid w:val="001746C0"/>
    <w:rsid w:val="00180454"/>
    <w:rsid w:val="001825AB"/>
    <w:rsid w:val="00182D1A"/>
    <w:rsid w:val="00183E7E"/>
    <w:rsid w:val="00187467"/>
    <w:rsid w:val="0019016A"/>
    <w:rsid w:val="001A1FC5"/>
    <w:rsid w:val="001A2160"/>
    <w:rsid w:val="001A5666"/>
    <w:rsid w:val="001B29E4"/>
    <w:rsid w:val="001C0B54"/>
    <w:rsid w:val="001C18E1"/>
    <w:rsid w:val="001C24E8"/>
    <w:rsid w:val="001C2A22"/>
    <w:rsid w:val="001C390D"/>
    <w:rsid w:val="001C52BC"/>
    <w:rsid w:val="001D4B86"/>
    <w:rsid w:val="001D5664"/>
    <w:rsid w:val="001D6E73"/>
    <w:rsid w:val="001E02D5"/>
    <w:rsid w:val="001E0F9A"/>
    <w:rsid w:val="001E5168"/>
    <w:rsid w:val="001F28B7"/>
    <w:rsid w:val="001F4895"/>
    <w:rsid w:val="001F79D6"/>
    <w:rsid w:val="00204CAF"/>
    <w:rsid w:val="00205EA3"/>
    <w:rsid w:val="002121D3"/>
    <w:rsid w:val="00212C7A"/>
    <w:rsid w:val="0021570D"/>
    <w:rsid w:val="00217F01"/>
    <w:rsid w:val="00222857"/>
    <w:rsid w:val="002245A8"/>
    <w:rsid w:val="00230980"/>
    <w:rsid w:val="0023321A"/>
    <w:rsid w:val="00234360"/>
    <w:rsid w:val="00234AD0"/>
    <w:rsid w:val="00235E9D"/>
    <w:rsid w:val="00236229"/>
    <w:rsid w:val="0023657A"/>
    <w:rsid w:val="002470DB"/>
    <w:rsid w:val="00247AA4"/>
    <w:rsid w:val="00247D92"/>
    <w:rsid w:val="00255426"/>
    <w:rsid w:val="00256479"/>
    <w:rsid w:val="0025671E"/>
    <w:rsid w:val="002570C9"/>
    <w:rsid w:val="00257264"/>
    <w:rsid w:val="00264955"/>
    <w:rsid w:val="002668B7"/>
    <w:rsid w:val="002705EB"/>
    <w:rsid w:val="00271419"/>
    <w:rsid w:val="002723F6"/>
    <w:rsid w:val="00272493"/>
    <w:rsid w:val="00272EED"/>
    <w:rsid w:val="00280355"/>
    <w:rsid w:val="002861E6"/>
    <w:rsid w:val="00286939"/>
    <w:rsid w:val="0028753B"/>
    <w:rsid w:val="00292CD9"/>
    <w:rsid w:val="002932F9"/>
    <w:rsid w:val="002954D1"/>
    <w:rsid w:val="002955ED"/>
    <w:rsid w:val="002A1320"/>
    <w:rsid w:val="002A2450"/>
    <w:rsid w:val="002A2BD1"/>
    <w:rsid w:val="002A628F"/>
    <w:rsid w:val="002A71D6"/>
    <w:rsid w:val="002B15D5"/>
    <w:rsid w:val="002B2F6F"/>
    <w:rsid w:val="002B381E"/>
    <w:rsid w:val="002B5D21"/>
    <w:rsid w:val="002B6047"/>
    <w:rsid w:val="002C0E28"/>
    <w:rsid w:val="002D0178"/>
    <w:rsid w:val="002D034D"/>
    <w:rsid w:val="002D0E03"/>
    <w:rsid w:val="002D1330"/>
    <w:rsid w:val="002D14D5"/>
    <w:rsid w:val="002D1BA9"/>
    <w:rsid w:val="002D5D05"/>
    <w:rsid w:val="002D68F3"/>
    <w:rsid w:val="002E0E12"/>
    <w:rsid w:val="002E1674"/>
    <w:rsid w:val="002E1A55"/>
    <w:rsid w:val="002E2F09"/>
    <w:rsid w:val="002E5CFE"/>
    <w:rsid w:val="002E5D06"/>
    <w:rsid w:val="002E6FF3"/>
    <w:rsid w:val="002E708B"/>
    <w:rsid w:val="002F2CEB"/>
    <w:rsid w:val="002F4056"/>
    <w:rsid w:val="002F4669"/>
    <w:rsid w:val="002F5184"/>
    <w:rsid w:val="002F7706"/>
    <w:rsid w:val="00302D10"/>
    <w:rsid w:val="0030305F"/>
    <w:rsid w:val="00304237"/>
    <w:rsid w:val="003111F3"/>
    <w:rsid w:val="0031125F"/>
    <w:rsid w:val="003149C3"/>
    <w:rsid w:val="00314EC9"/>
    <w:rsid w:val="00317DD8"/>
    <w:rsid w:val="003201D6"/>
    <w:rsid w:val="003238FA"/>
    <w:rsid w:val="00334A95"/>
    <w:rsid w:val="0033506B"/>
    <w:rsid w:val="0033565B"/>
    <w:rsid w:val="003364B2"/>
    <w:rsid w:val="00336FE9"/>
    <w:rsid w:val="00337FE4"/>
    <w:rsid w:val="00340D1C"/>
    <w:rsid w:val="00344FA4"/>
    <w:rsid w:val="00345597"/>
    <w:rsid w:val="00346416"/>
    <w:rsid w:val="00346C79"/>
    <w:rsid w:val="00347E68"/>
    <w:rsid w:val="00362229"/>
    <w:rsid w:val="00362C65"/>
    <w:rsid w:val="00363761"/>
    <w:rsid w:val="003639ED"/>
    <w:rsid w:val="003643B3"/>
    <w:rsid w:val="00366732"/>
    <w:rsid w:val="0036759B"/>
    <w:rsid w:val="00367DDD"/>
    <w:rsid w:val="00370FAD"/>
    <w:rsid w:val="00374E41"/>
    <w:rsid w:val="00375D37"/>
    <w:rsid w:val="00376B1D"/>
    <w:rsid w:val="00377D89"/>
    <w:rsid w:val="00380112"/>
    <w:rsid w:val="00380395"/>
    <w:rsid w:val="00382CF0"/>
    <w:rsid w:val="0038414C"/>
    <w:rsid w:val="00384A9C"/>
    <w:rsid w:val="003855F8"/>
    <w:rsid w:val="003910A4"/>
    <w:rsid w:val="00394D10"/>
    <w:rsid w:val="0039660B"/>
    <w:rsid w:val="00396D26"/>
    <w:rsid w:val="003A376D"/>
    <w:rsid w:val="003A5CA2"/>
    <w:rsid w:val="003B018C"/>
    <w:rsid w:val="003B0E81"/>
    <w:rsid w:val="003B2E11"/>
    <w:rsid w:val="003B2EC4"/>
    <w:rsid w:val="003B42BD"/>
    <w:rsid w:val="003B49B4"/>
    <w:rsid w:val="003B6738"/>
    <w:rsid w:val="003C2395"/>
    <w:rsid w:val="003C4FFD"/>
    <w:rsid w:val="003D088D"/>
    <w:rsid w:val="003D69AF"/>
    <w:rsid w:val="003D76D6"/>
    <w:rsid w:val="003E6670"/>
    <w:rsid w:val="003E7D07"/>
    <w:rsid w:val="003F3ABB"/>
    <w:rsid w:val="003F5576"/>
    <w:rsid w:val="003F6219"/>
    <w:rsid w:val="0040012C"/>
    <w:rsid w:val="00403C99"/>
    <w:rsid w:val="0040517B"/>
    <w:rsid w:val="00405BAB"/>
    <w:rsid w:val="00405F4F"/>
    <w:rsid w:val="00412288"/>
    <w:rsid w:val="0041229A"/>
    <w:rsid w:val="00416899"/>
    <w:rsid w:val="00420759"/>
    <w:rsid w:val="00421CA7"/>
    <w:rsid w:val="004250EE"/>
    <w:rsid w:val="0042539B"/>
    <w:rsid w:val="004259D0"/>
    <w:rsid w:val="00433630"/>
    <w:rsid w:val="00433748"/>
    <w:rsid w:val="0043797F"/>
    <w:rsid w:val="00440CB3"/>
    <w:rsid w:val="0044212E"/>
    <w:rsid w:val="00446A79"/>
    <w:rsid w:val="00452E13"/>
    <w:rsid w:val="00456E7A"/>
    <w:rsid w:val="00457D28"/>
    <w:rsid w:val="00461ECF"/>
    <w:rsid w:val="0046297C"/>
    <w:rsid w:val="00463064"/>
    <w:rsid w:val="004633C1"/>
    <w:rsid w:val="0046483F"/>
    <w:rsid w:val="00467E67"/>
    <w:rsid w:val="00471275"/>
    <w:rsid w:val="0047154C"/>
    <w:rsid w:val="00477239"/>
    <w:rsid w:val="00485281"/>
    <w:rsid w:val="004906D4"/>
    <w:rsid w:val="00492B44"/>
    <w:rsid w:val="0049405F"/>
    <w:rsid w:val="004955D9"/>
    <w:rsid w:val="00496F7F"/>
    <w:rsid w:val="004A1032"/>
    <w:rsid w:val="004A1795"/>
    <w:rsid w:val="004A1AF7"/>
    <w:rsid w:val="004A34C8"/>
    <w:rsid w:val="004A7664"/>
    <w:rsid w:val="004B30C8"/>
    <w:rsid w:val="004B3141"/>
    <w:rsid w:val="004B4837"/>
    <w:rsid w:val="004B7FD9"/>
    <w:rsid w:val="004C179D"/>
    <w:rsid w:val="004C5F08"/>
    <w:rsid w:val="004D5561"/>
    <w:rsid w:val="004D63B0"/>
    <w:rsid w:val="004E15F3"/>
    <w:rsid w:val="004E2D28"/>
    <w:rsid w:val="004E2EE2"/>
    <w:rsid w:val="004E3986"/>
    <w:rsid w:val="004F1594"/>
    <w:rsid w:val="00501821"/>
    <w:rsid w:val="0050254C"/>
    <w:rsid w:val="0050659A"/>
    <w:rsid w:val="00510662"/>
    <w:rsid w:val="00512A26"/>
    <w:rsid w:val="00512AC5"/>
    <w:rsid w:val="00514991"/>
    <w:rsid w:val="00515E37"/>
    <w:rsid w:val="00517BBB"/>
    <w:rsid w:val="00520351"/>
    <w:rsid w:val="00521915"/>
    <w:rsid w:val="00522DC4"/>
    <w:rsid w:val="00525F12"/>
    <w:rsid w:val="00530D81"/>
    <w:rsid w:val="00532431"/>
    <w:rsid w:val="005327B2"/>
    <w:rsid w:val="0053409B"/>
    <w:rsid w:val="00536CD8"/>
    <w:rsid w:val="00542FAD"/>
    <w:rsid w:val="00543016"/>
    <w:rsid w:val="00543B46"/>
    <w:rsid w:val="0055026D"/>
    <w:rsid w:val="005614CC"/>
    <w:rsid w:val="005626A2"/>
    <w:rsid w:val="0056546B"/>
    <w:rsid w:val="00573274"/>
    <w:rsid w:val="005753C7"/>
    <w:rsid w:val="00580302"/>
    <w:rsid w:val="005835D9"/>
    <w:rsid w:val="0058441A"/>
    <w:rsid w:val="00586D48"/>
    <w:rsid w:val="00586D9F"/>
    <w:rsid w:val="00587336"/>
    <w:rsid w:val="005879AE"/>
    <w:rsid w:val="005904BF"/>
    <w:rsid w:val="00592837"/>
    <w:rsid w:val="00592ED9"/>
    <w:rsid w:val="00593C42"/>
    <w:rsid w:val="005973F2"/>
    <w:rsid w:val="005A2A06"/>
    <w:rsid w:val="005A479F"/>
    <w:rsid w:val="005A4C15"/>
    <w:rsid w:val="005A6A60"/>
    <w:rsid w:val="005B2A5A"/>
    <w:rsid w:val="005B5DD3"/>
    <w:rsid w:val="005B7724"/>
    <w:rsid w:val="005C3625"/>
    <w:rsid w:val="005C687B"/>
    <w:rsid w:val="005D1922"/>
    <w:rsid w:val="005D1D55"/>
    <w:rsid w:val="005D2151"/>
    <w:rsid w:val="005D76E4"/>
    <w:rsid w:val="005E0F52"/>
    <w:rsid w:val="005E1637"/>
    <w:rsid w:val="005E1AB9"/>
    <w:rsid w:val="005E3118"/>
    <w:rsid w:val="005E3C01"/>
    <w:rsid w:val="005E6D26"/>
    <w:rsid w:val="005E7587"/>
    <w:rsid w:val="005E77DD"/>
    <w:rsid w:val="005E7F5D"/>
    <w:rsid w:val="005F0E24"/>
    <w:rsid w:val="005F117A"/>
    <w:rsid w:val="005F357C"/>
    <w:rsid w:val="0060732E"/>
    <w:rsid w:val="006100E5"/>
    <w:rsid w:val="00614D9D"/>
    <w:rsid w:val="00615ECC"/>
    <w:rsid w:val="00616EDE"/>
    <w:rsid w:val="0062413C"/>
    <w:rsid w:val="006264AA"/>
    <w:rsid w:val="00627434"/>
    <w:rsid w:val="0063150C"/>
    <w:rsid w:val="00634D93"/>
    <w:rsid w:val="00635018"/>
    <w:rsid w:val="0063728F"/>
    <w:rsid w:val="00637626"/>
    <w:rsid w:val="00640207"/>
    <w:rsid w:val="006559A1"/>
    <w:rsid w:val="00667F74"/>
    <w:rsid w:val="006717C7"/>
    <w:rsid w:val="0067400B"/>
    <w:rsid w:val="006741D6"/>
    <w:rsid w:val="006745D3"/>
    <w:rsid w:val="00674861"/>
    <w:rsid w:val="0067676E"/>
    <w:rsid w:val="006775FB"/>
    <w:rsid w:val="00682AF1"/>
    <w:rsid w:val="0069053B"/>
    <w:rsid w:val="00691139"/>
    <w:rsid w:val="00691464"/>
    <w:rsid w:val="006A5638"/>
    <w:rsid w:val="006B0423"/>
    <w:rsid w:val="006B054E"/>
    <w:rsid w:val="006B0B49"/>
    <w:rsid w:val="006B28FD"/>
    <w:rsid w:val="006B3996"/>
    <w:rsid w:val="006B47EF"/>
    <w:rsid w:val="006B6E3D"/>
    <w:rsid w:val="006B7079"/>
    <w:rsid w:val="006C03C1"/>
    <w:rsid w:val="006C1DE5"/>
    <w:rsid w:val="006C20B2"/>
    <w:rsid w:val="006C274C"/>
    <w:rsid w:val="006C5CFA"/>
    <w:rsid w:val="006C7C45"/>
    <w:rsid w:val="006D1528"/>
    <w:rsid w:val="006D21E3"/>
    <w:rsid w:val="006D3FAD"/>
    <w:rsid w:val="006D4E05"/>
    <w:rsid w:val="006D4F84"/>
    <w:rsid w:val="006D71BE"/>
    <w:rsid w:val="006D79FC"/>
    <w:rsid w:val="006E362A"/>
    <w:rsid w:val="006E41CC"/>
    <w:rsid w:val="006E51AC"/>
    <w:rsid w:val="006E7535"/>
    <w:rsid w:val="006F0E73"/>
    <w:rsid w:val="006F0F67"/>
    <w:rsid w:val="006F6F55"/>
    <w:rsid w:val="007067F2"/>
    <w:rsid w:val="00707AD2"/>
    <w:rsid w:val="00714264"/>
    <w:rsid w:val="00716C1D"/>
    <w:rsid w:val="00721362"/>
    <w:rsid w:val="00722DA9"/>
    <w:rsid w:val="00723166"/>
    <w:rsid w:val="0072367F"/>
    <w:rsid w:val="007263DC"/>
    <w:rsid w:val="007272EB"/>
    <w:rsid w:val="00727800"/>
    <w:rsid w:val="00736D68"/>
    <w:rsid w:val="007410A9"/>
    <w:rsid w:val="00744BB2"/>
    <w:rsid w:val="0074632D"/>
    <w:rsid w:val="00760A17"/>
    <w:rsid w:val="007612E0"/>
    <w:rsid w:val="00765675"/>
    <w:rsid w:val="007667DD"/>
    <w:rsid w:val="007718AC"/>
    <w:rsid w:val="007769F0"/>
    <w:rsid w:val="00777525"/>
    <w:rsid w:val="00784488"/>
    <w:rsid w:val="0078455C"/>
    <w:rsid w:val="00792242"/>
    <w:rsid w:val="00794785"/>
    <w:rsid w:val="00796089"/>
    <w:rsid w:val="007A1BD8"/>
    <w:rsid w:val="007A5029"/>
    <w:rsid w:val="007A6AA0"/>
    <w:rsid w:val="007B33EA"/>
    <w:rsid w:val="007B3D7D"/>
    <w:rsid w:val="007B4FA1"/>
    <w:rsid w:val="007D2E6B"/>
    <w:rsid w:val="007D2F0F"/>
    <w:rsid w:val="007D34CE"/>
    <w:rsid w:val="007D4C00"/>
    <w:rsid w:val="007D7070"/>
    <w:rsid w:val="007D7FBF"/>
    <w:rsid w:val="007E4E7D"/>
    <w:rsid w:val="007E64A9"/>
    <w:rsid w:val="007F018D"/>
    <w:rsid w:val="007F208A"/>
    <w:rsid w:val="007F3F62"/>
    <w:rsid w:val="007F545D"/>
    <w:rsid w:val="007F7466"/>
    <w:rsid w:val="007F7EDF"/>
    <w:rsid w:val="00801C18"/>
    <w:rsid w:val="008042C3"/>
    <w:rsid w:val="0080656E"/>
    <w:rsid w:val="008155D6"/>
    <w:rsid w:val="008247DC"/>
    <w:rsid w:val="00825739"/>
    <w:rsid w:val="00825ADD"/>
    <w:rsid w:val="008273BB"/>
    <w:rsid w:val="00834030"/>
    <w:rsid w:val="00834BDF"/>
    <w:rsid w:val="008416C9"/>
    <w:rsid w:val="008417FD"/>
    <w:rsid w:val="0084346A"/>
    <w:rsid w:val="00843A88"/>
    <w:rsid w:val="00845B84"/>
    <w:rsid w:val="00851C8D"/>
    <w:rsid w:val="0085373A"/>
    <w:rsid w:val="008572A1"/>
    <w:rsid w:val="00860E61"/>
    <w:rsid w:val="00864840"/>
    <w:rsid w:val="00866584"/>
    <w:rsid w:val="008667B3"/>
    <w:rsid w:val="008673CB"/>
    <w:rsid w:val="00875662"/>
    <w:rsid w:val="00884A1C"/>
    <w:rsid w:val="008870B2"/>
    <w:rsid w:val="008902BC"/>
    <w:rsid w:val="00890331"/>
    <w:rsid w:val="00896E8B"/>
    <w:rsid w:val="008973F6"/>
    <w:rsid w:val="008A0EB4"/>
    <w:rsid w:val="008A20C1"/>
    <w:rsid w:val="008A4F2E"/>
    <w:rsid w:val="008B5A33"/>
    <w:rsid w:val="008B6D71"/>
    <w:rsid w:val="008C3769"/>
    <w:rsid w:val="008C3B6D"/>
    <w:rsid w:val="008C5416"/>
    <w:rsid w:val="008C5822"/>
    <w:rsid w:val="008D2443"/>
    <w:rsid w:val="008D2C49"/>
    <w:rsid w:val="008D6966"/>
    <w:rsid w:val="008D6E7B"/>
    <w:rsid w:val="008D795C"/>
    <w:rsid w:val="008E0BE5"/>
    <w:rsid w:val="008E7DC7"/>
    <w:rsid w:val="008F0188"/>
    <w:rsid w:val="008F12F4"/>
    <w:rsid w:val="008F1DEE"/>
    <w:rsid w:val="008F2A79"/>
    <w:rsid w:val="00900998"/>
    <w:rsid w:val="0090335A"/>
    <w:rsid w:val="00905A42"/>
    <w:rsid w:val="0091075D"/>
    <w:rsid w:val="00915ACB"/>
    <w:rsid w:val="0091729D"/>
    <w:rsid w:val="009226E5"/>
    <w:rsid w:val="00923169"/>
    <w:rsid w:val="00924FDE"/>
    <w:rsid w:val="00926979"/>
    <w:rsid w:val="009269FE"/>
    <w:rsid w:val="009315A6"/>
    <w:rsid w:val="00932820"/>
    <w:rsid w:val="00932AFC"/>
    <w:rsid w:val="00932EA2"/>
    <w:rsid w:val="009339DE"/>
    <w:rsid w:val="009349E0"/>
    <w:rsid w:val="0093701E"/>
    <w:rsid w:val="00937FBE"/>
    <w:rsid w:val="009403ED"/>
    <w:rsid w:val="0094637E"/>
    <w:rsid w:val="00947F60"/>
    <w:rsid w:val="00950829"/>
    <w:rsid w:val="00953B76"/>
    <w:rsid w:val="00962CEF"/>
    <w:rsid w:val="00963649"/>
    <w:rsid w:val="00964B0F"/>
    <w:rsid w:val="00970CEF"/>
    <w:rsid w:val="009812C1"/>
    <w:rsid w:val="00982A7D"/>
    <w:rsid w:val="009836DE"/>
    <w:rsid w:val="00986814"/>
    <w:rsid w:val="00991D4E"/>
    <w:rsid w:val="00992D0A"/>
    <w:rsid w:val="00993560"/>
    <w:rsid w:val="0099705B"/>
    <w:rsid w:val="009A0677"/>
    <w:rsid w:val="009A18ED"/>
    <w:rsid w:val="009A6C9C"/>
    <w:rsid w:val="009B22D5"/>
    <w:rsid w:val="009B493E"/>
    <w:rsid w:val="009B62DF"/>
    <w:rsid w:val="009B752E"/>
    <w:rsid w:val="009C228A"/>
    <w:rsid w:val="009C2950"/>
    <w:rsid w:val="009C353C"/>
    <w:rsid w:val="009C424F"/>
    <w:rsid w:val="009C58EC"/>
    <w:rsid w:val="009C710A"/>
    <w:rsid w:val="009D4855"/>
    <w:rsid w:val="009D7B92"/>
    <w:rsid w:val="009E0F80"/>
    <w:rsid w:val="009E1E92"/>
    <w:rsid w:val="009E2DD7"/>
    <w:rsid w:val="009E4E59"/>
    <w:rsid w:val="009E5E1B"/>
    <w:rsid w:val="009F7F3E"/>
    <w:rsid w:val="00A001F4"/>
    <w:rsid w:val="00A01705"/>
    <w:rsid w:val="00A02A9A"/>
    <w:rsid w:val="00A04868"/>
    <w:rsid w:val="00A11B6E"/>
    <w:rsid w:val="00A11D3D"/>
    <w:rsid w:val="00A16DCD"/>
    <w:rsid w:val="00A1790F"/>
    <w:rsid w:val="00A24361"/>
    <w:rsid w:val="00A25815"/>
    <w:rsid w:val="00A275E4"/>
    <w:rsid w:val="00A33AD7"/>
    <w:rsid w:val="00A3760C"/>
    <w:rsid w:val="00A4020E"/>
    <w:rsid w:val="00A42BFF"/>
    <w:rsid w:val="00A4793D"/>
    <w:rsid w:val="00A55447"/>
    <w:rsid w:val="00A5644E"/>
    <w:rsid w:val="00A570CE"/>
    <w:rsid w:val="00A66AE8"/>
    <w:rsid w:val="00A67F4F"/>
    <w:rsid w:val="00A70092"/>
    <w:rsid w:val="00A728A1"/>
    <w:rsid w:val="00A757D8"/>
    <w:rsid w:val="00A820AA"/>
    <w:rsid w:val="00A877E0"/>
    <w:rsid w:val="00A90133"/>
    <w:rsid w:val="00A91848"/>
    <w:rsid w:val="00A92B87"/>
    <w:rsid w:val="00A967A3"/>
    <w:rsid w:val="00A96E01"/>
    <w:rsid w:val="00AB6030"/>
    <w:rsid w:val="00AC0A31"/>
    <w:rsid w:val="00AC43CD"/>
    <w:rsid w:val="00AC6A98"/>
    <w:rsid w:val="00AC7FAF"/>
    <w:rsid w:val="00AD0151"/>
    <w:rsid w:val="00AD3056"/>
    <w:rsid w:val="00AD6CD7"/>
    <w:rsid w:val="00AD72A0"/>
    <w:rsid w:val="00AE07F5"/>
    <w:rsid w:val="00AE1B2C"/>
    <w:rsid w:val="00AE21DC"/>
    <w:rsid w:val="00AE28D1"/>
    <w:rsid w:val="00AE340E"/>
    <w:rsid w:val="00AE42B5"/>
    <w:rsid w:val="00AE5FD2"/>
    <w:rsid w:val="00AE7042"/>
    <w:rsid w:val="00AF047C"/>
    <w:rsid w:val="00AF1884"/>
    <w:rsid w:val="00AF496C"/>
    <w:rsid w:val="00AF4A0B"/>
    <w:rsid w:val="00AF4C35"/>
    <w:rsid w:val="00AF5198"/>
    <w:rsid w:val="00AF53CA"/>
    <w:rsid w:val="00B01095"/>
    <w:rsid w:val="00B042AC"/>
    <w:rsid w:val="00B0713D"/>
    <w:rsid w:val="00B16114"/>
    <w:rsid w:val="00B16721"/>
    <w:rsid w:val="00B170F0"/>
    <w:rsid w:val="00B219E9"/>
    <w:rsid w:val="00B224A2"/>
    <w:rsid w:val="00B2299B"/>
    <w:rsid w:val="00B245D6"/>
    <w:rsid w:val="00B24A53"/>
    <w:rsid w:val="00B27063"/>
    <w:rsid w:val="00B3005A"/>
    <w:rsid w:val="00B33178"/>
    <w:rsid w:val="00B35C3F"/>
    <w:rsid w:val="00B41546"/>
    <w:rsid w:val="00B468E1"/>
    <w:rsid w:val="00B47BF3"/>
    <w:rsid w:val="00B503B0"/>
    <w:rsid w:val="00B51222"/>
    <w:rsid w:val="00B51746"/>
    <w:rsid w:val="00B54E52"/>
    <w:rsid w:val="00B57876"/>
    <w:rsid w:val="00B630E7"/>
    <w:rsid w:val="00B63E92"/>
    <w:rsid w:val="00B647A1"/>
    <w:rsid w:val="00B65C4C"/>
    <w:rsid w:val="00B70B99"/>
    <w:rsid w:val="00B745CB"/>
    <w:rsid w:val="00B74A2E"/>
    <w:rsid w:val="00B75CDC"/>
    <w:rsid w:val="00B80582"/>
    <w:rsid w:val="00B807C2"/>
    <w:rsid w:val="00B80B75"/>
    <w:rsid w:val="00B81CFB"/>
    <w:rsid w:val="00B853DD"/>
    <w:rsid w:val="00B85414"/>
    <w:rsid w:val="00B85987"/>
    <w:rsid w:val="00B87141"/>
    <w:rsid w:val="00B90FB4"/>
    <w:rsid w:val="00B92448"/>
    <w:rsid w:val="00B96188"/>
    <w:rsid w:val="00B97B06"/>
    <w:rsid w:val="00BA0606"/>
    <w:rsid w:val="00BA147E"/>
    <w:rsid w:val="00BA2254"/>
    <w:rsid w:val="00BA2370"/>
    <w:rsid w:val="00BA3C1A"/>
    <w:rsid w:val="00BA4767"/>
    <w:rsid w:val="00BB5E6D"/>
    <w:rsid w:val="00BB6843"/>
    <w:rsid w:val="00BB6BCC"/>
    <w:rsid w:val="00BB757D"/>
    <w:rsid w:val="00BC11FE"/>
    <w:rsid w:val="00BC2CA6"/>
    <w:rsid w:val="00BC321C"/>
    <w:rsid w:val="00BC441E"/>
    <w:rsid w:val="00BC6CBE"/>
    <w:rsid w:val="00BC7E9E"/>
    <w:rsid w:val="00BD25DC"/>
    <w:rsid w:val="00BD5250"/>
    <w:rsid w:val="00BD5988"/>
    <w:rsid w:val="00BD5A23"/>
    <w:rsid w:val="00BE3666"/>
    <w:rsid w:val="00BE7235"/>
    <w:rsid w:val="00BE7BEC"/>
    <w:rsid w:val="00BF410E"/>
    <w:rsid w:val="00BF6DCE"/>
    <w:rsid w:val="00BF7E6F"/>
    <w:rsid w:val="00C0012F"/>
    <w:rsid w:val="00C00DC4"/>
    <w:rsid w:val="00C03394"/>
    <w:rsid w:val="00C03753"/>
    <w:rsid w:val="00C04E89"/>
    <w:rsid w:val="00C11EAA"/>
    <w:rsid w:val="00C1266D"/>
    <w:rsid w:val="00C12A33"/>
    <w:rsid w:val="00C12A7C"/>
    <w:rsid w:val="00C12F46"/>
    <w:rsid w:val="00C14A58"/>
    <w:rsid w:val="00C14B25"/>
    <w:rsid w:val="00C1603A"/>
    <w:rsid w:val="00C16F2F"/>
    <w:rsid w:val="00C17FC9"/>
    <w:rsid w:val="00C20A38"/>
    <w:rsid w:val="00C22C5A"/>
    <w:rsid w:val="00C238F1"/>
    <w:rsid w:val="00C3032D"/>
    <w:rsid w:val="00C30EE6"/>
    <w:rsid w:val="00C31474"/>
    <w:rsid w:val="00C31944"/>
    <w:rsid w:val="00C3365E"/>
    <w:rsid w:val="00C4056B"/>
    <w:rsid w:val="00C41281"/>
    <w:rsid w:val="00C431E7"/>
    <w:rsid w:val="00C44D60"/>
    <w:rsid w:val="00C4572A"/>
    <w:rsid w:val="00C45E3F"/>
    <w:rsid w:val="00C45FE9"/>
    <w:rsid w:val="00C46869"/>
    <w:rsid w:val="00C543AC"/>
    <w:rsid w:val="00C63EB3"/>
    <w:rsid w:val="00C71FCB"/>
    <w:rsid w:val="00C7364A"/>
    <w:rsid w:val="00C73F6E"/>
    <w:rsid w:val="00C76267"/>
    <w:rsid w:val="00C80596"/>
    <w:rsid w:val="00C83442"/>
    <w:rsid w:val="00C85155"/>
    <w:rsid w:val="00C85338"/>
    <w:rsid w:val="00C95BA2"/>
    <w:rsid w:val="00CA3E03"/>
    <w:rsid w:val="00CA7520"/>
    <w:rsid w:val="00CB3707"/>
    <w:rsid w:val="00CB6622"/>
    <w:rsid w:val="00CB684C"/>
    <w:rsid w:val="00CC23E0"/>
    <w:rsid w:val="00CC28C0"/>
    <w:rsid w:val="00CC6BD3"/>
    <w:rsid w:val="00CD5A4A"/>
    <w:rsid w:val="00CD6BB9"/>
    <w:rsid w:val="00CD6FCC"/>
    <w:rsid w:val="00CE21C5"/>
    <w:rsid w:val="00CE3ECC"/>
    <w:rsid w:val="00CF6F15"/>
    <w:rsid w:val="00CF707E"/>
    <w:rsid w:val="00D06ACE"/>
    <w:rsid w:val="00D10AB0"/>
    <w:rsid w:val="00D16E02"/>
    <w:rsid w:val="00D178BA"/>
    <w:rsid w:val="00D17E3F"/>
    <w:rsid w:val="00D221E8"/>
    <w:rsid w:val="00D231BE"/>
    <w:rsid w:val="00D24214"/>
    <w:rsid w:val="00D24246"/>
    <w:rsid w:val="00D2495C"/>
    <w:rsid w:val="00D250D2"/>
    <w:rsid w:val="00D2529F"/>
    <w:rsid w:val="00D26D8A"/>
    <w:rsid w:val="00D30360"/>
    <w:rsid w:val="00D30C0E"/>
    <w:rsid w:val="00D321DD"/>
    <w:rsid w:val="00D37C08"/>
    <w:rsid w:val="00D44122"/>
    <w:rsid w:val="00D446CC"/>
    <w:rsid w:val="00D51A4D"/>
    <w:rsid w:val="00D54E6D"/>
    <w:rsid w:val="00D54FF4"/>
    <w:rsid w:val="00D5552E"/>
    <w:rsid w:val="00D55D60"/>
    <w:rsid w:val="00D56C1A"/>
    <w:rsid w:val="00D56EC3"/>
    <w:rsid w:val="00D61559"/>
    <w:rsid w:val="00D66D61"/>
    <w:rsid w:val="00D71A17"/>
    <w:rsid w:val="00D71CD7"/>
    <w:rsid w:val="00D7524C"/>
    <w:rsid w:val="00D755A8"/>
    <w:rsid w:val="00D75E29"/>
    <w:rsid w:val="00D77288"/>
    <w:rsid w:val="00D819AA"/>
    <w:rsid w:val="00D85166"/>
    <w:rsid w:val="00D9339B"/>
    <w:rsid w:val="00D93755"/>
    <w:rsid w:val="00D95938"/>
    <w:rsid w:val="00DA20E3"/>
    <w:rsid w:val="00DA631C"/>
    <w:rsid w:val="00DB3CAE"/>
    <w:rsid w:val="00DB5CB5"/>
    <w:rsid w:val="00DC6F92"/>
    <w:rsid w:val="00DC7788"/>
    <w:rsid w:val="00DE2565"/>
    <w:rsid w:val="00DE436B"/>
    <w:rsid w:val="00DE4D23"/>
    <w:rsid w:val="00DE5234"/>
    <w:rsid w:val="00DF0481"/>
    <w:rsid w:val="00DF2D61"/>
    <w:rsid w:val="00E01494"/>
    <w:rsid w:val="00E02925"/>
    <w:rsid w:val="00E0326C"/>
    <w:rsid w:val="00E04D53"/>
    <w:rsid w:val="00E05009"/>
    <w:rsid w:val="00E11293"/>
    <w:rsid w:val="00E12ED9"/>
    <w:rsid w:val="00E17269"/>
    <w:rsid w:val="00E17EC5"/>
    <w:rsid w:val="00E20A1D"/>
    <w:rsid w:val="00E21C9F"/>
    <w:rsid w:val="00E2737E"/>
    <w:rsid w:val="00E2737F"/>
    <w:rsid w:val="00E3014C"/>
    <w:rsid w:val="00E307D4"/>
    <w:rsid w:val="00E30B44"/>
    <w:rsid w:val="00E3290A"/>
    <w:rsid w:val="00E40F80"/>
    <w:rsid w:val="00E41036"/>
    <w:rsid w:val="00E41580"/>
    <w:rsid w:val="00E42300"/>
    <w:rsid w:val="00E431CA"/>
    <w:rsid w:val="00E43285"/>
    <w:rsid w:val="00E46ADB"/>
    <w:rsid w:val="00E47CE4"/>
    <w:rsid w:val="00E505C8"/>
    <w:rsid w:val="00E51B84"/>
    <w:rsid w:val="00E55352"/>
    <w:rsid w:val="00E618DE"/>
    <w:rsid w:val="00E632E3"/>
    <w:rsid w:val="00E663EC"/>
    <w:rsid w:val="00E66EBE"/>
    <w:rsid w:val="00E67AE1"/>
    <w:rsid w:val="00E70081"/>
    <w:rsid w:val="00E71513"/>
    <w:rsid w:val="00E729CE"/>
    <w:rsid w:val="00E74E46"/>
    <w:rsid w:val="00E77A0D"/>
    <w:rsid w:val="00E8655E"/>
    <w:rsid w:val="00E92092"/>
    <w:rsid w:val="00E96514"/>
    <w:rsid w:val="00E96CC1"/>
    <w:rsid w:val="00EA0EE3"/>
    <w:rsid w:val="00EA20DB"/>
    <w:rsid w:val="00EB1722"/>
    <w:rsid w:val="00EC516C"/>
    <w:rsid w:val="00EC52F1"/>
    <w:rsid w:val="00ED0167"/>
    <w:rsid w:val="00ED17CF"/>
    <w:rsid w:val="00ED2342"/>
    <w:rsid w:val="00ED3FB6"/>
    <w:rsid w:val="00ED4083"/>
    <w:rsid w:val="00EE260E"/>
    <w:rsid w:val="00EE37D3"/>
    <w:rsid w:val="00F04B96"/>
    <w:rsid w:val="00F05AF7"/>
    <w:rsid w:val="00F0738B"/>
    <w:rsid w:val="00F10E7F"/>
    <w:rsid w:val="00F13447"/>
    <w:rsid w:val="00F135FE"/>
    <w:rsid w:val="00F14507"/>
    <w:rsid w:val="00F14875"/>
    <w:rsid w:val="00F165AE"/>
    <w:rsid w:val="00F2309F"/>
    <w:rsid w:val="00F26D85"/>
    <w:rsid w:val="00F27F1C"/>
    <w:rsid w:val="00F30F0B"/>
    <w:rsid w:val="00F3162F"/>
    <w:rsid w:val="00F325C3"/>
    <w:rsid w:val="00F3592F"/>
    <w:rsid w:val="00F36C0E"/>
    <w:rsid w:val="00F37922"/>
    <w:rsid w:val="00F41E0C"/>
    <w:rsid w:val="00F44A50"/>
    <w:rsid w:val="00F53CCE"/>
    <w:rsid w:val="00F54B5E"/>
    <w:rsid w:val="00F55583"/>
    <w:rsid w:val="00F60050"/>
    <w:rsid w:val="00F60F30"/>
    <w:rsid w:val="00F6367D"/>
    <w:rsid w:val="00F64F57"/>
    <w:rsid w:val="00F72A9E"/>
    <w:rsid w:val="00F81BB3"/>
    <w:rsid w:val="00F81FD0"/>
    <w:rsid w:val="00F8410C"/>
    <w:rsid w:val="00F91D59"/>
    <w:rsid w:val="00F930AC"/>
    <w:rsid w:val="00F934FA"/>
    <w:rsid w:val="00F940C8"/>
    <w:rsid w:val="00F978F3"/>
    <w:rsid w:val="00F97A9F"/>
    <w:rsid w:val="00FA02E2"/>
    <w:rsid w:val="00FA111E"/>
    <w:rsid w:val="00FA1576"/>
    <w:rsid w:val="00FB1C7F"/>
    <w:rsid w:val="00FC1148"/>
    <w:rsid w:val="00FC26B9"/>
    <w:rsid w:val="00FC317A"/>
    <w:rsid w:val="00FC4727"/>
    <w:rsid w:val="00FC714D"/>
    <w:rsid w:val="00FD15E6"/>
    <w:rsid w:val="00FD1E6A"/>
    <w:rsid w:val="00FD2674"/>
    <w:rsid w:val="00FD3809"/>
    <w:rsid w:val="00FD452B"/>
    <w:rsid w:val="00FD60C6"/>
    <w:rsid w:val="00FE095F"/>
    <w:rsid w:val="00FE2181"/>
    <w:rsid w:val="00FE3CD9"/>
    <w:rsid w:val="00FE62B1"/>
    <w:rsid w:val="00FF3A85"/>
    <w:rsid w:val="00FF55C0"/>
    <w:rsid w:val="119C225E"/>
    <w:rsid w:val="1D41C2C7"/>
    <w:rsid w:val="261BEB4F"/>
    <w:rsid w:val="28F53F56"/>
    <w:rsid w:val="294CECF2"/>
    <w:rsid w:val="330074B2"/>
    <w:rsid w:val="354B8043"/>
    <w:rsid w:val="364C0B5C"/>
    <w:rsid w:val="3D6CED79"/>
    <w:rsid w:val="4A715EC3"/>
    <w:rsid w:val="4D32AB91"/>
    <w:rsid w:val="696AD845"/>
    <w:rsid w:val="6EA75434"/>
    <w:rsid w:val="723888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7FFDFB"/>
  <w15:chartTrackingRefBased/>
  <w15:docId w15:val="{A90BE3E9-EF41-42E0-B615-8461516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D0"/>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uiPriority w:val="9"/>
    <w:unhideWhenUsed/>
    <w:qFormat/>
    <w:rsid w:val="00F72A9E"/>
    <w:pPr>
      <w:widowControl/>
      <w:numPr>
        <w:numId w:val="15"/>
      </w:numPr>
      <w:pBdr>
        <w:top w:val="single" w:sz="4" w:space="1" w:color="auto"/>
      </w:pBdr>
      <w:tabs>
        <w:tab w:val="left" w:pos="1080"/>
      </w:tabs>
      <w:spacing w:after="200"/>
      <w:ind w:left="360"/>
      <w:contextualSpacing w:val="0"/>
      <w:outlineLvl w:val="1"/>
    </w:pPr>
    <w:rPr>
      <w:rFonts w:ascii="Arial" w:hAnsi="Arial" w:eastAsiaTheme="majorEastAsia" w:cstheme="majorBidi"/>
      <w:b/>
      <w:bCs/>
      <w:sz w:val="24"/>
      <w:szCs w:val="26"/>
      <w:lang w:bidi="en-US"/>
    </w:rPr>
  </w:style>
  <w:style w:type="paragraph" w:styleId="Heading3">
    <w:name w:val="heading 3"/>
    <w:basedOn w:val="Normal"/>
    <w:next w:val="Normal"/>
    <w:link w:val="Heading3Char"/>
    <w:uiPriority w:val="9"/>
    <w:unhideWhenUsed/>
    <w:qFormat/>
    <w:rsid w:val="00467E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2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5D5"/>
    <w:pPr>
      <w:spacing w:after="0" w:line="240" w:lineRule="auto"/>
    </w:pPr>
  </w:style>
  <w:style w:type="character" w:styleId="CommentReference">
    <w:name w:val="annotation reference"/>
    <w:aliases w:val="FR Comment Reference,TSD Comment Reference"/>
    <w:basedOn w:val="DefaultParagraphFont"/>
    <w:uiPriority w:val="99"/>
    <w:unhideWhenUsed/>
    <w:qFormat/>
    <w:rsid w:val="00485281"/>
    <w:rPr>
      <w:sz w:val="16"/>
      <w:szCs w:val="16"/>
    </w:rPr>
  </w:style>
  <w:style w:type="paragraph" w:styleId="CommentText">
    <w:name w:val="annotation text"/>
    <w:basedOn w:val="Normal"/>
    <w:link w:val="CommentTextChar"/>
    <w:uiPriority w:val="99"/>
    <w:unhideWhenUsed/>
    <w:qFormat/>
    <w:rsid w:val="00485281"/>
    <w:rPr>
      <w:sz w:val="20"/>
      <w:szCs w:val="20"/>
    </w:rPr>
  </w:style>
  <w:style w:type="character" w:customStyle="1" w:styleId="CommentTextChar">
    <w:name w:val="Comment Text Char"/>
    <w:basedOn w:val="DefaultParagraphFont"/>
    <w:link w:val="CommentText"/>
    <w:uiPriority w:val="99"/>
    <w:rsid w:val="00485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281"/>
    <w:rPr>
      <w:b/>
      <w:bCs/>
    </w:rPr>
  </w:style>
  <w:style w:type="character" w:customStyle="1" w:styleId="CommentSubjectChar">
    <w:name w:val="Comment Subject Char"/>
    <w:basedOn w:val="CommentTextChar"/>
    <w:link w:val="CommentSubject"/>
    <w:uiPriority w:val="99"/>
    <w:semiHidden/>
    <w:rsid w:val="00485281"/>
    <w:rPr>
      <w:rFonts w:ascii="Times New Roman" w:eastAsia="Times New Roman" w:hAnsi="Times New Roman" w:cs="Times New Roman"/>
      <w:b/>
      <w:bCs/>
      <w:sz w:val="20"/>
      <w:szCs w:val="20"/>
    </w:rPr>
  </w:style>
  <w:style w:type="character" w:styleId="Hyperlink">
    <w:name w:val="Hyperlink"/>
    <w:basedOn w:val="DefaultParagraphFont"/>
    <w:uiPriority w:val="99"/>
    <w:rsid w:val="00536CD8"/>
    <w:rPr>
      <w:color w:val="0000FF"/>
      <w:u w:val="single"/>
    </w:rPr>
  </w:style>
  <w:style w:type="paragraph" w:styleId="ListParagraph">
    <w:name w:val="List Paragraph"/>
    <w:aliases w:val="3,Bullet,Bullet 1,Bullet Points,Dot pt,F5 List Paragraph,FR List Paragraph,Indicator Text,Issue Action POC,List Paragraph Char Char Char,List Paragraph2,MAIN CONTENT,Normal numbered,Numbered Para 1,POCG Table Text,TSD List Paragraph"/>
    <w:basedOn w:val="Normal"/>
    <w:link w:val="ListParagraphChar"/>
    <w:uiPriority w:val="34"/>
    <w:qFormat/>
    <w:rsid w:val="00384A9C"/>
    <w:pPr>
      <w:widowControl w:val="0"/>
      <w:autoSpaceDE/>
      <w:autoSpaceDN/>
      <w:adjustRightInd/>
      <w:ind w:left="720"/>
      <w:contextualSpacing/>
    </w:pPr>
    <w:rPr>
      <w:sz w:val="20"/>
      <w:szCs w:val="20"/>
    </w:rPr>
  </w:style>
  <w:style w:type="character" w:customStyle="1" w:styleId="ListParagraphChar">
    <w:name w:val="List Paragraph Char"/>
    <w:aliases w:val="3 Char,Bullet 1 Char,Bullet Char,Bullet Points Char,Dot pt Char,F5 List Paragraph Char,FR List Paragraph Char,Indicator Text Char,Issue Action POC Char,List Paragraph Char Char Char Char,List Paragraph2 Char,TSD List Paragraph Char"/>
    <w:basedOn w:val="DefaultParagraphFont"/>
    <w:link w:val="ListParagraph"/>
    <w:uiPriority w:val="34"/>
    <w:rsid w:val="00384A9C"/>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732E"/>
    <w:pPr>
      <w:autoSpaceDE/>
      <w:autoSpaceDN/>
      <w:adjustRightInd/>
      <w:spacing w:before="100" w:beforeAutospacing="1" w:after="100" w:afterAutospacing="1"/>
    </w:pPr>
  </w:style>
  <w:style w:type="paragraph" w:styleId="Header">
    <w:name w:val="header"/>
    <w:basedOn w:val="Normal"/>
    <w:link w:val="HeaderChar"/>
    <w:uiPriority w:val="99"/>
    <w:unhideWhenUsed/>
    <w:rsid w:val="00405F4F"/>
    <w:pPr>
      <w:tabs>
        <w:tab w:val="center" w:pos="4680"/>
        <w:tab w:val="right" w:pos="9360"/>
      </w:tabs>
    </w:pPr>
  </w:style>
  <w:style w:type="character" w:customStyle="1" w:styleId="HeaderChar">
    <w:name w:val="Header Char"/>
    <w:basedOn w:val="DefaultParagraphFont"/>
    <w:link w:val="Header"/>
    <w:uiPriority w:val="99"/>
    <w:rsid w:val="00405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F4F"/>
    <w:pPr>
      <w:tabs>
        <w:tab w:val="center" w:pos="4680"/>
        <w:tab w:val="right" w:pos="9360"/>
      </w:tabs>
    </w:pPr>
  </w:style>
  <w:style w:type="character" w:customStyle="1" w:styleId="FooterChar">
    <w:name w:val="Footer Char"/>
    <w:basedOn w:val="DefaultParagraphFont"/>
    <w:link w:val="Footer"/>
    <w:uiPriority w:val="99"/>
    <w:rsid w:val="00405F4F"/>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552E"/>
    <w:pPr>
      <w:spacing w:after="200"/>
    </w:pPr>
    <w:rPr>
      <w:i/>
      <w:iCs/>
      <w:color w:val="44546A" w:themeColor="text2"/>
      <w:sz w:val="18"/>
      <w:szCs w:val="18"/>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9812C1"/>
    <w:pPr>
      <w:widowControl w:val="0"/>
      <w:autoSpaceDE/>
      <w:autoSpaceDN/>
      <w:adjustRightInd/>
    </w:pPr>
    <w:rPr>
      <w:sz w:val="20"/>
      <w:szCs w:val="20"/>
    </w:rPr>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9812C1"/>
    <w:rPr>
      <w:rFonts w:ascii="Times New Roman" w:eastAsia="Times New Roman" w:hAnsi="Times New Roman" w:cs="Times New Roman"/>
      <w:sz w:val="20"/>
      <w:szCs w:val="20"/>
    </w:rPr>
  </w:style>
  <w:style w:type="character" w:styleId="FootnoteReference">
    <w:name w:val="footnote reference"/>
    <w:aliases w:val="FR Footnote Reference,TSD Footnote Reference"/>
    <w:basedOn w:val="DefaultParagraphFont"/>
    <w:uiPriority w:val="99"/>
    <w:qFormat/>
    <w:rsid w:val="009812C1"/>
    <w:rPr>
      <w:vertAlign w:val="superscript"/>
    </w:rPr>
  </w:style>
  <w:style w:type="character" w:customStyle="1" w:styleId="Heading2Char">
    <w:name w:val="Heading 2 Char"/>
    <w:basedOn w:val="DefaultParagraphFont"/>
    <w:link w:val="Heading2"/>
    <w:uiPriority w:val="9"/>
    <w:rsid w:val="00F72A9E"/>
    <w:rPr>
      <w:rFonts w:ascii="Arial" w:hAnsi="Arial" w:eastAsiaTheme="majorEastAsia" w:cstheme="majorBidi"/>
      <w:b/>
      <w:bCs/>
      <w:sz w:val="24"/>
      <w:szCs w:val="26"/>
      <w:lang w:bidi="en-US"/>
    </w:rPr>
  </w:style>
  <w:style w:type="paragraph" w:customStyle="1" w:styleId="ICR1">
    <w:name w:val="ICR 1"/>
    <w:basedOn w:val="NoSpacing"/>
    <w:link w:val="ICR1Char"/>
    <w:rsid w:val="006B28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67E67"/>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6B28FD"/>
  </w:style>
  <w:style w:type="character" w:customStyle="1" w:styleId="ICR1Char">
    <w:name w:val="ICR 1 Char"/>
    <w:basedOn w:val="NoSpacingChar"/>
    <w:link w:val="ICR1"/>
    <w:rsid w:val="006B28FD"/>
    <w:rPr>
      <w:rFonts w:ascii="Times New Roman" w:hAnsi="Times New Roman" w:cs="Times New Roman"/>
      <w:b/>
      <w:bCs/>
      <w:sz w:val="24"/>
      <w:szCs w:val="24"/>
    </w:rPr>
  </w:style>
  <w:style w:type="paragraph" w:customStyle="1" w:styleId="ICR2">
    <w:name w:val="ICR 2"/>
    <w:basedOn w:val="Heading3"/>
    <w:link w:val="ICR2Char"/>
    <w:qFormat/>
    <w:rsid w:val="009E4E59"/>
    <w:rPr>
      <w:rFonts w:ascii="Times New Roman" w:hAnsi="Times New Roman"/>
      <w:b/>
      <w:color w:val="000000" w:themeColor="text1"/>
    </w:rPr>
  </w:style>
  <w:style w:type="character" w:customStyle="1" w:styleId="Heading4Char">
    <w:name w:val="Heading 4 Char"/>
    <w:basedOn w:val="DefaultParagraphFont"/>
    <w:link w:val="Heading4"/>
    <w:uiPriority w:val="9"/>
    <w:rsid w:val="00FD2674"/>
    <w:rPr>
      <w:rFonts w:asciiTheme="majorHAnsi" w:eastAsiaTheme="majorEastAsia" w:hAnsiTheme="majorHAnsi" w:cstheme="majorBidi"/>
      <w:i/>
      <w:iCs/>
      <w:color w:val="2F5496" w:themeColor="accent1" w:themeShade="BF"/>
      <w:sz w:val="24"/>
      <w:szCs w:val="24"/>
    </w:rPr>
  </w:style>
  <w:style w:type="character" w:customStyle="1" w:styleId="ICR2Char">
    <w:name w:val="ICR 2 Char"/>
    <w:basedOn w:val="Heading3Char"/>
    <w:link w:val="ICR2"/>
    <w:rsid w:val="009E4E59"/>
    <w:rPr>
      <w:rFonts w:ascii="Times New Roman" w:hAnsi="Times New Roman" w:eastAsiaTheme="majorEastAsia" w:cstheme="majorBidi"/>
      <w:b/>
      <w:color w:val="000000" w:themeColor="text1"/>
      <w:sz w:val="24"/>
      <w:szCs w:val="24"/>
    </w:rPr>
  </w:style>
  <w:style w:type="paragraph" w:customStyle="1" w:styleId="ICR3">
    <w:name w:val="ICR 3"/>
    <w:basedOn w:val="Heading4"/>
    <w:link w:val="ICR3Char"/>
    <w:qFormat/>
    <w:rsid w:val="000A0844"/>
    <w:rPr>
      <w:rFonts w:ascii="Times New Roman" w:hAnsi="Times New Roman"/>
      <w:b/>
      <w:i w:val="0"/>
      <w:color w:val="000000" w:themeColor="text1"/>
    </w:rPr>
  </w:style>
  <w:style w:type="character" w:customStyle="1" w:styleId="ICR3Char">
    <w:name w:val="ICR 3 Char"/>
    <w:basedOn w:val="Heading4Char"/>
    <w:link w:val="ICR3"/>
    <w:rsid w:val="000A0844"/>
    <w:rPr>
      <w:rFonts w:ascii="Times New Roman" w:hAnsi="Times New Roman" w:eastAsiaTheme="majorEastAsia" w:cstheme="majorBidi"/>
      <w:b/>
      <w:i w:val="0"/>
      <w:iCs/>
      <w:color w:val="000000" w:themeColor="text1"/>
      <w:sz w:val="24"/>
      <w:szCs w:val="24"/>
    </w:rPr>
  </w:style>
  <w:style w:type="paragraph" w:customStyle="1" w:styleId="Style6">
    <w:name w:val="Style 6"/>
    <w:basedOn w:val="Normal"/>
    <w:rsid w:val="00DE4D23"/>
    <w:pPr>
      <w:widowControl w:val="0"/>
      <w:adjustRightInd/>
      <w:jc w:val="both"/>
    </w:pPr>
  </w:style>
  <w:style w:type="paragraph" w:customStyle="1" w:styleId="FRBodyText">
    <w:name w:val="FR Body Text"/>
    <w:qFormat/>
    <w:rsid w:val="006A5638"/>
    <w:pPr>
      <w:spacing w:line="240" w:lineRule="auto"/>
      <w:ind w:firstLine="288"/>
    </w:pPr>
    <w:rPr>
      <w:rFonts w:ascii="Times New Roman" w:hAnsi="Times New Roman"/>
      <w:sz w:val="24"/>
    </w:rPr>
  </w:style>
  <w:style w:type="paragraph" w:customStyle="1" w:styleId="FRTableText">
    <w:name w:val="FR Table Text"/>
    <w:uiPriority w:val="3"/>
    <w:qFormat/>
    <w:rsid w:val="008D6E7B"/>
    <w:pPr>
      <w:suppressAutoHyphens/>
      <w:spacing w:after="0" w:line="240" w:lineRule="auto"/>
    </w:pPr>
    <w:rPr>
      <w:rFonts w:eastAsia="Times New Roman" w:cs="Times New Roman"/>
      <w:sz w:val="20"/>
      <w:szCs w:val="24"/>
      <w:lang w:eastAsia="ar-SA"/>
    </w:rPr>
  </w:style>
  <w:style w:type="character" w:customStyle="1" w:styleId="FRSuperscript">
    <w:name w:val="FR Superscript"/>
    <w:uiPriority w:val="1"/>
    <w:qFormat/>
    <w:rsid w:val="008D6E7B"/>
    <w:rPr>
      <w:vertAlign w:val="superscript"/>
    </w:rPr>
  </w:style>
  <w:style w:type="table" w:styleId="TableGrid">
    <w:name w:val="Table Grid"/>
    <w:aliases w:val="SGS Table Basic 1,Table Preamble,Table RIA,Table RIA1"/>
    <w:basedOn w:val="TableNormal"/>
    <w:uiPriority w:val="39"/>
    <w:rsid w:val="008D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C6CB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6005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D75E29"/>
    <w:pPr>
      <w:autoSpaceDE/>
      <w:autoSpaceDN/>
      <w:adjustRightInd/>
      <w:spacing w:after="120"/>
      <w:ind w:firstLine="288"/>
    </w:pPr>
    <w:rPr>
      <w:rFonts w:eastAsiaTheme="minorHAnsi" w:cstheme="minorBidi"/>
      <w:szCs w:val="22"/>
    </w:rPr>
  </w:style>
  <w:style w:type="character" w:customStyle="1" w:styleId="BodyTextChar">
    <w:name w:val="Body Text Char"/>
    <w:basedOn w:val="DefaultParagraphFont"/>
    <w:link w:val="BodyText"/>
    <w:uiPriority w:val="99"/>
    <w:rsid w:val="00D75E29"/>
    <w:rPr>
      <w:rFonts w:ascii="Times New Roman" w:hAnsi="Times New Roman"/>
      <w:sz w:val="24"/>
    </w:rPr>
  </w:style>
  <w:style w:type="character" w:styleId="FollowedHyperlink">
    <w:name w:val="FollowedHyperlink"/>
    <w:basedOn w:val="DefaultParagraphFont"/>
    <w:uiPriority w:val="99"/>
    <w:semiHidden/>
    <w:unhideWhenUsed/>
    <w:rsid w:val="009C3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16/may/naics4_333600.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regulations-emissions-vehicles-and-engines/final-rule-greenhouse-gas-emissions-standards-heavy-duty" TargetMode="External" /><Relationship Id="rId2"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2023-01-23T17:29:36+00:00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E7612CE799EB49BAE0DFA2F79F907F" ma:contentTypeVersion="6" ma:contentTypeDescription="Create a new document." ma:contentTypeScope="" ma:versionID="e0b1066941467a0694e1e783d376356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1056f76-b33d-4bbd-8b35-2a981a88f749" targetNamespace="http://schemas.microsoft.com/office/2006/metadata/properties" ma:root="true" ma:fieldsID="4bb9a6720009686d62e229f7328010e3" ns1:_="" ns2:_="" ns3:_="" ns4:_="" ns5:_="">
    <xsd:import namespace="http://schemas.microsoft.com/sharepoint/v3"/>
    <xsd:import namespace="4ffa91fb-a0ff-4ac5-b2db-65c790d184a4"/>
    <xsd:import namespace="http://schemas.microsoft.com/sharepoint.v3"/>
    <xsd:import namespace="http://schemas.microsoft.com/sharepoint/v3/fields"/>
    <xsd:import namespace="b1056f76-b33d-4bbd-8b35-2a981a88f74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77c0512-60b4-44af-924f-1626c4c4a335}" ma:internalName="TaxCatchAllLabel" ma:readOnly="true" ma:showField="CatchAllDataLabel" ma:web="1525e689-b1ed-4e8f-b727-e28e9800851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77c0512-60b4-44af-924f-1626c4c4a335}" ma:internalName="TaxCatchAll" ma:showField="CatchAllData" ma:web="1525e689-b1ed-4e8f-b727-e28e980085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56f76-b33d-4bbd-8b35-2a981a88f74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98FE-4AF2-4E57-91ED-A1F66CB6BDFE}">
  <ds:schemaRefs>
    <ds:schemaRef ds:uri="http://schemas.microsoft.com/office/infopath/2007/PartnerControls"/>
    <ds:schemaRef ds:uri="http://purl.org/dc/dcmitype/"/>
    <ds:schemaRef ds:uri="http://purl.org/dc/terms/"/>
    <ds:schemaRef ds:uri="http://schemas.microsoft.com/sharepoint.v3"/>
    <ds:schemaRef ds:uri="http://schemas.microsoft.com/office/2006/metadata/properties"/>
    <ds:schemaRef ds:uri="http://schemas.microsoft.com/office/2006/documentManagement/types"/>
    <ds:schemaRef ds:uri="http://www.w3.org/XML/1998/namespace"/>
    <ds:schemaRef ds:uri="http://purl.org/dc/elements/1.1/"/>
    <ds:schemaRef ds:uri="b1056f76-b33d-4bbd-8b35-2a981a88f749"/>
    <ds:schemaRef ds:uri="http://schemas.microsoft.com/sharepoint/v3"/>
    <ds:schemaRef ds:uri="http://schemas.openxmlformats.org/package/2006/metadata/core-properties"/>
    <ds:schemaRef ds:uri="http://schemas.microsoft.com/sharepoint/v3/fields"/>
    <ds:schemaRef ds:uri="4ffa91fb-a0ff-4ac5-b2db-65c790d184a4"/>
  </ds:schemaRefs>
</ds:datastoreItem>
</file>

<file path=customXml/itemProps2.xml><?xml version="1.0" encoding="utf-8"?>
<ds:datastoreItem xmlns:ds="http://schemas.openxmlformats.org/officeDocument/2006/customXml" ds:itemID="{37E4D916-8167-4A8C-82A9-429CB281EF30}">
  <ds:schemaRefs>
    <ds:schemaRef ds:uri="http://schemas.openxmlformats.org/officeDocument/2006/bibliography"/>
  </ds:schemaRefs>
</ds:datastoreItem>
</file>

<file path=customXml/itemProps3.xml><?xml version="1.0" encoding="utf-8"?>
<ds:datastoreItem xmlns:ds="http://schemas.openxmlformats.org/officeDocument/2006/customXml" ds:itemID="{0C380CAC-F7AD-4F8B-86B2-327DE65A8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1056f76-b33d-4bbd-8b35-2a981a88f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31A90-13F7-4718-89BC-F8CF16158434}">
  <ds:schemaRefs>
    <ds:schemaRef ds:uri="Microsoft.SharePoint.Taxonomy.ContentTypeSync"/>
  </ds:schemaRefs>
</ds:datastoreItem>
</file>

<file path=customXml/itemProps5.xml><?xml version="1.0" encoding="utf-8"?>
<ds:datastoreItem xmlns:ds="http://schemas.openxmlformats.org/officeDocument/2006/customXml" ds:itemID="{9AE0F1A4-5B55-449C-A565-801EDBFA3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5034</Words>
  <Characters>28952</Characters>
  <Application>Microsoft Office Word</Application>
  <DocSecurity>0</DocSecurity>
  <Lines>2227</Lines>
  <Paragraphs>1307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Revelt, Jean Marie</dc:creator>
  <cp:lastModifiedBy>Bernales, Barbara</cp:lastModifiedBy>
  <cp:revision>2</cp:revision>
  <dcterms:created xsi:type="dcterms:W3CDTF">2025-06-23T16:13:00Z</dcterms:created>
  <dcterms:modified xsi:type="dcterms:W3CDTF">2025-06-23T16:13:00Z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0x010100B5E7612CE799EB49BAE0DFA2F79F907F</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