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28411FA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6567AF11" w14:textId="08341876">
      <w:pPr>
        <w:jc w:val="center"/>
        <w:rPr>
          <w:rFonts w:asciiTheme="majorHAnsi" w:hAnsiTheme="majorHAnsi"/>
          <w:sz w:val="24"/>
        </w:rPr>
      </w:pPr>
      <w:r>
        <w:rPr>
          <w:rFonts w:asciiTheme="majorHAnsi" w:hAnsiTheme="majorHAnsi"/>
          <w:sz w:val="24"/>
        </w:rPr>
        <w:t xml:space="preserve">Safety </w:t>
      </w:r>
      <w:r>
        <w:rPr>
          <w:rFonts w:asciiTheme="majorHAnsi" w:hAnsiTheme="majorHAnsi"/>
          <w:sz w:val="24"/>
        </w:rPr>
        <w:t>Standard for Clothing Storage Units</w:t>
      </w:r>
      <w:r>
        <w:rPr>
          <w:rFonts w:asciiTheme="majorHAnsi" w:hAnsiTheme="majorHAnsi"/>
          <w:sz w:val="24"/>
        </w:rPr>
        <w:br/>
      </w:r>
      <w:r w:rsidRPr="00FC0D78">
        <w:rPr>
          <w:rFonts w:asciiTheme="majorHAnsi" w:hAnsiTheme="majorHAnsi"/>
          <w:sz w:val="24"/>
        </w:rPr>
        <w:t>OMB Control Number</w:t>
      </w:r>
      <w:r w:rsidR="00D26D84">
        <w:rPr>
          <w:rFonts w:asciiTheme="majorHAnsi" w:hAnsiTheme="majorHAnsi"/>
          <w:sz w:val="24"/>
        </w:rPr>
        <w:t xml:space="preserve"> 3041-0191</w:t>
      </w:r>
    </w:p>
    <w:p w:rsidR="00340D9B" w:rsidRPr="00340D9B" w:rsidP="002D7713" w14:paraId="55B40CDF" w14:textId="77777777">
      <w:pPr>
        <w:pStyle w:val="ListParagraph"/>
        <w:spacing w:after="0" w:line="240" w:lineRule="auto"/>
        <w:rPr>
          <w:rFonts w:asciiTheme="majorHAnsi" w:hAnsiTheme="majorHAnsi"/>
          <w:sz w:val="24"/>
        </w:rPr>
      </w:pPr>
    </w:p>
    <w:p w:rsidR="005C7428" w:rsidP="006E563D" w14:paraId="03DAA20B"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FC0D78" w:rsidRPr="0085688C" w:rsidP="006E563D" w14:paraId="75873E8F" w14:textId="77777777">
      <w:pPr>
        <w:spacing w:after="0" w:line="240" w:lineRule="auto"/>
        <w:rPr>
          <w:rFonts w:asciiTheme="majorHAnsi" w:hAnsiTheme="majorHAnsi"/>
          <w:sz w:val="24"/>
        </w:rPr>
      </w:pPr>
    </w:p>
    <w:p w:rsidR="00494D7B" w:rsidP="006E563D" w14:paraId="42E6E2B7" w14:textId="481EEC48">
      <w:pPr>
        <w:spacing w:after="0" w:line="240" w:lineRule="auto"/>
        <w:rPr>
          <w:rFonts w:asciiTheme="majorHAnsi" w:hAnsiTheme="majorHAnsi"/>
          <w:sz w:val="24"/>
        </w:rPr>
      </w:pPr>
      <w:r>
        <w:rPr>
          <w:rFonts w:asciiTheme="majorHAnsi" w:hAnsiTheme="majorHAnsi"/>
          <w:sz w:val="24"/>
        </w:rPr>
        <w:t xml:space="preserve">Enacted in 2022, the STURDY law (15 U.S.C. </w:t>
      </w:r>
      <w:r w:rsidR="008F1252">
        <w:rPr>
          <w:rFonts w:asciiTheme="majorHAnsi" w:hAnsiTheme="majorHAnsi"/>
          <w:sz w:val="24"/>
        </w:rPr>
        <w:t>2056f) dire</w:t>
      </w:r>
      <w:r w:rsidR="007323DF">
        <w:rPr>
          <w:rFonts w:asciiTheme="majorHAnsi" w:hAnsiTheme="majorHAnsi"/>
          <w:sz w:val="24"/>
        </w:rPr>
        <w:t xml:space="preserve">cts </w:t>
      </w:r>
      <w:r w:rsidR="00FB02BA">
        <w:rPr>
          <w:rFonts w:asciiTheme="majorHAnsi" w:hAnsiTheme="majorHAnsi"/>
          <w:sz w:val="24"/>
        </w:rPr>
        <w:t>the U.S. Consumer Product Safety Commission (</w:t>
      </w:r>
      <w:r w:rsidR="007323DF">
        <w:rPr>
          <w:rFonts w:asciiTheme="majorHAnsi" w:hAnsiTheme="majorHAnsi"/>
          <w:sz w:val="24"/>
        </w:rPr>
        <w:t>CPSC</w:t>
      </w:r>
      <w:r w:rsidR="00FB02BA">
        <w:rPr>
          <w:rFonts w:asciiTheme="majorHAnsi" w:hAnsiTheme="majorHAnsi"/>
          <w:sz w:val="24"/>
        </w:rPr>
        <w:t xml:space="preserve"> or Commission) </w:t>
      </w:r>
      <w:r w:rsidR="007323DF">
        <w:rPr>
          <w:rFonts w:asciiTheme="majorHAnsi" w:hAnsiTheme="majorHAnsi"/>
          <w:sz w:val="24"/>
        </w:rPr>
        <w:t>to promulgate rulemaking for clothing storage units</w:t>
      </w:r>
      <w:r w:rsidR="00FB02BA">
        <w:rPr>
          <w:rFonts w:asciiTheme="majorHAnsi" w:hAnsiTheme="majorHAnsi"/>
          <w:sz w:val="24"/>
        </w:rPr>
        <w:t xml:space="preserve"> (CSUs)</w:t>
      </w:r>
      <w:r w:rsidR="007323DF">
        <w:rPr>
          <w:rFonts w:asciiTheme="majorHAnsi" w:hAnsiTheme="majorHAnsi"/>
          <w:sz w:val="24"/>
        </w:rPr>
        <w:t xml:space="preserve">. </w:t>
      </w:r>
      <w:r w:rsidR="00D653E0">
        <w:rPr>
          <w:rFonts w:asciiTheme="majorHAnsi" w:hAnsiTheme="majorHAnsi"/>
          <w:sz w:val="24"/>
        </w:rPr>
        <w:t xml:space="preserve">A </w:t>
      </w:r>
      <w:r w:rsidR="00E71378">
        <w:rPr>
          <w:rFonts w:asciiTheme="majorHAnsi" w:hAnsiTheme="majorHAnsi"/>
          <w:sz w:val="24"/>
        </w:rPr>
        <w:t>CSU</w:t>
      </w:r>
      <w:r w:rsidR="00D653E0">
        <w:rPr>
          <w:rFonts w:asciiTheme="majorHAnsi" w:hAnsiTheme="majorHAnsi"/>
          <w:sz w:val="24"/>
        </w:rPr>
        <w:t xml:space="preserve"> is defined as a “</w:t>
      </w:r>
      <w:r w:rsidRPr="00D51142" w:rsidR="00D51142">
        <w:rPr>
          <w:rFonts w:asciiTheme="majorHAnsi" w:hAnsiTheme="majorHAnsi"/>
          <w:sz w:val="24"/>
        </w:rPr>
        <w:t xml:space="preserve">any free-standing furniture item manufactured in the United States or imported for use in </w:t>
      </w:r>
      <w:r w:rsidRPr="00D51142" w:rsidR="00D51142">
        <w:rPr>
          <w:rFonts w:asciiTheme="majorHAnsi" w:hAnsiTheme="majorHAnsi"/>
          <w:sz w:val="24"/>
        </w:rPr>
        <w:t>the United States that is intended for the storage of clothing, typical of bedroom furniture</w:t>
      </w:r>
      <w:r w:rsidR="00CF01B2">
        <w:rPr>
          <w:rFonts w:asciiTheme="majorHAnsi" w:hAnsiTheme="majorHAnsi"/>
          <w:sz w:val="24"/>
        </w:rPr>
        <w:t xml:space="preserve">.” Pursuant to STURDY, CPSC published a final rule in the </w:t>
      </w:r>
      <w:r w:rsidR="00FE0F57">
        <w:rPr>
          <w:rFonts w:asciiTheme="majorHAnsi" w:hAnsiTheme="majorHAnsi"/>
          <w:sz w:val="24"/>
        </w:rPr>
        <w:t>Federal Register (88 FR 28403</w:t>
      </w:r>
      <w:r w:rsidR="00C37B79">
        <w:rPr>
          <w:rFonts w:asciiTheme="majorHAnsi" w:hAnsiTheme="majorHAnsi"/>
          <w:sz w:val="24"/>
        </w:rPr>
        <w:t>, May 4, 2023</w:t>
      </w:r>
      <w:r w:rsidR="00FE0F57">
        <w:rPr>
          <w:rFonts w:asciiTheme="majorHAnsi" w:hAnsiTheme="majorHAnsi"/>
          <w:sz w:val="24"/>
        </w:rPr>
        <w:t xml:space="preserve">) that incorporates by reference ASTM </w:t>
      </w:r>
      <w:r w:rsidR="00A55E98">
        <w:rPr>
          <w:rFonts w:asciiTheme="majorHAnsi" w:hAnsiTheme="majorHAnsi"/>
          <w:sz w:val="24"/>
        </w:rPr>
        <w:t>F</w:t>
      </w:r>
      <w:r w:rsidR="00FE0F57">
        <w:rPr>
          <w:rFonts w:asciiTheme="majorHAnsi" w:hAnsiTheme="majorHAnsi"/>
          <w:sz w:val="24"/>
        </w:rPr>
        <w:t xml:space="preserve">2057. The </w:t>
      </w:r>
      <w:r w:rsidR="00E30DF8">
        <w:rPr>
          <w:rFonts w:asciiTheme="majorHAnsi" w:hAnsiTheme="majorHAnsi"/>
          <w:sz w:val="24"/>
        </w:rPr>
        <w:t>requirements are codified at 16 CFR part 1261</w:t>
      </w:r>
      <w:r w:rsidR="00F23E99">
        <w:rPr>
          <w:rFonts w:asciiTheme="majorHAnsi" w:hAnsiTheme="majorHAnsi"/>
          <w:sz w:val="24"/>
        </w:rPr>
        <w:t xml:space="preserve"> and include</w:t>
      </w:r>
      <w:r w:rsidR="00D3178F">
        <w:rPr>
          <w:rFonts w:asciiTheme="majorHAnsi" w:hAnsiTheme="majorHAnsi"/>
          <w:sz w:val="24"/>
        </w:rPr>
        <w:t xml:space="preserve"> </w:t>
      </w:r>
      <w:r w:rsidR="00AB4D78">
        <w:rPr>
          <w:rFonts w:asciiTheme="majorHAnsi" w:hAnsiTheme="majorHAnsi"/>
          <w:sz w:val="24"/>
        </w:rPr>
        <w:t>warning labels that contain certain statements and pictograms.</w:t>
      </w:r>
      <w:r w:rsidR="00FB02BA">
        <w:rPr>
          <w:rFonts w:asciiTheme="majorHAnsi" w:hAnsiTheme="majorHAnsi"/>
          <w:sz w:val="24"/>
        </w:rPr>
        <w:t xml:space="preserve"> </w:t>
      </w:r>
      <w:r w:rsidR="00F62F69">
        <w:rPr>
          <w:rFonts w:asciiTheme="majorHAnsi" w:hAnsiTheme="majorHAnsi"/>
          <w:sz w:val="24"/>
        </w:rPr>
        <w:t>These requirements fall within the definition of “collection of information</w:t>
      </w:r>
      <w:r w:rsidR="00AE6FF3">
        <w:rPr>
          <w:rFonts w:asciiTheme="majorHAnsi" w:hAnsiTheme="majorHAnsi"/>
          <w:sz w:val="24"/>
        </w:rPr>
        <w:t>,</w:t>
      </w:r>
      <w:r w:rsidR="00F62F69">
        <w:rPr>
          <w:rFonts w:asciiTheme="majorHAnsi" w:hAnsiTheme="majorHAnsi"/>
          <w:sz w:val="24"/>
        </w:rPr>
        <w:t>”</w:t>
      </w:r>
      <w:r w:rsidR="006F1010">
        <w:rPr>
          <w:rFonts w:asciiTheme="majorHAnsi" w:hAnsiTheme="majorHAnsi"/>
          <w:sz w:val="24"/>
        </w:rPr>
        <w:t xml:space="preserve"> as defined in 44 U.S.C. 3502(3)</w:t>
      </w:r>
      <w:r w:rsidR="00F62F69">
        <w:rPr>
          <w:rFonts w:asciiTheme="majorHAnsi" w:hAnsiTheme="majorHAnsi"/>
          <w:sz w:val="24"/>
        </w:rPr>
        <w:t>.</w:t>
      </w:r>
    </w:p>
    <w:p w:rsidR="006F1010" w:rsidP="006E563D" w14:paraId="58AA3E20" w14:textId="161E41DF">
      <w:pPr>
        <w:spacing w:after="0" w:line="240" w:lineRule="auto"/>
        <w:rPr>
          <w:rFonts w:asciiTheme="majorHAnsi" w:hAnsiTheme="majorHAnsi"/>
          <w:sz w:val="24"/>
        </w:rPr>
      </w:pPr>
    </w:p>
    <w:p w:rsidR="005C7428" w:rsidRPr="0085688C" w:rsidP="006E563D" w14:paraId="3B83F871"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14:paraId="50DEDC2B" w14:textId="77777777">
      <w:pPr>
        <w:spacing w:after="0" w:line="240" w:lineRule="auto"/>
        <w:rPr>
          <w:rFonts w:asciiTheme="majorHAnsi" w:hAnsiTheme="majorHAnsi"/>
          <w:i/>
          <w:sz w:val="24"/>
        </w:rPr>
      </w:pPr>
    </w:p>
    <w:p w:rsidR="00D645B0" w:rsidP="00CA3635" w14:paraId="0AABA49C" w14:textId="176B2C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sidRPr="00CA3635">
        <w:rPr>
          <w:rFonts w:asciiTheme="majorHAnsi" w:hAnsiTheme="majorHAnsi"/>
          <w:sz w:val="24"/>
          <w:szCs w:val="24"/>
        </w:rPr>
        <w:t xml:space="preserve">Identification and labeling requirements provide information to consumers and regulators needed to locate and recall noncomplying products. Identification and labeling requirements include content such as the name and address of the manufacturer. </w:t>
      </w:r>
      <w:r w:rsidR="00B2786D">
        <w:rPr>
          <w:rFonts w:asciiTheme="majorHAnsi" w:hAnsiTheme="majorHAnsi"/>
          <w:sz w:val="24"/>
          <w:szCs w:val="24"/>
        </w:rPr>
        <w:t xml:space="preserve"> </w:t>
      </w:r>
      <w:r w:rsidR="00A36238">
        <w:rPr>
          <w:rFonts w:asciiTheme="majorHAnsi" w:hAnsiTheme="majorHAnsi"/>
          <w:sz w:val="24"/>
          <w:szCs w:val="24"/>
        </w:rPr>
        <w:t xml:space="preserve">In addition, </w:t>
      </w:r>
      <w:r w:rsidR="00F759B8">
        <w:rPr>
          <w:rFonts w:asciiTheme="majorHAnsi" w:hAnsiTheme="majorHAnsi"/>
          <w:sz w:val="24"/>
          <w:szCs w:val="24"/>
        </w:rPr>
        <w:t xml:space="preserve">CSUs must contain </w:t>
      </w:r>
      <w:r w:rsidR="006B4928">
        <w:rPr>
          <w:rFonts w:asciiTheme="majorHAnsi" w:hAnsiTheme="majorHAnsi"/>
          <w:sz w:val="24"/>
          <w:szCs w:val="24"/>
        </w:rPr>
        <w:t xml:space="preserve">warning </w:t>
      </w:r>
      <w:r w:rsidR="00F759B8">
        <w:rPr>
          <w:rFonts w:asciiTheme="majorHAnsi" w:hAnsiTheme="majorHAnsi"/>
          <w:sz w:val="24"/>
          <w:szCs w:val="24"/>
        </w:rPr>
        <w:t xml:space="preserve">labels. </w:t>
      </w:r>
      <w:r w:rsidRPr="00CA3635" w:rsidR="005856A5">
        <w:rPr>
          <w:rFonts w:asciiTheme="majorHAnsi" w:hAnsiTheme="majorHAnsi"/>
          <w:sz w:val="24"/>
          <w:szCs w:val="24"/>
        </w:rPr>
        <w:t xml:space="preserve">Warning labels or markings provide information to consumers on hazards and risks associated with product use. </w:t>
      </w:r>
      <w:r w:rsidR="005856A5">
        <w:rPr>
          <w:rFonts w:asciiTheme="majorHAnsi" w:hAnsiTheme="majorHAnsi"/>
          <w:sz w:val="24"/>
          <w:szCs w:val="24"/>
        </w:rPr>
        <w:t xml:space="preserve"> </w:t>
      </w:r>
      <w:r w:rsidR="00281D60">
        <w:rPr>
          <w:rFonts w:asciiTheme="majorHAnsi" w:hAnsiTheme="majorHAnsi"/>
          <w:sz w:val="24"/>
          <w:szCs w:val="24"/>
        </w:rPr>
        <w:t>Section 10.2 of ASTM F2057-23 includes the warning label requirements, which include that all</w:t>
      </w:r>
      <w:r w:rsidR="00080574">
        <w:rPr>
          <w:rFonts w:asciiTheme="majorHAnsi" w:hAnsiTheme="majorHAnsi"/>
          <w:sz w:val="24"/>
          <w:szCs w:val="24"/>
        </w:rPr>
        <w:t xml:space="preserve"> </w:t>
      </w:r>
      <w:r w:rsidR="00BB1458">
        <w:rPr>
          <w:rFonts w:asciiTheme="majorHAnsi" w:hAnsiTheme="majorHAnsi"/>
          <w:sz w:val="24"/>
          <w:szCs w:val="24"/>
        </w:rPr>
        <w:t xml:space="preserve">CSU warning </w:t>
      </w:r>
      <w:r w:rsidR="00080574">
        <w:rPr>
          <w:rFonts w:asciiTheme="majorHAnsi" w:hAnsiTheme="majorHAnsi"/>
          <w:sz w:val="24"/>
          <w:szCs w:val="24"/>
        </w:rPr>
        <w:t>label</w:t>
      </w:r>
      <w:r w:rsidR="00281D60">
        <w:rPr>
          <w:rFonts w:asciiTheme="majorHAnsi" w:hAnsiTheme="majorHAnsi"/>
          <w:sz w:val="24"/>
          <w:szCs w:val="24"/>
        </w:rPr>
        <w:t>s</w:t>
      </w:r>
      <w:r w:rsidR="00080574">
        <w:rPr>
          <w:rFonts w:asciiTheme="majorHAnsi" w:hAnsiTheme="majorHAnsi"/>
          <w:sz w:val="24"/>
          <w:szCs w:val="24"/>
        </w:rPr>
        <w:t xml:space="preserve"> must </w:t>
      </w:r>
      <w:r w:rsidR="00C37B79">
        <w:rPr>
          <w:rFonts w:asciiTheme="majorHAnsi" w:hAnsiTheme="majorHAnsi"/>
          <w:sz w:val="24"/>
          <w:szCs w:val="24"/>
        </w:rPr>
        <w:t xml:space="preserve">start with </w:t>
      </w:r>
      <w:r w:rsidR="00080574">
        <w:rPr>
          <w:rFonts w:asciiTheme="majorHAnsi" w:hAnsiTheme="majorHAnsi"/>
          <w:sz w:val="24"/>
          <w:szCs w:val="24"/>
        </w:rPr>
        <w:t xml:space="preserve">“Children have died from furniture </w:t>
      </w:r>
      <w:r w:rsidR="00D47625">
        <w:rPr>
          <w:rFonts w:asciiTheme="majorHAnsi" w:hAnsiTheme="majorHAnsi"/>
          <w:sz w:val="24"/>
          <w:szCs w:val="24"/>
        </w:rPr>
        <w:t>tip over</w:t>
      </w:r>
      <w:r w:rsidR="00080574">
        <w:rPr>
          <w:rFonts w:asciiTheme="majorHAnsi" w:hAnsiTheme="majorHAnsi"/>
          <w:sz w:val="24"/>
          <w:szCs w:val="24"/>
        </w:rPr>
        <w:t>.</w:t>
      </w:r>
      <w:r w:rsidR="00BB1458">
        <w:rPr>
          <w:rFonts w:asciiTheme="majorHAnsi" w:hAnsiTheme="majorHAnsi"/>
          <w:sz w:val="24"/>
          <w:szCs w:val="24"/>
        </w:rPr>
        <w:t>”</w:t>
      </w:r>
      <w:r w:rsidR="00080574">
        <w:rPr>
          <w:rFonts w:asciiTheme="majorHAnsi" w:hAnsiTheme="majorHAnsi"/>
          <w:sz w:val="24"/>
          <w:szCs w:val="24"/>
        </w:rPr>
        <w:t xml:space="preserve"> </w:t>
      </w:r>
      <w:r w:rsidR="003D5DFB">
        <w:rPr>
          <w:rFonts w:asciiTheme="majorHAnsi" w:hAnsiTheme="majorHAnsi"/>
          <w:sz w:val="24"/>
          <w:szCs w:val="24"/>
        </w:rPr>
        <w:t>Figure 1</w:t>
      </w:r>
      <w:r w:rsidR="00574A07">
        <w:rPr>
          <w:rFonts w:asciiTheme="majorHAnsi" w:hAnsiTheme="majorHAnsi"/>
          <w:sz w:val="24"/>
          <w:szCs w:val="24"/>
        </w:rPr>
        <w:t xml:space="preserve"> provides an example warning</w:t>
      </w:r>
      <w:r w:rsidR="007E4682">
        <w:rPr>
          <w:rFonts w:asciiTheme="majorHAnsi" w:hAnsiTheme="majorHAnsi"/>
          <w:sz w:val="24"/>
          <w:szCs w:val="24"/>
        </w:rPr>
        <w:t>.</w:t>
      </w:r>
      <w:r w:rsidR="00B47635">
        <w:rPr>
          <w:rFonts w:asciiTheme="majorHAnsi" w:hAnsiTheme="majorHAnsi"/>
          <w:sz w:val="24"/>
          <w:szCs w:val="24"/>
        </w:rPr>
        <w:t xml:space="preserve"> </w:t>
      </w:r>
      <w:r w:rsidRPr="00B47635" w:rsidR="00B47635">
        <w:rPr>
          <w:rFonts w:asciiTheme="majorHAnsi" w:hAnsiTheme="majorHAnsi"/>
          <w:sz w:val="24"/>
          <w:szCs w:val="24"/>
        </w:rPr>
        <w:t>This example is provided in Figure 16 of ASTM F2057-23.</w:t>
      </w:r>
      <w:r w:rsidR="00B2786D">
        <w:rPr>
          <w:rFonts w:asciiTheme="majorHAnsi" w:hAnsiTheme="majorHAnsi"/>
          <w:sz w:val="24"/>
          <w:szCs w:val="24"/>
        </w:rPr>
        <w:br/>
      </w:r>
    </w:p>
    <w:p w:rsidR="00942808" w:rsidP="00395A00" w14:paraId="670809F8" w14:textId="4292F824">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hAnsiTheme="majorHAnsi"/>
          <w:sz w:val="24"/>
          <w:szCs w:val="24"/>
        </w:rPr>
      </w:pPr>
      <w:r>
        <w:rPr>
          <w:rFonts w:ascii="Times New Roman" w:hAnsi="Times New Roman" w:cs="Times New Roman"/>
          <w:b/>
        </w:rPr>
        <w:t xml:space="preserve">Figure 1: </w:t>
      </w:r>
      <w:r w:rsidR="000972C8">
        <w:rPr>
          <w:rFonts w:ascii="Times New Roman" w:hAnsi="Times New Roman" w:cs="Times New Roman"/>
          <w:b/>
        </w:rPr>
        <w:t xml:space="preserve">Example </w:t>
      </w:r>
      <w:r>
        <w:rPr>
          <w:rFonts w:ascii="Times New Roman" w:hAnsi="Times New Roman" w:cs="Times New Roman"/>
          <w:b/>
        </w:rPr>
        <w:t xml:space="preserve">Warning </w:t>
      </w:r>
      <w:r w:rsidR="00395A00">
        <w:rPr>
          <w:rFonts w:ascii="Times New Roman" w:hAnsi="Times New Roman" w:cs="Times New Roman"/>
          <w:b/>
        </w:rPr>
        <w:t>Label Inside Drawer (Not shown to scale)</w:t>
      </w:r>
    </w:p>
    <w:p w:rsidR="00A65B3F" w:rsidP="00395A00" w14:paraId="51D4490D" w14:textId="669B597A">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HAnsi" w:hAnsiTheme="majorHAnsi"/>
          <w:sz w:val="24"/>
          <w:szCs w:val="24"/>
        </w:rPr>
      </w:pPr>
      <w:r>
        <w:rPr>
          <w:noProof/>
        </w:rPr>
        <w:drawing>
          <wp:inline distT="0" distB="0" distL="0" distR="0">
            <wp:extent cx="3505200" cy="2683669"/>
            <wp:effectExtent l="0" t="0" r="0" b="2540"/>
            <wp:docPr id="26171180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11801" name="Picture 1" descr="A picture containing text&#10;&#10;AI-generated content may be incorrect."/>
                    <pic:cNvPicPr/>
                  </pic:nvPicPr>
                  <pic:blipFill>
                    <a:blip xmlns:r="http://schemas.openxmlformats.org/officeDocument/2006/relationships" r:embed="rId9"/>
                    <a:stretch>
                      <a:fillRect/>
                    </a:stretch>
                  </pic:blipFill>
                  <pic:spPr>
                    <a:xfrm>
                      <a:off x="0" y="0"/>
                      <a:ext cx="3522789" cy="2697136"/>
                    </a:xfrm>
                    <a:prstGeom prst="rect">
                      <a:avLst/>
                    </a:prstGeom>
                  </pic:spPr>
                </pic:pic>
              </a:graphicData>
            </a:graphic>
          </wp:inline>
        </w:drawing>
      </w:r>
    </w:p>
    <w:p w:rsidR="00DB5008" w:rsidP="00CA3635" w14:paraId="0F6E2073" w14:textId="21CE249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p w:rsidR="00356A67" w:rsidRPr="00356A67" w:rsidP="00356A67" w14:paraId="1485CD0E"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p>
    <w:p w:rsidR="005C7428" w:rsidRPr="0085688C" w:rsidP="006E563D" w14:paraId="67CFC554"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P="006E563D" w14:paraId="28D22240" w14:textId="77777777">
      <w:pPr>
        <w:spacing w:after="0" w:line="240" w:lineRule="auto"/>
        <w:rPr>
          <w:rFonts w:asciiTheme="majorHAnsi" w:hAnsiTheme="majorHAnsi"/>
          <w:i/>
          <w:sz w:val="24"/>
        </w:rPr>
      </w:pPr>
    </w:p>
    <w:p w:rsidR="00356A67" w:rsidRPr="00283D5E" w:rsidP="006E563D" w14:paraId="7C59C4DB" w14:textId="6F83CD7B">
      <w:pPr>
        <w:spacing w:after="0" w:line="240" w:lineRule="auto"/>
        <w:rPr>
          <w:rFonts w:asciiTheme="majorHAnsi" w:hAnsiTheme="majorHAnsi"/>
          <w:sz w:val="24"/>
        </w:rPr>
      </w:pPr>
      <w:r>
        <w:rPr>
          <w:rFonts w:asciiTheme="majorHAnsi" w:hAnsiTheme="majorHAnsi"/>
          <w:sz w:val="24"/>
          <w:szCs w:val="24"/>
        </w:rPr>
        <w:t xml:space="preserve">CSU labels must be permanent </w:t>
      </w:r>
      <w:r w:rsidR="00EF2D87">
        <w:rPr>
          <w:rFonts w:asciiTheme="majorHAnsi" w:hAnsiTheme="majorHAnsi"/>
          <w:sz w:val="24"/>
          <w:szCs w:val="24"/>
        </w:rPr>
        <w:t>and</w:t>
      </w:r>
      <w:r w:rsidR="009D6E47">
        <w:rPr>
          <w:rFonts w:asciiTheme="majorHAnsi" w:hAnsiTheme="majorHAnsi"/>
          <w:sz w:val="24"/>
          <w:szCs w:val="24"/>
        </w:rPr>
        <w:t xml:space="preserve"> </w:t>
      </w:r>
      <w:r w:rsidR="009E2951">
        <w:rPr>
          <w:rFonts w:asciiTheme="majorHAnsi" w:hAnsiTheme="majorHAnsi"/>
          <w:sz w:val="24"/>
          <w:szCs w:val="24"/>
        </w:rPr>
        <w:t xml:space="preserve">marked at least in one place </w:t>
      </w:r>
      <w:r w:rsidR="009D6E47">
        <w:rPr>
          <w:rFonts w:asciiTheme="majorHAnsi" w:hAnsiTheme="majorHAnsi"/>
          <w:sz w:val="24"/>
          <w:szCs w:val="24"/>
        </w:rPr>
        <w:t>the CSU. They</w:t>
      </w:r>
      <w:r w:rsidR="00EF2D87">
        <w:rPr>
          <w:rFonts w:asciiTheme="majorHAnsi" w:hAnsiTheme="majorHAnsi"/>
          <w:sz w:val="24"/>
          <w:szCs w:val="24"/>
        </w:rPr>
        <w:t xml:space="preserve"> are not digital in nature. Each safety symbol panel shall measure</w:t>
      </w:r>
      <w:r w:rsidR="00A95A41">
        <w:rPr>
          <w:rFonts w:asciiTheme="majorHAnsi" w:hAnsiTheme="majorHAnsi"/>
          <w:sz w:val="24"/>
          <w:szCs w:val="24"/>
        </w:rPr>
        <w:t xml:space="preserve"> at least 1.25 in. by 1.25 in</w:t>
      </w:r>
      <w:r w:rsidR="009D6E47">
        <w:rPr>
          <w:rFonts w:asciiTheme="majorHAnsi" w:hAnsiTheme="majorHAnsi"/>
          <w:sz w:val="24"/>
          <w:szCs w:val="24"/>
        </w:rPr>
        <w:t>.</w:t>
      </w:r>
      <w:r w:rsidR="00B2746C">
        <w:rPr>
          <w:rFonts w:asciiTheme="majorHAnsi" w:hAnsiTheme="majorHAnsi"/>
          <w:sz w:val="24"/>
          <w:szCs w:val="24"/>
        </w:rPr>
        <w:t xml:space="preserve"> </w:t>
      </w:r>
      <w:r w:rsidR="00F56803">
        <w:rPr>
          <w:rFonts w:asciiTheme="majorHAnsi" w:hAnsiTheme="majorHAnsi"/>
          <w:sz w:val="24"/>
          <w:szCs w:val="24"/>
        </w:rPr>
        <w:t>In addition</w:t>
      </w:r>
      <w:r w:rsidR="00B2746C">
        <w:rPr>
          <w:rFonts w:asciiTheme="majorHAnsi" w:hAnsiTheme="majorHAnsi"/>
          <w:sz w:val="24"/>
          <w:szCs w:val="24"/>
        </w:rPr>
        <w:t xml:space="preserve">, CPSC uses information technology appropriately </w:t>
      </w:r>
      <w:r w:rsidR="00C341F8">
        <w:rPr>
          <w:rFonts w:asciiTheme="majorHAnsi" w:hAnsiTheme="majorHAnsi"/>
          <w:sz w:val="24"/>
          <w:szCs w:val="24"/>
        </w:rPr>
        <w:t>for</w:t>
      </w:r>
      <w:r w:rsidR="00AF4B28">
        <w:rPr>
          <w:rFonts w:asciiTheme="majorHAnsi" w:hAnsiTheme="majorHAnsi"/>
          <w:sz w:val="24"/>
          <w:szCs w:val="24"/>
        </w:rPr>
        <w:t xml:space="preserve"> communication and </w:t>
      </w:r>
      <w:r w:rsidR="00C341F8">
        <w:rPr>
          <w:rFonts w:asciiTheme="majorHAnsi" w:hAnsiTheme="majorHAnsi"/>
          <w:sz w:val="24"/>
          <w:szCs w:val="24"/>
        </w:rPr>
        <w:t xml:space="preserve">information </w:t>
      </w:r>
      <w:r w:rsidR="00AF4B28">
        <w:rPr>
          <w:rFonts w:asciiTheme="majorHAnsi" w:hAnsiTheme="majorHAnsi"/>
          <w:sz w:val="24"/>
          <w:szCs w:val="24"/>
        </w:rPr>
        <w:t>dissemination.</w:t>
      </w:r>
    </w:p>
    <w:p w:rsidR="008635C4" w:rsidP="006E563D" w14:paraId="254A2CAA" w14:textId="77777777">
      <w:pPr>
        <w:spacing w:after="0" w:line="240" w:lineRule="auto"/>
        <w:rPr>
          <w:rFonts w:asciiTheme="majorHAnsi" w:hAnsiTheme="majorHAnsi"/>
          <w:i/>
          <w:sz w:val="24"/>
        </w:rPr>
      </w:pPr>
    </w:p>
    <w:p w:rsidR="008635C4" w:rsidRPr="0085688C" w:rsidP="006E563D" w14:paraId="29A04901"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3F190C" w:rsidP="006E563D" w14:paraId="051D7DA3" w14:textId="77777777">
      <w:pPr>
        <w:spacing w:after="0" w:line="240" w:lineRule="auto"/>
        <w:rPr>
          <w:rFonts w:asciiTheme="majorHAnsi" w:hAnsiTheme="majorHAnsi"/>
          <w:sz w:val="24"/>
        </w:rPr>
      </w:pPr>
    </w:p>
    <w:p w:rsidR="00FD6CB0" w:rsidRPr="003F190C" w:rsidP="006E563D" w14:paraId="7873C836" w14:textId="20F087DF">
      <w:pPr>
        <w:spacing w:after="0" w:line="240" w:lineRule="auto"/>
        <w:rPr>
          <w:rFonts w:asciiTheme="majorHAnsi" w:hAnsiTheme="majorHAnsi"/>
          <w:sz w:val="24"/>
        </w:rPr>
      </w:pPr>
      <w:r>
        <w:rPr>
          <w:rFonts w:asciiTheme="majorHAnsi" w:hAnsiTheme="majorHAnsi"/>
          <w:sz w:val="24"/>
        </w:rPr>
        <w:t>The information obtained through this collection is unique and is not already available for use or adaptation from another source.</w:t>
      </w:r>
    </w:p>
    <w:p w:rsidR="00B55E9F" w:rsidP="006E563D" w14:paraId="095DBFC0" w14:textId="77777777">
      <w:pPr>
        <w:spacing w:after="0" w:line="240" w:lineRule="auto"/>
        <w:rPr>
          <w:rFonts w:asciiTheme="majorHAnsi" w:hAnsiTheme="majorHAnsi"/>
          <w:i/>
          <w:sz w:val="24"/>
        </w:rPr>
      </w:pPr>
    </w:p>
    <w:p w:rsidR="00CA15B1" w:rsidP="006E563D" w14:paraId="6C91D122"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E678A2" w:rsidP="006E563D" w14:paraId="311101E2" w14:textId="77777777">
      <w:pPr>
        <w:spacing w:after="0" w:line="240" w:lineRule="auto"/>
        <w:rPr>
          <w:rFonts w:asciiTheme="majorHAnsi" w:hAnsiTheme="majorHAnsi"/>
          <w:i/>
          <w:sz w:val="24"/>
        </w:rPr>
      </w:pPr>
    </w:p>
    <w:p w:rsidR="00470E62" w:rsidRPr="006F7535" w:rsidP="006E563D" w14:paraId="51D58B9E" w14:textId="577820C5">
      <w:pPr>
        <w:spacing w:after="0" w:line="240" w:lineRule="auto"/>
        <w:rPr>
          <w:rFonts w:asciiTheme="majorHAnsi" w:hAnsiTheme="majorHAnsi"/>
          <w:sz w:val="24"/>
          <w:szCs w:val="24"/>
        </w:rPr>
      </w:pPr>
      <w:r w:rsidRPr="006F7535">
        <w:rPr>
          <w:rFonts w:asciiTheme="majorHAnsi" w:hAnsiTheme="majorHAnsi"/>
          <w:sz w:val="24"/>
          <w:szCs w:val="24"/>
        </w:rPr>
        <w:t>Respondents include manufacturers and importers of CSUs, many of which are considered small private firms. CPSC estimates that more than 95 percent of respondents that comply with the information collection requirements are small firms.</w:t>
      </w:r>
    </w:p>
    <w:p w:rsidR="00C34FD2" w:rsidP="006E563D" w14:paraId="3CC93A77" w14:textId="77777777">
      <w:pPr>
        <w:spacing w:after="0" w:line="240" w:lineRule="auto"/>
        <w:rPr>
          <w:rFonts w:asciiTheme="majorHAnsi" w:hAnsiTheme="majorHAnsi"/>
          <w:sz w:val="24"/>
        </w:rPr>
      </w:pPr>
    </w:p>
    <w:p w:rsidR="00C34FD2" w:rsidP="00C34FD2" w14:paraId="0ED4C15F" w14:textId="5F60A0E4">
      <w:pPr>
        <w:spacing w:after="0" w:line="240" w:lineRule="auto"/>
        <w:rPr>
          <w:rFonts w:asciiTheme="majorHAnsi" w:hAnsiTheme="majorHAnsi"/>
          <w:sz w:val="24"/>
        </w:rPr>
      </w:pPr>
      <w:r>
        <w:rPr>
          <w:rFonts w:asciiTheme="majorHAnsi" w:hAnsiTheme="majorHAnsi"/>
          <w:sz w:val="24"/>
        </w:rPr>
        <w:t>To mitigate burden on small businesses, CPSC provides a variety of resources to help both new and experienced small businesses learn about safety requirements that apply to consumer products. These resources include the CPSC Regulatory Robot</w:t>
      </w:r>
      <w:r w:rsidR="009C4391">
        <w:rPr>
          <w:rFonts w:asciiTheme="majorHAnsi" w:hAnsiTheme="majorHAnsi"/>
          <w:sz w:val="24"/>
        </w:rPr>
        <w:t xml:space="preserve"> and</w:t>
      </w:r>
      <w:r>
        <w:rPr>
          <w:rFonts w:asciiTheme="majorHAnsi" w:hAnsiTheme="majorHAnsi"/>
          <w:sz w:val="24"/>
        </w:rPr>
        <w:t xml:space="preserve"> small business education videos. Many of these resources can be accessed online at: </w:t>
      </w:r>
      <w:hyperlink r:id="rId10" w:history="1">
        <w:r w:rsidRPr="00DC7310">
          <w:rPr>
            <w:rStyle w:val="Hyperlink"/>
            <w:rFonts w:asciiTheme="majorHAnsi" w:hAnsiTheme="majorHAnsi"/>
            <w:sz w:val="24"/>
          </w:rPr>
          <w:t>https://www.cpsc.gov/Business--Manufacturing/Business-Education</w:t>
        </w:r>
      </w:hyperlink>
      <w:r>
        <w:rPr>
          <w:rFonts w:asciiTheme="majorHAnsi" w:hAnsiTheme="majorHAnsi"/>
          <w:sz w:val="24"/>
        </w:rPr>
        <w:t>.</w:t>
      </w:r>
      <w:r w:rsidR="002A0AFB">
        <w:rPr>
          <w:rFonts w:asciiTheme="majorHAnsi" w:hAnsiTheme="majorHAnsi"/>
          <w:sz w:val="24"/>
        </w:rPr>
        <w:t xml:space="preserve"> In addition</w:t>
      </w:r>
      <w:r w:rsidR="00703A0F">
        <w:rPr>
          <w:rFonts w:asciiTheme="majorHAnsi" w:hAnsiTheme="majorHAnsi"/>
          <w:sz w:val="24"/>
        </w:rPr>
        <w:t>,</w:t>
      </w:r>
      <w:r w:rsidR="002A0AFB">
        <w:rPr>
          <w:rFonts w:asciiTheme="majorHAnsi" w:hAnsiTheme="majorHAnsi"/>
          <w:sz w:val="24"/>
        </w:rPr>
        <w:t xml:space="preserve"> </w:t>
      </w:r>
      <w:r w:rsidR="00C100B8">
        <w:rPr>
          <w:rFonts w:asciiTheme="majorHAnsi" w:hAnsiTheme="majorHAnsi"/>
          <w:sz w:val="24"/>
        </w:rPr>
        <w:t>a CPSC presentation on Requirements for CSUs i</w:t>
      </w:r>
      <w:r w:rsidR="00703A0F">
        <w:rPr>
          <w:rFonts w:asciiTheme="majorHAnsi" w:hAnsiTheme="majorHAnsi"/>
          <w:sz w:val="24"/>
        </w:rPr>
        <w:t>s</w:t>
      </w:r>
      <w:r w:rsidR="00C100B8">
        <w:rPr>
          <w:rFonts w:asciiTheme="majorHAnsi" w:hAnsiTheme="majorHAnsi"/>
          <w:sz w:val="24"/>
        </w:rPr>
        <w:t xml:space="preserve"> available on CPSC’s YouTube chan</w:t>
      </w:r>
      <w:r w:rsidR="00703A0F">
        <w:rPr>
          <w:rFonts w:asciiTheme="majorHAnsi" w:hAnsiTheme="majorHAnsi"/>
          <w:sz w:val="24"/>
        </w:rPr>
        <w:t>nel, in the business guidance playlist.</w:t>
      </w:r>
    </w:p>
    <w:p w:rsidR="002567F9" w:rsidP="006E563D" w14:paraId="130B20B2" w14:textId="77777777">
      <w:pPr>
        <w:spacing w:after="0" w:line="240" w:lineRule="auto"/>
        <w:rPr>
          <w:rFonts w:asciiTheme="majorHAnsi" w:hAnsiTheme="majorHAnsi"/>
          <w:i/>
          <w:sz w:val="24"/>
        </w:rPr>
      </w:pPr>
    </w:p>
    <w:p w:rsidR="002567F9" w:rsidRPr="0085688C" w:rsidP="006E563D" w14:paraId="2CF21592"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3C1DDB" w:rsidP="006E563D" w14:paraId="5E3251C3" w14:textId="77777777">
      <w:pPr>
        <w:spacing w:after="0" w:line="240" w:lineRule="auto"/>
        <w:rPr>
          <w:rFonts w:asciiTheme="majorHAnsi" w:hAnsiTheme="majorHAnsi"/>
          <w:i/>
          <w:sz w:val="24"/>
        </w:rPr>
      </w:pPr>
    </w:p>
    <w:p w:rsidR="00C22054" w:rsidRPr="003C1DDB" w:rsidP="006E563D" w14:paraId="69CF139C" w14:textId="7A81B82E">
      <w:pPr>
        <w:spacing w:after="0" w:line="240" w:lineRule="auto"/>
        <w:rPr>
          <w:rFonts w:asciiTheme="majorHAnsi" w:hAnsiTheme="majorHAnsi"/>
          <w:sz w:val="24"/>
        </w:rPr>
      </w:pPr>
      <w:r>
        <w:rPr>
          <w:rFonts w:asciiTheme="majorHAnsi" w:hAnsiTheme="majorHAnsi"/>
          <w:sz w:val="24"/>
        </w:rPr>
        <w:t xml:space="preserve">Identification and labeling requirements provide </w:t>
      </w:r>
      <w:r w:rsidR="00782961">
        <w:rPr>
          <w:rFonts w:asciiTheme="majorHAnsi" w:hAnsiTheme="majorHAnsi"/>
          <w:sz w:val="24"/>
        </w:rPr>
        <w:t xml:space="preserve">important safety </w:t>
      </w:r>
      <w:r>
        <w:rPr>
          <w:rFonts w:asciiTheme="majorHAnsi" w:hAnsiTheme="majorHAnsi"/>
          <w:sz w:val="24"/>
        </w:rPr>
        <w:t xml:space="preserve">information to consumers. </w:t>
      </w:r>
      <w:r w:rsidR="003E696D">
        <w:rPr>
          <w:rFonts w:asciiTheme="majorHAnsi" w:hAnsiTheme="majorHAnsi"/>
          <w:sz w:val="24"/>
        </w:rPr>
        <w:t xml:space="preserve"> Warning l</w:t>
      </w:r>
      <w:r>
        <w:rPr>
          <w:rFonts w:asciiTheme="majorHAnsi" w:hAnsiTheme="majorHAnsi"/>
          <w:sz w:val="24"/>
        </w:rPr>
        <w:t>abels provide information to consumers for safe CSU use.</w:t>
      </w:r>
      <w:r w:rsidR="003E696D">
        <w:rPr>
          <w:rFonts w:asciiTheme="majorHAnsi" w:hAnsiTheme="majorHAnsi"/>
          <w:sz w:val="24"/>
        </w:rPr>
        <w:t xml:space="preserve"> </w:t>
      </w:r>
      <w:r>
        <w:rPr>
          <w:rFonts w:asciiTheme="majorHAnsi" w:hAnsiTheme="majorHAnsi"/>
          <w:sz w:val="24"/>
        </w:rPr>
        <w:t xml:space="preserve">If the information is not provided, consequences would include reduced ability for consumers or regulators to identify, locate or recall noncomplying products, </w:t>
      </w:r>
      <w:r w:rsidR="00C57D55">
        <w:rPr>
          <w:rFonts w:asciiTheme="majorHAnsi" w:hAnsiTheme="majorHAnsi"/>
          <w:sz w:val="24"/>
        </w:rPr>
        <w:t xml:space="preserve">as well as </w:t>
      </w:r>
      <w:r w:rsidR="008C3D1E">
        <w:rPr>
          <w:rFonts w:asciiTheme="majorHAnsi" w:hAnsiTheme="majorHAnsi"/>
          <w:sz w:val="24"/>
        </w:rPr>
        <w:t xml:space="preserve">a </w:t>
      </w:r>
      <w:r>
        <w:rPr>
          <w:rFonts w:asciiTheme="majorHAnsi" w:hAnsiTheme="majorHAnsi"/>
          <w:sz w:val="24"/>
        </w:rPr>
        <w:t>reduction of information on safe CSU use.</w:t>
      </w:r>
      <w:r>
        <w:rPr>
          <w:rStyle w:val="FootnoteReference"/>
          <w:rFonts w:asciiTheme="majorHAnsi" w:hAnsiTheme="majorHAnsi"/>
          <w:sz w:val="24"/>
        </w:rPr>
        <w:footnoteReference w:id="2"/>
      </w:r>
    </w:p>
    <w:p w:rsidR="00F86C35" w:rsidP="006E563D" w14:paraId="43F0F64B" w14:textId="77777777">
      <w:pPr>
        <w:spacing w:after="0" w:line="240" w:lineRule="auto"/>
        <w:rPr>
          <w:rFonts w:asciiTheme="majorHAnsi" w:hAnsiTheme="majorHAnsi"/>
          <w:i/>
          <w:sz w:val="24"/>
        </w:rPr>
      </w:pPr>
    </w:p>
    <w:p w:rsidR="00F86C35" w:rsidP="006E563D" w14:paraId="0E2583A0"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3C1DDB" w:rsidRPr="003C1DDB" w:rsidP="00200261" w14:paraId="5037459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This collection of </w:t>
      </w:r>
      <w:r w:rsidR="007D7FB3">
        <w:rPr>
          <w:rFonts w:asciiTheme="majorHAnsi" w:eastAsiaTheme="minorHAnsi" w:hAnsiTheme="majorHAnsi" w:cstheme="minorBidi"/>
          <w:szCs w:val="22"/>
        </w:rPr>
        <w:t>information</w:t>
      </w:r>
      <w:r>
        <w:rPr>
          <w:rFonts w:asciiTheme="majorHAnsi" w:eastAsiaTheme="minorHAnsi" w:hAnsiTheme="majorHAnsi" w:cstheme="minorBidi"/>
          <w:szCs w:val="22"/>
        </w:rPr>
        <w:t xml:space="preserve"> does not require collection to be conducted in a manner inconsistent with the guidelines delineated in 5 CFR 1320.5(d)(2).</w:t>
      </w:r>
    </w:p>
    <w:p w:rsidR="00200261" w:rsidP="000F6992" w14:paraId="7374F7EF" w14:textId="77777777">
      <w:pPr>
        <w:pStyle w:val="NormalWeb"/>
        <w:keepNext/>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0F6992" w14:paraId="69587C5D" w14:textId="77777777">
      <w:pPr>
        <w:pStyle w:val="NormalWeb"/>
        <w:keepNext/>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6F7535" w:rsidRPr="000D480D" w:rsidP="000F6992" w14:paraId="5DD512D6" w14:textId="01321129">
      <w:pPr>
        <w:keepNext/>
        <w:spacing w:after="0" w:line="240" w:lineRule="auto"/>
        <w:rPr>
          <w:rFonts w:asciiTheme="majorHAnsi" w:hAnsiTheme="majorHAnsi"/>
          <w:sz w:val="24"/>
          <w:szCs w:val="24"/>
        </w:rPr>
      </w:pPr>
      <w:r>
        <w:rPr>
          <w:rFonts w:asciiTheme="majorHAnsi" w:hAnsiTheme="majorHAnsi"/>
          <w:sz w:val="24"/>
          <w:szCs w:val="24"/>
        </w:rPr>
        <w:t>A notice soliciting comments on the Commission’s intent to request</w:t>
      </w:r>
      <w:r w:rsidR="00967158">
        <w:rPr>
          <w:rFonts w:asciiTheme="majorHAnsi" w:hAnsiTheme="majorHAnsi"/>
          <w:sz w:val="24"/>
          <w:szCs w:val="24"/>
        </w:rPr>
        <w:t xml:space="preserve"> a renewal of the </w:t>
      </w:r>
      <w:r w:rsidRPr="000D480D" w:rsidR="00967158">
        <w:rPr>
          <w:rFonts w:asciiTheme="majorHAnsi" w:hAnsiTheme="majorHAnsi"/>
          <w:sz w:val="24"/>
          <w:szCs w:val="24"/>
        </w:rPr>
        <w:t xml:space="preserve">previously approved collection of information published to the Federal Register (FR) on </w:t>
      </w:r>
      <w:r w:rsidRPr="000D480D" w:rsidR="00615542">
        <w:rPr>
          <w:rFonts w:asciiTheme="majorHAnsi" w:hAnsiTheme="majorHAnsi"/>
          <w:sz w:val="24"/>
          <w:szCs w:val="24"/>
        </w:rPr>
        <w:t xml:space="preserve">November 28, </w:t>
      </w:r>
      <w:r w:rsidRPr="000D480D" w:rsidR="006A77F1">
        <w:rPr>
          <w:rFonts w:asciiTheme="majorHAnsi" w:hAnsiTheme="majorHAnsi"/>
          <w:sz w:val="24"/>
          <w:szCs w:val="24"/>
        </w:rPr>
        <w:t>2025</w:t>
      </w:r>
      <w:r w:rsidRPr="000D480D" w:rsidR="003466F3">
        <w:rPr>
          <w:rFonts w:asciiTheme="majorHAnsi" w:hAnsiTheme="majorHAnsi"/>
          <w:sz w:val="24"/>
          <w:szCs w:val="24"/>
        </w:rPr>
        <w:t xml:space="preserve"> (</w:t>
      </w:r>
      <w:r w:rsidRPr="000D480D" w:rsidR="000D480D">
        <w:rPr>
          <w:rFonts w:asciiTheme="majorHAnsi" w:hAnsiTheme="majorHAnsi"/>
          <w:sz w:val="24"/>
          <w:szCs w:val="24"/>
        </w:rPr>
        <w:t>90</w:t>
      </w:r>
      <w:r w:rsidRPr="000D480D" w:rsidR="003466F3">
        <w:rPr>
          <w:rFonts w:asciiTheme="majorHAnsi" w:hAnsiTheme="majorHAnsi"/>
          <w:sz w:val="24"/>
          <w:szCs w:val="24"/>
        </w:rPr>
        <w:t xml:space="preserve"> FR </w:t>
      </w:r>
      <w:r w:rsidRPr="000D480D" w:rsidR="000D480D">
        <w:rPr>
          <w:rFonts w:asciiTheme="majorHAnsi" w:hAnsiTheme="majorHAnsi"/>
          <w:sz w:val="24"/>
          <w:szCs w:val="24"/>
        </w:rPr>
        <w:t>54644</w:t>
      </w:r>
      <w:r w:rsidRPr="000D480D" w:rsidR="003466F3">
        <w:rPr>
          <w:rFonts w:asciiTheme="majorHAnsi" w:hAnsiTheme="majorHAnsi"/>
          <w:sz w:val="24"/>
          <w:szCs w:val="24"/>
        </w:rPr>
        <w:t xml:space="preserve">). </w:t>
      </w:r>
      <w:r w:rsidRPr="000D480D" w:rsidR="000D480D">
        <w:rPr>
          <w:rFonts w:asciiTheme="majorHAnsi" w:hAnsiTheme="majorHAnsi"/>
          <w:sz w:val="24"/>
          <w:szCs w:val="24"/>
        </w:rPr>
        <w:t>One</w:t>
      </w:r>
      <w:r w:rsidRPr="000D480D" w:rsidR="003466F3">
        <w:rPr>
          <w:rFonts w:asciiTheme="majorHAnsi" w:hAnsiTheme="majorHAnsi"/>
          <w:sz w:val="24"/>
          <w:szCs w:val="24"/>
        </w:rPr>
        <w:t xml:space="preserve"> comment</w:t>
      </w:r>
      <w:r w:rsidRPr="000D480D" w:rsidR="00615542">
        <w:rPr>
          <w:rFonts w:asciiTheme="majorHAnsi" w:hAnsiTheme="majorHAnsi"/>
          <w:sz w:val="24"/>
          <w:szCs w:val="24"/>
        </w:rPr>
        <w:t xml:space="preserve"> in support of the collection was</w:t>
      </w:r>
      <w:r w:rsidRPr="000D480D" w:rsidR="003466F3">
        <w:rPr>
          <w:rFonts w:asciiTheme="majorHAnsi" w:hAnsiTheme="majorHAnsi"/>
          <w:sz w:val="24"/>
          <w:szCs w:val="24"/>
        </w:rPr>
        <w:t xml:space="preserve"> received.</w:t>
      </w:r>
      <w:r w:rsidR="00A342B5">
        <w:rPr>
          <w:rFonts w:asciiTheme="majorHAnsi" w:hAnsiTheme="majorHAnsi"/>
          <w:sz w:val="24"/>
          <w:szCs w:val="24"/>
        </w:rPr>
        <w:t xml:space="preserve"> The full text of the comment received is included in </w:t>
      </w:r>
      <w:r w:rsidR="00A64DE9">
        <w:rPr>
          <w:rFonts w:asciiTheme="majorHAnsi" w:hAnsiTheme="majorHAnsi"/>
          <w:sz w:val="24"/>
          <w:szCs w:val="24"/>
        </w:rPr>
        <w:t>the renewal package.</w:t>
      </w:r>
    </w:p>
    <w:p w:rsidR="00200261" w:rsidP="00200261" w14:paraId="2B10B096" w14:textId="77777777">
      <w:pPr>
        <w:pStyle w:val="NormalWeb"/>
        <w:spacing w:line="288" w:lineRule="atLeast"/>
        <w:rPr>
          <w:rFonts w:asciiTheme="majorHAnsi" w:eastAsiaTheme="minorHAnsi" w:hAnsiTheme="majorHAnsi" w:cstheme="minorBidi"/>
          <w:szCs w:val="22"/>
        </w:rPr>
      </w:pPr>
      <w:r w:rsidRPr="000D480D">
        <w:rPr>
          <w:rFonts w:asciiTheme="majorHAnsi" w:eastAsiaTheme="minorHAnsi" w:hAnsiTheme="majorHAnsi" w:cstheme="minorBidi"/>
          <w:szCs w:val="22"/>
        </w:rPr>
        <w:t>Part B:</w:t>
      </w:r>
      <w:r>
        <w:rPr>
          <w:rFonts w:asciiTheme="majorHAnsi" w:eastAsiaTheme="minorHAnsi" w:hAnsiTheme="majorHAnsi" w:cstheme="minorBidi"/>
          <w:szCs w:val="22"/>
        </w:rPr>
        <w:t xml:space="preserve"> CONSULTATION</w:t>
      </w:r>
      <w:r w:rsidR="0085688C">
        <w:rPr>
          <w:rFonts w:asciiTheme="majorHAnsi" w:eastAsiaTheme="minorHAnsi" w:hAnsiTheme="majorHAnsi" w:cstheme="minorBidi"/>
          <w:szCs w:val="22"/>
        </w:rPr>
        <w:t xml:space="preserve"> </w:t>
      </w:r>
    </w:p>
    <w:p w:rsidR="005E0558" w:rsidP="00571698" w14:paraId="3A53478E" w14:textId="66A97D28">
      <w:pPr>
        <w:pStyle w:val="NormalWeb"/>
        <w:spacing w:before="0" w:beforeAutospacing="0"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16 CFR part 1261.2 identifies the latest Commission-accepted version of ASTM F</w:t>
      </w:r>
      <w:r w:rsidR="00C52138">
        <w:rPr>
          <w:rFonts w:asciiTheme="majorHAnsi" w:eastAsiaTheme="minorHAnsi" w:hAnsiTheme="majorHAnsi" w:cstheme="minorBidi"/>
          <w:szCs w:val="22"/>
        </w:rPr>
        <w:t>2057 that is mandatory. Read</w:t>
      </w:r>
      <w:r w:rsidR="00242F00">
        <w:rPr>
          <w:rFonts w:asciiTheme="majorHAnsi" w:eastAsiaTheme="minorHAnsi" w:hAnsiTheme="majorHAnsi" w:cstheme="minorBidi"/>
          <w:szCs w:val="22"/>
        </w:rPr>
        <w:t>-only copies of ASTM standards that are incorporated by reference can be viewed at ASTM’s electronic Reading Room</w:t>
      </w:r>
      <w:r w:rsidR="007F4494">
        <w:rPr>
          <w:rFonts w:asciiTheme="majorHAnsi" w:eastAsiaTheme="minorHAnsi" w:hAnsiTheme="majorHAnsi" w:cstheme="minorBidi"/>
          <w:szCs w:val="22"/>
        </w:rPr>
        <w:t xml:space="preserve"> (</w:t>
      </w:r>
      <w:hyperlink r:id="rId11" w:tgtFrame="_blank" w:history="1">
        <w:r w:rsidRPr="00086027" w:rsidR="00086027">
          <w:rPr>
            <w:rStyle w:val="Hyperlink"/>
            <w:rFonts w:asciiTheme="majorHAnsi" w:eastAsiaTheme="minorHAnsi" w:hAnsiTheme="majorHAnsi" w:cstheme="minorBidi"/>
            <w:szCs w:val="22"/>
          </w:rPr>
          <w:t>https://www.astm.org/​READINGLIBRARY</w:t>
        </w:r>
      </w:hyperlink>
      <w:r w:rsidR="007F4494">
        <w:rPr>
          <w:rFonts w:asciiTheme="majorHAnsi" w:eastAsiaTheme="minorHAnsi" w:hAnsiTheme="majorHAnsi" w:cstheme="minorBidi"/>
          <w:szCs w:val="22"/>
        </w:rPr>
        <w:t>)</w:t>
      </w:r>
      <w:r w:rsidR="00242F00">
        <w:rPr>
          <w:rFonts w:asciiTheme="majorHAnsi" w:eastAsiaTheme="minorHAnsi" w:hAnsiTheme="majorHAnsi" w:cstheme="minorBidi"/>
          <w:szCs w:val="22"/>
        </w:rPr>
        <w:t xml:space="preserve">. </w:t>
      </w:r>
      <w:r w:rsidR="00072659">
        <w:rPr>
          <w:rFonts w:asciiTheme="majorHAnsi" w:eastAsiaTheme="minorHAnsi" w:hAnsiTheme="majorHAnsi" w:cstheme="minorBidi"/>
          <w:szCs w:val="22"/>
        </w:rPr>
        <w:t xml:space="preserve"> </w:t>
      </w:r>
    </w:p>
    <w:p w:rsidR="005E0558" w:rsidP="00571698" w14:paraId="27ECDCFE" w14:textId="77777777">
      <w:pPr>
        <w:pStyle w:val="NormalWeb"/>
        <w:spacing w:before="0" w:beforeAutospacing="0" w:after="0" w:afterAutospacing="0" w:line="288" w:lineRule="atLeast"/>
        <w:rPr>
          <w:rFonts w:asciiTheme="majorHAnsi" w:eastAsiaTheme="minorHAnsi" w:hAnsiTheme="majorHAnsi" w:cstheme="minorBidi"/>
          <w:i/>
          <w:szCs w:val="22"/>
        </w:rPr>
      </w:pPr>
    </w:p>
    <w:p w:rsidR="00571698" w:rsidRPr="0085688C" w:rsidP="0043701C" w14:paraId="44E6BDE9" w14:textId="77777777">
      <w:pPr>
        <w:keepNext/>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55E9F" w:rsidP="0043701C" w14:paraId="631071FA" w14:textId="77777777">
      <w:pPr>
        <w:keepNext/>
        <w:spacing w:after="0" w:line="240" w:lineRule="auto"/>
        <w:rPr>
          <w:rFonts w:asciiTheme="majorHAnsi" w:hAnsiTheme="majorHAnsi"/>
          <w:i/>
          <w:sz w:val="24"/>
        </w:rPr>
      </w:pPr>
    </w:p>
    <w:p w:rsidR="00B53208" w:rsidP="0043701C" w14:paraId="08F177F6" w14:textId="77777777">
      <w:pPr>
        <w:keepNext/>
        <w:spacing w:after="0" w:line="240" w:lineRule="auto"/>
        <w:rPr>
          <w:rFonts w:asciiTheme="majorHAnsi" w:hAnsiTheme="majorHAnsi"/>
          <w:i/>
          <w:sz w:val="24"/>
        </w:rPr>
      </w:pPr>
      <w:r>
        <w:rPr>
          <w:rFonts w:asciiTheme="majorHAnsi" w:hAnsiTheme="majorHAnsi"/>
          <w:sz w:val="24"/>
        </w:rPr>
        <w:t>No payments or gifts are being offered to respondents as an incentive to participate in the collection.</w:t>
      </w:r>
    </w:p>
    <w:p w:rsidR="006A13FA" w:rsidP="00B53208" w14:paraId="3293E0AD" w14:textId="77777777">
      <w:pPr>
        <w:spacing w:after="0" w:line="240" w:lineRule="auto"/>
        <w:rPr>
          <w:rFonts w:asciiTheme="majorHAnsi" w:hAnsiTheme="majorHAnsi"/>
          <w:i/>
          <w:sz w:val="24"/>
        </w:rPr>
      </w:pPr>
      <w:r>
        <w:rPr>
          <w:rFonts w:asciiTheme="majorHAnsi" w:hAnsiTheme="majorHAnsi"/>
          <w:i/>
          <w:sz w:val="24"/>
        </w:rPr>
        <w:t xml:space="preserve"> </w:t>
      </w:r>
    </w:p>
    <w:p w:rsidR="00F97482" w:rsidP="006A13FA" w14:paraId="6E1F0B2F"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7957E4" w:rsidP="006A13FA" w14:paraId="37FD0F13" w14:textId="77777777">
      <w:pPr>
        <w:spacing w:after="0" w:line="240" w:lineRule="auto"/>
        <w:rPr>
          <w:rFonts w:asciiTheme="majorHAnsi" w:hAnsiTheme="majorHAnsi"/>
          <w:i/>
          <w:sz w:val="24"/>
        </w:rPr>
      </w:pPr>
    </w:p>
    <w:p w:rsidR="005D5C81" w:rsidRPr="00490797" w:rsidP="007957E4" w14:paraId="02380F44" w14:textId="77777777">
      <w:pPr>
        <w:spacing w:after="0" w:line="240" w:lineRule="auto"/>
        <w:rPr>
          <w:rFonts w:asciiTheme="majorHAnsi" w:hAnsiTheme="majorHAnsi"/>
          <w:i/>
          <w:sz w:val="24"/>
        </w:rPr>
      </w:pPr>
      <w:r>
        <w:rPr>
          <w:rFonts w:asciiTheme="majorHAnsi" w:hAnsiTheme="majorHAnsi"/>
          <w:sz w:val="24"/>
        </w:rPr>
        <w:t>A Privacy Act Statement is not required for this collection because we are not requesting individuals to furnish personal information for a system of records. A System of Record Notice (SORN) is not required for this collection because records are not retrievable by PII. A Privacy Impact Assessment (PIA) is not required for this collection because PII is not being collected electronically.</w:t>
      </w:r>
    </w:p>
    <w:p w:rsidR="00996894" w:rsidP="00996894" w14:paraId="3BAE627E" w14:textId="77777777">
      <w:pPr>
        <w:spacing w:after="0" w:line="240" w:lineRule="auto"/>
        <w:rPr>
          <w:rFonts w:asciiTheme="majorHAnsi" w:hAnsiTheme="majorHAnsi"/>
          <w:i/>
          <w:sz w:val="24"/>
        </w:rPr>
      </w:pPr>
    </w:p>
    <w:p w:rsidR="00996894" w:rsidP="00996894" w14:paraId="2C055DDC"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7957E4" w:rsidP="00337EF1" w14:paraId="64EE827B" w14:textId="77777777">
      <w:pPr>
        <w:spacing w:after="0" w:line="240" w:lineRule="auto"/>
        <w:rPr>
          <w:rFonts w:asciiTheme="majorHAnsi" w:hAnsiTheme="majorHAnsi"/>
          <w:i/>
          <w:sz w:val="24"/>
        </w:rPr>
      </w:pPr>
    </w:p>
    <w:p w:rsidR="006A51B9" w:rsidP="00337EF1" w14:paraId="1CC84651" w14:textId="41B0A3C5">
      <w:pPr>
        <w:spacing w:after="0" w:line="240" w:lineRule="auto"/>
        <w:rPr>
          <w:rFonts w:asciiTheme="majorHAnsi" w:hAnsiTheme="majorHAnsi"/>
          <w:sz w:val="24"/>
        </w:rPr>
      </w:pPr>
      <w:r>
        <w:rPr>
          <w:rFonts w:asciiTheme="majorHAnsi" w:hAnsiTheme="majorHAnsi"/>
          <w:sz w:val="24"/>
        </w:rPr>
        <w:t>This collection does not include any questions of a sensitive nature.</w:t>
      </w:r>
    </w:p>
    <w:p w:rsidR="00FD6CB0" w:rsidP="00337EF1" w14:paraId="597C2546" w14:textId="77777777">
      <w:pPr>
        <w:spacing w:after="0" w:line="240" w:lineRule="auto"/>
        <w:rPr>
          <w:rFonts w:asciiTheme="majorHAnsi" w:hAnsiTheme="majorHAnsi"/>
          <w:sz w:val="24"/>
        </w:rPr>
      </w:pPr>
    </w:p>
    <w:p w:rsidR="00D21AA6" w:rsidP="00337EF1" w14:paraId="3DE217B6" w14:textId="77777777">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2F4DD0" w:rsidP="00337EF1" w14:paraId="6DD1D0B9" w14:textId="77777777">
      <w:pPr>
        <w:spacing w:after="0" w:line="240" w:lineRule="auto"/>
        <w:rPr>
          <w:rFonts w:asciiTheme="majorHAnsi" w:hAnsiTheme="majorHAnsi"/>
          <w:sz w:val="24"/>
          <w:u w:val="single"/>
        </w:rPr>
      </w:pPr>
    </w:p>
    <w:p w:rsidR="002F4DD0" w:rsidP="00337EF1" w14:paraId="5456B6B7" w14:textId="5F39C09E">
      <w:pPr>
        <w:spacing w:after="0" w:line="240" w:lineRule="auto"/>
        <w:rPr>
          <w:rFonts w:asciiTheme="majorHAnsi" w:hAnsiTheme="majorHAnsi"/>
          <w:sz w:val="24"/>
        </w:rPr>
      </w:pPr>
      <w:r w:rsidRPr="00B27EE1">
        <w:rPr>
          <w:rFonts w:asciiTheme="majorHAnsi" w:hAnsiTheme="majorHAnsi"/>
          <w:sz w:val="24"/>
          <w:szCs w:val="24"/>
        </w:rPr>
        <w:t>CPSC has estimated the respondent burden in hours and the estimated labor costs to the respondent</w:t>
      </w:r>
      <w:r w:rsidR="00D42610">
        <w:rPr>
          <w:rFonts w:asciiTheme="majorHAnsi" w:hAnsiTheme="majorHAnsi"/>
          <w:sz w:val="24"/>
          <w:szCs w:val="24"/>
        </w:rPr>
        <w:t xml:space="preserve"> in dollars</w:t>
      </w:r>
      <w:r w:rsidRPr="00B27EE1">
        <w:rPr>
          <w:rFonts w:asciiTheme="majorHAnsi" w:hAnsiTheme="majorHAnsi"/>
          <w:sz w:val="24"/>
          <w:szCs w:val="24"/>
        </w:rPr>
        <w:t>.</w:t>
      </w:r>
    </w:p>
    <w:p w:rsidR="00B55E9F" w:rsidP="00B55E9F" w14:paraId="25B48958"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475600" w:rsidP="00235D71" w14:paraId="1A05C1D9" w14:textId="77777777">
      <w:pPr>
        <w:spacing w:after="0" w:line="240" w:lineRule="auto"/>
        <w:rPr>
          <w:rFonts w:asciiTheme="majorHAnsi" w:hAnsiTheme="majorHAnsi"/>
          <w:i/>
          <w:sz w:val="24"/>
        </w:rPr>
      </w:pPr>
    </w:p>
    <w:p w:rsidR="00B27EE1" w:rsidP="00B27EE1" w14:paraId="467DA6E1" w14:textId="456A41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sidRPr="00B27EE1">
        <w:rPr>
          <w:rFonts w:asciiTheme="majorHAnsi" w:hAnsiTheme="majorHAnsi"/>
          <w:sz w:val="24"/>
          <w:szCs w:val="24"/>
        </w:rPr>
        <w:t xml:space="preserve">The hourly burden for labeling includes designing the label that will be used </w:t>
      </w:r>
      <w:r w:rsidR="001106E9">
        <w:rPr>
          <w:rFonts w:asciiTheme="majorHAnsi" w:hAnsiTheme="majorHAnsi"/>
          <w:sz w:val="24"/>
          <w:szCs w:val="24"/>
        </w:rPr>
        <w:t xml:space="preserve">and </w:t>
      </w:r>
      <w:r w:rsidRPr="00B27EE1">
        <w:rPr>
          <w:rFonts w:asciiTheme="majorHAnsi" w:hAnsiTheme="majorHAnsi"/>
          <w:sz w:val="24"/>
          <w:szCs w:val="24"/>
        </w:rPr>
        <w:t>physically attaching the label to each CSU.</w:t>
      </w:r>
      <w:r w:rsidR="004E527A">
        <w:rPr>
          <w:rFonts w:asciiTheme="majorHAnsi" w:hAnsiTheme="majorHAnsi"/>
          <w:sz w:val="24"/>
          <w:szCs w:val="24"/>
        </w:rPr>
        <w:t xml:space="preserve"> </w:t>
      </w:r>
      <w:r w:rsidRPr="001B0A74" w:rsidR="00AC700C">
        <w:rPr>
          <w:rFonts w:asciiTheme="majorHAnsi" w:hAnsiTheme="majorHAnsi"/>
          <w:sz w:val="24"/>
          <w:szCs w:val="24"/>
        </w:rPr>
        <w:t>The hourly reporting burden imposed on firms includes the time it will take them to design and update warning labels, as well as the hourly burden of attaching them to all CSUs sold domestically.</w:t>
      </w:r>
      <w:r w:rsidR="00AC700C">
        <w:rPr>
          <w:rFonts w:asciiTheme="majorHAnsi" w:hAnsiTheme="majorHAnsi"/>
          <w:sz w:val="24"/>
          <w:szCs w:val="24"/>
        </w:rPr>
        <w:t xml:space="preserve"> </w:t>
      </w:r>
      <w:r w:rsidR="004E527A">
        <w:rPr>
          <w:rFonts w:asciiTheme="majorHAnsi" w:hAnsiTheme="majorHAnsi"/>
          <w:sz w:val="24"/>
          <w:szCs w:val="24"/>
        </w:rPr>
        <w:t xml:space="preserve">Burden estimates are presented in </w:t>
      </w:r>
      <w:r w:rsidR="00540128">
        <w:rPr>
          <w:rFonts w:asciiTheme="majorHAnsi" w:hAnsiTheme="majorHAnsi"/>
          <w:sz w:val="24"/>
          <w:szCs w:val="24"/>
        </w:rPr>
        <w:t>T</w:t>
      </w:r>
      <w:r w:rsidR="004E527A">
        <w:rPr>
          <w:rFonts w:asciiTheme="majorHAnsi" w:hAnsiTheme="majorHAnsi"/>
          <w:sz w:val="24"/>
          <w:szCs w:val="24"/>
        </w:rPr>
        <w:t>able 1.</w:t>
      </w:r>
    </w:p>
    <w:p w:rsidR="004E527A" w:rsidP="00B27EE1" w14:paraId="1C3A39EA"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p>
    <w:p w:rsidR="004E527A" w:rsidRPr="00F87956" w:rsidP="00D42610" w14:paraId="6920367B" w14:textId="77777777">
      <w:pPr>
        <w:pStyle w:val="Default"/>
        <w:keepNext/>
        <w:jc w:val="center"/>
        <w:rPr>
          <w:b/>
          <w:color w:val="auto"/>
        </w:rPr>
      </w:pPr>
      <w:r w:rsidRPr="00802030">
        <w:rPr>
          <w:b/>
          <w:color w:val="auto"/>
        </w:rPr>
        <w:t xml:space="preserve">Table </w:t>
      </w:r>
      <w:r>
        <w:rPr>
          <w:b/>
          <w:color w:val="auto"/>
        </w:rPr>
        <w:t>1</w:t>
      </w:r>
      <w:r w:rsidRPr="00802030">
        <w:rPr>
          <w:b/>
          <w:color w:val="auto"/>
        </w:rPr>
        <w:t>: Estimated</w:t>
      </w:r>
      <w:r w:rsidRPr="00F87956">
        <w:rPr>
          <w:b/>
          <w:color w:val="auto"/>
        </w:rPr>
        <w:t xml:space="preserve"> Annual Reporting Burden</w:t>
      </w:r>
    </w:p>
    <w:tbl>
      <w:tblPr>
        <w:tblStyle w:val="TableGrid"/>
        <w:tblW w:w="9715" w:type="dxa"/>
        <w:tblLayout w:type="fixed"/>
        <w:tblLook w:val="04A0"/>
      </w:tblPr>
      <w:tblGrid>
        <w:gridCol w:w="2785"/>
        <w:gridCol w:w="1530"/>
        <w:gridCol w:w="1620"/>
        <w:gridCol w:w="1440"/>
        <w:gridCol w:w="1260"/>
        <w:gridCol w:w="1080"/>
      </w:tblGrid>
      <w:tr w14:paraId="3F876BBE" w14:textId="77777777">
        <w:tblPrEx>
          <w:tblW w:w="9715" w:type="dxa"/>
          <w:tblLayout w:type="fixed"/>
          <w:tblLook w:val="04A0"/>
        </w:tblPrEx>
        <w:tc>
          <w:tcPr>
            <w:tcW w:w="2785" w:type="dxa"/>
            <w:shd w:val="clear" w:color="auto" w:fill="F2F2F2" w:themeFill="background1" w:themeFillShade="F2"/>
            <w:vAlign w:val="center"/>
          </w:tcPr>
          <w:p w:rsidR="004E527A" w:rsidRPr="00973C05" w:rsidP="00D42610" w14:paraId="13D705C5" w14:textId="77777777">
            <w:pPr>
              <w:pStyle w:val="Default"/>
              <w:keepNext/>
              <w:jc w:val="center"/>
              <w:rPr>
                <w:b/>
                <w:color w:val="auto"/>
                <w:sz w:val="22"/>
                <w:szCs w:val="22"/>
              </w:rPr>
            </w:pPr>
            <w:r w:rsidRPr="00973C05">
              <w:rPr>
                <w:b/>
                <w:color w:val="auto"/>
                <w:sz w:val="22"/>
                <w:szCs w:val="22"/>
              </w:rPr>
              <w:t>Burden Type</w:t>
            </w:r>
          </w:p>
        </w:tc>
        <w:tc>
          <w:tcPr>
            <w:tcW w:w="1530" w:type="dxa"/>
            <w:shd w:val="clear" w:color="auto" w:fill="F2F2F2" w:themeFill="background1" w:themeFillShade="F2"/>
            <w:vAlign w:val="center"/>
          </w:tcPr>
          <w:p w:rsidR="004E527A" w:rsidRPr="00973C05" w:rsidP="00D42610" w14:paraId="3B051E6C" w14:textId="77777777">
            <w:pPr>
              <w:pStyle w:val="Default"/>
              <w:keepNext/>
              <w:jc w:val="center"/>
              <w:rPr>
                <w:b/>
                <w:color w:val="auto"/>
                <w:sz w:val="22"/>
                <w:szCs w:val="22"/>
              </w:rPr>
            </w:pPr>
            <w:r w:rsidRPr="00973C05">
              <w:rPr>
                <w:b/>
                <w:color w:val="auto"/>
                <w:sz w:val="22"/>
                <w:szCs w:val="22"/>
              </w:rPr>
              <w:t>Number of Respondents</w:t>
            </w:r>
          </w:p>
        </w:tc>
        <w:tc>
          <w:tcPr>
            <w:tcW w:w="1620" w:type="dxa"/>
            <w:shd w:val="clear" w:color="auto" w:fill="F2F2F2" w:themeFill="background1" w:themeFillShade="F2"/>
            <w:vAlign w:val="center"/>
          </w:tcPr>
          <w:p w:rsidR="004E527A" w:rsidRPr="00973C05" w:rsidP="00D42610" w14:paraId="4E6CF67E" w14:textId="778358D4">
            <w:pPr>
              <w:pStyle w:val="Default"/>
              <w:keepNext/>
              <w:jc w:val="center"/>
              <w:rPr>
                <w:b/>
                <w:color w:val="auto"/>
                <w:sz w:val="22"/>
                <w:szCs w:val="22"/>
              </w:rPr>
            </w:pPr>
            <w:r w:rsidRPr="00973C05">
              <w:rPr>
                <w:b/>
                <w:color w:val="auto"/>
                <w:sz w:val="22"/>
                <w:szCs w:val="22"/>
              </w:rPr>
              <w:t>Frequency</w:t>
            </w:r>
            <w:r w:rsidRPr="00973C05">
              <w:rPr>
                <w:b/>
                <w:color w:val="auto"/>
                <w:sz w:val="22"/>
                <w:szCs w:val="22"/>
              </w:rPr>
              <w:t xml:space="preserve"> of Response</w:t>
            </w:r>
          </w:p>
        </w:tc>
        <w:tc>
          <w:tcPr>
            <w:tcW w:w="1440" w:type="dxa"/>
            <w:shd w:val="clear" w:color="auto" w:fill="F2F2F2" w:themeFill="background1" w:themeFillShade="F2"/>
          </w:tcPr>
          <w:p w:rsidR="004E527A" w:rsidRPr="00973C05" w:rsidP="00D42610" w14:paraId="453910C5" w14:textId="77777777">
            <w:pPr>
              <w:pStyle w:val="Default"/>
              <w:keepNext/>
              <w:jc w:val="center"/>
              <w:rPr>
                <w:b/>
                <w:color w:val="auto"/>
                <w:sz w:val="22"/>
                <w:szCs w:val="22"/>
              </w:rPr>
            </w:pPr>
            <w:r w:rsidRPr="00973C05">
              <w:rPr>
                <w:b/>
                <w:color w:val="auto"/>
                <w:sz w:val="22"/>
                <w:szCs w:val="22"/>
              </w:rPr>
              <w:t>Total Annual Responses</w:t>
            </w:r>
          </w:p>
        </w:tc>
        <w:tc>
          <w:tcPr>
            <w:tcW w:w="1260" w:type="dxa"/>
            <w:shd w:val="clear" w:color="auto" w:fill="F2F2F2" w:themeFill="background1" w:themeFillShade="F2"/>
            <w:vAlign w:val="center"/>
          </w:tcPr>
          <w:p w:rsidR="004E527A" w:rsidRPr="00973C05" w:rsidP="00D42610" w14:paraId="39453CF8" w14:textId="77777777">
            <w:pPr>
              <w:pStyle w:val="Default"/>
              <w:keepNext/>
              <w:jc w:val="center"/>
              <w:rPr>
                <w:b/>
                <w:color w:val="auto"/>
                <w:sz w:val="22"/>
                <w:szCs w:val="22"/>
              </w:rPr>
            </w:pPr>
            <w:r w:rsidRPr="00973C05">
              <w:rPr>
                <w:b/>
                <w:color w:val="auto"/>
                <w:sz w:val="22"/>
                <w:szCs w:val="22"/>
              </w:rPr>
              <w:t>Length of Response</w:t>
            </w:r>
          </w:p>
        </w:tc>
        <w:tc>
          <w:tcPr>
            <w:tcW w:w="1080" w:type="dxa"/>
            <w:shd w:val="clear" w:color="auto" w:fill="F2F2F2" w:themeFill="background1" w:themeFillShade="F2"/>
            <w:vAlign w:val="center"/>
          </w:tcPr>
          <w:p w:rsidR="004E527A" w:rsidRPr="00973C05" w:rsidP="00D42610" w14:paraId="3040C30C" w14:textId="77777777">
            <w:pPr>
              <w:pStyle w:val="Default"/>
              <w:keepNext/>
              <w:jc w:val="center"/>
              <w:rPr>
                <w:b/>
                <w:color w:val="auto"/>
                <w:sz w:val="22"/>
                <w:szCs w:val="22"/>
              </w:rPr>
            </w:pPr>
            <w:r w:rsidRPr="00973C05">
              <w:rPr>
                <w:b/>
                <w:color w:val="auto"/>
                <w:sz w:val="22"/>
                <w:szCs w:val="22"/>
              </w:rPr>
              <w:t>Annual Burden (hours)</w:t>
            </w:r>
          </w:p>
        </w:tc>
      </w:tr>
      <w:tr w14:paraId="565E0B55" w14:textId="77777777">
        <w:tblPrEx>
          <w:tblW w:w="9715" w:type="dxa"/>
          <w:tblLayout w:type="fixed"/>
          <w:tblLook w:val="04A0"/>
        </w:tblPrEx>
        <w:tc>
          <w:tcPr>
            <w:tcW w:w="2785" w:type="dxa"/>
          </w:tcPr>
          <w:p w:rsidR="004E527A" w:rsidRPr="00973C05" w:rsidP="00D42610" w14:paraId="493D1D55" w14:textId="77777777">
            <w:pPr>
              <w:pStyle w:val="Default"/>
              <w:keepNext/>
              <w:rPr>
                <w:color w:val="auto"/>
                <w:sz w:val="22"/>
                <w:szCs w:val="22"/>
              </w:rPr>
            </w:pPr>
            <w:r w:rsidRPr="00973C05">
              <w:rPr>
                <w:color w:val="auto"/>
                <w:sz w:val="22"/>
                <w:szCs w:val="22"/>
              </w:rPr>
              <w:t>Labeling, design and update</w:t>
            </w:r>
          </w:p>
        </w:tc>
        <w:tc>
          <w:tcPr>
            <w:tcW w:w="1530" w:type="dxa"/>
          </w:tcPr>
          <w:p w:rsidR="004E527A" w:rsidRPr="00973C05" w:rsidP="00D42610" w14:paraId="489B2064" w14:textId="77777777">
            <w:pPr>
              <w:pStyle w:val="Default"/>
              <w:keepNext/>
              <w:rPr>
                <w:color w:val="auto"/>
                <w:sz w:val="22"/>
                <w:szCs w:val="22"/>
              </w:rPr>
            </w:pPr>
            <w:r w:rsidRPr="00973C05">
              <w:rPr>
                <w:color w:val="auto"/>
                <w:sz w:val="22"/>
                <w:szCs w:val="22"/>
              </w:rPr>
              <w:t>2,122</w:t>
            </w:r>
          </w:p>
        </w:tc>
        <w:tc>
          <w:tcPr>
            <w:tcW w:w="1620" w:type="dxa"/>
          </w:tcPr>
          <w:p w:rsidR="004E527A" w:rsidRPr="00973C05" w:rsidP="00D42610" w14:paraId="0236865B" w14:textId="77777777">
            <w:pPr>
              <w:pStyle w:val="Default"/>
              <w:keepNext/>
              <w:jc w:val="center"/>
              <w:rPr>
                <w:color w:val="auto"/>
                <w:sz w:val="22"/>
                <w:szCs w:val="22"/>
              </w:rPr>
            </w:pPr>
            <w:r w:rsidRPr="00973C05">
              <w:rPr>
                <w:color w:val="auto"/>
                <w:sz w:val="22"/>
                <w:szCs w:val="22"/>
              </w:rPr>
              <w:t>1</w:t>
            </w:r>
          </w:p>
        </w:tc>
        <w:tc>
          <w:tcPr>
            <w:tcW w:w="1440" w:type="dxa"/>
          </w:tcPr>
          <w:p w:rsidR="004E527A" w:rsidRPr="00973C05" w:rsidP="00D42610" w14:paraId="00CD055D" w14:textId="77777777">
            <w:pPr>
              <w:pStyle w:val="Default"/>
              <w:keepNext/>
              <w:jc w:val="center"/>
              <w:rPr>
                <w:color w:val="auto"/>
                <w:sz w:val="22"/>
                <w:szCs w:val="22"/>
              </w:rPr>
            </w:pPr>
            <w:r w:rsidRPr="00973C05">
              <w:rPr>
                <w:color w:val="auto"/>
                <w:sz w:val="22"/>
                <w:szCs w:val="22"/>
              </w:rPr>
              <w:t>2,122</w:t>
            </w:r>
          </w:p>
        </w:tc>
        <w:tc>
          <w:tcPr>
            <w:tcW w:w="1260" w:type="dxa"/>
          </w:tcPr>
          <w:p w:rsidR="004E527A" w:rsidRPr="00973C05" w:rsidP="00D42610" w14:paraId="54536C05" w14:textId="77777777">
            <w:pPr>
              <w:pStyle w:val="Default"/>
              <w:keepNext/>
              <w:jc w:val="center"/>
              <w:rPr>
                <w:color w:val="auto"/>
                <w:sz w:val="22"/>
                <w:szCs w:val="22"/>
              </w:rPr>
            </w:pPr>
            <w:r w:rsidRPr="00973C05">
              <w:rPr>
                <w:color w:val="auto"/>
                <w:sz w:val="22"/>
                <w:szCs w:val="22"/>
              </w:rPr>
              <w:t>60 min.</w:t>
            </w:r>
          </w:p>
        </w:tc>
        <w:tc>
          <w:tcPr>
            <w:tcW w:w="1080" w:type="dxa"/>
          </w:tcPr>
          <w:p w:rsidR="004E527A" w:rsidRPr="00973C05" w:rsidP="00D42610" w14:paraId="1F63E53D" w14:textId="77777777">
            <w:pPr>
              <w:pStyle w:val="Default"/>
              <w:keepNext/>
              <w:jc w:val="center"/>
              <w:rPr>
                <w:color w:val="auto"/>
                <w:sz w:val="22"/>
                <w:szCs w:val="22"/>
              </w:rPr>
            </w:pPr>
            <w:r w:rsidRPr="00973C05">
              <w:rPr>
                <w:color w:val="auto"/>
                <w:sz w:val="22"/>
                <w:szCs w:val="22"/>
              </w:rPr>
              <w:t>2,122</w:t>
            </w:r>
          </w:p>
        </w:tc>
      </w:tr>
      <w:tr w14:paraId="75A65860" w14:textId="77777777">
        <w:tblPrEx>
          <w:tblW w:w="9715" w:type="dxa"/>
          <w:tblLayout w:type="fixed"/>
          <w:tblLook w:val="04A0"/>
        </w:tblPrEx>
        <w:tc>
          <w:tcPr>
            <w:tcW w:w="2785" w:type="dxa"/>
          </w:tcPr>
          <w:p w:rsidR="004E527A" w:rsidRPr="00973C05" w:rsidP="00D42610" w14:paraId="70E5A23A" w14:textId="77777777">
            <w:pPr>
              <w:pStyle w:val="Default"/>
              <w:keepNext/>
              <w:rPr>
                <w:color w:val="auto"/>
                <w:sz w:val="22"/>
                <w:szCs w:val="22"/>
              </w:rPr>
            </w:pPr>
            <w:r w:rsidRPr="00973C05">
              <w:rPr>
                <w:color w:val="auto"/>
                <w:sz w:val="22"/>
                <w:szCs w:val="22"/>
              </w:rPr>
              <w:t>Labeling, attachment</w:t>
            </w:r>
          </w:p>
        </w:tc>
        <w:tc>
          <w:tcPr>
            <w:tcW w:w="1530" w:type="dxa"/>
          </w:tcPr>
          <w:p w:rsidR="004E527A" w:rsidRPr="00973C05" w:rsidP="00D42610" w14:paraId="348D8FEB" w14:textId="77777777">
            <w:pPr>
              <w:pStyle w:val="Default"/>
              <w:keepNext/>
              <w:rPr>
                <w:color w:val="auto"/>
                <w:sz w:val="22"/>
                <w:szCs w:val="22"/>
              </w:rPr>
            </w:pPr>
            <w:r w:rsidRPr="00973C05">
              <w:rPr>
                <w:color w:val="auto"/>
                <w:sz w:val="22"/>
                <w:szCs w:val="22"/>
              </w:rPr>
              <w:t>20,103,360</w:t>
            </w:r>
          </w:p>
        </w:tc>
        <w:tc>
          <w:tcPr>
            <w:tcW w:w="1620" w:type="dxa"/>
          </w:tcPr>
          <w:p w:rsidR="004E527A" w:rsidRPr="00973C05" w:rsidP="00D42610" w14:paraId="35D70629" w14:textId="77777777">
            <w:pPr>
              <w:pStyle w:val="Default"/>
              <w:keepNext/>
              <w:jc w:val="center"/>
              <w:rPr>
                <w:color w:val="auto"/>
                <w:sz w:val="22"/>
                <w:szCs w:val="22"/>
              </w:rPr>
            </w:pPr>
            <w:r w:rsidRPr="00973C05">
              <w:rPr>
                <w:color w:val="auto"/>
                <w:sz w:val="22"/>
                <w:szCs w:val="22"/>
              </w:rPr>
              <w:t>1</w:t>
            </w:r>
          </w:p>
        </w:tc>
        <w:tc>
          <w:tcPr>
            <w:tcW w:w="1440" w:type="dxa"/>
          </w:tcPr>
          <w:p w:rsidR="004E527A" w:rsidRPr="00973C05" w:rsidP="00D42610" w14:paraId="151419EE" w14:textId="77777777">
            <w:pPr>
              <w:pStyle w:val="Default"/>
              <w:keepNext/>
              <w:jc w:val="center"/>
              <w:rPr>
                <w:color w:val="auto"/>
                <w:sz w:val="22"/>
                <w:szCs w:val="22"/>
              </w:rPr>
            </w:pPr>
            <w:r w:rsidRPr="00973C05">
              <w:rPr>
                <w:color w:val="auto"/>
                <w:sz w:val="22"/>
                <w:szCs w:val="22"/>
              </w:rPr>
              <w:t>20,103,360</w:t>
            </w:r>
          </w:p>
        </w:tc>
        <w:tc>
          <w:tcPr>
            <w:tcW w:w="1260" w:type="dxa"/>
          </w:tcPr>
          <w:p w:rsidR="004E527A" w:rsidRPr="00973C05" w:rsidP="00D42610" w14:paraId="3F337A6E" w14:textId="77777777">
            <w:pPr>
              <w:pStyle w:val="Default"/>
              <w:keepNext/>
              <w:jc w:val="center"/>
              <w:rPr>
                <w:color w:val="auto"/>
                <w:sz w:val="22"/>
                <w:szCs w:val="22"/>
              </w:rPr>
            </w:pPr>
            <w:r w:rsidRPr="00973C05">
              <w:rPr>
                <w:color w:val="auto"/>
                <w:sz w:val="22"/>
                <w:szCs w:val="22"/>
              </w:rPr>
              <w:t>.06 min.</w:t>
            </w:r>
          </w:p>
        </w:tc>
        <w:tc>
          <w:tcPr>
            <w:tcW w:w="1080" w:type="dxa"/>
          </w:tcPr>
          <w:p w:rsidR="004E527A" w:rsidRPr="00973C05" w:rsidP="00D42610" w14:paraId="34ECA5EE" w14:textId="77777777">
            <w:pPr>
              <w:pStyle w:val="Default"/>
              <w:keepNext/>
              <w:jc w:val="center"/>
              <w:rPr>
                <w:color w:val="auto"/>
                <w:sz w:val="22"/>
                <w:szCs w:val="22"/>
              </w:rPr>
            </w:pPr>
            <w:r w:rsidRPr="00973C05">
              <w:rPr>
                <w:color w:val="auto"/>
                <w:sz w:val="22"/>
                <w:szCs w:val="22"/>
              </w:rPr>
              <w:t>20,103</w:t>
            </w:r>
          </w:p>
        </w:tc>
      </w:tr>
    </w:tbl>
    <w:p w:rsidR="004E527A" w:rsidP="00D42610" w14:paraId="43C14927" w14:textId="77777777">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p>
    <w:p w:rsidR="00B27EE1" w:rsidP="00D42610" w14:paraId="339D0D03" w14:textId="3957E14E">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sz w:val="24"/>
          <w:szCs w:val="24"/>
        </w:rPr>
      </w:pPr>
      <w:r>
        <w:rPr>
          <w:rFonts w:asciiTheme="majorHAnsi" w:hAnsiTheme="majorHAnsi"/>
          <w:sz w:val="24"/>
          <w:szCs w:val="24"/>
        </w:rPr>
        <w:t xml:space="preserve">CPSC estimates </w:t>
      </w:r>
      <w:r w:rsidR="00D21B2E">
        <w:rPr>
          <w:rFonts w:asciiTheme="majorHAnsi" w:hAnsiTheme="majorHAnsi"/>
          <w:sz w:val="24"/>
          <w:szCs w:val="24"/>
        </w:rPr>
        <w:t xml:space="preserve">that approximately </w:t>
      </w:r>
      <w:r>
        <w:rPr>
          <w:rFonts w:asciiTheme="majorHAnsi" w:hAnsiTheme="majorHAnsi"/>
          <w:sz w:val="24"/>
          <w:szCs w:val="24"/>
        </w:rPr>
        <w:t>2,122 CSU suppliers</w:t>
      </w:r>
      <w:r w:rsidR="00206384">
        <w:rPr>
          <w:rFonts w:asciiTheme="majorHAnsi" w:hAnsiTheme="majorHAnsi"/>
          <w:sz w:val="24"/>
          <w:szCs w:val="24"/>
        </w:rPr>
        <w:t xml:space="preserve"> </w:t>
      </w:r>
      <w:r w:rsidR="00620149">
        <w:rPr>
          <w:rFonts w:asciiTheme="majorHAnsi" w:hAnsiTheme="majorHAnsi"/>
          <w:sz w:val="24"/>
          <w:szCs w:val="24"/>
        </w:rPr>
        <w:t xml:space="preserve">will design and update </w:t>
      </w:r>
      <w:r w:rsidR="00196E66">
        <w:rPr>
          <w:rFonts w:asciiTheme="majorHAnsi" w:hAnsiTheme="majorHAnsi"/>
          <w:sz w:val="24"/>
          <w:szCs w:val="24"/>
        </w:rPr>
        <w:t xml:space="preserve">the </w:t>
      </w:r>
      <w:r w:rsidR="00620149">
        <w:rPr>
          <w:rFonts w:asciiTheme="majorHAnsi" w:hAnsiTheme="majorHAnsi"/>
          <w:sz w:val="24"/>
          <w:szCs w:val="24"/>
        </w:rPr>
        <w:t>CSU label annually</w:t>
      </w:r>
      <w:r w:rsidR="00206384">
        <w:rPr>
          <w:rFonts w:asciiTheme="majorHAnsi" w:hAnsiTheme="majorHAnsi"/>
          <w:sz w:val="24"/>
          <w:szCs w:val="24"/>
        </w:rPr>
        <w:t>.</w:t>
      </w:r>
      <w:r>
        <w:rPr>
          <w:rStyle w:val="FootnoteReference"/>
          <w:rFonts w:asciiTheme="majorHAnsi" w:hAnsiTheme="majorHAnsi"/>
          <w:sz w:val="24"/>
          <w:szCs w:val="24"/>
        </w:rPr>
        <w:footnoteReference w:id="3"/>
      </w:r>
      <w:r w:rsidR="00206384">
        <w:rPr>
          <w:rFonts w:asciiTheme="majorHAnsi" w:hAnsiTheme="majorHAnsi"/>
          <w:sz w:val="24"/>
          <w:szCs w:val="24"/>
        </w:rPr>
        <w:t xml:space="preserve"> </w:t>
      </w:r>
      <w:r w:rsidR="007F5960">
        <w:rPr>
          <w:rFonts w:asciiTheme="majorHAnsi" w:hAnsiTheme="majorHAnsi"/>
          <w:sz w:val="24"/>
          <w:szCs w:val="24"/>
        </w:rPr>
        <w:t xml:space="preserve">Also, </w:t>
      </w:r>
      <w:r w:rsidRPr="00B27EE1" w:rsidR="00072659">
        <w:rPr>
          <w:rFonts w:asciiTheme="majorHAnsi" w:hAnsiTheme="majorHAnsi"/>
          <w:sz w:val="24"/>
          <w:szCs w:val="24"/>
        </w:rPr>
        <w:t>CPSC estimate</w:t>
      </w:r>
      <w:r w:rsidR="00DB1697">
        <w:rPr>
          <w:rFonts w:asciiTheme="majorHAnsi" w:hAnsiTheme="majorHAnsi"/>
          <w:sz w:val="24"/>
          <w:szCs w:val="24"/>
        </w:rPr>
        <w:t>s</w:t>
      </w:r>
      <w:r w:rsidRPr="00B27EE1" w:rsidR="00072659">
        <w:rPr>
          <w:rFonts w:asciiTheme="majorHAnsi" w:hAnsiTheme="majorHAnsi"/>
          <w:sz w:val="24"/>
          <w:szCs w:val="24"/>
        </w:rPr>
        <w:t xml:space="preserve"> that there </w:t>
      </w:r>
      <w:r w:rsidR="007F5960">
        <w:rPr>
          <w:rFonts w:asciiTheme="majorHAnsi" w:hAnsiTheme="majorHAnsi"/>
          <w:sz w:val="24"/>
          <w:szCs w:val="24"/>
        </w:rPr>
        <w:t>are approximately</w:t>
      </w:r>
      <w:r w:rsidRPr="00B27EE1" w:rsidR="00072659">
        <w:rPr>
          <w:rFonts w:asciiTheme="majorHAnsi" w:hAnsiTheme="majorHAnsi"/>
          <w:sz w:val="24"/>
          <w:szCs w:val="24"/>
        </w:rPr>
        <w:t xml:space="preserve"> 20</w:t>
      </w:r>
      <w:r w:rsidR="002A76F6">
        <w:rPr>
          <w:rFonts w:asciiTheme="majorHAnsi" w:hAnsiTheme="majorHAnsi"/>
          <w:sz w:val="24"/>
          <w:szCs w:val="24"/>
        </w:rPr>
        <w:t>,103,</w:t>
      </w:r>
      <w:r w:rsidR="002F06F5">
        <w:rPr>
          <w:rFonts w:asciiTheme="majorHAnsi" w:hAnsiTheme="majorHAnsi"/>
          <w:sz w:val="24"/>
          <w:szCs w:val="24"/>
        </w:rPr>
        <w:t>360</w:t>
      </w:r>
      <w:r w:rsidRPr="00B27EE1" w:rsidR="00072659">
        <w:rPr>
          <w:rFonts w:asciiTheme="majorHAnsi" w:hAnsiTheme="majorHAnsi"/>
          <w:sz w:val="24"/>
          <w:szCs w:val="24"/>
        </w:rPr>
        <w:t xml:space="preserve"> </w:t>
      </w:r>
      <w:r w:rsidR="007F5960">
        <w:rPr>
          <w:rFonts w:asciiTheme="majorHAnsi" w:hAnsiTheme="majorHAnsi"/>
          <w:sz w:val="24"/>
          <w:szCs w:val="24"/>
        </w:rPr>
        <w:t xml:space="preserve">CSU </w:t>
      </w:r>
      <w:r w:rsidRPr="00B27EE1" w:rsidR="00072659">
        <w:rPr>
          <w:rFonts w:asciiTheme="majorHAnsi" w:hAnsiTheme="majorHAnsi"/>
          <w:sz w:val="24"/>
          <w:szCs w:val="24"/>
        </w:rPr>
        <w:t xml:space="preserve">units sold </w:t>
      </w:r>
      <w:r w:rsidR="00AA55CB">
        <w:rPr>
          <w:rFonts w:asciiTheme="majorHAnsi" w:hAnsiTheme="majorHAnsi"/>
          <w:sz w:val="24"/>
          <w:szCs w:val="24"/>
        </w:rPr>
        <w:t>annually</w:t>
      </w:r>
      <w:r w:rsidRPr="00B27EE1" w:rsidR="00072659">
        <w:rPr>
          <w:rFonts w:asciiTheme="majorHAnsi" w:hAnsiTheme="majorHAnsi"/>
          <w:sz w:val="24"/>
          <w:szCs w:val="24"/>
        </w:rPr>
        <w:t xml:space="preserve">. This </w:t>
      </w:r>
      <w:r w:rsidR="00AA55CB">
        <w:rPr>
          <w:rFonts w:asciiTheme="majorHAnsi" w:hAnsiTheme="majorHAnsi"/>
          <w:sz w:val="24"/>
          <w:szCs w:val="24"/>
        </w:rPr>
        <w:t>is</w:t>
      </w:r>
      <w:r w:rsidRPr="00B27EE1" w:rsidR="00072659">
        <w:rPr>
          <w:rFonts w:asciiTheme="majorHAnsi" w:hAnsiTheme="majorHAnsi"/>
          <w:sz w:val="24"/>
          <w:szCs w:val="24"/>
        </w:rPr>
        <w:t xml:space="preserve"> a reasonable estimate of the number of </w:t>
      </w:r>
      <w:r w:rsidR="00854176">
        <w:rPr>
          <w:rFonts w:asciiTheme="majorHAnsi" w:hAnsiTheme="majorHAnsi"/>
          <w:sz w:val="24"/>
          <w:szCs w:val="24"/>
        </w:rPr>
        <w:t xml:space="preserve">labeling attachment </w:t>
      </w:r>
      <w:r w:rsidRPr="00B27EE1" w:rsidR="00072659">
        <w:rPr>
          <w:rFonts w:asciiTheme="majorHAnsi" w:hAnsiTheme="majorHAnsi"/>
          <w:sz w:val="24"/>
          <w:szCs w:val="24"/>
        </w:rPr>
        <w:t xml:space="preserve">responses per year.  </w:t>
      </w:r>
    </w:p>
    <w:p w:rsidR="001B0A74" w:rsidP="001B0A74" w14:paraId="36F11C55" w14:textId="5AD8ABF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b/>
          <w:i/>
          <w:sz w:val="24"/>
          <w:szCs w:val="24"/>
        </w:rPr>
      </w:pPr>
    </w:p>
    <w:p w:rsidR="001B0A74" w:rsidP="001B0A74" w14:paraId="32133970" w14:textId="49A49DA7">
      <w:pPr>
        <w:spacing w:after="0" w:line="240" w:lineRule="auto"/>
        <w:rPr>
          <w:rFonts w:asciiTheme="majorHAnsi" w:hAnsiTheme="majorHAnsi"/>
          <w:sz w:val="24"/>
          <w:szCs w:val="24"/>
        </w:rPr>
      </w:pPr>
      <w:r w:rsidRPr="001B0A74">
        <w:rPr>
          <w:rFonts w:asciiTheme="majorHAnsi" w:hAnsiTheme="majorHAnsi"/>
          <w:sz w:val="24"/>
          <w:szCs w:val="24"/>
        </w:rPr>
        <w:t xml:space="preserve">CPSC estimates that it could take an hour for a supplier to design the labeling or marking </w:t>
      </w:r>
      <w:r w:rsidR="00482EC1">
        <w:rPr>
          <w:rFonts w:asciiTheme="majorHAnsi" w:hAnsiTheme="majorHAnsi"/>
          <w:sz w:val="24"/>
          <w:szCs w:val="24"/>
        </w:rPr>
        <w:t>for a</w:t>
      </w:r>
      <w:r w:rsidRPr="001B0A74">
        <w:rPr>
          <w:rFonts w:asciiTheme="majorHAnsi" w:hAnsiTheme="majorHAnsi"/>
          <w:sz w:val="24"/>
          <w:szCs w:val="24"/>
        </w:rPr>
        <w:t xml:space="preserve"> CSU model, and that the design could be used for a period of three years, or until the CSU is redesigned. </w:t>
      </w:r>
      <w:r w:rsidR="00B070B6">
        <w:rPr>
          <w:rFonts w:asciiTheme="majorHAnsi" w:hAnsiTheme="majorHAnsi"/>
          <w:sz w:val="24"/>
          <w:szCs w:val="24"/>
        </w:rPr>
        <w:t xml:space="preserve">Note that this is probably an overestimate of the </w:t>
      </w:r>
      <w:r w:rsidR="009A4B29">
        <w:rPr>
          <w:rFonts w:asciiTheme="majorHAnsi" w:hAnsiTheme="majorHAnsi"/>
          <w:sz w:val="24"/>
          <w:szCs w:val="24"/>
        </w:rPr>
        <w:t xml:space="preserve">labeling burden, as most warning label designs </w:t>
      </w:r>
      <w:r w:rsidR="003305C1">
        <w:rPr>
          <w:rFonts w:asciiTheme="majorHAnsi" w:hAnsiTheme="majorHAnsi"/>
          <w:sz w:val="24"/>
          <w:szCs w:val="24"/>
        </w:rPr>
        <w:t xml:space="preserve">will not need to be redesigned every three years. </w:t>
      </w:r>
    </w:p>
    <w:p w:rsidR="001B0A74" w:rsidP="001B0A74" w14:paraId="5234C952" w14:textId="4E1C2DCC">
      <w:pPr>
        <w:spacing w:after="0" w:line="240" w:lineRule="auto"/>
        <w:rPr>
          <w:rFonts w:asciiTheme="majorHAnsi" w:hAnsiTheme="majorHAnsi"/>
          <w:sz w:val="24"/>
          <w:szCs w:val="24"/>
        </w:rPr>
      </w:pPr>
    </w:p>
    <w:p w:rsidR="00FB3FC7" w:rsidRPr="00DA3506" w:rsidP="00475600" w14:paraId="5FEE3151" w14:textId="5782EC51">
      <w:pPr>
        <w:spacing w:after="0" w:line="240" w:lineRule="auto"/>
        <w:rPr>
          <w:rFonts w:asciiTheme="majorHAnsi" w:hAnsiTheme="majorHAnsi"/>
          <w:sz w:val="24"/>
          <w:szCs w:val="24"/>
        </w:rPr>
      </w:pPr>
      <w:r w:rsidRPr="001B0A74">
        <w:rPr>
          <w:rFonts w:asciiTheme="majorHAnsi" w:hAnsiTheme="majorHAnsi"/>
          <w:sz w:val="24"/>
          <w:szCs w:val="24"/>
        </w:rPr>
        <w:t xml:space="preserve">CPSC estimates it could take 0.06 minutes (3.6 seconds or 1,000 </w:t>
      </w:r>
      <w:r w:rsidR="00C011BA">
        <w:rPr>
          <w:rFonts w:asciiTheme="majorHAnsi" w:hAnsiTheme="majorHAnsi"/>
          <w:sz w:val="24"/>
          <w:szCs w:val="24"/>
        </w:rPr>
        <w:t>labels</w:t>
      </w:r>
      <w:r w:rsidRPr="001B0A74">
        <w:rPr>
          <w:rFonts w:asciiTheme="majorHAnsi" w:hAnsiTheme="majorHAnsi"/>
          <w:sz w:val="24"/>
          <w:szCs w:val="24"/>
        </w:rPr>
        <w:t xml:space="preserve"> per hour) for a supplier to attach the </w:t>
      </w:r>
      <w:r w:rsidR="00C011BA">
        <w:rPr>
          <w:rFonts w:asciiTheme="majorHAnsi" w:hAnsiTheme="majorHAnsi"/>
          <w:sz w:val="24"/>
          <w:szCs w:val="24"/>
        </w:rPr>
        <w:t>label</w:t>
      </w:r>
      <w:r w:rsidRPr="001B0A74">
        <w:rPr>
          <w:rFonts w:asciiTheme="majorHAnsi" w:hAnsiTheme="majorHAnsi"/>
          <w:sz w:val="24"/>
          <w:szCs w:val="24"/>
        </w:rPr>
        <w:t xml:space="preserve"> to the CSU, for each of the 20</w:t>
      </w:r>
      <w:r w:rsidR="00494F2D">
        <w:rPr>
          <w:rFonts w:asciiTheme="majorHAnsi" w:hAnsiTheme="majorHAnsi"/>
          <w:sz w:val="24"/>
          <w:szCs w:val="24"/>
        </w:rPr>
        <w:t>,103,360</w:t>
      </w:r>
      <w:r w:rsidRPr="001B0A74">
        <w:rPr>
          <w:rFonts w:asciiTheme="majorHAnsi" w:hAnsiTheme="majorHAnsi"/>
          <w:sz w:val="24"/>
          <w:szCs w:val="24"/>
        </w:rPr>
        <w:t xml:space="preserve"> units sold in the United States annually. Attaching the </w:t>
      </w:r>
      <w:r w:rsidR="006A2294">
        <w:rPr>
          <w:rFonts w:asciiTheme="majorHAnsi" w:hAnsiTheme="majorHAnsi"/>
          <w:sz w:val="24"/>
          <w:szCs w:val="24"/>
        </w:rPr>
        <w:t>label</w:t>
      </w:r>
      <w:r w:rsidRPr="001B0A74">
        <w:rPr>
          <w:rFonts w:asciiTheme="majorHAnsi" w:hAnsiTheme="majorHAnsi"/>
          <w:sz w:val="24"/>
          <w:szCs w:val="24"/>
        </w:rPr>
        <w:t xml:space="preserve"> to the CSU would amount to an hourly burden of 20,</w:t>
      </w:r>
      <w:r w:rsidR="00494F2D">
        <w:rPr>
          <w:rFonts w:asciiTheme="majorHAnsi" w:hAnsiTheme="majorHAnsi"/>
          <w:sz w:val="24"/>
          <w:szCs w:val="24"/>
        </w:rPr>
        <w:t>103</w:t>
      </w:r>
      <w:r w:rsidRPr="001B0A74">
        <w:rPr>
          <w:rFonts w:asciiTheme="majorHAnsi" w:hAnsiTheme="majorHAnsi"/>
          <w:sz w:val="24"/>
          <w:szCs w:val="24"/>
        </w:rPr>
        <w:t xml:space="preserve"> hours </w:t>
      </w:r>
      <w:r w:rsidR="00340C91">
        <w:rPr>
          <w:rFonts w:asciiTheme="majorHAnsi" w:hAnsiTheme="majorHAnsi"/>
          <w:sz w:val="24"/>
          <w:szCs w:val="24"/>
        </w:rPr>
        <w:t>[</w:t>
      </w:r>
      <w:r w:rsidRPr="001B0A74">
        <w:rPr>
          <w:rFonts w:asciiTheme="majorHAnsi" w:hAnsiTheme="majorHAnsi"/>
          <w:sz w:val="24"/>
          <w:szCs w:val="24"/>
        </w:rPr>
        <w:t>(0.06 min × 20,</w:t>
      </w:r>
      <w:r w:rsidR="00340C91">
        <w:rPr>
          <w:rFonts w:asciiTheme="majorHAnsi" w:hAnsiTheme="majorHAnsi"/>
          <w:sz w:val="24"/>
          <w:szCs w:val="24"/>
        </w:rPr>
        <w:t>103,360</w:t>
      </w:r>
      <w:r w:rsidRPr="001B0A74">
        <w:rPr>
          <w:rFonts w:asciiTheme="majorHAnsi" w:hAnsiTheme="majorHAnsi"/>
          <w:sz w:val="24"/>
          <w:szCs w:val="24"/>
        </w:rPr>
        <w:t xml:space="preserve"> CSUs</w:t>
      </w:r>
      <w:r w:rsidR="00340C91">
        <w:rPr>
          <w:rFonts w:asciiTheme="majorHAnsi" w:hAnsiTheme="majorHAnsi"/>
          <w:sz w:val="24"/>
          <w:szCs w:val="24"/>
        </w:rPr>
        <w:t>)</w:t>
      </w:r>
      <w:r w:rsidRPr="001B0A74">
        <w:rPr>
          <w:rFonts w:asciiTheme="majorHAnsi" w:hAnsiTheme="majorHAnsi"/>
          <w:sz w:val="24"/>
          <w:szCs w:val="24"/>
        </w:rPr>
        <w:t xml:space="preserve"> / 60 mins per hour</w:t>
      </w:r>
      <w:r w:rsidR="00340C91">
        <w:rPr>
          <w:rFonts w:asciiTheme="majorHAnsi" w:hAnsiTheme="majorHAnsi"/>
          <w:sz w:val="24"/>
          <w:szCs w:val="24"/>
        </w:rPr>
        <w:t>]</w:t>
      </w:r>
      <w:r w:rsidRPr="001B0A74">
        <w:rPr>
          <w:rFonts w:asciiTheme="majorHAnsi" w:hAnsiTheme="majorHAnsi"/>
          <w:sz w:val="24"/>
          <w:szCs w:val="24"/>
        </w:rPr>
        <w:t>.</w:t>
      </w:r>
    </w:p>
    <w:p w:rsidR="00937015" w:rsidP="00475600" w14:paraId="5142A9C8" w14:textId="77777777">
      <w:pPr>
        <w:spacing w:after="0" w:line="240" w:lineRule="auto"/>
        <w:rPr>
          <w:rFonts w:asciiTheme="majorHAnsi" w:hAnsiTheme="majorHAnsi"/>
          <w:sz w:val="24"/>
        </w:rPr>
      </w:pPr>
    </w:p>
    <w:p w:rsidR="00105F45" w:rsidP="00337EF1" w14:paraId="38368145" w14:textId="77777777">
      <w:pPr>
        <w:spacing w:after="0" w:line="240" w:lineRule="auto"/>
        <w:rPr>
          <w:rFonts w:asciiTheme="majorHAnsi" w:hAnsiTheme="majorHAnsi"/>
          <w:sz w:val="24"/>
        </w:rPr>
      </w:pPr>
      <w:r>
        <w:rPr>
          <w:rFonts w:asciiTheme="majorHAnsi" w:hAnsiTheme="majorHAnsi"/>
          <w:sz w:val="24"/>
        </w:rPr>
        <w:t>Part B: LABOR COST OF RESPONDENT BURDEN</w:t>
      </w:r>
    </w:p>
    <w:p w:rsidR="00B55E9F" w:rsidP="00520B36" w14:paraId="1E0A1480" w14:textId="77777777">
      <w:pPr>
        <w:spacing w:after="0" w:line="240" w:lineRule="auto"/>
        <w:rPr>
          <w:rFonts w:asciiTheme="majorHAnsi" w:hAnsiTheme="majorHAnsi"/>
          <w:i/>
          <w:sz w:val="24"/>
        </w:rPr>
      </w:pPr>
    </w:p>
    <w:p w:rsidR="006F2DF8" w:rsidRPr="00666833" w:rsidP="00337EF1" w14:paraId="284A2669" w14:textId="6FBB98A7">
      <w:pPr>
        <w:spacing w:after="0" w:line="240" w:lineRule="auto"/>
        <w:rPr>
          <w:rFonts w:asciiTheme="majorHAnsi" w:hAnsiTheme="majorHAnsi"/>
          <w:sz w:val="24"/>
          <w:szCs w:val="24"/>
        </w:rPr>
      </w:pPr>
      <w:r w:rsidRPr="001B0A74">
        <w:rPr>
          <w:rFonts w:asciiTheme="majorHAnsi" w:hAnsiTheme="majorHAnsi"/>
          <w:sz w:val="24"/>
          <w:szCs w:val="24"/>
        </w:rPr>
        <w:t>According to the U.S. Bureau of Labor Statistics (BLS), Employer Costs for Employee Compensation, the total compensation cost per hour worked for private industry workers</w:t>
      </w:r>
      <w:r w:rsidR="00062B12">
        <w:rPr>
          <w:rFonts w:asciiTheme="majorHAnsi" w:hAnsiTheme="majorHAnsi"/>
          <w:sz w:val="24"/>
          <w:szCs w:val="24"/>
        </w:rPr>
        <w:t xml:space="preserve"> in goods-producing industries</w:t>
      </w:r>
      <w:r w:rsidRPr="001B0A74">
        <w:rPr>
          <w:rFonts w:asciiTheme="majorHAnsi" w:hAnsiTheme="majorHAnsi"/>
          <w:sz w:val="24"/>
          <w:szCs w:val="24"/>
        </w:rPr>
        <w:t xml:space="preserve"> was $</w:t>
      </w:r>
      <w:r w:rsidR="00C55EF7">
        <w:rPr>
          <w:rFonts w:asciiTheme="majorHAnsi" w:hAnsiTheme="majorHAnsi"/>
          <w:sz w:val="24"/>
          <w:szCs w:val="24"/>
        </w:rPr>
        <w:t>4</w:t>
      </w:r>
      <w:r w:rsidR="00B94233">
        <w:rPr>
          <w:rFonts w:asciiTheme="majorHAnsi" w:hAnsiTheme="majorHAnsi"/>
          <w:sz w:val="24"/>
          <w:szCs w:val="24"/>
        </w:rPr>
        <w:t>7.00</w:t>
      </w:r>
      <w:r w:rsidRPr="001B0A74">
        <w:rPr>
          <w:rFonts w:asciiTheme="majorHAnsi" w:hAnsiTheme="majorHAnsi"/>
          <w:sz w:val="24"/>
          <w:szCs w:val="24"/>
        </w:rPr>
        <w:t xml:space="preserve"> (March 202</w:t>
      </w:r>
      <w:r w:rsidR="001018CF">
        <w:rPr>
          <w:rFonts w:asciiTheme="majorHAnsi" w:hAnsiTheme="majorHAnsi"/>
          <w:sz w:val="24"/>
          <w:szCs w:val="24"/>
        </w:rPr>
        <w:t>5</w:t>
      </w:r>
      <w:r w:rsidRPr="001B0A74">
        <w:rPr>
          <w:rFonts w:asciiTheme="majorHAnsi" w:hAnsiTheme="majorHAnsi"/>
          <w:sz w:val="24"/>
          <w:szCs w:val="24"/>
        </w:rPr>
        <w:t xml:space="preserve">, Table 4, </w:t>
      </w:r>
      <w:r w:rsidRPr="00FC5D19" w:rsidR="00FC5D19">
        <w:rPr>
          <w:rFonts w:asciiTheme="majorHAnsi" w:hAnsiTheme="majorHAnsi"/>
          <w:sz w:val="24"/>
          <w:szCs w:val="24"/>
        </w:rPr>
        <w:t>https://www.bls.gov/news.release/archives/ecec_06132025.pdf</w:t>
      </w:r>
      <w:r w:rsidRPr="001B0A74">
        <w:rPr>
          <w:rFonts w:asciiTheme="majorHAnsi" w:hAnsiTheme="majorHAnsi"/>
          <w:sz w:val="24"/>
          <w:szCs w:val="24"/>
        </w:rPr>
        <w:t xml:space="preserve">). Based on this analysis, CPSC staff estimates that the labor cost of respondent burden </w:t>
      </w:r>
      <w:r w:rsidR="00403D30">
        <w:rPr>
          <w:rFonts w:asciiTheme="majorHAnsi" w:hAnsiTheme="majorHAnsi"/>
          <w:sz w:val="24"/>
          <w:szCs w:val="24"/>
        </w:rPr>
        <w:t>is</w:t>
      </w:r>
      <w:r w:rsidRPr="001B0A74">
        <w:rPr>
          <w:rFonts w:asciiTheme="majorHAnsi" w:hAnsiTheme="majorHAnsi"/>
          <w:sz w:val="24"/>
          <w:szCs w:val="24"/>
        </w:rPr>
        <w:t xml:space="preserve"> approximately $</w:t>
      </w:r>
      <w:r w:rsidR="0032052D">
        <w:rPr>
          <w:rFonts w:asciiTheme="majorHAnsi" w:hAnsiTheme="majorHAnsi"/>
          <w:sz w:val="24"/>
          <w:szCs w:val="24"/>
        </w:rPr>
        <w:t>1</w:t>
      </w:r>
      <w:r w:rsidR="0000596D">
        <w:rPr>
          <w:rFonts w:asciiTheme="majorHAnsi" w:hAnsiTheme="majorHAnsi"/>
          <w:sz w:val="24"/>
          <w:szCs w:val="24"/>
        </w:rPr>
        <w:t xml:space="preserve"> million</w:t>
      </w:r>
      <w:r w:rsidR="004E061C">
        <w:rPr>
          <w:rFonts w:asciiTheme="majorHAnsi" w:hAnsiTheme="majorHAnsi"/>
          <w:sz w:val="24"/>
          <w:szCs w:val="24"/>
        </w:rPr>
        <w:t>,</w:t>
      </w:r>
      <w:r w:rsidRPr="001B0A74">
        <w:rPr>
          <w:rFonts w:asciiTheme="majorHAnsi" w:hAnsiTheme="majorHAnsi"/>
          <w:sz w:val="24"/>
          <w:szCs w:val="24"/>
        </w:rPr>
        <w:t xml:space="preserve"> annually </w:t>
      </w:r>
      <w:r w:rsidR="00CB69F3">
        <w:rPr>
          <w:rFonts w:asciiTheme="majorHAnsi" w:hAnsiTheme="majorHAnsi"/>
          <w:sz w:val="24"/>
          <w:szCs w:val="24"/>
        </w:rPr>
        <w:t>[(</w:t>
      </w:r>
      <w:r w:rsidR="00737810">
        <w:rPr>
          <w:rFonts w:asciiTheme="majorHAnsi" w:hAnsiTheme="majorHAnsi"/>
          <w:sz w:val="24"/>
          <w:szCs w:val="24"/>
        </w:rPr>
        <w:t>2,122</w:t>
      </w:r>
      <w:r w:rsidRPr="001B0A74">
        <w:rPr>
          <w:rFonts w:asciiTheme="majorHAnsi" w:hAnsiTheme="majorHAnsi"/>
          <w:sz w:val="24"/>
          <w:szCs w:val="24"/>
        </w:rPr>
        <w:t xml:space="preserve"> hours</w:t>
      </w:r>
      <w:r w:rsidR="00737810">
        <w:rPr>
          <w:rFonts w:asciiTheme="majorHAnsi" w:hAnsiTheme="majorHAnsi"/>
          <w:sz w:val="24"/>
          <w:szCs w:val="24"/>
        </w:rPr>
        <w:t xml:space="preserve"> + 20,103 hours)</w:t>
      </w:r>
      <w:r w:rsidRPr="001B0A74">
        <w:rPr>
          <w:rFonts w:asciiTheme="majorHAnsi" w:hAnsiTheme="majorHAnsi"/>
          <w:sz w:val="24"/>
          <w:szCs w:val="24"/>
        </w:rPr>
        <w:t xml:space="preserve"> × $</w:t>
      </w:r>
      <w:r w:rsidR="00737810">
        <w:rPr>
          <w:rFonts w:asciiTheme="majorHAnsi" w:hAnsiTheme="majorHAnsi"/>
          <w:sz w:val="24"/>
          <w:szCs w:val="24"/>
        </w:rPr>
        <w:t>4</w:t>
      </w:r>
      <w:r w:rsidR="006343E4">
        <w:rPr>
          <w:rFonts w:asciiTheme="majorHAnsi" w:hAnsiTheme="majorHAnsi"/>
          <w:sz w:val="24"/>
          <w:szCs w:val="24"/>
        </w:rPr>
        <w:t>7.00</w:t>
      </w:r>
      <w:r w:rsidRPr="001B0A74">
        <w:rPr>
          <w:rFonts w:asciiTheme="majorHAnsi" w:hAnsiTheme="majorHAnsi"/>
          <w:sz w:val="24"/>
          <w:szCs w:val="24"/>
        </w:rPr>
        <w:t xml:space="preserve"> per hour = $</w:t>
      </w:r>
      <w:r w:rsidR="00A27CF0">
        <w:rPr>
          <w:rFonts w:asciiTheme="majorHAnsi" w:hAnsiTheme="majorHAnsi"/>
          <w:sz w:val="24"/>
          <w:szCs w:val="24"/>
        </w:rPr>
        <w:t>1,</w:t>
      </w:r>
      <w:r w:rsidR="0000596D">
        <w:rPr>
          <w:rFonts w:asciiTheme="majorHAnsi" w:hAnsiTheme="majorHAnsi"/>
          <w:sz w:val="24"/>
          <w:szCs w:val="24"/>
        </w:rPr>
        <w:t>044,575</w:t>
      </w:r>
      <w:r w:rsidR="0032052D">
        <w:rPr>
          <w:rFonts w:asciiTheme="majorHAnsi" w:hAnsiTheme="majorHAnsi"/>
          <w:sz w:val="24"/>
          <w:szCs w:val="24"/>
        </w:rPr>
        <w:t>]</w:t>
      </w:r>
      <w:r w:rsidRPr="001B0A74">
        <w:rPr>
          <w:rFonts w:asciiTheme="majorHAnsi" w:hAnsiTheme="majorHAnsi"/>
          <w:sz w:val="24"/>
          <w:szCs w:val="24"/>
        </w:rPr>
        <w:t>.</w:t>
      </w:r>
    </w:p>
    <w:p w:rsidR="00C71FC1" w:rsidP="00337EF1" w14:paraId="3FB052FA" w14:textId="77777777">
      <w:pPr>
        <w:spacing w:after="0" w:line="240" w:lineRule="auto"/>
        <w:rPr>
          <w:rFonts w:asciiTheme="majorHAnsi" w:hAnsiTheme="majorHAnsi"/>
          <w:sz w:val="24"/>
        </w:rPr>
      </w:pPr>
    </w:p>
    <w:p w:rsidR="0019309D" w:rsidP="00337EF1" w14:paraId="6A6C099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C71FC1" w:rsidP="0019309D" w14:paraId="4DB8348D" w14:textId="77777777">
      <w:pPr>
        <w:spacing w:after="0" w:line="240" w:lineRule="auto"/>
        <w:rPr>
          <w:rFonts w:asciiTheme="majorHAnsi" w:hAnsiTheme="majorHAnsi"/>
          <w:i/>
          <w:sz w:val="24"/>
        </w:rPr>
      </w:pPr>
    </w:p>
    <w:p w:rsidR="002851BF" w:rsidRPr="002851BF" w:rsidP="002851BF" w14:paraId="66CB0C0B" w14:textId="35D9BDBE">
      <w:pPr>
        <w:spacing w:after="0" w:line="240" w:lineRule="auto"/>
        <w:rPr>
          <w:rFonts w:asciiTheme="majorHAnsi" w:hAnsiTheme="majorHAnsi"/>
          <w:sz w:val="24"/>
          <w:szCs w:val="24"/>
        </w:rPr>
      </w:pPr>
      <w:r w:rsidRPr="002851BF">
        <w:rPr>
          <w:rFonts w:asciiTheme="majorHAnsi" w:hAnsiTheme="majorHAnsi"/>
          <w:sz w:val="24"/>
          <w:szCs w:val="24"/>
        </w:rPr>
        <w:t xml:space="preserve">In addition to the labor burden costs addressed above, the </w:t>
      </w:r>
      <w:r w:rsidR="00DF2826">
        <w:rPr>
          <w:rFonts w:asciiTheme="majorHAnsi" w:hAnsiTheme="majorHAnsi"/>
          <w:sz w:val="24"/>
          <w:szCs w:val="24"/>
        </w:rPr>
        <w:t>labeling</w:t>
      </w:r>
      <w:r w:rsidRPr="002851BF">
        <w:rPr>
          <w:rFonts w:asciiTheme="majorHAnsi" w:hAnsiTheme="majorHAnsi"/>
          <w:sz w:val="24"/>
          <w:szCs w:val="24"/>
        </w:rPr>
        <w:t xml:space="preserve"> requirement imposes additional annualized costs. These costs include capital costs for </w:t>
      </w:r>
      <w:r w:rsidR="00403D30">
        <w:rPr>
          <w:rFonts w:asciiTheme="majorHAnsi" w:hAnsiTheme="majorHAnsi"/>
          <w:sz w:val="24"/>
          <w:szCs w:val="24"/>
        </w:rPr>
        <w:t>adhesive paper</w:t>
      </w:r>
      <w:r w:rsidRPr="002851BF">
        <w:rPr>
          <w:rFonts w:asciiTheme="majorHAnsi" w:hAnsiTheme="majorHAnsi"/>
          <w:sz w:val="24"/>
          <w:szCs w:val="24"/>
        </w:rPr>
        <w:t xml:space="preserve"> used for each </w:t>
      </w:r>
      <w:r w:rsidR="00DF2826">
        <w:rPr>
          <w:rFonts w:asciiTheme="majorHAnsi" w:hAnsiTheme="majorHAnsi"/>
          <w:sz w:val="24"/>
          <w:szCs w:val="24"/>
        </w:rPr>
        <w:t>label</w:t>
      </w:r>
      <w:r w:rsidRPr="002851BF">
        <w:rPr>
          <w:rFonts w:asciiTheme="majorHAnsi" w:hAnsiTheme="majorHAnsi"/>
          <w:sz w:val="24"/>
          <w:szCs w:val="24"/>
        </w:rPr>
        <w:t xml:space="preserve"> to be displayed </w:t>
      </w:r>
      <w:r w:rsidR="00166BEE">
        <w:rPr>
          <w:rFonts w:asciiTheme="majorHAnsi" w:hAnsiTheme="majorHAnsi"/>
          <w:sz w:val="24"/>
          <w:szCs w:val="24"/>
        </w:rPr>
        <w:t>on</w:t>
      </w:r>
      <w:r w:rsidRPr="002851BF">
        <w:rPr>
          <w:rFonts w:asciiTheme="majorHAnsi" w:hAnsiTheme="majorHAnsi"/>
          <w:sz w:val="24"/>
          <w:szCs w:val="24"/>
        </w:rPr>
        <w:t xml:space="preserve"> the CSU. CPSC estimates the cost of the printed </w:t>
      </w:r>
      <w:r w:rsidR="00166BEE">
        <w:rPr>
          <w:rFonts w:asciiTheme="majorHAnsi" w:hAnsiTheme="majorHAnsi"/>
          <w:sz w:val="24"/>
          <w:szCs w:val="24"/>
        </w:rPr>
        <w:t>label</w:t>
      </w:r>
      <w:r w:rsidRPr="002851BF">
        <w:rPr>
          <w:rFonts w:asciiTheme="majorHAnsi" w:hAnsiTheme="majorHAnsi"/>
          <w:sz w:val="24"/>
          <w:szCs w:val="24"/>
        </w:rPr>
        <w:t xml:space="preserve"> will be about $0.</w:t>
      </w:r>
      <w:r w:rsidR="00166BEE">
        <w:rPr>
          <w:rFonts w:asciiTheme="majorHAnsi" w:hAnsiTheme="majorHAnsi"/>
          <w:sz w:val="24"/>
          <w:szCs w:val="24"/>
        </w:rPr>
        <w:t>01</w:t>
      </w:r>
      <w:r w:rsidRPr="002851BF">
        <w:rPr>
          <w:rFonts w:asciiTheme="majorHAnsi" w:hAnsiTheme="majorHAnsi"/>
          <w:sz w:val="24"/>
          <w:szCs w:val="24"/>
        </w:rPr>
        <w:t>. Therefore, the total cost of materials to industry would be about $2</w:t>
      </w:r>
      <w:r w:rsidR="009262EF">
        <w:rPr>
          <w:rFonts w:asciiTheme="majorHAnsi" w:hAnsiTheme="majorHAnsi"/>
          <w:sz w:val="24"/>
          <w:szCs w:val="24"/>
        </w:rPr>
        <w:t>00,000</w:t>
      </w:r>
      <w:r w:rsidRPr="002851BF">
        <w:rPr>
          <w:rFonts w:asciiTheme="majorHAnsi" w:hAnsiTheme="majorHAnsi"/>
          <w:sz w:val="24"/>
          <w:szCs w:val="24"/>
        </w:rPr>
        <w:t xml:space="preserve"> per year ($0.</w:t>
      </w:r>
      <w:r w:rsidR="00A76F9C">
        <w:rPr>
          <w:rFonts w:asciiTheme="majorHAnsi" w:hAnsiTheme="majorHAnsi"/>
          <w:sz w:val="24"/>
          <w:szCs w:val="24"/>
        </w:rPr>
        <w:t>01</w:t>
      </w:r>
      <w:r w:rsidRPr="002851BF">
        <w:rPr>
          <w:rFonts w:asciiTheme="majorHAnsi" w:hAnsiTheme="majorHAnsi"/>
          <w:sz w:val="24"/>
          <w:szCs w:val="24"/>
        </w:rPr>
        <w:t xml:space="preserve"> × 20</w:t>
      </w:r>
      <w:r w:rsidR="005F4BE1">
        <w:rPr>
          <w:rFonts w:asciiTheme="majorHAnsi" w:hAnsiTheme="majorHAnsi"/>
          <w:sz w:val="24"/>
          <w:szCs w:val="24"/>
        </w:rPr>
        <w:t>,103,360</w:t>
      </w:r>
      <w:r w:rsidRPr="002851BF">
        <w:rPr>
          <w:rFonts w:asciiTheme="majorHAnsi" w:hAnsiTheme="majorHAnsi"/>
          <w:sz w:val="24"/>
          <w:szCs w:val="24"/>
        </w:rPr>
        <w:t xml:space="preserve"> units</w:t>
      </w:r>
      <w:r w:rsidR="009262EF">
        <w:rPr>
          <w:rFonts w:asciiTheme="majorHAnsi" w:hAnsiTheme="majorHAnsi"/>
          <w:sz w:val="24"/>
          <w:szCs w:val="24"/>
        </w:rPr>
        <w:t xml:space="preserve"> = $201,033.60</w:t>
      </w:r>
      <w:r w:rsidRPr="002851BF">
        <w:rPr>
          <w:rFonts w:asciiTheme="majorHAnsi" w:hAnsiTheme="majorHAnsi"/>
          <w:sz w:val="24"/>
          <w:szCs w:val="24"/>
        </w:rPr>
        <w:t xml:space="preserve">). </w:t>
      </w:r>
    </w:p>
    <w:p w:rsidR="00C71FC1" w:rsidP="0019309D" w14:paraId="53CF28CB" w14:textId="77777777">
      <w:pPr>
        <w:spacing w:after="0" w:line="240" w:lineRule="auto"/>
        <w:rPr>
          <w:rFonts w:asciiTheme="majorHAnsi" w:hAnsiTheme="majorHAnsi"/>
          <w:i/>
          <w:sz w:val="24"/>
        </w:rPr>
      </w:pPr>
    </w:p>
    <w:p w:rsidR="00F25499" w:rsidP="00E74FA2" w14:paraId="4D5CCF88" w14:textId="77777777">
      <w:pPr>
        <w:keepNext/>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E74FA2" w14:paraId="7C9281CC" w14:textId="77777777">
      <w:pPr>
        <w:keepNext/>
        <w:spacing w:after="0" w:line="240" w:lineRule="auto"/>
        <w:rPr>
          <w:rFonts w:asciiTheme="majorHAnsi" w:hAnsiTheme="majorHAnsi"/>
          <w:sz w:val="24"/>
        </w:rPr>
      </w:pPr>
    </w:p>
    <w:p w:rsidR="00B958B8" w:rsidRPr="00B958B8" w:rsidP="00E74FA2" w14:paraId="29F2F29E" w14:textId="483A4F61">
      <w:pPr>
        <w:keepNext/>
        <w:spacing w:after="0" w:line="240" w:lineRule="auto"/>
        <w:rPr>
          <w:rFonts w:asciiTheme="majorHAnsi" w:hAnsiTheme="majorHAnsi"/>
          <w:sz w:val="24"/>
          <w:szCs w:val="24"/>
        </w:rPr>
      </w:pPr>
      <w:r w:rsidRPr="00B958B8">
        <w:rPr>
          <w:rFonts w:asciiTheme="majorHAnsi" w:hAnsiTheme="majorHAnsi"/>
          <w:sz w:val="24"/>
          <w:szCs w:val="24"/>
        </w:rPr>
        <w:t>The estimated annual cost of the information collection requirements to the Federal Government is approximately $4,</w:t>
      </w:r>
      <w:r w:rsidR="00BB3322">
        <w:rPr>
          <w:rFonts w:asciiTheme="majorHAnsi" w:hAnsiTheme="majorHAnsi"/>
          <w:sz w:val="24"/>
          <w:szCs w:val="24"/>
        </w:rPr>
        <w:t>888</w:t>
      </w:r>
      <w:r w:rsidRPr="00B958B8">
        <w:rPr>
          <w:rFonts w:asciiTheme="majorHAnsi" w:hAnsiTheme="majorHAnsi"/>
          <w:sz w:val="24"/>
          <w:szCs w:val="24"/>
        </w:rPr>
        <w:t>, which includes 60 staff hours to examine and evaluate the information as needed for Compliance activities. This is based on a GS-12, step 5 level salaried employee. The average hourly wage rate for a mid-level salaried GS-12 employee in the Washington, DC metropolitan area (effective as of January 202</w:t>
      </w:r>
      <w:r w:rsidR="00C86D36">
        <w:rPr>
          <w:rFonts w:asciiTheme="majorHAnsi" w:hAnsiTheme="majorHAnsi"/>
          <w:sz w:val="24"/>
          <w:szCs w:val="24"/>
        </w:rPr>
        <w:t>5</w:t>
      </w:r>
      <w:r w:rsidRPr="00B958B8">
        <w:rPr>
          <w:rFonts w:asciiTheme="majorHAnsi" w:hAnsiTheme="majorHAnsi"/>
          <w:sz w:val="24"/>
          <w:szCs w:val="24"/>
        </w:rPr>
        <w:t>) is $</w:t>
      </w:r>
      <w:r w:rsidR="00C86D36">
        <w:rPr>
          <w:rFonts w:asciiTheme="majorHAnsi" w:hAnsiTheme="majorHAnsi"/>
          <w:sz w:val="24"/>
          <w:szCs w:val="24"/>
        </w:rPr>
        <w:t>55.07</w:t>
      </w:r>
      <w:r w:rsidRPr="00B958B8">
        <w:rPr>
          <w:rFonts w:asciiTheme="majorHAnsi" w:hAnsiTheme="majorHAnsi"/>
          <w:sz w:val="24"/>
          <w:szCs w:val="24"/>
        </w:rPr>
        <w:t xml:space="preserve"> (GS-12, step 5). This represents 6</w:t>
      </w:r>
      <w:r w:rsidR="002A55AE">
        <w:rPr>
          <w:rFonts w:asciiTheme="majorHAnsi" w:hAnsiTheme="majorHAnsi"/>
          <w:sz w:val="24"/>
          <w:szCs w:val="24"/>
        </w:rPr>
        <w:t>7.6</w:t>
      </w:r>
      <w:r w:rsidRPr="00B958B8">
        <w:rPr>
          <w:rFonts w:asciiTheme="majorHAnsi" w:hAnsiTheme="majorHAnsi"/>
          <w:sz w:val="24"/>
          <w:szCs w:val="24"/>
        </w:rPr>
        <w:t xml:space="preserve"> percent of total compensation (U.S. Bureau of Labor Statistics, “Employer Costs for Employee Compensation,” March 202</w:t>
      </w:r>
      <w:r w:rsidR="007D1749">
        <w:rPr>
          <w:rFonts w:asciiTheme="majorHAnsi" w:hAnsiTheme="majorHAnsi"/>
          <w:sz w:val="24"/>
          <w:szCs w:val="24"/>
        </w:rPr>
        <w:t>5</w:t>
      </w:r>
      <w:r w:rsidRPr="00B958B8">
        <w:rPr>
          <w:rFonts w:asciiTheme="majorHAnsi" w:hAnsiTheme="majorHAnsi"/>
          <w:sz w:val="24"/>
          <w:szCs w:val="24"/>
        </w:rPr>
        <w:t xml:space="preserve">, Table 2, percentage of wages and salaries for all civilian management, professional, and related employees: </w:t>
      </w:r>
      <w:r w:rsidRPr="00CE070E" w:rsidR="00CE070E">
        <w:rPr>
          <w:rFonts w:asciiTheme="majorHAnsi" w:hAnsiTheme="majorHAnsi"/>
          <w:sz w:val="24"/>
          <w:szCs w:val="24"/>
        </w:rPr>
        <w:t>https://www.bls.gov/news.release/archives/ecec_06132025.pdf</w:t>
      </w:r>
      <w:r w:rsidRPr="00B958B8">
        <w:rPr>
          <w:rFonts w:asciiTheme="majorHAnsi" w:hAnsiTheme="majorHAnsi"/>
          <w:sz w:val="24"/>
          <w:szCs w:val="24"/>
        </w:rPr>
        <w:t>). Adding an additional 32.</w:t>
      </w:r>
      <w:r w:rsidR="002A55AE">
        <w:rPr>
          <w:rFonts w:asciiTheme="majorHAnsi" w:hAnsiTheme="majorHAnsi"/>
          <w:sz w:val="24"/>
          <w:szCs w:val="24"/>
        </w:rPr>
        <w:t>4</w:t>
      </w:r>
      <w:r w:rsidRPr="00B958B8">
        <w:rPr>
          <w:rFonts w:asciiTheme="majorHAnsi" w:hAnsiTheme="majorHAnsi"/>
          <w:sz w:val="24"/>
          <w:szCs w:val="24"/>
        </w:rPr>
        <w:t xml:space="preserve"> percent for benefits brings average annual compensation for a mid-level salaried GS-12 employee to $</w:t>
      </w:r>
      <w:r w:rsidR="00731FC4">
        <w:rPr>
          <w:rFonts w:asciiTheme="majorHAnsi" w:hAnsiTheme="majorHAnsi"/>
          <w:sz w:val="24"/>
          <w:szCs w:val="24"/>
        </w:rPr>
        <w:t>81.46</w:t>
      </w:r>
      <w:r w:rsidRPr="00B958B8">
        <w:rPr>
          <w:rFonts w:asciiTheme="majorHAnsi" w:hAnsiTheme="majorHAnsi"/>
          <w:sz w:val="24"/>
          <w:szCs w:val="24"/>
        </w:rPr>
        <w:t xml:space="preserve"> per hour. Assuming that approximately 60 hours will be required annually, this results in an annual cost of $4,</w:t>
      </w:r>
      <w:r w:rsidR="00BB3322">
        <w:rPr>
          <w:rFonts w:asciiTheme="majorHAnsi" w:hAnsiTheme="majorHAnsi"/>
          <w:sz w:val="24"/>
          <w:szCs w:val="24"/>
        </w:rPr>
        <w:t>888</w:t>
      </w:r>
      <w:r w:rsidRPr="00B958B8">
        <w:rPr>
          <w:rFonts w:asciiTheme="majorHAnsi" w:hAnsiTheme="majorHAnsi"/>
          <w:sz w:val="24"/>
          <w:szCs w:val="24"/>
        </w:rPr>
        <w:t xml:space="preserve"> ($</w:t>
      </w:r>
      <w:r w:rsidR="004A45CD">
        <w:rPr>
          <w:rFonts w:asciiTheme="majorHAnsi" w:hAnsiTheme="majorHAnsi"/>
          <w:sz w:val="24"/>
          <w:szCs w:val="24"/>
        </w:rPr>
        <w:t>81.46</w:t>
      </w:r>
      <w:r w:rsidRPr="00B958B8">
        <w:rPr>
          <w:rFonts w:asciiTheme="majorHAnsi" w:hAnsiTheme="majorHAnsi"/>
          <w:sz w:val="24"/>
          <w:szCs w:val="24"/>
        </w:rPr>
        <w:t xml:space="preserve"> per hour × 60 hours = $4,</w:t>
      </w:r>
      <w:r w:rsidR="004A45CD">
        <w:rPr>
          <w:rFonts w:asciiTheme="majorHAnsi" w:hAnsiTheme="majorHAnsi"/>
          <w:sz w:val="24"/>
          <w:szCs w:val="24"/>
        </w:rPr>
        <w:t>887.60</w:t>
      </w:r>
      <w:r w:rsidRPr="00B958B8">
        <w:rPr>
          <w:rFonts w:asciiTheme="majorHAnsi" w:hAnsiTheme="majorHAnsi"/>
          <w:sz w:val="24"/>
          <w:szCs w:val="24"/>
        </w:rPr>
        <w:t>).</w:t>
      </w:r>
    </w:p>
    <w:p w:rsidR="00217836" w:rsidRPr="00235D71" w:rsidP="00722FDB" w14:paraId="28F14856" w14:textId="77777777">
      <w:pPr>
        <w:spacing w:after="0" w:line="240" w:lineRule="auto"/>
        <w:rPr>
          <w:rFonts w:asciiTheme="majorHAnsi" w:hAnsiTheme="majorHAnsi"/>
          <w:sz w:val="24"/>
        </w:rPr>
      </w:pPr>
    </w:p>
    <w:p w:rsidR="00DA2B37" w:rsidP="00486235" w14:paraId="59E83F9F"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14:paraId="3DDDA655" w14:textId="77777777">
      <w:pPr>
        <w:spacing w:after="0" w:line="240" w:lineRule="auto"/>
        <w:rPr>
          <w:rFonts w:asciiTheme="majorHAnsi" w:hAnsiTheme="majorHAnsi"/>
          <w:i/>
          <w:sz w:val="24"/>
        </w:rPr>
      </w:pPr>
    </w:p>
    <w:p w:rsidR="002C67ED" w:rsidP="00486235" w14:paraId="7B42D01C" w14:textId="3A56CC39">
      <w:pPr>
        <w:spacing w:after="0" w:line="240" w:lineRule="auto"/>
        <w:rPr>
          <w:rFonts w:asciiTheme="majorHAnsi" w:hAnsiTheme="majorHAnsi"/>
          <w:sz w:val="24"/>
        </w:rPr>
      </w:pPr>
      <w:r>
        <w:rPr>
          <w:rFonts w:asciiTheme="majorHAnsi" w:hAnsiTheme="majorHAnsi"/>
          <w:sz w:val="24"/>
        </w:rPr>
        <w:t xml:space="preserve">Burden estimates are revised downward. </w:t>
      </w:r>
      <w:r w:rsidR="00655642">
        <w:rPr>
          <w:rFonts w:asciiTheme="majorHAnsi" w:hAnsiTheme="majorHAnsi"/>
          <w:sz w:val="24"/>
        </w:rPr>
        <w:t>Sales of bedroom furniture have declined</w:t>
      </w:r>
      <w:r w:rsidR="00381BC5">
        <w:rPr>
          <w:rFonts w:asciiTheme="majorHAnsi" w:hAnsiTheme="majorHAnsi"/>
          <w:sz w:val="24"/>
        </w:rPr>
        <w:t>, driven by a sluggish housing market</w:t>
      </w:r>
      <w:r w:rsidR="00190B26">
        <w:rPr>
          <w:rFonts w:asciiTheme="majorHAnsi" w:hAnsiTheme="majorHAnsi"/>
          <w:sz w:val="24"/>
        </w:rPr>
        <w:t>.</w:t>
      </w:r>
      <w:r w:rsidR="00F26EE2">
        <w:rPr>
          <w:rFonts w:asciiTheme="majorHAnsi" w:hAnsiTheme="majorHAnsi"/>
          <w:sz w:val="24"/>
        </w:rPr>
        <w:t xml:space="preserve"> </w:t>
      </w:r>
      <w:r w:rsidR="00540F67">
        <w:rPr>
          <w:rFonts w:asciiTheme="majorHAnsi" w:hAnsiTheme="majorHAnsi"/>
          <w:sz w:val="24"/>
        </w:rPr>
        <w:t xml:space="preserve">Sales </w:t>
      </w:r>
      <w:r w:rsidR="00F07F8F">
        <w:rPr>
          <w:rFonts w:asciiTheme="majorHAnsi" w:hAnsiTheme="majorHAnsi"/>
          <w:sz w:val="24"/>
        </w:rPr>
        <w:t xml:space="preserve">of </w:t>
      </w:r>
      <w:r w:rsidR="0095485B">
        <w:rPr>
          <w:rFonts w:asciiTheme="majorHAnsi" w:hAnsiTheme="majorHAnsi"/>
          <w:sz w:val="24"/>
        </w:rPr>
        <w:t>CSU</w:t>
      </w:r>
      <w:r w:rsidR="00F1746D">
        <w:rPr>
          <w:rFonts w:asciiTheme="majorHAnsi" w:hAnsiTheme="majorHAnsi"/>
          <w:sz w:val="24"/>
        </w:rPr>
        <w:t>s</w:t>
      </w:r>
      <w:r w:rsidR="00F07F8F">
        <w:rPr>
          <w:rFonts w:asciiTheme="majorHAnsi" w:hAnsiTheme="majorHAnsi"/>
          <w:sz w:val="24"/>
        </w:rPr>
        <w:t xml:space="preserve"> declined roughly 2.6 percent from 2021.</w:t>
      </w:r>
    </w:p>
    <w:p w:rsidR="00F04C93" w:rsidP="00486235" w14:paraId="68A64139" w14:textId="77777777">
      <w:pPr>
        <w:spacing w:after="0" w:line="240" w:lineRule="auto"/>
        <w:rPr>
          <w:rFonts w:asciiTheme="majorHAnsi" w:hAnsiTheme="majorHAnsi"/>
          <w:sz w:val="24"/>
        </w:rPr>
      </w:pPr>
    </w:p>
    <w:p w:rsidR="00952CF9" w:rsidP="00486235" w14:paraId="095B48AC" w14:textId="33D7DFAC">
      <w:pPr>
        <w:spacing w:after="0" w:line="240" w:lineRule="auto"/>
        <w:rPr>
          <w:rFonts w:asciiTheme="majorHAnsi" w:hAnsiTheme="majorHAnsi"/>
          <w:sz w:val="24"/>
        </w:rPr>
      </w:pPr>
      <w:r>
        <w:rPr>
          <w:rFonts w:asciiTheme="majorHAnsi" w:hAnsiTheme="majorHAnsi"/>
          <w:sz w:val="24"/>
        </w:rPr>
        <w:t xml:space="preserve">Burden estimates for general certificates of conformity (GCCs) </w:t>
      </w:r>
      <w:r w:rsidR="0071104B">
        <w:rPr>
          <w:rFonts w:asciiTheme="majorHAnsi" w:hAnsiTheme="majorHAnsi"/>
          <w:sz w:val="24"/>
        </w:rPr>
        <w:t xml:space="preserve">and children’s product certificates (CPCs) for CSUs are </w:t>
      </w:r>
      <w:r w:rsidR="00F1746D">
        <w:rPr>
          <w:rFonts w:asciiTheme="majorHAnsi" w:hAnsiTheme="majorHAnsi"/>
          <w:sz w:val="24"/>
        </w:rPr>
        <w:t>no longer</w:t>
      </w:r>
      <w:r w:rsidR="0071104B">
        <w:rPr>
          <w:rFonts w:asciiTheme="majorHAnsi" w:hAnsiTheme="majorHAnsi"/>
          <w:sz w:val="24"/>
        </w:rPr>
        <w:t xml:space="preserve"> accounted for </w:t>
      </w:r>
      <w:r w:rsidR="00FC7A06">
        <w:rPr>
          <w:rFonts w:asciiTheme="majorHAnsi" w:hAnsiTheme="majorHAnsi"/>
          <w:sz w:val="24"/>
        </w:rPr>
        <w:t>within this collection of information. Burden estimates for CSU GCCs are</w:t>
      </w:r>
      <w:r w:rsidR="0099579F">
        <w:rPr>
          <w:rFonts w:asciiTheme="majorHAnsi" w:hAnsiTheme="majorHAnsi"/>
          <w:sz w:val="24"/>
        </w:rPr>
        <w:t xml:space="preserve"> incorporated into OMB Control Number 3041-0203 (eFile). </w:t>
      </w:r>
      <w:r w:rsidR="00F04C93">
        <w:rPr>
          <w:rFonts w:asciiTheme="majorHAnsi" w:hAnsiTheme="majorHAnsi"/>
          <w:sz w:val="24"/>
        </w:rPr>
        <w:t>Burden estimates for CSU</w:t>
      </w:r>
      <w:r w:rsidR="0099579F">
        <w:rPr>
          <w:rFonts w:asciiTheme="majorHAnsi" w:hAnsiTheme="majorHAnsi"/>
          <w:sz w:val="24"/>
        </w:rPr>
        <w:t xml:space="preserve"> CPCs</w:t>
      </w:r>
      <w:r w:rsidR="00F04C93">
        <w:rPr>
          <w:rFonts w:asciiTheme="majorHAnsi" w:hAnsiTheme="majorHAnsi"/>
          <w:sz w:val="24"/>
        </w:rPr>
        <w:t xml:space="preserve"> are incorporated into </w:t>
      </w:r>
      <w:r w:rsidR="00CD55CC">
        <w:rPr>
          <w:rFonts w:asciiTheme="majorHAnsi" w:hAnsiTheme="majorHAnsi"/>
          <w:sz w:val="24"/>
        </w:rPr>
        <w:t>OMB Control Number 3041-0159 (Third Party Testing of Children’s Products).</w:t>
      </w:r>
    </w:p>
    <w:p w:rsidR="00D730A6" w:rsidP="00486235" w14:paraId="1678C8FE" w14:textId="77777777">
      <w:pPr>
        <w:spacing w:after="0" w:line="240" w:lineRule="auto"/>
        <w:rPr>
          <w:rFonts w:asciiTheme="majorHAnsi" w:hAnsiTheme="majorHAnsi"/>
          <w:sz w:val="24"/>
        </w:rPr>
      </w:pPr>
    </w:p>
    <w:p w:rsidR="00D730A6" w:rsidRPr="002C67ED" w:rsidP="00486235" w14:paraId="111481BF" w14:textId="01E7B717">
      <w:pPr>
        <w:spacing w:after="0" w:line="240" w:lineRule="auto"/>
        <w:rPr>
          <w:rFonts w:asciiTheme="majorHAnsi" w:hAnsiTheme="majorHAnsi"/>
          <w:sz w:val="24"/>
        </w:rPr>
      </w:pPr>
      <w:r>
        <w:rPr>
          <w:rFonts w:asciiTheme="majorHAnsi" w:hAnsiTheme="majorHAnsi"/>
          <w:sz w:val="24"/>
        </w:rPr>
        <w:t>Finally, hangtags are no longer required and the</w:t>
      </w:r>
      <w:r w:rsidR="00EB515C">
        <w:rPr>
          <w:rFonts w:asciiTheme="majorHAnsi" w:hAnsiTheme="majorHAnsi"/>
          <w:sz w:val="24"/>
        </w:rPr>
        <w:t xml:space="preserve"> associated burden is removed from the collection. </w:t>
      </w:r>
    </w:p>
    <w:p w:rsidR="00DA2B37" w:rsidP="00486235" w14:paraId="4D36BC14" w14:textId="77777777">
      <w:pPr>
        <w:spacing w:after="0" w:line="240" w:lineRule="auto"/>
        <w:rPr>
          <w:rFonts w:asciiTheme="majorHAnsi" w:hAnsiTheme="majorHAnsi"/>
          <w:sz w:val="24"/>
        </w:rPr>
      </w:pPr>
    </w:p>
    <w:p w:rsidR="00DA2B37" w:rsidP="0043701C" w14:paraId="47DA397C" w14:textId="77777777">
      <w:pPr>
        <w:keepNext/>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B55E9F" w:rsidP="0043701C" w14:paraId="19DC2B4E" w14:textId="77777777">
      <w:pPr>
        <w:keepNext/>
        <w:spacing w:after="0" w:line="240" w:lineRule="auto"/>
        <w:rPr>
          <w:rFonts w:asciiTheme="majorHAnsi" w:hAnsiTheme="majorHAnsi"/>
          <w:i/>
          <w:sz w:val="24"/>
        </w:rPr>
      </w:pPr>
    </w:p>
    <w:p w:rsidR="002C67ED" w:rsidRPr="003C1DDB" w:rsidP="0043701C" w14:paraId="2E762056" w14:textId="124B8F6A">
      <w:pPr>
        <w:keepNext/>
        <w:spacing w:after="0" w:line="240" w:lineRule="auto"/>
        <w:rPr>
          <w:rFonts w:asciiTheme="majorHAnsi" w:hAnsiTheme="majorHAnsi"/>
          <w:sz w:val="24"/>
        </w:rPr>
      </w:pPr>
      <w:r>
        <w:rPr>
          <w:rFonts w:asciiTheme="majorHAnsi" w:hAnsiTheme="majorHAnsi"/>
          <w:sz w:val="24"/>
        </w:rPr>
        <w:t>The results of this information collection will not be published.</w:t>
      </w:r>
    </w:p>
    <w:p w:rsidR="005C3A95" w:rsidP="00486235" w14:paraId="04C34449" w14:textId="77777777">
      <w:pPr>
        <w:spacing w:after="0" w:line="240" w:lineRule="auto"/>
        <w:rPr>
          <w:rFonts w:asciiTheme="majorHAnsi" w:hAnsiTheme="majorHAnsi"/>
          <w:sz w:val="24"/>
        </w:rPr>
      </w:pPr>
    </w:p>
    <w:p w:rsidR="005C3A95" w:rsidRPr="0085688C" w:rsidP="00486235" w14:paraId="521F4B1B"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B55E9F" w:rsidP="00486235" w14:paraId="1591398E" w14:textId="77777777">
      <w:pPr>
        <w:spacing w:after="0" w:line="240" w:lineRule="auto"/>
        <w:rPr>
          <w:rFonts w:asciiTheme="majorHAnsi" w:hAnsiTheme="majorHAnsi"/>
          <w:i/>
          <w:sz w:val="24"/>
        </w:rPr>
      </w:pPr>
    </w:p>
    <w:p w:rsidR="006467AD" w:rsidRPr="006467AD" w:rsidP="00486235" w14:paraId="7F59C1E4" w14:textId="77777777">
      <w:pPr>
        <w:spacing w:after="0" w:line="240" w:lineRule="auto"/>
        <w:rPr>
          <w:rFonts w:asciiTheme="majorHAnsi" w:hAnsiTheme="majorHAnsi"/>
          <w:sz w:val="24"/>
        </w:rPr>
      </w:pPr>
      <w:r>
        <w:rPr>
          <w:rFonts w:asciiTheme="majorHAnsi" w:hAnsiTheme="majorHAnsi"/>
          <w:sz w:val="24"/>
        </w:rPr>
        <w:t>We are not seeking approval to omit the display of the expiration date of the OMB approval on the collection instrument.</w:t>
      </w:r>
    </w:p>
    <w:p w:rsidR="00C62D17" w:rsidP="00486235" w14:paraId="317048B5" w14:textId="77777777">
      <w:pPr>
        <w:spacing w:after="0" w:line="240" w:lineRule="auto"/>
        <w:rPr>
          <w:rFonts w:asciiTheme="majorHAnsi" w:hAnsiTheme="majorHAnsi"/>
          <w:sz w:val="24"/>
        </w:rPr>
      </w:pPr>
    </w:p>
    <w:p w:rsidR="00C62D17" w:rsidRPr="0085688C" w:rsidP="00486235" w14:paraId="3BA20B6A"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B55E9F" w:rsidP="00B55E9F" w14:paraId="529CBC2C" w14:textId="77777777">
      <w:pPr>
        <w:spacing w:after="0" w:line="240" w:lineRule="auto"/>
        <w:rPr>
          <w:rFonts w:asciiTheme="majorHAnsi" w:hAnsiTheme="majorHAnsi"/>
          <w:i/>
          <w:sz w:val="24"/>
        </w:rPr>
      </w:pPr>
    </w:p>
    <w:p w:rsidR="00A50A0F" w:rsidRPr="00C62D17" w:rsidP="006467AD" w14:paraId="61EBB594" w14:textId="77777777">
      <w:pPr>
        <w:spacing w:after="0" w:line="240" w:lineRule="auto"/>
        <w:rPr>
          <w:rFonts w:asciiTheme="majorHAnsi" w:hAnsiTheme="majorHAnsi"/>
          <w:i/>
          <w:sz w:val="24"/>
        </w:rPr>
      </w:pPr>
      <w:r>
        <w:rPr>
          <w:rFonts w:asciiTheme="majorHAnsi" w:hAnsiTheme="majorHAnsi"/>
          <w:sz w:val="24"/>
        </w:rPr>
        <w:t>We are not requesting any exemptions to the provisions stated in 5 CFR 1320.9.</w:t>
      </w:r>
      <w:r w:rsidR="00420AE9">
        <w:rPr>
          <w:rFonts w:asciiTheme="majorHAnsi" w:hAnsiTheme="majorHAnsi"/>
          <w:sz w:val="24"/>
          <w:highlight w:val="cyan"/>
        </w:rPr>
        <w:t xml:space="preserve"> </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01C" w14:paraId="6B27BF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3009422"/>
      <w:docPartObj>
        <w:docPartGallery w:val="Page Numbers (Bottom of Page)"/>
        <w:docPartUnique/>
      </w:docPartObj>
    </w:sdtPr>
    <w:sdtEndPr>
      <w:rPr>
        <w:noProof/>
      </w:rPr>
    </w:sdtEndPr>
    <w:sdtContent>
      <w:p w:rsidR="0043701C" w14:paraId="4126D758" w14:textId="0BBE4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3701C" w14:paraId="05AA65D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01C" w14:paraId="6C1372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6220" w:rsidP="00FB569C" w14:paraId="38C78F3A" w14:textId="77777777">
      <w:pPr>
        <w:spacing w:after="0" w:line="240" w:lineRule="auto"/>
      </w:pPr>
      <w:r>
        <w:separator/>
      </w:r>
    </w:p>
  </w:footnote>
  <w:footnote w:type="continuationSeparator" w:id="1">
    <w:p w:rsidR="00E26220" w:rsidP="00FB569C" w14:paraId="401FD58A" w14:textId="77777777">
      <w:pPr>
        <w:spacing w:after="0" w:line="240" w:lineRule="auto"/>
      </w:pPr>
      <w:r>
        <w:continuationSeparator/>
      </w:r>
    </w:p>
  </w:footnote>
  <w:footnote w:id="2">
    <w:p w:rsidR="001207BC" w:rsidRPr="001207BC" w14:paraId="5D83C3A8" w14:textId="6FD33F39">
      <w:pPr>
        <w:pStyle w:val="FootnoteText"/>
      </w:pPr>
      <w:r>
        <w:rPr>
          <w:rStyle w:val="FootnoteReference"/>
        </w:rPr>
        <w:footnoteRef/>
      </w:r>
      <w:r>
        <w:t xml:space="preserve"> On August 17, 2023, CPSC staff presented on the requirements for</w:t>
      </w:r>
      <w:r w:rsidR="00481CF0">
        <w:t xml:space="preserve"> clothing storage units (CSUs) at 16 CFR part 1261, pursuant to STURDY. Here is a </w:t>
      </w:r>
      <w:r w:rsidR="00BB25AB">
        <w:t xml:space="preserve">YouTube link to the CPSC </w:t>
      </w:r>
      <w:r w:rsidR="00DA3A1D">
        <w:t>w</w:t>
      </w:r>
      <w:r w:rsidR="00BB25AB">
        <w:t>ebinar</w:t>
      </w:r>
      <w:r w:rsidR="00A64886">
        <w:t xml:space="preserve"> on requirements for CSUs</w:t>
      </w:r>
      <w:r w:rsidR="00BD1380">
        <w:t xml:space="preserve">: </w:t>
      </w:r>
      <w:hyperlink r:id="rId1" w:history="1">
        <w:r w:rsidRPr="00BD58CF" w:rsidR="00A64886">
          <w:rPr>
            <w:rStyle w:val="Hyperlink"/>
          </w:rPr>
          <w:t>https://youtu.be/FKU9n6bkKM4?si=o063YSYqWwejmjgJ</w:t>
        </w:r>
      </w:hyperlink>
      <w:r w:rsidR="00A64886">
        <w:t xml:space="preserve">. </w:t>
      </w:r>
    </w:p>
  </w:footnote>
  <w:footnote w:id="3">
    <w:p w:rsidR="006107AF" w:rsidRPr="006107AF" w14:paraId="7B6B5111" w14:textId="7CB2B867">
      <w:pPr>
        <w:pStyle w:val="FootnoteText"/>
        <w:rPr>
          <w:lang w:val="en-US"/>
        </w:rPr>
      </w:pPr>
      <w:r>
        <w:rPr>
          <w:rStyle w:val="FootnoteReference"/>
        </w:rPr>
        <w:footnoteRef/>
      </w:r>
      <w:r>
        <w:t xml:space="preserve"> </w:t>
      </w:r>
      <w:r w:rsidR="00CB205F">
        <w:rPr>
          <w:lang w:val="en-US"/>
        </w:rPr>
        <w:t>According to 2023 County Business Patterns data published by the U.S. Census Bureau</w:t>
      </w:r>
      <w:r w:rsidR="003C7DD2">
        <w:rPr>
          <w:lang w:val="en-US"/>
        </w:rPr>
        <w:t xml:space="preserve"> the</w:t>
      </w:r>
      <w:r w:rsidR="00FB2896">
        <w:rPr>
          <w:lang w:val="en-US"/>
        </w:rPr>
        <w:t xml:space="preserve">re were between 2,075 and 3,955 establishments </w:t>
      </w:r>
      <w:r w:rsidR="003C7DD2">
        <w:rPr>
          <w:lang w:val="en-US"/>
        </w:rPr>
        <w:t>manufacturing</w:t>
      </w:r>
      <w:r w:rsidR="00B33A99">
        <w:rPr>
          <w:lang w:val="en-US"/>
        </w:rPr>
        <w:t xml:space="preserve"> </w:t>
      </w:r>
      <w:r w:rsidR="00D9457F">
        <w:rPr>
          <w:lang w:val="en-US"/>
        </w:rPr>
        <w:t>household</w:t>
      </w:r>
      <w:r w:rsidR="00AD2466">
        <w:rPr>
          <w:lang w:val="en-US"/>
        </w:rPr>
        <w:t xml:space="preserve"> furniture</w:t>
      </w:r>
      <w:r w:rsidR="00B33A99">
        <w:rPr>
          <w:lang w:val="en-US"/>
        </w:rPr>
        <w:t xml:space="preserve">: </w:t>
      </w:r>
      <w:hyperlink r:id="rId2" w:history="1">
        <w:r w:rsidR="004D359F">
          <w:rPr>
            <w:rStyle w:val="Hyperlink"/>
            <w:lang w:val="en-US"/>
          </w:rPr>
          <w:t>Table C</w:t>
        </w:r>
        <w:r w:rsidRPr="00B33A99" w:rsidR="00B33A99">
          <w:rPr>
            <w:rStyle w:val="Hyperlink"/>
            <w:lang w:val="en-US"/>
          </w:rPr>
          <w:t>B2300CBP</w:t>
        </w:r>
      </w:hyperlink>
      <w:r w:rsidR="00C514DE">
        <w:rPr>
          <w:lang w:val="en-US"/>
        </w:rPr>
        <w:t>;</w:t>
      </w:r>
      <w:r w:rsidR="00802F4D">
        <w:rPr>
          <w:lang w:val="en-US"/>
        </w:rPr>
        <w:t xml:space="preserve"> Upper bound NAICS 33712 (Household and institutional furniture manufacturing)</w:t>
      </w:r>
      <w:r w:rsidR="00267A1F">
        <w:rPr>
          <w:lang w:val="en-US"/>
        </w:rPr>
        <w:t>, lower bound NAICS 337122 (</w:t>
      </w:r>
      <w:r w:rsidR="007F5BD6">
        <w:rPr>
          <w:lang w:val="en-US"/>
        </w:rPr>
        <w:t>Nonupholstered</w:t>
      </w:r>
      <w:r w:rsidR="00267A1F">
        <w:rPr>
          <w:lang w:val="en-US"/>
        </w:rPr>
        <w:t xml:space="preserve"> wood household furniture manufacturing).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01C" w14:paraId="2553B5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01C" w14:paraId="0DF306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01C" w14:paraId="588733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72E2249"/>
    <w:multiLevelType w:val="hybridMultilevel"/>
    <w:tmpl w:val="F4421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A004E42"/>
    <w:multiLevelType w:val="hybridMultilevel"/>
    <w:tmpl w:val="E42AC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474069"/>
    <w:multiLevelType w:val="hybridMultilevel"/>
    <w:tmpl w:val="770C8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6333087">
    <w:abstractNumId w:val="15"/>
  </w:num>
  <w:num w:numId="2" w16cid:durableId="1186093821">
    <w:abstractNumId w:val="0"/>
  </w:num>
  <w:num w:numId="3" w16cid:durableId="1374377981">
    <w:abstractNumId w:val="12"/>
  </w:num>
  <w:num w:numId="4" w16cid:durableId="883718692">
    <w:abstractNumId w:val="10"/>
  </w:num>
  <w:num w:numId="5" w16cid:durableId="1873497886">
    <w:abstractNumId w:val="19"/>
  </w:num>
  <w:num w:numId="6" w16cid:durableId="1234049011">
    <w:abstractNumId w:val="1"/>
  </w:num>
  <w:num w:numId="7" w16cid:durableId="1554586477">
    <w:abstractNumId w:val="20"/>
  </w:num>
  <w:num w:numId="8" w16cid:durableId="1982344319">
    <w:abstractNumId w:val="17"/>
  </w:num>
  <w:num w:numId="9" w16cid:durableId="890505097">
    <w:abstractNumId w:val="21"/>
  </w:num>
  <w:num w:numId="10" w16cid:durableId="487524328">
    <w:abstractNumId w:val="3"/>
  </w:num>
  <w:num w:numId="11" w16cid:durableId="1403990519">
    <w:abstractNumId w:val="16"/>
  </w:num>
  <w:num w:numId="12" w16cid:durableId="368799763">
    <w:abstractNumId w:val="18"/>
  </w:num>
  <w:num w:numId="13" w16cid:durableId="1906799417">
    <w:abstractNumId w:val="25"/>
  </w:num>
  <w:num w:numId="14" w16cid:durableId="309797531">
    <w:abstractNumId w:val="26"/>
  </w:num>
  <w:num w:numId="15" w16cid:durableId="1890653419">
    <w:abstractNumId w:val="9"/>
  </w:num>
  <w:num w:numId="16" w16cid:durableId="1224219080">
    <w:abstractNumId w:val="8"/>
  </w:num>
  <w:num w:numId="17" w16cid:durableId="66734917">
    <w:abstractNumId w:val="13"/>
  </w:num>
  <w:num w:numId="18" w16cid:durableId="142892775">
    <w:abstractNumId w:val="7"/>
  </w:num>
  <w:num w:numId="19" w16cid:durableId="370351564">
    <w:abstractNumId w:val="6"/>
  </w:num>
  <w:num w:numId="20" w16cid:durableId="126094194">
    <w:abstractNumId w:val="5"/>
  </w:num>
  <w:num w:numId="21" w16cid:durableId="297033602">
    <w:abstractNumId w:val="14"/>
  </w:num>
  <w:num w:numId="22" w16cid:durableId="667101553">
    <w:abstractNumId w:val="2"/>
  </w:num>
  <w:num w:numId="23" w16cid:durableId="293296888">
    <w:abstractNumId w:val="4"/>
  </w:num>
  <w:num w:numId="24" w16cid:durableId="890311841">
    <w:abstractNumId w:val="22"/>
  </w:num>
  <w:num w:numId="25" w16cid:durableId="739837850">
    <w:abstractNumId w:val="24"/>
  </w:num>
  <w:num w:numId="26" w16cid:durableId="336998994">
    <w:abstractNumId w:val="23"/>
  </w:num>
  <w:num w:numId="27" w16cid:durableId="1169639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0253"/>
    <w:rsid w:val="0000596D"/>
    <w:rsid w:val="000076D7"/>
    <w:rsid w:val="00022DC3"/>
    <w:rsid w:val="000264FE"/>
    <w:rsid w:val="00034AFF"/>
    <w:rsid w:val="00043A0E"/>
    <w:rsid w:val="00043C57"/>
    <w:rsid w:val="00047A73"/>
    <w:rsid w:val="0005161C"/>
    <w:rsid w:val="0005203F"/>
    <w:rsid w:val="00054C82"/>
    <w:rsid w:val="00062B12"/>
    <w:rsid w:val="00072659"/>
    <w:rsid w:val="00072F2B"/>
    <w:rsid w:val="000740E7"/>
    <w:rsid w:val="000760C5"/>
    <w:rsid w:val="00080574"/>
    <w:rsid w:val="00086027"/>
    <w:rsid w:val="00087D6C"/>
    <w:rsid w:val="000902AE"/>
    <w:rsid w:val="00096667"/>
    <w:rsid w:val="000972C8"/>
    <w:rsid w:val="000B0E70"/>
    <w:rsid w:val="000C1EE3"/>
    <w:rsid w:val="000C4BB1"/>
    <w:rsid w:val="000D0A57"/>
    <w:rsid w:val="000D3761"/>
    <w:rsid w:val="000D421F"/>
    <w:rsid w:val="000D480D"/>
    <w:rsid w:val="000D6EDD"/>
    <w:rsid w:val="000E6CF4"/>
    <w:rsid w:val="000F6992"/>
    <w:rsid w:val="001018CF"/>
    <w:rsid w:val="00105F45"/>
    <w:rsid w:val="001106E9"/>
    <w:rsid w:val="00112158"/>
    <w:rsid w:val="00114601"/>
    <w:rsid w:val="001207BC"/>
    <w:rsid w:val="00127B46"/>
    <w:rsid w:val="00133108"/>
    <w:rsid w:val="001404E4"/>
    <w:rsid w:val="00166BEE"/>
    <w:rsid w:val="00167EBB"/>
    <w:rsid w:val="00190B26"/>
    <w:rsid w:val="001916EF"/>
    <w:rsid w:val="0019309D"/>
    <w:rsid w:val="00196E66"/>
    <w:rsid w:val="001B0A74"/>
    <w:rsid w:val="001B6BAF"/>
    <w:rsid w:val="001C1F3C"/>
    <w:rsid w:val="001C25D2"/>
    <w:rsid w:val="001E69E3"/>
    <w:rsid w:val="001F526C"/>
    <w:rsid w:val="00200261"/>
    <w:rsid w:val="00203BC2"/>
    <w:rsid w:val="00206384"/>
    <w:rsid w:val="00211832"/>
    <w:rsid w:val="00217836"/>
    <w:rsid w:val="00222D1B"/>
    <w:rsid w:val="00227D8E"/>
    <w:rsid w:val="00233A98"/>
    <w:rsid w:val="00233AA5"/>
    <w:rsid w:val="00235D71"/>
    <w:rsid w:val="00242F00"/>
    <w:rsid w:val="0024335E"/>
    <w:rsid w:val="002449CF"/>
    <w:rsid w:val="00246519"/>
    <w:rsid w:val="00254DCF"/>
    <w:rsid w:val="002567F9"/>
    <w:rsid w:val="00260E05"/>
    <w:rsid w:val="00267A1F"/>
    <w:rsid w:val="0027743E"/>
    <w:rsid w:val="00281D60"/>
    <w:rsid w:val="00283D5E"/>
    <w:rsid w:val="00284C34"/>
    <w:rsid w:val="002851BF"/>
    <w:rsid w:val="002855AA"/>
    <w:rsid w:val="00293F20"/>
    <w:rsid w:val="00294E92"/>
    <w:rsid w:val="002A0AFB"/>
    <w:rsid w:val="002A55AE"/>
    <w:rsid w:val="002A6FF8"/>
    <w:rsid w:val="002A76F6"/>
    <w:rsid w:val="002B1650"/>
    <w:rsid w:val="002C67ED"/>
    <w:rsid w:val="002D7713"/>
    <w:rsid w:val="002F06F5"/>
    <w:rsid w:val="002F4DD0"/>
    <w:rsid w:val="00310D24"/>
    <w:rsid w:val="003125A3"/>
    <w:rsid w:val="003132E7"/>
    <w:rsid w:val="0032052D"/>
    <w:rsid w:val="003305C1"/>
    <w:rsid w:val="003306AA"/>
    <w:rsid w:val="00331D7E"/>
    <w:rsid w:val="00337EF1"/>
    <w:rsid w:val="00340C91"/>
    <w:rsid w:val="00340D9B"/>
    <w:rsid w:val="003466F3"/>
    <w:rsid w:val="00356A67"/>
    <w:rsid w:val="00357944"/>
    <w:rsid w:val="0036786C"/>
    <w:rsid w:val="00367E93"/>
    <w:rsid w:val="00381BC5"/>
    <w:rsid w:val="00394A8A"/>
    <w:rsid w:val="00395A00"/>
    <w:rsid w:val="003A6B0C"/>
    <w:rsid w:val="003B3B47"/>
    <w:rsid w:val="003C0540"/>
    <w:rsid w:val="003C1DDB"/>
    <w:rsid w:val="003C372A"/>
    <w:rsid w:val="003C4835"/>
    <w:rsid w:val="003C5637"/>
    <w:rsid w:val="003C7DD2"/>
    <w:rsid w:val="003D366D"/>
    <w:rsid w:val="003D5DFB"/>
    <w:rsid w:val="003D7332"/>
    <w:rsid w:val="003D7F84"/>
    <w:rsid w:val="003E59E9"/>
    <w:rsid w:val="003E696D"/>
    <w:rsid w:val="003E72F5"/>
    <w:rsid w:val="003F190C"/>
    <w:rsid w:val="003F5E5E"/>
    <w:rsid w:val="00403D30"/>
    <w:rsid w:val="00405BC1"/>
    <w:rsid w:val="00420974"/>
    <w:rsid w:val="00420AE9"/>
    <w:rsid w:val="00422F94"/>
    <w:rsid w:val="004333A4"/>
    <w:rsid w:val="0043701C"/>
    <w:rsid w:val="00442DEC"/>
    <w:rsid w:val="00450C24"/>
    <w:rsid w:val="00464202"/>
    <w:rsid w:val="00470E62"/>
    <w:rsid w:val="00475600"/>
    <w:rsid w:val="00480AFF"/>
    <w:rsid w:val="00481CF0"/>
    <w:rsid w:val="00482EC1"/>
    <w:rsid w:val="00485F32"/>
    <w:rsid w:val="00486235"/>
    <w:rsid w:val="00490797"/>
    <w:rsid w:val="00493928"/>
    <w:rsid w:val="00494D7B"/>
    <w:rsid w:val="00494F2D"/>
    <w:rsid w:val="004A1293"/>
    <w:rsid w:val="004A3C78"/>
    <w:rsid w:val="004A45CD"/>
    <w:rsid w:val="004A76B2"/>
    <w:rsid w:val="004C51C2"/>
    <w:rsid w:val="004C6BA1"/>
    <w:rsid w:val="004C74D6"/>
    <w:rsid w:val="004D359F"/>
    <w:rsid w:val="004D3B8E"/>
    <w:rsid w:val="004E061C"/>
    <w:rsid w:val="004E527A"/>
    <w:rsid w:val="004F4E29"/>
    <w:rsid w:val="004F4E7F"/>
    <w:rsid w:val="004F4F5D"/>
    <w:rsid w:val="0050157E"/>
    <w:rsid w:val="00502FF3"/>
    <w:rsid w:val="00510F0C"/>
    <w:rsid w:val="00517CBA"/>
    <w:rsid w:val="00520B36"/>
    <w:rsid w:val="00540128"/>
    <w:rsid w:val="00540F67"/>
    <w:rsid w:val="00543A5B"/>
    <w:rsid w:val="00547704"/>
    <w:rsid w:val="0056768C"/>
    <w:rsid w:val="00571698"/>
    <w:rsid w:val="00574A07"/>
    <w:rsid w:val="00575165"/>
    <w:rsid w:val="00576EDB"/>
    <w:rsid w:val="005856A5"/>
    <w:rsid w:val="00594B6B"/>
    <w:rsid w:val="00596BBA"/>
    <w:rsid w:val="005B00B0"/>
    <w:rsid w:val="005B2168"/>
    <w:rsid w:val="005C3A95"/>
    <w:rsid w:val="005C7428"/>
    <w:rsid w:val="005D5C81"/>
    <w:rsid w:val="005E0558"/>
    <w:rsid w:val="005E0973"/>
    <w:rsid w:val="005E5E81"/>
    <w:rsid w:val="005F4BE1"/>
    <w:rsid w:val="006107AF"/>
    <w:rsid w:val="00610A5F"/>
    <w:rsid w:val="00615542"/>
    <w:rsid w:val="00620149"/>
    <w:rsid w:val="006203CC"/>
    <w:rsid w:val="00620EAF"/>
    <w:rsid w:val="0063223A"/>
    <w:rsid w:val="006343E4"/>
    <w:rsid w:val="00634BAB"/>
    <w:rsid w:val="00642741"/>
    <w:rsid w:val="00643EF1"/>
    <w:rsid w:val="006467AD"/>
    <w:rsid w:val="0065530D"/>
    <w:rsid w:val="00655642"/>
    <w:rsid w:val="00660480"/>
    <w:rsid w:val="006622BD"/>
    <w:rsid w:val="00666833"/>
    <w:rsid w:val="006858EF"/>
    <w:rsid w:val="0068741A"/>
    <w:rsid w:val="00690CB1"/>
    <w:rsid w:val="00692B1E"/>
    <w:rsid w:val="006A09DF"/>
    <w:rsid w:val="006A13FA"/>
    <w:rsid w:val="006A2294"/>
    <w:rsid w:val="006A51B9"/>
    <w:rsid w:val="006A77F1"/>
    <w:rsid w:val="006B4928"/>
    <w:rsid w:val="006C032E"/>
    <w:rsid w:val="006C0BD9"/>
    <w:rsid w:val="006E563D"/>
    <w:rsid w:val="006E6F9F"/>
    <w:rsid w:val="006F1010"/>
    <w:rsid w:val="006F2DF8"/>
    <w:rsid w:val="006F7535"/>
    <w:rsid w:val="00703A0F"/>
    <w:rsid w:val="00705C4D"/>
    <w:rsid w:val="0071104B"/>
    <w:rsid w:val="00722FDB"/>
    <w:rsid w:val="00731FC4"/>
    <w:rsid w:val="007323DF"/>
    <w:rsid w:val="0073245A"/>
    <w:rsid w:val="00737810"/>
    <w:rsid w:val="00745AB3"/>
    <w:rsid w:val="00752B34"/>
    <w:rsid w:val="007562FF"/>
    <w:rsid w:val="00757B84"/>
    <w:rsid w:val="007650F4"/>
    <w:rsid w:val="007712BC"/>
    <w:rsid w:val="0077261C"/>
    <w:rsid w:val="007779AE"/>
    <w:rsid w:val="00782961"/>
    <w:rsid w:val="00786873"/>
    <w:rsid w:val="00794A22"/>
    <w:rsid w:val="007957E4"/>
    <w:rsid w:val="007A439C"/>
    <w:rsid w:val="007A6FA7"/>
    <w:rsid w:val="007B7B5D"/>
    <w:rsid w:val="007C5E46"/>
    <w:rsid w:val="007D1749"/>
    <w:rsid w:val="007D6235"/>
    <w:rsid w:val="007D660D"/>
    <w:rsid w:val="007D7FB3"/>
    <w:rsid w:val="007E423A"/>
    <w:rsid w:val="007E4682"/>
    <w:rsid w:val="007F4494"/>
    <w:rsid w:val="007F452C"/>
    <w:rsid w:val="007F5960"/>
    <w:rsid w:val="007F5BD6"/>
    <w:rsid w:val="00801949"/>
    <w:rsid w:val="00802030"/>
    <w:rsid w:val="00802F4D"/>
    <w:rsid w:val="0083059F"/>
    <w:rsid w:val="00830D3E"/>
    <w:rsid w:val="0083438E"/>
    <w:rsid w:val="00837EC9"/>
    <w:rsid w:val="00853960"/>
    <w:rsid w:val="00854176"/>
    <w:rsid w:val="0085688C"/>
    <w:rsid w:val="008635C4"/>
    <w:rsid w:val="00866BA1"/>
    <w:rsid w:val="00892089"/>
    <w:rsid w:val="008A06EF"/>
    <w:rsid w:val="008A563F"/>
    <w:rsid w:val="008C3D1E"/>
    <w:rsid w:val="008D1294"/>
    <w:rsid w:val="008D4801"/>
    <w:rsid w:val="008E3029"/>
    <w:rsid w:val="008F1252"/>
    <w:rsid w:val="00910FAF"/>
    <w:rsid w:val="0091645A"/>
    <w:rsid w:val="00921E65"/>
    <w:rsid w:val="009262EF"/>
    <w:rsid w:val="00937015"/>
    <w:rsid w:val="00942808"/>
    <w:rsid w:val="00952CF9"/>
    <w:rsid w:val="0095485B"/>
    <w:rsid w:val="00954928"/>
    <w:rsid w:val="00967158"/>
    <w:rsid w:val="00973C05"/>
    <w:rsid w:val="0097724B"/>
    <w:rsid w:val="0098628F"/>
    <w:rsid w:val="00994F2B"/>
    <w:rsid w:val="0099579F"/>
    <w:rsid w:val="00996894"/>
    <w:rsid w:val="009A4B29"/>
    <w:rsid w:val="009A6246"/>
    <w:rsid w:val="009C4391"/>
    <w:rsid w:val="009D6E47"/>
    <w:rsid w:val="009E2951"/>
    <w:rsid w:val="009F2544"/>
    <w:rsid w:val="009F3494"/>
    <w:rsid w:val="009F5C26"/>
    <w:rsid w:val="00A16244"/>
    <w:rsid w:val="00A16E37"/>
    <w:rsid w:val="00A201E3"/>
    <w:rsid w:val="00A27CF0"/>
    <w:rsid w:val="00A302CB"/>
    <w:rsid w:val="00A342B5"/>
    <w:rsid w:val="00A36238"/>
    <w:rsid w:val="00A3661A"/>
    <w:rsid w:val="00A50A0F"/>
    <w:rsid w:val="00A55E98"/>
    <w:rsid w:val="00A64886"/>
    <w:rsid w:val="00A64DE9"/>
    <w:rsid w:val="00A6557A"/>
    <w:rsid w:val="00A65B3F"/>
    <w:rsid w:val="00A720EF"/>
    <w:rsid w:val="00A76533"/>
    <w:rsid w:val="00A76F7E"/>
    <w:rsid w:val="00A76F9C"/>
    <w:rsid w:val="00A77157"/>
    <w:rsid w:val="00A85397"/>
    <w:rsid w:val="00A94938"/>
    <w:rsid w:val="00A94FD0"/>
    <w:rsid w:val="00A95A41"/>
    <w:rsid w:val="00AA2846"/>
    <w:rsid w:val="00AA55CB"/>
    <w:rsid w:val="00AB4D78"/>
    <w:rsid w:val="00AB4FA8"/>
    <w:rsid w:val="00AC0BD9"/>
    <w:rsid w:val="00AC700C"/>
    <w:rsid w:val="00AD2466"/>
    <w:rsid w:val="00AE08DA"/>
    <w:rsid w:val="00AE3BA5"/>
    <w:rsid w:val="00AE6FF3"/>
    <w:rsid w:val="00AF0E05"/>
    <w:rsid w:val="00AF3E46"/>
    <w:rsid w:val="00AF45C4"/>
    <w:rsid w:val="00AF4B28"/>
    <w:rsid w:val="00B05F8A"/>
    <w:rsid w:val="00B070B6"/>
    <w:rsid w:val="00B14432"/>
    <w:rsid w:val="00B22DD4"/>
    <w:rsid w:val="00B25199"/>
    <w:rsid w:val="00B25863"/>
    <w:rsid w:val="00B2746C"/>
    <w:rsid w:val="00B2786D"/>
    <w:rsid w:val="00B27EE1"/>
    <w:rsid w:val="00B31801"/>
    <w:rsid w:val="00B33A99"/>
    <w:rsid w:val="00B359E7"/>
    <w:rsid w:val="00B46B6A"/>
    <w:rsid w:val="00B47635"/>
    <w:rsid w:val="00B52F4E"/>
    <w:rsid w:val="00B53208"/>
    <w:rsid w:val="00B55E9F"/>
    <w:rsid w:val="00B66EC4"/>
    <w:rsid w:val="00B74500"/>
    <w:rsid w:val="00B933B0"/>
    <w:rsid w:val="00B94233"/>
    <w:rsid w:val="00B958B8"/>
    <w:rsid w:val="00BA19E6"/>
    <w:rsid w:val="00BA3869"/>
    <w:rsid w:val="00BB0AE6"/>
    <w:rsid w:val="00BB1458"/>
    <w:rsid w:val="00BB25AB"/>
    <w:rsid w:val="00BB3322"/>
    <w:rsid w:val="00BB7714"/>
    <w:rsid w:val="00BD1380"/>
    <w:rsid w:val="00BD58CF"/>
    <w:rsid w:val="00BD7755"/>
    <w:rsid w:val="00BF7358"/>
    <w:rsid w:val="00C011BA"/>
    <w:rsid w:val="00C100B8"/>
    <w:rsid w:val="00C11056"/>
    <w:rsid w:val="00C139DB"/>
    <w:rsid w:val="00C22054"/>
    <w:rsid w:val="00C33684"/>
    <w:rsid w:val="00C341F8"/>
    <w:rsid w:val="00C34FD2"/>
    <w:rsid w:val="00C37B79"/>
    <w:rsid w:val="00C40739"/>
    <w:rsid w:val="00C471DD"/>
    <w:rsid w:val="00C4740E"/>
    <w:rsid w:val="00C514DE"/>
    <w:rsid w:val="00C52138"/>
    <w:rsid w:val="00C55EF7"/>
    <w:rsid w:val="00C57D55"/>
    <w:rsid w:val="00C62D17"/>
    <w:rsid w:val="00C66C43"/>
    <w:rsid w:val="00C71FC1"/>
    <w:rsid w:val="00C769A2"/>
    <w:rsid w:val="00C808F4"/>
    <w:rsid w:val="00C85A42"/>
    <w:rsid w:val="00C86D36"/>
    <w:rsid w:val="00C91FF5"/>
    <w:rsid w:val="00C92F6C"/>
    <w:rsid w:val="00C952A6"/>
    <w:rsid w:val="00CA15B1"/>
    <w:rsid w:val="00CA3635"/>
    <w:rsid w:val="00CA7485"/>
    <w:rsid w:val="00CB205F"/>
    <w:rsid w:val="00CB69F3"/>
    <w:rsid w:val="00CC24D5"/>
    <w:rsid w:val="00CC2835"/>
    <w:rsid w:val="00CC64D8"/>
    <w:rsid w:val="00CC6713"/>
    <w:rsid w:val="00CD55CC"/>
    <w:rsid w:val="00CE070E"/>
    <w:rsid w:val="00CE31A0"/>
    <w:rsid w:val="00CF01B2"/>
    <w:rsid w:val="00D0165F"/>
    <w:rsid w:val="00D20044"/>
    <w:rsid w:val="00D2069A"/>
    <w:rsid w:val="00D21626"/>
    <w:rsid w:val="00D21AA6"/>
    <w:rsid w:val="00D21B2E"/>
    <w:rsid w:val="00D24ACF"/>
    <w:rsid w:val="00D26D84"/>
    <w:rsid w:val="00D3178F"/>
    <w:rsid w:val="00D42610"/>
    <w:rsid w:val="00D462F7"/>
    <w:rsid w:val="00D47625"/>
    <w:rsid w:val="00D50435"/>
    <w:rsid w:val="00D51142"/>
    <w:rsid w:val="00D645B0"/>
    <w:rsid w:val="00D653E0"/>
    <w:rsid w:val="00D67B20"/>
    <w:rsid w:val="00D730A6"/>
    <w:rsid w:val="00D734A2"/>
    <w:rsid w:val="00D74F19"/>
    <w:rsid w:val="00D91172"/>
    <w:rsid w:val="00D9457F"/>
    <w:rsid w:val="00DA2B37"/>
    <w:rsid w:val="00DA3506"/>
    <w:rsid w:val="00DA3A1D"/>
    <w:rsid w:val="00DA5122"/>
    <w:rsid w:val="00DB1697"/>
    <w:rsid w:val="00DB5008"/>
    <w:rsid w:val="00DC7310"/>
    <w:rsid w:val="00DD27E5"/>
    <w:rsid w:val="00DD75CB"/>
    <w:rsid w:val="00DF2826"/>
    <w:rsid w:val="00DF704E"/>
    <w:rsid w:val="00E07F60"/>
    <w:rsid w:val="00E10B32"/>
    <w:rsid w:val="00E136A7"/>
    <w:rsid w:val="00E21F87"/>
    <w:rsid w:val="00E26220"/>
    <w:rsid w:val="00E30DF8"/>
    <w:rsid w:val="00E334E1"/>
    <w:rsid w:val="00E4671E"/>
    <w:rsid w:val="00E46783"/>
    <w:rsid w:val="00E5409A"/>
    <w:rsid w:val="00E617E5"/>
    <w:rsid w:val="00E61AFF"/>
    <w:rsid w:val="00E62526"/>
    <w:rsid w:val="00E62CC9"/>
    <w:rsid w:val="00E65D41"/>
    <w:rsid w:val="00E66735"/>
    <w:rsid w:val="00E678A2"/>
    <w:rsid w:val="00E71378"/>
    <w:rsid w:val="00E74FA2"/>
    <w:rsid w:val="00E86195"/>
    <w:rsid w:val="00E95FFB"/>
    <w:rsid w:val="00EA0BB4"/>
    <w:rsid w:val="00EA6C04"/>
    <w:rsid w:val="00EB0CD9"/>
    <w:rsid w:val="00EB2BDB"/>
    <w:rsid w:val="00EB515C"/>
    <w:rsid w:val="00EB7490"/>
    <w:rsid w:val="00ED6FFD"/>
    <w:rsid w:val="00EE197A"/>
    <w:rsid w:val="00EF2D87"/>
    <w:rsid w:val="00F009E9"/>
    <w:rsid w:val="00F014D3"/>
    <w:rsid w:val="00F03EDB"/>
    <w:rsid w:val="00F04C93"/>
    <w:rsid w:val="00F07F8F"/>
    <w:rsid w:val="00F1746D"/>
    <w:rsid w:val="00F23E99"/>
    <w:rsid w:val="00F25499"/>
    <w:rsid w:val="00F26E83"/>
    <w:rsid w:val="00F26EE2"/>
    <w:rsid w:val="00F42530"/>
    <w:rsid w:val="00F47E3F"/>
    <w:rsid w:val="00F50471"/>
    <w:rsid w:val="00F56803"/>
    <w:rsid w:val="00F62F69"/>
    <w:rsid w:val="00F71676"/>
    <w:rsid w:val="00F73969"/>
    <w:rsid w:val="00F759B8"/>
    <w:rsid w:val="00F802BA"/>
    <w:rsid w:val="00F82A78"/>
    <w:rsid w:val="00F837B3"/>
    <w:rsid w:val="00F86C35"/>
    <w:rsid w:val="00F87956"/>
    <w:rsid w:val="00F92055"/>
    <w:rsid w:val="00F9383D"/>
    <w:rsid w:val="00F97482"/>
    <w:rsid w:val="00FB02BA"/>
    <w:rsid w:val="00FB2896"/>
    <w:rsid w:val="00FB3D33"/>
    <w:rsid w:val="00FB3FC7"/>
    <w:rsid w:val="00FB569C"/>
    <w:rsid w:val="00FB695B"/>
    <w:rsid w:val="00FC0D78"/>
    <w:rsid w:val="00FC1133"/>
    <w:rsid w:val="00FC29A2"/>
    <w:rsid w:val="00FC4B59"/>
    <w:rsid w:val="00FC5D19"/>
    <w:rsid w:val="00FC7A06"/>
    <w:rsid w:val="00FD6CB0"/>
    <w:rsid w:val="00FE0F57"/>
    <w:rsid w:val="00FF1CB1"/>
    <w:rsid w:val="00FF67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484AF3"/>
  <w15:docId w15:val="{A6ABE4B1-EEC3-400C-A557-598F0647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F753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aliases w:val="CH Bullets (square)"/>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558"/>
    <w:rPr>
      <w:color w:val="605E5C"/>
      <w:shd w:val="clear" w:color="auto" w:fill="E1DFDD"/>
    </w:rPr>
  </w:style>
  <w:style w:type="paragraph" w:styleId="Revision">
    <w:name w:val="Revision"/>
    <w:hidden/>
    <w:uiPriority w:val="99"/>
    <w:semiHidden/>
    <w:rsid w:val="006C0BD9"/>
    <w:pPr>
      <w:spacing w:after="0" w:line="240" w:lineRule="auto"/>
    </w:pPr>
  </w:style>
  <w:style w:type="character" w:styleId="CommentReference">
    <w:name w:val="annotation reference"/>
    <w:basedOn w:val="DefaultParagraphFont"/>
    <w:uiPriority w:val="99"/>
    <w:semiHidden/>
    <w:unhideWhenUsed/>
    <w:rsid w:val="00E10B32"/>
    <w:rPr>
      <w:sz w:val="16"/>
      <w:szCs w:val="16"/>
    </w:rPr>
  </w:style>
  <w:style w:type="paragraph" w:styleId="CommentText">
    <w:name w:val="annotation text"/>
    <w:basedOn w:val="Normal"/>
    <w:link w:val="CommentTextChar"/>
    <w:uiPriority w:val="99"/>
    <w:unhideWhenUsed/>
    <w:rsid w:val="00E10B32"/>
    <w:pPr>
      <w:spacing w:line="240" w:lineRule="auto"/>
    </w:pPr>
    <w:rPr>
      <w:sz w:val="20"/>
      <w:szCs w:val="20"/>
    </w:rPr>
  </w:style>
  <w:style w:type="character" w:customStyle="1" w:styleId="CommentTextChar">
    <w:name w:val="Comment Text Char"/>
    <w:basedOn w:val="DefaultParagraphFont"/>
    <w:link w:val="CommentText"/>
    <w:uiPriority w:val="99"/>
    <w:rsid w:val="00E10B32"/>
    <w:rPr>
      <w:sz w:val="20"/>
      <w:szCs w:val="20"/>
    </w:rPr>
  </w:style>
  <w:style w:type="paragraph" w:styleId="CommentSubject">
    <w:name w:val="annotation subject"/>
    <w:basedOn w:val="CommentText"/>
    <w:next w:val="CommentText"/>
    <w:link w:val="CommentSubjectChar"/>
    <w:uiPriority w:val="99"/>
    <w:semiHidden/>
    <w:unhideWhenUsed/>
    <w:rsid w:val="00E10B32"/>
    <w:rPr>
      <w:b/>
      <w:bCs/>
    </w:rPr>
  </w:style>
  <w:style w:type="character" w:customStyle="1" w:styleId="CommentSubjectChar">
    <w:name w:val="Comment Subject Char"/>
    <w:basedOn w:val="CommentTextChar"/>
    <w:link w:val="CommentSubject"/>
    <w:uiPriority w:val="99"/>
    <w:semiHidden/>
    <w:rsid w:val="00E10B32"/>
    <w:rPr>
      <w:b/>
      <w:bCs/>
      <w:sz w:val="20"/>
      <w:szCs w:val="20"/>
    </w:rPr>
  </w:style>
  <w:style w:type="character" w:customStyle="1" w:styleId="ListParagraphChar">
    <w:name w:val="List Paragraph Char"/>
    <w:aliases w:val="CH Bullets (square) Char"/>
    <w:link w:val="ListParagraph"/>
    <w:uiPriority w:val="34"/>
    <w:rsid w:val="00356A67"/>
  </w:style>
  <w:style w:type="character" w:customStyle="1" w:styleId="Heading6Char">
    <w:name w:val="Heading 6 Char"/>
    <w:basedOn w:val="DefaultParagraphFont"/>
    <w:link w:val="Heading6"/>
    <w:uiPriority w:val="9"/>
    <w:semiHidden/>
    <w:rsid w:val="006F7535"/>
    <w:rPr>
      <w:rFonts w:asciiTheme="majorHAnsi" w:eastAsiaTheme="majorEastAsia" w:hAnsiTheme="majorHAnsi" w:cstheme="majorBidi"/>
      <w:color w:val="243F60" w:themeColor="accent1" w:themeShade="7F"/>
    </w:rPr>
  </w:style>
  <w:style w:type="character" w:styleId="FootnoteReference">
    <w:name w:val="footnote reference"/>
    <w:rsid w:val="00B27EE1"/>
    <w:rPr>
      <w:vertAlign w:val="superscript"/>
    </w:rPr>
  </w:style>
  <w:style w:type="paragraph" w:styleId="FootnoteText">
    <w:name w:val="footnote text"/>
    <w:basedOn w:val="Normal"/>
    <w:link w:val="FootnoteTextChar"/>
    <w:uiPriority w:val="99"/>
    <w:rsid w:val="00B27EE1"/>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uiPriority w:val="99"/>
    <w:rsid w:val="00B27EE1"/>
    <w:rPr>
      <w:rFonts w:ascii="Arial" w:eastAsia="Times New Roman" w:hAnsi="Arial" w:cs="Times New Roman"/>
      <w:sz w:val="20"/>
      <w:szCs w:val="20"/>
      <w:lang w:val="x-none" w:eastAsia="x-none"/>
    </w:rPr>
  </w:style>
  <w:style w:type="paragraph" w:customStyle="1" w:styleId="Default">
    <w:name w:val="Default"/>
    <w:rsid w:val="001B0A7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psc.gov/Business--Manufacturing/Business-Education" TargetMode="External" /><Relationship Id="rId11" Type="http://schemas.openxmlformats.org/officeDocument/2006/relationships/hyperlink" Target="https://www.astm.org/READINGLIBRARY"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youtu.be/FKU9n6bkKM4?si=o063YSYqWwejmjgJ" TargetMode="External" /><Relationship Id="rId2" Type="http://schemas.openxmlformats.org/officeDocument/2006/relationships/hyperlink" Target="https://data.census.gov/table/CBP2023.CB2300CBP?codeset=naics~33712:337122&amp;nkd=EMPSZES~001,LFO~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7c5f81a41cb9bee3ea7a274e65cd9257">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970f93761c9c3dc574c50f0ea9082ba4"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7D73A-AD02-4E94-AEBF-A05551F2E7C7}">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customXml/itemProps2.xml><?xml version="1.0" encoding="utf-8"?>
<ds:datastoreItem xmlns:ds="http://schemas.openxmlformats.org/officeDocument/2006/customXml" ds:itemID="{A859423C-5E6B-486B-AC0C-060EDA674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3F093-F31C-499C-8A73-1E01AF3F8F4D}">
  <ds:schemaRefs>
    <ds:schemaRef ds:uri="http://schemas.openxmlformats.org/officeDocument/2006/bibliography"/>
  </ds:schemaRefs>
</ds:datastoreItem>
</file>

<file path=customXml/itemProps4.xml><?xml version="1.0" encoding="utf-8"?>
<ds:datastoreItem xmlns:ds="http://schemas.openxmlformats.org/officeDocument/2006/customXml" ds:itemID="{EC1CFCC2-5926-4B63-914F-74A4A5103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1529</Words>
  <Characters>8503</Characters>
  <Application>Microsoft Office Word</Application>
  <DocSecurity>0</DocSecurity>
  <Lines>218</Lines>
  <Paragraphs>85</Paragraphs>
  <ScaleCrop>false</ScaleCrop>
  <HeadingPairs>
    <vt:vector size="2" baseType="variant">
      <vt:variant>
        <vt:lpstr>Title</vt:lpstr>
      </vt:variant>
      <vt:variant>
        <vt:i4>1</vt:i4>
      </vt:variant>
    </vt:vector>
  </HeadingPairs>
  <TitlesOfParts>
    <vt:vector size="1" baseType="lpstr">
      <vt:lpstr>CSU Supporting Statement Part A</vt:lpstr>
    </vt:vector>
  </TitlesOfParts>
  <Company>CPSC</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 Supporting Statement Part A</dc:title>
  <dc:creator>Gillham, Cynthia</dc:creator>
  <cp:keywords>Clothing Storage Unit (CSU)</cp:keywords>
  <cp:lastModifiedBy>Gillham, Cynthia</cp:lastModifiedBy>
  <cp:revision>7</cp:revision>
  <cp:lastPrinted>2016-09-20T19:55:00Z</cp:lastPrinted>
  <dcterms:created xsi:type="dcterms:W3CDTF">2026-01-30T17:20:00Z</dcterms:created>
  <dcterms:modified xsi:type="dcterms:W3CDTF">2026-01-30T17:28:00Z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docLang">
    <vt:lpwstr>en</vt:lpwstr>
  </property>
  <property fmtid="{D5CDD505-2E9C-101B-9397-08002B2CF9AE}" pid="4" name="MediaServiceImageTags">
    <vt:lpwstr/>
  </property>
</Properties>
</file>