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357F5" w:rsidRPr="00B001CC" w:rsidP="00DB4225" w14:paraId="48FD8F93" w14:textId="77777777">
      <w:pPr>
        <w:contextualSpacing/>
        <w:jc w:val="center"/>
        <w:rPr>
          <w:rFonts w:ascii="Times New Roman" w:hAnsi="Times New Roman"/>
          <w:bCs/>
          <w:szCs w:val="24"/>
        </w:rPr>
      </w:pPr>
      <w:r w:rsidRPr="00B001CC">
        <w:rPr>
          <w:rFonts w:ascii="Times New Roman" w:hAnsi="Times New Roman"/>
          <w:bCs/>
          <w:szCs w:val="24"/>
        </w:rPr>
        <w:t>SUPPORTING STATEMENT</w:t>
      </w:r>
    </w:p>
    <w:p w:rsidR="00F11239" w:rsidRPr="00B001CC" w:rsidP="00F11239" w14:paraId="4279DD15" w14:textId="77777777">
      <w:pPr>
        <w:contextualSpacing/>
        <w:jc w:val="center"/>
        <w:outlineLvl w:val="0"/>
        <w:rPr>
          <w:rFonts w:ascii="Times New Roman" w:hAnsi="Times New Roman"/>
          <w:szCs w:val="24"/>
        </w:rPr>
      </w:pPr>
      <w:r w:rsidRPr="00B001CC">
        <w:rPr>
          <w:rFonts w:ascii="Times New Roman" w:hAnsi="Times New Roman"/>
          <w:szCs w:val="24"/>
        </w:rPr>
        <w:t>Disclosure, Recordkeeping and Reporting Requirements Related to FDIC’s Official Sign and Advertising Requirements, False Advertising, Misrepresentation of Insured Status, and</w:t>
      </w:r>
    </w:p>
    <w:p w:rsidR="00F11239" w:rsidRPr="00B001CC" w:rsidP="00DB4225" w14:paraId="582350EF" w14:textId="77777777">
      <w:pPr>
        <w:contextualSpacing/>
        <w:jc w:val="center"/>
        <w:outlineLvl w:val="0"/>
        <w:rPr>
          <w:rFonts w:ascii="Times New Roman" w:hAnsi="Times New Roman"/>
          <w:szCs w:val="24"/>
        </w:rPr>
      </w:pPr>
      <w:r w:rsidRPr="00B001CC">
        <w:rPr>
          <w:rFonts w:ascii="Times New Roman" w:hAnsi="Times New Roman"/>
          <w:szCs w:val="24"/>
        </w:rPr>
        <w:t xml:space="preserve">Misuse of the FDIC’s Name or Logo. </w:t>
      </w:r>
    </w:p>
    <w:p w:rsidR="00541136" w:rsidRPr="00B001CC" w:rsidP="00DB4225" w14:paraId="5DE4C6A6" w14:textId="77777777">
      <w:pPr>
        <w:contextualSpacing/>
        <w:jc w:val="center"/>
        <w:outlineLvl w:val="0"/>
        <w:rPr>
          <w:rFonts w:ascii="Times New Roman" w:hAnsi="Times New Roman"/>
          <w:bCs/>
          <w:szCs w:val="24"/>
        </w:rPr>
      </w:pPr>
      <w:r w:rsidRPr="00B001CC">
        <w:rPr>
          <w:rFonts w:ascii="Times New Roman" w:hAnsi="Times New Roman"/>
          <w:bCs/>
          <w:szCs w:val="24"/>
        </w:rPr>
        <w:t xml:space="preserve">(OMB Control No. </w:t>
      </w:r>
      <w:r w:rsidRPr="00B001CC" w:rsidR="00466EEC">
        <w:rPr>
          <w:rFonts w:ascii="Times New Roman" w:hAnsi="Times New Roman"/>
          <w:bCs/>
          <w:szCs w:val="24"/>
        </w:rPr>
        <w:t>3064-</w:t>
      </w:r>
      <w:r w:rsidRPr="00B001CC" w:rsidR="00F11239">
        <w:rPr>
          <w:rFonts w:ascii="Times New Roman" w:hAnsi="Times New Roman"/>
          <w:bCs/>
          <w:szCs w:val="24"/>
        </w:rPr>
        <w:t>0219</w:t>
      </w:r>
      <w:r w:rsidRPr="00B001CC">
        <w:rPr>
          <w:rFonts w:ascii="Times New Roman" w:hAnsi="Times New Roman"/>
          <w:bCs/>
          <w:szCs w:val="24"/>
        </w:rPr>
        <w:t>)</w:t>
      </w:r>
    </w:p>
    <w:p w:rsidR="00FC0FC9" w:rsidRPr="008953D7" w:rsidP="00DB4225" w14:paraId="2CA5C8BD" w14:textId="77777777">
      <w:pPr>
        <w:contextualSpacing/>
        <w:jc w:val="center"/>
        <w:outlineLvl w:val="0"/>
        <w:rPr>
          <w:rFonts w:ascii="Times New Roman" w:hAnsi="Times New Roman"/>
          <w:b/>
          <w:bCs/>
          <w:color w:val="FF0000"/>
          <w:szCs w:val="24"/>
        </w:rPr>
      </w:pPr>
    </w:p>
    <w:p w:rsidR="00541136" w:rsidRPr="008953D7" w:rsidP="00DB4225" w14:paraId="6F12CCDB" w14:textId="77777777">
      <w:pPr>
        <w:contextualSpacing/>
        <w:rPr>
          <w:rFonts w:ascii="Times New Roman" w:hAnsi="Times New Roman"/>
          <w:color w:val="FF0000"/>
          <w:szCs w:val="24"/>
        </w:rPr>
      </w:pPr>
    </w:p>
    <w:p w:rsidR="007A5227" w:rsidRPr="008953D7" w:rsidP="00DB4225" w14:paraId="3F49D15D" w14:textId="77777777">
      <w:pPr>
        <w:contextualSpacing/>
        <w:rPr>
          <w:rFonts w:ascii="Times New Roman" w:hAnsi="Times New Roman"/>
          <w:color w:val="FF0000"/>
          <w:szCs w:val="24"/>
        </w:rPr>
      </w:pPr>
    </w:p>
    <w:p w:rsidR="00F56D99" w:rsidRPr="007A266A" w:rsidP="00F56D99" w14:paraId="0DF1B488" w14:textId="77777777">
      <w:pPr>
        <w:contextualSpacing/>
        <w:rPr>
          <w:rFonts w:ascii="Times New Roman" w:hAnsi="Times New Roman"/>
          <w:szCs w:val="24"/>
        </w:rPr>
      </w:pPr>
      <w:r w:rsidRPr="007A266A">
        <w:rPr>
          <w:rFonts w:ascii="Times New Roman" w:hAnsi="Times New Roman"/>
          <w:b/>
          <w:szCs w:val="24"/>
          <w:u w:val="single"/>
        </w:rPr>
        <w:t>INTRODUCTION</w:t>
      </w:r>
    </w:p>
    <w:p w:rsidR="00F56D99" w:rsidRPr="008953D7" w:rsidP="00F56D99" w14:paraId="0CA76D6C" w14:textId="77777777">
      <w:pPr>
        <w:contextualSpacing/>
        <w:rPr>
          <w:rFonts w:ascii="Times New Roman" w:hAnsi="Times New Roman"/>
          <w:color w:val="FF0000"/>
          <w:szCs w:val="24"/>
        </w:rPr>
      </w:pPr>
    </w:p>
    <w:p w:rsidR="007A5227" w:rsidRPr="00D0439A" w:rsidP="00743BBF" w14:paraId="1C1A070D" w14:textId="7DCB9357">
      <w:pPr>
        <w:contextualSpacing/>
        <w:rPr>
          <w:rFonts w:ascii="Times New Roman" w:hAnsi="Times New Roman"/>
          <w:b/>
          <w:highlight w:val="yellow"/>
        </w:rPr>
      </w:pPr>
      <w:r w:rsidRPr="00E235CC">
        <w:rPr>
          <w:rFonts w:ascii="Times New Roman" w:hAnsi="Times New Roman"/>
        </w:rPr>
        <w:t xml:space="preserve">This submission is being made in connection with a </w:t>
      </w:r>
      <w:r w:rsidR="001127A4">
        <w:rPr>
          <w:rFonts w:ascii="Times New Roman" w:hAnsi="Times New Roman"/>
        </w:rPr>
        <w:t>F</w:t>
      </w:r>
      <w:r>
        <w:rPr>
          <w:rFonts w:ascii="Times New Roman" w:hAnsi="Times New Roman"/>
        </w:rPr>
        <w:t xml:space="preserve">inal </w:t>
      </w:r>
      <w:r w:rsidR="001127A4">
        <w:rPr>
          <w:rFonts w:ascii="Times New Roman" w:hAnsi="Times New Roman"/>
        </w:rPr>
        <w:t>R</w:t>
      </w:r>
      <w:r>
        <w:rPr>
          <w:rFonts w:ascii="Times New Roman" w:hAnsi="Times New Roman"/>
        </w:rPr>
        <w:t>ule</w:t>
      </w:r>
      <w:r w:rsidRPr="00E235CC">
        <w:rPr>
          <w:rFonts w:ascii="Times New Roman" w:hAnsi="Times New Roman"/>
        </w:rPr>
        <w:t xml:space="preserve"> published in the </w:t>
      </w:r>
      <w:r w:rsidRPr="00E235CC">
        <w:rPr>
          <w:rFonts w:ascii="Times New Roman" w:hAnsi="Times New Roman"/>
          <w:i/>
        </w:rPr>
        <w:t>Federal Register</w:t>
      </w:r>
      <w:r w:rsidRPr="00E235CC">
        <w:rPr>
          <w:rFonts w:ascii="Times New Roman" w:hAnsi="Times New Roman"/>
        </w:rPr>
        <w:t xml:space="preserve"> </w:t>
      </w:r>
      <w:r>
        <w:rPr>
          <w:rFonts w:ascii="Times New Roman" w:hAnsi="Times New Roman"/>
        </w:rPr>
        <w:t>by</w:t>
      </w:r>
      <w:r w:rsidRPr="00E235CC">
        <w:rPr>
          <w:rFonts w:ascii="Times New Roman" w:hAnsi="Times New Roman"/>
        </w:rPr>
        <w:t xml:space="preserve"> the Federal</w:t>
      </w:r>
      <w:r>
        <w:rPr>
          <w:rFonts w:ascii="Times New Roman" w:hAnsi="Times New Roman"/>
        </w:rPr>
        <w:t xml:space="preserve"> Deposit Insurance Corporation </w:t>
      </w:r>
      <w:r w:rsidRPr="00E235CC">
        <w:rPr>
          <w:rFonts w:ascii="Times New Roman" w:hAnsi="Times New Roman"/>
        </w:rPr>
        <w:t xml:space="preserve">(FDIC). </w:t>
      </w:r>
      <w:r w:rsidR="00F4377F">
        <w:rPr>
          <w:rFonts w:ascii="Times New Roman" w:hAnsi="Times New Roman"/>
        </w:rPr>
        <w:t xml:space="preserve">On </w:t>
      </w:r>
      <w:r w:rsidRPr="00C40062" w:rsidR="00F4377F">
        <w:rPr>
          <w:rFonts w:ascii="Times New Roman" w:hAnsi="Times New Roman"/>
        </w:rPr>
        <w:t>J</w:t>
      </w:r>
      <w:r w:rsidRPr="00C40062" w:rsidR="00D340F3">
        <w:rPr>
          <w:rFonts w:ascii="Times New Roman" w:hAnsi="Times New Roman"/>
        </w:rPr>
        <w:t xml:space="preserve">anuary </w:t>
      </w:r>
      <w:r w:rsidRPr="00C40062" w:rsidR="001244C6">
        <w:rPr>
          <w:rFonts w:ascii="Times New Roman" w:hAnsi="Times New Roman"/>
        </w:rPr>
        <w:t>29</w:t>
      </w:r>
      <w:r w:rsidR="00D340F3">
        <w:rPr>
          <w:rFonts w:ascii="Times New Roman" w:hAnsi="Times New Roman"/>
        </w:rPr>
        <w:t xml:space="preserve">, 2026, in connection </w:t>
      </w:r>
      <w:r w:rsidR="00B44406">
        <w:rPr>
          <w:rFonts w:ascii="Times New Roman" w:hAnsi="Times New Roman"/>
        </w:rPr>
        <w:t>w</w:t>
      </w:r>
      <w:r w:rsidR="00D340F3">
        <w:rPr>
          <w:rFonts w:ascii="Times New Roman" w:hAnsi="Times New Roman"/>
        </w:rPr>
        <w:t>ith O</w:t>
      </w:r>
      <w:r w:rsidR="00B44406">
        <w:rPr>
          <w:rFonts w:ascii="Times New Roman" w:hAnsi="Times New Roman"/>
        </w:rPr>
        <w:t>M</w:t>
      </w:r>
      <w:r w:rsidR="00D340F3">
        <w:rPr>
          <w:rFonts w:ascii="Times New Roman" w:hAnsi="Times New Roman"/>
        </w:rPr>
        <w:t>B Control No. 30</w:t>
      </w:r>
      <w:r w:rsidR="008B7C3D">
        <w:rPr>
          <w:rFonts w:ascii="Times New Roman" w:hAnsi="Times New Roman"/>
        </w:rPr>
        <w:t xml:space="preserve">64-0219, the FDIC published a </w:t>
      </w:r>
      <w:r w:rsidR="001127A4">
        <w:rPr>
          <w:rFonts w:ascii="Times New Roman" w:hAnsi="Times New Roman"/>
        </w:rPr>
        <w:t>F</w:t>
      </w:r>
      <w:r w:rsidR="008B7C3D">
        <w:rPr>
          <w:rFonts w:ascii="Times New Roman" w:hAnsi="Times New Roman"/>
        </w:rPr>
        <w:t xml:space="preserve">inal </w:t>
      </w:r>
      <w:r w:rsidR="001127A4">
        <w:rPr>
          <w:rFonts w:ascii="Times New Roman" w:hAnsi="Times New Roman"/>
        </w:rPr>
        <w:t>R</w:t>
      </w:r>
      <w:r w:rsidR="008B7C3D">
        <w:rPr>
          <w:rFonts w:ascii="Times New Roman" w:hAnsi="Times New Roman"/>
        </w:rPr>
        <w:t xml:space="preserve">ule </w:t>
      </w:r>
      <w:r w:rsidRPr="00D0439A" w:rsidR="0080316E">
        <w:rPr>
          <w:rFonts w:ascii="Times New Roman" w:hAnsi="Times New Roman"/>
        </w:rPr>
        <w:t xml:space="preserve">for </w:t>
      </w:r>
      <w:r w:rsidRPr="00D0439A" w:rsidR="00D0439A">
        <w:rPr>
          <w:rFonts w:ascii="Times New Roman" w:hAnsi="Times New Roman"/>
        </w:rPr>
        <w:t>FDIC Official Signs, Advertisement of Membership, False Advertising, Misrepresentation of Insured Status, and Misuse of the FDIC’s Name or Logo</w:t>
      </w:r>
      <w:r w:rsidRPr="00D0439A" w:rsidR="0080316E">
        <w:rPr>
          <w:rFonts w:ascii="Times New Roman" w:hAnsi="Times New Roman"/>
        </w:rPr>
        <w:t>.</w:t>
      </w:r>
      <w:r w:rsidRPr="00D0439A" w:rsidR="00B44406">
        <w:rPr>
          <w:rFonts w:ascii="Times New Roman" w:hAnsi="Times New Roman"/>
        </w:rPr>
        <w:t xml:space="preserve"> </w:t>
      </w:r>
      <w:r w:rsidRPr="00D0439A" w:rsidR="009423EE">
        <w:rPr>
          <w:rFonts w:ascii="Times New Roman" w:hAnsi="Times New Roman"/>
        </w:rPr>
        <w:t>The FDIC is amending its signage requirements for insured depository institutions’ (IDIs) digital</w:t>
      </w:r>
      <w:r w:rsidRPr="009423EE" w:rsidR="009423EE">
        <w:rPr>
          <w:rFonts w:ascii="Times New Roman" w:hAnsi="Times New Roman"/>
        </w:rPr>
        <w:t xml:space="preserve"> deposit-taking channels and automated teller machines (ATMs) and like devices. This </w:t>
      </w:r>
      <w:r w:rsidR="001127A4">
        <w:rPr>
          <w:rFonts w:ascii="Times New Roman" w:hAnsi="Times New Roman"/>
        </w:rPr>
        <w:t>F</w:t>
      </w:r>
      <w:r w:rsidRPr="009423EE" w:rsidR="009423EE">
        <w:rPr>
          <w:rFonts w:ascii="Times New Roman" w:hAnsi="Times New Roman"/>
        </w:rPr>
        <w:t xml:space="preserve">inal </w:t>
      </w:r>
      <w:r w:rsidR="001127A4">
        <w:rPr>
          <w:rFonts w:ascii="Times New Roman" w:hAnsi="Times New Roman"/>
        </w:rPr>
        <w:t>R</w:t>
      </w:r>
      <w:r w:rsidRPr="009423EE" w:rsidR="009423EE">
        <w:rPr>
          <w:rFonts w:ascii="Times New Roman" w:hAnsi="Times New Roman"/>
        </w:rPr>
        <w:t xml:space="preserve">ule is intended to address implementation issues and sources of potential confusion raised following the adoption of signage requirements for these banking channels in 2023. The </w:t>
      </w:r>
      <w:r w:rsidR="001127A4">
        <w:rPr>
          <w:rFonts w:ascii="Times New Roman" w:hAnsi="Times New Roman"/>
        </w:rPr>
        <w:t>F</w:t>
      </w:r>
      <w:r w:rsidRPr="009423EE" w:rsidR="009423EE">
        <w:rPr>
          <w:rFonts w:ascii="Times New Roman" w:hAnsi="Times New Roman"/>
        </w:rPr>
        <w:t xml:space="preserve">inal </w:t>
      </w:r>
      <w:r w:rsidR="001127A4">
        <w:rPr>
          <w:rFonts w:ascii="Times New Roman" w:hAnsi="Times New Roman"/>
        </w:rPr>
        <w:t>R</w:t>
      </w:r>
      <w:r w:rsidRPr="009423EE" w:rsidR="009423EE">
        <w:rPr>
          <w:rFonts w:ascii="Times New Roman" w:hAnsi="Times New Roman"/>
        </w:rPr>
        <w:t xml:space="preserve">ule provides additional flexibility to IDIs while also enabling consumers to better understand when they are conducting business with an IDI and when their funds are protected by the FDIC’s deposit insurance </w:t>
      </w:r>
      <w:r w:rsidRPr="00CA3140" w:rsidR="009423EE">
        <w:rPr>
          <w:rFonts w:ascii="Times New Roman" w:hAnsi="Times New Roman"/>
        </w:rPr>
        <w:t>coverage.</w:t>
      </w:r>
      <w:r w:rsidRPr="00CA3140" w:rsidR="0053501B">
        <w:rPr>
          <w:rFonts w:ascii="Times New Roman" w:hAnsi="Times New Roman"/>
        </w:rPr>
        <w:t xml:space="preserve"> </w:t>
      </w:r>
      <w:r w:rsidRPr="00CA3140" w:rsidR="0080316E">
        <w:rPr>
          <w:rFonts w:ascii="Times New Roman" w:hAnsi="Times New Roman"/>
          <w:szCs w:val="24"/>
        </w:rPr>
        <w:t xml:space="preserve">The </w:t>
      </w:r>
      <w:r w:rsidRPr="00CA3140" w:rsidR="00CA3140">
        <w:rPr>
          <w:rFonts w:ascii="Times New Roman" w:hAnsi="Times New Roman"/>
          <w:szCs w:val="24"/>
        </w:rPr>
        <w:t xml:space="preserve">current clearance for the collection expires on </w:t>
      </w:r>
      <w:r w:rsidR="0014688A">
        <w:rPr>
          <w:rFonts w:ascii="Times New Roman" w:hAnsi="Times New Roman"/>
          <w:szCs w:val="24"/>
        </w:rPr>
        <w:t>March 31, 2027</w:t>
      </w:r>
      <w:r w:rsidRPr="00CA3140" w:rsidR="00CA3140">
        <w:rPr>
          <w:rFonts w:ascii="Times New Roman" w:hAnsi="Times New Roman"/>
          <w:szCs w:val="24"/>
        </w:rPr>
        <w:t xml:space="preserve">. The FDIC is seeking extension, with revisions, of the ICR for a period of three years. </w:t>
      </w:r>
    </w:p>
    <w:p w:rsidR="00CA3140" w:rsidRPr="008953D7" w:rsidP="00DB4225" w14:paraId="139585F8" w14:textId="77777777">
      <w:pPr>
        <w:contextualSpacing/>
        <w:rPr>
          <w:rFonts w:ascii="Times New Roman" w:hAnsi="Times New Roman"/>
          <w:color w:val="FF0000"/>
          <w:szCs w:val="24"/>
        </w:rPr>
      </w:pPr>
    </w:p>
    <w:p w:rsidR="00541136" w:rsidRPr="00D27522" w:rsidP="00DB4225" w14:paraId="2D8D38FE" w14:textId="77777777">
      <w:pPr>
        <w:tabs>
          <w:tab w:val="left" w:pos="-1440"/>
        </w:tabs>
        <w:ind w:left="720" w:hanging="720"/>
        <w:contextualSpacing/>
        <w:outlineLvl w:val="0"/>
        <w:rPr>
          <w:rFonts w:ascii="Times New Roman" w:hAnsi="Times New Roman"/>
          <w:szCs w:val="24"/>
        </w:rPr>
      </w:pPr>
      <w:r w:rsidRPr="00D27522">
        <w:rPr>
          <w:rFonts w:ascii="Times New Roman" w:hAnsi="Times New Roman"/>
          <w:szCs w:val="24"/>
        </w:rPr>
        <w:t>A. Justification.</w:t>
      </w:r>
    </w:p>
    <w:p w:rsidR="00541136" w:rsidRPr="00D27522" w:rsidP="00DB4225" w14:paraId="1DD035C0" w14:textId="77777777">
      <w:pPr>
        <w:contextualSpacing/>
        <w:rPr>
          <w:rFonts w:ascii="Times New Roman" w:hAnsi="Times New Roman"/>
          <w:szCs w:val="24"/>
        </w:rPr>
      </w:pPr>
    </w:p>
    <w:p w:rsidR="00127D85" w:rsidRPr="00D27522" w:rsidP="00DB4225" w14:paraId="57AAD98B" w14:textId="77777777">
      <w:pPr>
        <w:tabs>
          <w:tab w:val="left" w:pos="-1440"/>
        </w:tabs>
        <w:ind w:left="720" w:hanging="720"/>
        <w:contextualSpacing/>
        <w:outlineLvl w:val="0"/>
        <w:rPr>
          <w:rFonts w:ascii="Times New Roman" w:hAnsi="Times New Roman"/>
          <w:szCs w:val="24"/>
          <w:u w:val="single"/>
        </w:rPr>
      </w:pPr>
      <w:r w:rsidRPr="00D27522">
        <w:rPr>
          <w:rFonts w:ascii="Times New Roman" w:hAnsi="Times New Roman"/>
          <w:szCs w:val="24"/>
        </w:rPr>
        <w:t xml:space="preserve">1. </w:t>
      </w:r>
      <w:r w:rsidRPr="00D27522">
        <w:rPr>
          <w:rFonts w:ascii="Times New Roman" w:hAnsi="Times New Roman"/>
          <w:szCs w:val="24"/>
          <w:u w:val="single"/>
        </w:rPr>
        <w:t>Circumstances that make the collection necessary:</w:t>
      </w:r>
    </w:p>
    <w:p w:rsidR="00B46745" w:rsidRPr="00D27522" w:rsidP="00DB4225" w14:paraId="50689EAF" w14:textId="77777777">
      <w:pPr>
        <w:contextualSpacing/>
        <w:rPr>
          <w:rFonts w:ascii="Times New Roman" w:hAnsi="Times New Roman"/>
          <w:szCs w:val="24"/>
        </w:rPr>
      </w:pPr>
    </w:p>
    <w:p w:rsidR="00664282" w:rsidRPr="00D27522" w:rsidP="00743BBF" w14:paraId="589C7CB5" w14:textId="591E5788">
      <w:pPr>
        <w:contextualSpacing/>
        <w:rPr>
          <w:rFonts w:ascii="Times New Roman" w:hAnsi="Times New Roman"/>
          <w:szCs w:val="24"/>
          <w:lang w:bidi="en-US"/>
        </w:rPr>
      </w:pPr>
      <w:r w:rsidRPr="00D27522">
        <w:rPr>
          <w:rFonts w:ascii="Times New Roman" w:hAnsi="Times New Roman"/>
          <w:szCs w:val="24"/>
          <w:lang w:bidi="en-US"/>
        </w:rPr>
        <w:t>Consumers are increasingly relying on internet and mobile banking channels to access IDI banking services, bank branches are continually evolving to serve depositors, and financial technology (fintech)</w:t>
      </w:r>
      <w:r w:rsidRPr="00D27522" w:rsidR="00652234">
        <w:rPr>
          <w:rFonts w:ascii="Times New Roman" w:hAnsi="Times New Roman"/>
          <w:szCs w:val="24"/>
          <w:lang w:bidi="en-US"/>
        </w:rPr>
        <w:t xml:space="preserve"> </w:t>
      </w:r>
      <w:r w:rsidRPr="00D27522">
        <w:rPr>
          <w:rFonts w:ascii="Times New Roman" w:hAnsi="Times New Roman"/>
          <w:szCs w:val="24"/>
          <w:lang w:bidi="en-US"/>
        </w:rPr>
        <w:t>companies are offering consumers new options and alternatives for accessing banking products and services. While these developments are beneficial, they may make it more difficult for depositors and consumers to understand when they are conducting business with an IDI and when their funds are protected by FDIC deposit insurance. In addition, the FDIC has observed an</w:t>
      </w:r>
      <w:r w:rsidRPr="00D27522" w:rsidR="00652234">
        <w:rPr>
          <w:rFonts w:ascii="Times New Roman" w:hAnsi="Times New Roman"/>
          <w:szCs w:val="24"/>
          <w:lang w:bidi="en-US"/>
        </w:rPr>
        <w:t xml:space="preserve"> </w:t>
      </w:r>
      <w:r w:rsidRPr="00D27522">
        <w:rPr>
          <w:rFonts w:ascii="Times New Roman" w:hAnsi="Times New Roman"/>
          <w:szCs w:val="24"/>
          <w:lang w:bidi="en-US"/>
        </w:rPr>
        <w:t>increase in misleading representations about deposit insurance on the internet, which can result in consumer confusion and harm. These types of misleading statements create uncertainty and could dilute and undermine the confidence that underpins banks and our nation’s broader</w:t>
      </w:r>
      <w:r w:rsidRPr="00D27522" w:rsidR="00652234">
        <w:rPr>
          <w:rFonts w:ascii="Times New Roman" w:hAnsi="Times New Roman"/>
          <w:szCs w:val="24"/>
          <w:lang w:bidi="en-US"/>
        </w:rPr>
        <w:t xml:space="preserve"> </w:t>
      </w:r>
      <w:r w:rsidRPr="00D27522">
        <w:rPr>
          <w:rFonts w:ascii="Times New Roman" w:hAnsi="Times New Roman"/>
          <w:szCs w:val="24"/>
          <w:lang w:bidi="en-US"/>
        </w:rPr>
        <w:t>financial system.</w:t>
      </w:r>
    </w:p>
    <w:p w:rsidR="00652234" w:rsidRPr="008953D7" w:rsidP="00664282" w14:paraId="0669237E" w14:textId="77777777">
      <w:pPr>
        <w:contextualSpacing/>
        <w:rPr>
          <w:rFonts w:ascii="Times New Roman" w:hAnsi="Times New Roman"/>
          <w:color w:val="FF0000"/>
          <w:szCs w:val="24"/>
          <w:lang w:bidi="en-US"/>
        </w:rPr>
      </w:pPr>
    </w:p>
    <w:p w:rsidR="00652234" w:rsidRPr="00D5098C" w:rsidP="00743BBF" w14:paraId="0A83564B" w14:textId="77777777">
      <w:pPr>
        <w:contextualSpacing/>
        <w:rPr>
          <w:rFonts w:ascii="Times New Roman" w:hAnsi="Times New Roman"/>
          <w:szCs w:val="24"/>
          <w:lang w:bidi="en-US"/>
        </w:rPr>
      </w:pPr>
      <w:r w:rsidRPr="00D5098C">
        <w:rPr>
          <w:rFonts w:ascii="Times New Roman" w:hAnsi="Times New Roman"/>
          <w:szCs w:val="24"/>
          <w:lang w:bidi="en-US"/>
        </w:rPr>
        <w:t xml:space="preserve">To address ongoing market and technological developments, the amendments to part 328 are intended to achieve several policy goals. Specifically, the FDIC intends to bring the certainty and confidence historically provided by the FDIC official sign found at banks’ teller windows to IDI digital channels through which depositors are increasingly handling their banking needs today. </w:t>
      </w:r>
      <w:r w:rsidRPr="00D5098C">
        <w:rPr>
          <w:rFonts w:ascii="Times New Roman" w:hAnsi="Times New Roman"/>
          <w:szCs w:val="24"/>
          <w:lang w:bidi="en-US"/>
        </w:rPr>
        <w:t>These channels serve as the digital teller windows of the modern banking landscape, and it is critical that these channels provide clear, consistent, and accurate information about deposit insurance upon which consumers, businesses, and other entities may base their financial decisions.</w:t>
      </w:r>
    </w:p>
    <w:p w:rsidR="00EA4C7F" w:rsidRPr="008953D7" w:rsidP="00842FF8" w14:paraId="6B923397" w14:textId="77777777">
      <w:pPr>
        <w:contextualSpacing/>
        <w:rPr>
          <w:rFonts w:ascii="Times New Roman" w:hAnsi="Times New Roman"/>
          <w:color w:val="FF0000"/>
          <w:szCs w:val="24"/>
        </w:rPr>
      </w:pPr>
    </w:p>
    <w:p w:rsidR="0041183F" w:rsidRPr="00FF30D4" w:rsidP="00DB4225" w14:paraId="62D21879" w14:textId="77777777">
      <w:pPr>
        <w:tabs>
          <w:tab w:val="left" w:pos="-1440"/>
        </w:tabs>
        <w:ind w:left="4320" w:hanging="4320"/>
        <w:contextualSpacing/>
        <w:outlineLvl w:val="0"/>
        <w:rPr>
          <w:rFonts w:ascii="Times New Roman" w:hAnsi="Times New Roman"/>
          <w:szCs w:val="24"/>
        </w:rPr>
      </w:pPr>
      <w:r w:rsidRPr="00FF30D4">
        <w:rPr>
          <w:rFonts w:ascii="Times New Roman" w:hAnsi="Times New Roman"/>
          <w:szCs w:val="24"/>
        </w:rPr>
        <w:t xml:space="preserve">2. </w:t>
      </w:r>
      <w:r w:rsidRPr="00FF30D4">
        <w:rPr>
          <w:rFonts w:ascii="Times New Roman" w:hAnsi="Times New Roman"/>
          <w:szCs w:val="24"/>
          <w:u w:val="single"/>
        </w:rPr>
        <w:t>Use of the information:</w:t>
      </w:r>
    </w:p>
    <w:p w:rsidR="00F66314" w:rsidRPr="00C03840" w:rsidP="00DB4225" w14:paraId="3101B419" w14:textId="77777777">
      <w:pPr>
        <w:contextualSpacing/>
        <w:rPr>
          <w:rFonts w:ascii="Times New Roman" w:hAnsi="Times New Roman"/>
          <w:szCs w:val="24"/>
        </w:rPr>
      </w:pPr>
    </w:p>
    <w:p w:rsidR="00652234" w:rsidP="00743BBF" w14:paraId="2966EA44" w14:textId="7E3B568B">
      <w:pPr>
        <w:contextualSpacing/>
        <w:rPr>
          <w:rFonts w:ascii="Times New Roman" w:hAnsi="Times New Roman"/>
          <w:szCs w:val="24"/>
          <w:lang w:bidi="en-US"/>
        </w:rPr>
      </w:pPr>
      <w:r w:rsidRPr="00C03840">
        <w:rPr>
          <w:rFonts w:ascii="Times New Roman" w:hAnsi="Times New Roman"/>
          <w:szCs w:val="24"/>
          <w:lang w:bidi="en-US"/>
        </w:rPr>
        <w:t>The rule establishes sign requirements across all banking channels, including evolving digital channels, to better align with how depositors conduct business with IDIs today. The sign requirements are also intended to more clearly distinguish insured deposits from non-deposit</w:t>
      </w:r>
      <w:r w:rsidRPr="00C03840" w:rsidR="00E0241E">
        <w:rPr>
          <w:rFonts w:ascii="Times New Roman" w:hAnsi="Times New Roman"/>
          <w:szCs w:val="24"/>
          <w:lang w:bidi="en-US"/>
        </w:rPr>
        <w:t xml:space="preserve"> </w:t>
      </w:r>
      <w:r w:rsidRPr="00C03840">
        <w:rPr>
          <w:rFonts w:ascii="Times New Roman" w:hAnsi="Times New Roman"/>
          <w:szCs w:val="24"/>
          <w:lang w:bidi="en-US"/>
        </w:rPr>
        <w:t>products (which are not insured) and to help consumers distinguish IDIs from non-banks in the digital age. The rule allows consumers, businesses, and other entities to better understand when their funds are protected by FDICs deposit insurance, and when they may not be insured. At the same time, the sign requirements are intended to permit flexibility for IDIs and other firms in the marketing of their products and services.</w:t>
      </w:r>
    </w:p>
    <w:p w:rsidR="00C03840" w:rsidP="00652234" w14:paraId="60A7B027" w14:textId="77777777">
      <w:pPr>
        <w:contextualSpacing/>
        <w:rPr>
          <w:rFonts w:ascii="Times New Roman" w:hAnsi="Times New Roman"/>
        </w:rPr>
      </w:pPr>
    </w:p>
    <w:p w:rsidR="00C03840" w:rsidRPr="00C03840" w:rsidP="00743BBF" w14:paraId="5832A34F" w14:textId="5CCFC309">
      <w:pPr>
        <w:contextualSpacing/>
        <w:rPr>
          <w:rFonts w:ascii="Times New Roman" w:hAnsi="Times New Roman"/>
          <w:szCs w:val="24"/>
          <w:lang w:bidi="en-US"/>
        </w:rPr>
      </w:pPr>
      <w:r w:rsidRPr="009423EE">
        <w:rPr>
          <w:rFonts w:ascii="Times New Roman" w:hAnsi="Times New Roman"/>
        </w:rPr>
        <w:t xml:space="preserve">This </w:t>
      </w:r>
      <w:r w:rsidR="00F81F52">
        <w:rPr>
          <w:rFonts w:ascii="Times New Roman" w:hAnsi="Times New Roman"/>
        </w:rPr>
        <w:t>F</w:t>
      </w:r>
      <w:r w:rsidRPr="009423EE">
        <w:rPr>
          <w:rFonts w:ascii="Times New Roman" w:hAnsi="Times New Roman"/>
        </w:rPr>
        <w:t xml:space="preserve">inal </w:t>
      </w:r>
      <w:r w:rsidR="00F81F52">
        <w:rPr>
          <w:rFonts w:ascii="Times New Roman" w:hAnsi="Times New Roman"/>
        </w:rPr>
        <w:t>R</w:t>
      </w:r>
      <w:r w:rsidRPr="009423EE">
        <w:rPr>
          <w:rFonts w:ascii="Times New Roman" w:hAnsi="Times New Roman"/>
        </w:rPr>
        <w:t xml:space="preserve">ule is intended to address implementation issues and sources of potential confusion raised following the adoption of signage requirements for these banking channels in 2023. The </w:t>
      </w:r>
      <w:r w:rsidR="00F81F52">
        <w:rPr>
          <w:rFonts w:ascii="Times New Roman" w:hAnsi="Times New Roman"/>
        </w:rPr>
        <w:t>F</w:t>
      </w:r>
      <w:r w:rsidRPr="009423EE">
        <w:rPr>
          <w:rFonts w:ascii="Times New Roman" w:hAnsi="Times New Roman"/>
        </w:rPr>
        <w:t xml:space="preserve">inal </w:t>
      </w:r>
      <w:r w:rsidR="00F81F52">
        <w:rPr>
          <w:rFonts w:ascii="Times New Roman" w:hAnsi="Times New Roman"/>
        </w:rPr>
        <w:t>R</w:t>
      </w:r>
      <w:r w:rsidRPr="009423EE">
        <w:rPr>
          <w:rFonts w:ascii="Times New Roman" w:hAnsi="Times New Roman"/>
        </w:rPr>
        <w:t xml:space="preserve">ule provides additional flexibility to IDIs while also enabling consumers to better understand when they are conducting business with an IDI and when their funds are protected by the FDIC’s deposit insurance </w:t>
      </w:r>
      <w:r w:rsidRPr="00CA3140">
        <w:rPr>
          <w:rFonts w:ascii="Times New Roman" w:hAnsi="Times New Roman"/>
        </w:rPr>
        <w:t>coverage.</w:t>
      </w:r>
    </w:p>
    <w:p w:rsidR="00FF145C" w:rsidRPr="008953D7" w:rsidP="00743BBF" w14:paraId="3C6537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olor w:val="FF0000"/>
        </w:rPr>
      </w:pPr>
    </w:p>
    <w:p w:rsidR="00541136" w:rsidRPr="00822AF7" w:rsidP="00DB4225" w14:paraId="1217DE9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20"/>
        <w:contextualSpacing/>
        <w:rPr>
          <w:rFonts w:ascii="Times New Roman" w:hAnsi="Times New Roman"/>
        </w:rPr>
      </w:pPr>
      <w:r w:rsidRPr="008953D7">
        <w:rPr>
          <w:rFonts w:ascii="Times New Roman" w:hAnsi="Times New Roman"/>
          <w:color w:val="FF0000"/>
        </w:rPr>
        <w:tab/>
      </w:r>
      <w:r w:rsidRPr="00822AF7">
        <w:rPr>
          <w:rFonts w:ascii="Times New Roman" w:hAnsi="Times New Roman"/>
          <w:szCs w:val="24"/>
        </w:rPr>
        <w:t xml:space="preserve">3. </w:t>
      </w:r>
      <w:r w:rsidRPr="00822AF7">
        <w:rPr>
          <w:rFonts w:ascii="Times New Roman" w:hAnsi="Times New Roman"/>
          <w:szCs w:val="24"/>
          <w:u w:val="single"/>
        </w:rPr>
        <w:t>Consideration of the use of improved information technology:</w:t>
      </w:r>
    </w:p>
    <w:p w:rsidR="00541136" w:rsidRPr="00822AF7" w:rsidP="00DB4225" w14:paraId="38C34902" w14:textId="77777777">
      <w:pPr>
        <w:autoSpaceDE w:val="0"/>
        <w:autoSpaceDN w:val="0"/>
        <w:adjustRightInd w:val="0"/>
        <w:contextualSpacing/>
        <w:rPr>
          <w:rFonts w:ascii="Times New Roman" w:hAnsi="Times New Roman"/>
          <w:szCs w:val="24"/>
        </w:rPr>
      </w:pPr>
    </w:p>
    <w:p w:rsidR="00EC319A" w:rsidRPr="00822AF7" w:rsidP="00333F97" w14:paraId="36D498C2" w14:textId="77777777">
      <w:pPr>
        <w:pStyle w:val="BodyText"/>
        <w:contextualSpacing/>
        <w:rPr>
          <w:i w:val="0"/>
          <w:iCs w:val="0"/>
          <w:szCs w:val="24"/>
        </w:rPr>
      </w:pPr>
      <w:r w:rsidRPr="00822AF7">
        <w:rPr>
          <w:i w:val="0"/>
          <w:iCs w:val="0"/>
          <w:szCs w:val="24"/>
        </w:rPr>
        <w:t xml:space="preserve">Any information technology may be used that permits review by </w:t>
      </w:r>
      <w:r w:rsidRPr="00822AF7" w:rsidR="00F07B6C">
        <w:rPr>
          <w:i w:val="0"/>
          <w:iCs w:val="0"/>
          <w:szCs w:val="24"/>
        </w:rPr>
        <w:t>FDIC</w:t>
      </w:r>
      <w:r w:rsidRPr="00822AF7">
        <w:rPr>
          <w:i w:val="0"/>
          <w:iCs w:val="0"/>
          <w:szCs w:val="24"/>
        </w:rPr>
        <w:t xml:space="preserve"> examiners.</w:t>
      </w:r>
    </w:p>
    <w:p w:rsidR="00541136" w:rsidRPr="00822AF7" w:rsidP="00DB4225" w14:paraId="14F52BD0" w14:textId="77777777">
      <w:pPr>
        <w:tabs>
          <w:tab w:val="left" w:pos="-1440"/>
        </w:tabs>
        <w:ind w:left="720" w:hanging="720"/>
        <w:contextualSpacing/>
        <w:rPr>
          <w:rFonts w:ascii="Times New Roman" w:hAnsi="Times New Roman"/>
          <w:szCs w:val="24"/>
        </w:rPr>
      </w:pPr>
    </w:p>
    <w:p w:rsidR="00541136" w:rsidRPr="00822AF7" w:rsidP="00DB4225" w14:paraId="1C9E7C2B" w14:textId="5444086D">
      <w:pPr>
        <w:tabs>
          <w:tab w:val="left" w:pos="-1440"/>
        </w:tabs>
        <w:ind w:left="720" w:hanging="720"/>
        <w:contextualSpacing/>
        <w:outlineLvl w:val="0"/>
        <w:rPr>
          <w:rFonts w:ascii="Times New Roman" w:hAnsi="Times New Roman"/>
          <w:szCs w:val="24"/>
        </w:rPr>
      </w:pPr>
      <w:r w:rsidRPr="00822AF7">
        <w:rPr>
          <w:rFonts w:ascii="Times New Roman" w:hAnsi="Times New Roman"/>
          <w:szCs w:val="24"/>
        </w:rPr>
        <w:t xml:space="preserve">4. </w:t>
      </w:r>
      <w:r w:rsidRPr="00822AF7">
        <w:rPr>
          <w:rFonts w:ascii="Times New Roman" w:hAnsi="Times New Roman"/>
          <w:szCs w:val="24"/>
          <w:u w:val="single"/>
        </w:rPr>
        <w:t>Efforts to identify duplication</w:t>
      </w:r>
      <w:r w:rsidRPr="00822AF7">
        <w:rPr>
          <w:rFonts w:ascii="Times New Roman" w:hAnsi="Times New Roman"/>
          <w:szCs w:val="24"/>
        </w:rPr>
        <w:t>:</w:t>
      </w:r>
    </w:p>
    <w:p w:rsidR="00541136" w:rsidRPr="00822AF7" w:rsidP="00DB4225" w14:paraId="070E3A8B" w14:textId="77777777">
      <w:pPr>
        <w:contextualSpacing/>
        <w:rPr>
          <w:rFonts w:ascii="Times New Roman" w:hAnsi="Times New Roman"/>
          <w:szCs w:val="24"/>
        </w:rPr>
      </w:pPr>
    </w:p>
    <w:p w:rsidR="00541136" w:rsidRPr="00822AF7" w:rsidP="00333F97" w14:paraId="47E88D75" w14:textId="77777777">
      <w:pPr>
        <w:contextualSpacing/>
        <w:rPr>
          <w:rFonts w:ascii="Times New Roman" w:hAnsi="Times New Roman"/>
          <w:szCs w:val="24"/>
        </w:rPr>
      </w:pPr>
      <w:r w:rsidRPr="00822AF7">
        <w:rPr>
          <w:rFonts w:ascii="Times New Roman" w:hAnsi="Times New Roman"/>
          <w:szCs w:val="24"/>
        </w:rPr>
        <w:t>The information required is unique and does not duplicate information collected elsewhere</w:t>
      </w:r>
      <w:r w:rsidRPr="00822AF7" w:rsidR="0014438C">
        <w:rPr>
          <w:rFonts w:ascii="Times New Roman" w:hAnsi="Times New Roman"/>
          <w:szCs w:val="24"/>
        </w:rPr>
        <w:t>.</w:t>
      </w:r>
    </w:p>
    <w:p w:rsidR="0014438C" w:rsidRPr="00822AF7" w:rsidP="00DB4225" w14:paraId="3F87ACBA" w14:textId="77777777">
      <w:pPr>
        <w:tabs>
          <w:tab w:val="left" w:pos="-1440"/>
        </w:tabs>
        <w:contextualSpacing/>
        <w:outlineLvl w:val="0"/>
        <w:rPr>
          <w:rFonts w:ascii="Times New Roman" w:hAnsi="Times New Roman"/>
          <w:szCs w:val="24"/>
        </w:rPr>
      </w:pPr>
    </w:p>
    <w:p w:rsidR="00541136" w:rsidRPr="00822AF7" w:rsidP="00DB4225" w14:paraId="52FA32A3" w14:textId="77777777">
      <w:pPr>
        <w:tabs>
          <w:tab w:val="left" w:pos="-1440"/>
        </w:tabs>
        <w:contextualSpacing/>
        <w:outlineLvl w:val="0"/>
        <w:rPr>
          <w:rFonts w:ascii="Times New Roman" w:hAnsi="Times New Roman"/>
          <w:szCs w:val="24"/>
        </w:rPr>
      </w:pPr>
      <w:r w:rsidRPr="00822AF7">
        <w:rPr>
          <w:rFonts w:ascii="Times New Roman" w:hAnsi="Times New Roman"/>
          <w:szCs w:val="24"/>
        </w:rPr>
        <w:t xml:space="preserve">5. </w:t>
      </w:r>
      <w:r w:rsidRPr="00822AF7">
        <w:rPr>
          <w:rFonts w:ascii="Times New Roman" w:hAnsi="Times New Roman"/>
          <w:szCs w:val="24"/>
          <w:u w:val="single"/>
        </w:rPr>
        <w:t>Methods used to minimize burden if the collection has an impact on a substantial number of small entities</w:t>
      </w:r>
      <w:r w:rsidRPr="00822AF7">
        <w:rPr>
          <w:rFonts w:ascii="Times New Roman" w:hAnsi="Times New Roman"/>
          <w:szCs w:val="24"/>
        </w:rPr>
        <w:t>:</w:t>
      </w:r>
    </w:p>
    <w:p w:rsidR="00541136" w:rsidRPr="00822AF7" w:rsidP="00DB4225" w14:paraId="63757399" w14:textId="77777777">
      <w:pPr>
        <w:contextualSpacing/>
        <w:rPr>
          <w:rFonts w:ascii="Times New Roman" w:hAnsi="Times New Roman"/>
          <w:szCs w:val="24"/>
        </w:rPr>
      </w:pPr>
    </w:p>
    <w:p w:rsidR="00541136" w:rsidRPr="00822AF7" w:rsidP="00743BBF" w14:paraId="2BE0B35D" w14:textId="77777777">
      <w:pPr>
        <w:contextualSpacing/>
        <w:outlineLvl w:val="0"/>
        <w:rPr>
          <w:rFonts w:ascii="Times New Roman" w:hAnsi="Times New Roman"/>
          <w:szCs w:val="24"/>
        </w:rPr>
      </w:pPr>
      <w:r w:rsidRPr="00822AF7">
        <w:rPr>
          <w:rFonts w:ascii="Times New Roman" w:hAnsi="Times New Roman"/>
          <w:szCs w:val="24"/>
        </w:rPr>
        <w:t>A</w:t>
      </w:r>
      <w:r w:rsidRPr="00822AF7" w:rsidR="008D6C05">
        <w:rPr>
          <w:rFonts w:ascii="Times New Roman" w:hAnsi="Times New Roman"/>
          <w:szCs w:val="24"/>
        </w:rPr>
        <w:t>s noted</w:t>
      </w:r>
      <w:r w:rsidRPr="00822AF7">
        <w:rPr>
          <w:rFonts w:ascii="Times New Roman" w:hAnsi="Times New Roman"/>
          <w:szCs w:val="24"/>
        </w:rPr>
        <w:t xml:space="preserve"> in the Regulatory Flexibility A</w:t>
      </w:r>
      <w:r w:rsidRPr="00822AF7" w:rsidR="008D6C05">
        <w:rPr>
          <w:rFonts w:ascii="Times New Roman" w:hAnsi="Times New Roman"/>
          <w:szCs w:val="24"/>
        </w:rPr>
        <w:t xml:space="preserve">ct section of the </w:t>
      </w:r>
      <w:r w:rsidRPr="00822AF7" w:rsidR="00664282">
        <w:rPr>
          <w:rFonts w:ascii="Times New Roman" w:hAnsi="Times New Roman"/>
          <w:szCs w:val="24"/>
        </w:rPr>
        <w:t>Final Rule</w:t>
      </w:r>
      <w:r w:rsidRPr="00822AF7" w:rsidR="003C1C38">
        <w:rPr>
          <w:rFonts w:ascii="Times New Roman" w:hAnsi="Times New Roman"/>
          <w:szCs w:val="24"/>
        </w:rPr>
        <w:t xml:space="preserve"> Preamble</w:t>
      </w:r>
      <w:r w:rsidRPr="00822AF7" w:rsidR="008D6C05">
        <w:rPr>
          <w:rFonts w:ascii="Times New Roman" w:hAnsi="Times New Roman"/>
          <w:szCs w:val="24"/>
        </w:rPr>
        <w:t>, t</w:t>
      </w:r>
      <w:r w:rsidRPr="00822AF7">
        <w:rPr>
          <w:rFonts w:ascii="Times New Roman" w:hAnsi="Times New Roman"/>
          <w:szCs w:val="24"/>
        </w:rPr>
        <w:t xml:space="preserve">he FDIC has certified that the </w:t>
      </w:r>
      <w:r w:rsidRPr="00822AF7" w:rsidR="00664282">
        <w:rPr>
          <w:rFonts w:ascii="Times New Roman" w:hAnsi="Times New Roman"/>
          <w:szCs w:val="24"/>
        </w:rPr>
        <w:t>Final Rule</w:t>
      </w:r>
      <w:r w:rsidRPr="00822AF7">
        <w:rPr>
          <w:rFonts w:ascii="Times New Roman" w:hAnsi="Times New Roman"/>
          <w:szCs w:val="24"/>
        </w:rPr>
        <w:t xml:space="preserve"> will not have a significant impact on a substantial number of small entities.</w:t>
      </w:r>
    </w:p>
    <w:p w:rsidR="00541136" w:rsidRPr="008953D7" w:rsidP="00DB4225" w14:paraId="664DB726" w14:textId="77777777">
      <w:pPr>
        <w:tabs>
          <w:tab w:val="left" w:pos="-1440"/>
        </w:tabs>
        <w:ind w:left="720" w:hanging="720"/>
        <w:contextualSpacing/>
        <w:outlineLvl w:val="0"/>
        <w:rPr>
          <w:rFonts w:ascii="Times New Roman" w:hAnsi="Times New Roman"/>
          <w:color w:val="FF0000"/>
          <w:szCs w:val="24"/>
        </w:rPr>
      </w:pPr>
    </w:p>
    <w:p w:rsidR="00541136" w:rsidRPr="0098595A" w:rsidP="00DB4225" w14:paraId="4E7807C4" w14:textId="77777777">
      <w:pPr>
        <w:tabs>
          <w:tab w:val="left" w:pos="-1440"/>
        </w:tabs>
        <w:ind w:left="720" w:hanging="720"/>
        <w:contextualSpacing/>
        <w:outlineLvl w:val="0"/>
        <w:rPr>
          <w:rFonts w:ascii="Times New Roman" w:hAnsi="Times New Roman"/>
          <w:szCs w:val="24"/>
        </w:rPr>
      </w:pPr>
      <w:r w:rsidRPr="0098595A">
        <w:rPr>
          <w:rFonts w:ascii="Times New Roman" w:hAnsi="Times New Roman"/>
          <w:szCs w:val="24"/>
        </w:rPr>
        <w:t xml:space="preserve">6. </w:t>
      </w:r>
      <w:r w:rsidRPr="0098595A">
        <w:rPr>
          <w:rFonts w:ascii="Times New Roman" w:hAnsi="Times New Roman"/>
          <w:szCs w:val="24"/>
          <w:u w:val="single"/>
        </w:rPr>
        <w:t>Consequences to the Federal program if the collection were conducted less frequently</w:t>
      </w:r>
      <w:r w:rsidRPr="0098595A">
        <w:rPr>
          <w:rFonts w:ascii="Times New Roman" w:hAnsi="Times New Roman"/>
          <w:szCs w:val="24"/>
        </w:rPr>
        <w:t>:</w:t>
      </w:r>
    </w:p>
    <w:p w:rsidR="00743BBF" w:rsidP="00DB4225" w14:paraId="5175333E" w14:textId="77777777">
      <w:pPr>
        <w:contextualSpacing/>
        <w:rPr>
          <w:rFonts w:ascii="Times New Roman" w:hAnsi="Times New Roman"/>
          <w:szCs w:val="24"/>
        </w:rPr>
      </w:pPr>
    </w:p>
    <w:p w:rsidR="00541136" w:rsidRPr="0098595A" w:rsidP="00743BBF" w14:paraId="3334C9C9" w14:textId="0BAEF18C">
      <w:pPr>
        <w:contextualSpacing/>
        <w:rPr>
          <w:rFonts w:ascii="Times New Roman" w:hAnsi="Times New Roman"/>
          <w:szCs w:val="24"/>
        </w:rPr>
      </w:pPr>
      <w:r w:rsidRPr="0098595A">
        <w:rPr>
          <w:rFonts w:ascii="Times New Roman" w:hAnsi="Times New Roman"/>
          <w:szCs w:val="24"/>
        </w:rPr>
        <w:t>There would be a significant risk that consumers would be misled as to whether funds placed with an FDIC insured depository institution are, in fact, insured deposits.</w:t>
      </w:r>
    </w:p>
    <w:p w:rsidR="00541136" w:rsidRPr="0098595A" w:rsidP="00DB4225" w14:paraId="0B2DF7DE" w14:textId="77777777">
      <w:pPr>
        <w:contextualSpacing/>
        <w:rPr>
          <w:rFonts w:ascii="Times New Roman" w:hAnsi="Times New Roman"/>
          <w:szCs w:val="24"/>
        </w:rPr>
      </w:pPr>
    </w:p>
    <w:p w:rsidR="00541136" w:rsidRPr="0098595A" w:rsidP="00DB4225" w14:paraId="7D8ABCF0" w14:textId="77777777">
      <w:pPr>
        <w:tabs>
          <w:tab w:val="left" w:pos="-1440"/>
        </w:tabs>
        <w:ind w:left="720" w:hanging="720"/>
        <w:contextualSpacing/>
        <w:outlineLvl w:val="0"/>
        <w:rPr>
          <w:rFonts w:ascii="Times New Roman" w:hAnsi="Times New Roman"/>
          <w:szCs w:val="24"/>
        </w:rPr>
      </w:pPr>
      <w:r w:rsidRPr="0098595A">
        <w:rPr>
          <w:rFonts w:ascii="Times New Roman" w:hAnsi="Times New Roman"/>
          <w:szCs w:val="24"/>
        </w:rPr>
        <w:t xml:space="preserve">7. </w:t>
      </w:r>
      <w:r w:rsidRPr="0098595A">
        <w:rPr>
          <w:rFonts w:ascii="Times New Roman" w:hAnsi="Times New Roman"/>
          <w:szCs w:val="24"/>
          <w:u w:val="single"/>
        </w:rPr>
        <w:t>Special circumstances necessitating collection inconsistent with 5 CFR Part 1320</w:t>
      </w:r>
      <w:r w:rsidRPr="0098595A">
        <w:rPr>
          <w:rFonts w:ascii="Times New Roman" w:hAnsi="Times New Roman"/>
          <w:szCs w:val="24"/>
        </w:rPr>
        <w:t>:</w:t>
      </w:r>
    </w:p>
    <w:p w:rsidR="00541136" w:rsidRPr="0098595A" w:rsidP="00DB4225" w14:paraId="4E7F335B" w14:textId="77777777">
      <w:pPr>
        <w:contextualSpacing/>
        <w:rPr>
          <w:rFonts w:ascii="Times New Roman" w:hAnsi="Times New Roman"/>
          <w:szCs w:val="24"/>
        </w:rPr>
      </w:pPr>
    </w:p>
    <w:p w:rsidR="00541136" w:rsidRPr="0098595A" w:rsidP="00333F97" w14:paraId="00E200C1" w14:textId="6927E562">
      <w:pPr>
        <w:contextualSpacing/>
        <w:rPr>
          <w:rFonts w:ascii="Times New Roman" w:hAnsi="Times New Roman"/>
          <w:szCs w:val="24"/>
        </w:rPr>
      </w:pPr>
      <w:r w:rsidRPr="0098595A">
        <w:rPr>
          <w:rFonts w:ascii="Times New Roman" w:hAnsi="Times New Roman"/>
          <w:szCs w:val="24"/>
        </w:rPr>
        <w:t>None</w:t>
      </w:r>
      <w:r w:rsidR="0098595A">
        <w:rPr>
          <w:rFonts w:ascii="Times New Roman" w:hAnsi="Times New Roman"/>
          <w:szCs w:val="24"/>
        </w:rPr>
        <w:t xml:space="preserve">. </w:t>
      </w:r>
    </w:p>
    <w:p w:rsidR="00541136" w:rsidRPr="00B4587C" w:rsidP="00DB4225" w14:paraId="7943A5A8" w14:textId="77777777">
      <w:pPr>
        <w:contextualSpacing/>
        <w:rPr>
          <w:rFonts w:ascii="Times New Roman" w:hAnsi="Times New Roman"/>
          <w:szCs w:val="24"/>
        </w:rPr>
      </w:pPr>
    </w:p>
    <w:p w:rsidR="00541136" w:rsidRPr="00B4587C" w:rsidP="00DB4225" w14:paraId="33370B0E" w14:textId="77777777">
      <w:pPr>
        <w:tabs>
          <w:tab w:val="left" w:pos="-1440"/>
        </w:tabs>
        <w:ind w:left="720" w:hanging="720"/>
        <w:contextualSpacing/>
        <w:outlineLvl w:val="0"/>
        <w:rPr>
          <w:rFonts w:ascii="Times New Roman" w:hAnsi="Times New Roman"/>
          <w:szCs w:val="24"/>
        </w:rPr>
      </w:pPr>
      <w:r w:rsidRPr="00B4587C">
        <w:rPr>
          <w:rFonts w:ascii="Times New Roman" w:hAnsi="Times New Roman"/>
          <w:szCs w:val="24"/>
        </w:rPr>
        <w:t xml:space="preserve">8. </w:t>
      </w:r>
      <w:r w:rsidRPr="00B4587C">
        <w:rPr>
          <w:rFonts w:ascii="Times New Roman" w:hAnsi="Times New Roman"/>
          <w:szCs w:val="24"/>
          <w:u w:val="single"/>
        </w:rPr>
        <w:t>Efforts to consult with persons outside the agency</w:t>
      </w:r>
      <w:r w:rsidRPr="00B4587C">
        <w:rPr>
          <w:rFonts w:ascii="Times New Roman" w:hAnsi="Times New Roman"/>
          <w:szCs w:val="24"/>
        </w:rPr>
        <w:t>:</w:t>
      </w:r>
    </w:p>
    <w:p w:rsidR="00541136" w:rsidRPr="008953D7" w:rsidP="00DB4225" w14:paraId="61AFE230" w14:textId="77777777">
      <w:pPr>
        <w:contextualSpacing/>
        <w:rPr>
          <w:rFonts w:ascii="Times New Roman" w:hAnsi="Times New Roman"/>
          <w:color w:val="FF0000"/>
          <w:szCs w:val="24"/>
        </w:rPr>
      </w:pPr>
    </w:p>
    <w:p w:rsidR="00B4587C" w:rsidRPr="00B4587C" w:rsidP="00B4587C" w14:paraId="47AF9472" w14:textId="77777777">
      <w:pPr>
        <w:rPr>
          <w:rFonts w:ascii="Times New Roman" w:hAnsi="Times New Roman"/>
          <w:snapToGrid/>
          <w:szCs w:val="24"/>
        </w:rPr>
      </w:pPr>
      <w:r w:rsidRPr="00B4587C">
        <w:rPr>
          <w:rFonts w:ascii="Times New Roman" w:hAnsi="Times New Roman"/>
          <w:snapToGrid/>
          <w:szCs w:val="24"/>
        </w:rPr>
        <w:t>On August 19, 2025, the Board approved a Notice of Proposed Rulemaking (“Proposed Rule”)</w:t>
      </w:r>
      <w:r>
        <w:rPr>
          <w:rFonts w:ascii="Times New Roman" w:hAnsi="Times New Roman"/>
          <w:snapToGrid/>
          <w:szCs w:val="24"/>
          <w:vertAlign w:val="superscript"/>
        </w:rPr>
        <w:footnoteReference w:id="2"/>
      </w:r>
      <w:r w:rsidRPr="00B4587C">
        <w:rPr>
          <w:rFonts w:ascii="Times New Roman" w:hAnsi="Times New Roman"/>
          <w:snapToGrid/>
          <w:szCs w:val="24"/>
        </w:rPr>
        <w:t xml:space="preserve"> that would amend certain signage requirements for IDIs’ digital deposit-taking channels and ATMs and like devices.  </w:t>
      </w:r>
    </w:p>
    <w:p w:rsidR="00B4587C" w:rsidRPr="00B4587C" w:rsidP="00B4587C" w14:paraId="35DEC3D0" w14:textId="77777777">
      <w:pPr>
        <w:ind w:firstLine="720"/>
        <w:rPr>
          <w:rFonts w:ascii="Times New Roman" w:hAnsi="Times New Roman"/>
          <w:snapToGrid/>
          <w:szCs w:val="24"/>
        </w:rPr>
      </w:pPr>
    </w:p>
    <w:p w:rsidR="00B4587C" w:rsidP="00B4587C" w14:paraId="3E0AD9B4" w14:textId="28794D87">
      <w:pPr>
        <w:rPr>
          <w:rFonts w:ascii="Times New Roman" w:hAnsi="Times New Roman"/>
          <w:snapToGrid/>
          <w:szCs w:val="24"/>
        </w:rPr>
      </w:pPr>
      <w:r w:rsidRPr="00B4587C">
        <w:rPr>
          <w:rFonts w:ascii="Times New Roman" w:hAnsi="Times New Roman"/>
          <w:snapToGrid/>
          <w:szCs w:val="24"/>
        </w:rPr>
        <w:t xml:space="preserve">The FDIC received nine substantive comments from industry groups, a payments provider, a non-profit organization, and an individual. Several commenters were supportive of many aspects of the Proposed Rule, especially regarding limiting the kinds of pages and screens on which the official digital sign and non-deposit signage would be required. Commenters also requested additional clarity with respect to the proposed changes, including requesting that the FDIC provide specific examples of how IDIs may meet the signage display requirements and that IDIs be expressly permitted to provide additional disclosures beyond the required signage.  Commenters also expressed views regarding the proposed January 1, </w:t>
      </w:r>
      <w:r w:rsidRPr="00B4587C">
        <w:rPr>
          <w:rFonts w:ascii="Times New Roman" w:hAnsi="Times New Roman"/>
          <w:snapToGrid/>
          <w:szCs w:val="24"/>
        </w:rPr>
        <w:t>2027</w:t>
      </w:r>
      <w:r w:rsidRPr="00B4587C">
        <w:rPr>
          <w:rFonts w:ascii="Times New Roman" w:hAnsi="Times New Roman"/>
          <w:snapToGrid/>
          <w:szCs w:val="24"/>
        </w:rPr>
        <w:t xml:space="preserve"> compliance date, with many commenters requesting a later compliance date.</w:t>
      </w:r>
    </w:p>
    <w:p w:rsidR="00672CF7" w:rsidP="00B4587C" w14:paraId="68F76A99" w14:textId="77777777">
      <w:pPr>
        <w:rPr>
          <w:rFonts w:ascii="Times New Roman" w:hAnsi="Times New Roman"/>
          <w:snapToGrid/>
          <w:szCs w:val="24"/>
        </w:rPr>
      </w:pPr>
    </w:p>
    <w:p w:rsidR="00277D8E" w:rsidRPr="00743BBF" w:rsidP="00743BBF" w14:paraId="1321C400" w14:textId="26B1AF3E">
      <w:pPr>
        <w:widowControl/>
        <w:spacing w:after="200"/>
        <w:rPr>
          <w:rFonts w:ascii="Times New Roman" w:eastAsia="Calibri" w:hAnsi="Times New Roman" w:cs="Arial"/>
          <w:snapToGrid/>
          <w:szCs w:val="22"/>
        </w:rPr>
      </w:pPr>
      <w:r w:rsidRPr="00672CF7">
        <w:rPr>
          <w:rFonts w:ascii="Times New Roman" w:hAnsi="Times New Roman"/>
          <w:snapToGrid/>
        </w:rPr>
        <w:t xml:space="preserve">The Final Rule generally would </w:t>
      </w:r>
      <w:r w:rsidRPr="00672CF7">
        <w:rPr>
          <w:rFonts w:ascii="Times New Roman" w:hAnsi="Times New Roman"/>
          <w:snapToGrid/>
          <w:vanish/>
        </w:rPr>
        <w:t xml:space="preserve">generally </w:t>
      </w:r>
      <w:r w:rsidRPr="00672CF7">
        <w:rPr>
          <w:rFonts w:ascii="Times New Roman" w:hAnsi="Times New Roman"/>
          <w:snapToGrid/>
        </w:rPr>
        <w:t xml:space="preserve">adopt the amendments in the Proposed Rule with additional changes in response to comments received. The Final Rule would be effective 30 days following publication of the Final Rule in the </w:t>
      </w:r>
      <w:r w:rsidRPr="00672CF7">
        <w:rPr>
          <w:rFonts w:ascii="Times New Roman" w:hAnsi="Times New Roman"/>
          <w:i/>
          <w:iCs/>
          <w:snapToGrid/>
        </w:rPr>
        <w:t>Federal Register</w:t>
      </w:r>
      <w:r w:rsidRPr="00672CF7">
        <w:rPr>
          <w:rFonts w:ascii="Times New Roman" w:hAnsi="Times New Roman"/>
          <w:snapToGrid/>
        </w:rPr>
        <w:t>. Compliance with the Final Rule would be required as of April 1, 2027.</w:t>
      </w:r>
    </w:p>
    <w:p w:rsidR="00541136" w:rsidRPr="00501934" w:rsidP="00DB4225" w14:paraId="1168E6E1" w14:textId="77777777">
      <w:pPr>
        <w:contextualSpacing/>
        <w:outlineLvl w:val="0"/>
        <w:rPr>
          <w:rFonts w:ascii="Times New Roman" w:hAnsi="Times New Roman"/>
          <w:szCs w:val="24"/>
        </w:rPr>
      </w:pPr>
      <w:r w:rsidRPr="00501934">
        <w:rPr>
          <w:rFonts w:ascii="Times New Roman" w:hAnsi="Times New Roman"/>
          <w:szCs w:val="24"/>
        </w:rPr>
        <w:t xml:space="preserve">9. </w:t>
      </w:r>
      <w:r w:rsidRPr="00501934">
        <w:rPr>
          <w:rFonts w:ascii="Times New Roman" w:hAnsi="Times New Roman"/>
          <w:szCs w:val="24"/>
          <w:u w:val="single"/>
        </w:rPr>
        <w:t>Payment to respondents</w:t>
      </w:r>
      <w:r w:rsidRPr="00501934">
        <w:rPr>
          <w:rFonts w:ascii="Times New Roman" w:hAnsi="Times New Roman"/>
          <w:szCs w:val="24"/>
        </w:rPr>
        <w:t>:</w:t>
      </w:r>
    </w:p>
    <w:p w:rsidR="00541136" w:rsidRPr="00501934" w:rsidP="00DB4225" w14:paraId="006E0608" w14:textId="77777777">
      <w:pPr>
        <w:contextualSpacing/>
        <w:rPr>
          <w:rFonts w:ascii="Times New Roman" w:hAnsi="Times New Roman"/>
          <w:szCs w:val="24"/>
        </w:rPr>
      </w:pPr>
    </w:p>
    <w:p w:rsidR="00541136" w:rsidRPr="00501934" w:rsidP="00333F97" w14:paraId="17EA0E8A" w14:textId="77777777">
      <w:pPr>
        <w:contextualSpacing/>
        <w:outlineLvl w:val="0"/>
        <w:rPr>
          <w:rFonts w:ascii="Times New Roman" w:hAnsi="Times New Roman"/>
          <w:szCs w:val="24"/>
        </w:rPr>
      </w:pPr>
      <w:r w:rsidRPr="00501934">
        <w:rPr>
          <w:rFonts w:ascii="Times New Roman" w:hAnsi="Times New Roman"/>
          <w:szCs w:val="24"/>
        </w:rPr>
        <w:t>None.</w:t>
      </w:r>
    </w:p>
    <w:p w:rsidR="00541136" w:rsidRPr="00501934" w:rsidP="00DB4225" w14:paraId="093C8F5E" w14:textId="77777777">
      <w:pPr>
        <w:contextualSpacing/>
        <w:rPr>
          <w:rFonts w:ascii="Times New Roman" w:hAnsi="Times New Roman"/>
          <w:szCs w:val="24"/>
        </w:rPr>
      </w:pPr>
    </w:p>
    <w:p w:rsidR="00541136" w:rsidRPr="00501934" w:rsidP="00DB4225" w14:paraId="7354AFD9" w14:textId="77777777">
      <w:pPr>
        <w:tabs>
          <w:tab w:val="left" w:pos="-1440"/>
        </w:tabs>
        <w:ind w:left="720" w:hanging="720"/>
        <w:contextualSpacing/>
        <w:outlineLvl w:val="0"/>
        <w:rPr>
          <w:rFonts w:ascii="Times New Roman" w:hAnsi="Times New Roman"/>
          <w:szCs w:val="24"/>
        </w:rPr>
      </w:pPr>
      <w:r w:rsidRPr="00501934">
        <w:rPr>
          <w:rFonts w:ascii="Times New Roman" w:hAnsi="Times New Roman"/>
          <w:szCs w:val="24"/>
        </w:rPr>
        <w:t xml:space="preserve">10. </w:t>
      </w:r>
      <w:r w:rsidRPr="00501934">
        <w:rPr>
          <w:rFonts w:ascii="Times New Roman" w:hAnsi="Times New Roman"/>
          <w:szCs w:val="24"/>
          <w:u w:val="single"/>
        </w:rPr>
        <w:t>Any assurance of confidentiality</w:t>
      </w:r>
      <w:r w:rsidRPr="00501934">
        <w:rPr>
          <w:rFonts w:ascii="Times New Roman" w:hAnsi="Times New Roman"/>
          <w:szCs w:val="24"/>
        </w:rPr>
        <w:t>:</w:t>
      </w:r>
    </w:p>
    <w:p w:rsidR="00541136" w:rsidRPr="00501934" w:rsidP="00DB4225" w14:paraId="12EAFDDA" w14:textId="77777777">
      <w:pPr>
        <w:contextualSpacing/>
        <w:rPr>
          <w:rFonts w:ascii="Times New Roman" w:hAnsi="Times New Roman"/>
          <w:szCs w:val="24"/>
        </w:rPr>
      </w:pPr>
    </w:p>
    <w:p w:rsidR="00541136" w:rsidRPr="00501934" w:rsidP="00333F97" w14:paraId="5C19402D" w14:textId="77777777">
      <w:pPr>
        <w:contextualSpacing/>
        <w:outlineLvl w:val="0"/>
        <w:rPr>
          <w:rFonts w:ascii="Times New Roman" w:hAnsi="Times New Roman"/>
          <w:szCs w:val="24"/>
        </w:rPr>
      </w:pPr>
      <w:r w:rsidRPr="00501934">
        <w:rPr>
          <w:rFonts w:ascii="Times New Roman" w:hAnsi="Times New Roman"/>
          <w:szCs w:val="24"/>
        </w:rPr>
        <w:t>The information will be kept private to the extent permitted by law.</w:t>
      </w:r>
    </w:p>
    <w:p w:rsidR="00541136" w:rsidRPr="00501934" w:rsidP="00DB4225" w14:paraId="4FBFF017" w14:textId="77777777">
      <w:pPr>
        <w:contextualSpacing/>
        <w:rPr>
          <w:rFonts w:ascii="Times New Roman" w:hAnsi="Times New Roman"/>
          <w:szCs w:val="24"/>
        </w:rPr>
      </w:pPr>
    </w:p>
    <w:p w:rsidR="00541136" w:rsidRPr="00501934" w:rsidP="00DB4225" w14:paraId="116A71DC" w14:textId="77777777">
      <w:pPr>
        <w:tabs>
          <w:tab w:val="left" w:pos="-1440"/>
        </w:tabs>
        <w:ind w:left="720" w:hanging="720"/>
        <w:contextualSpacing/>
        <w:outlineLvl w:val="0"/>
        <w:rPr>
          <w:rFonts w:ascii="Times New Roman" w:hAnsi="Times New Roman"/>
          <w:szCs w:val="24"/>
        </w:rPr>
      </w:pPr>
      <w:r w:rsidRPr="00501934">
        <w:rPr>
          <w:rFonts w:ascii="Times New Roman" w:hAnsi="Times New Roman"/>
          <w:szCs w:val="24"/>
        </w:rPr>
        <w:t xml:space="preserve">11. </w:t>
      </w:r>
      <w:r w:rsidRPr="00501934">
        <w:rPr>
          <w:rFonts w:ascii="Times New Roman" w:hAnsi="Times New Roman"/>
          <w:szCs w:val="24"/>
          <w:u w:val="single"/>
        </w:rPr>
        <w:t>Justification for questions of a sensitive nature</w:t>
      </w:r>
      <w:r w:rsidRPr="00501934">
        <w:rPr>
          <w:rFonts w:ascii="Times New Roman" w:hAnsi="Times New Roman"/>
          <w:szCs w:val="24"/>
        </w:rPr>
        <w:t>:</w:t>
      </w:r>
    </w:p>
    <w:p w:rsidR="00541136" w:rsidRPr="00501934" w:rsidP="00DB4225" w14:paraId="3B9EADAF" w14:textId="77777777">
      <w:pPr>
        <w:contextualSpacing/>
        <w:rPr>
          <w:rFonts w:ascii="Times New Roman" w:hAnsi="Times New Roman"/>
          <w:szCs w:val="24"/>
        </w:rPr>
      </w:pPr>
    </w:p>
    <w:p w:rsidR="00541136" w:rsidRPr="00501934" w:rsidP="00333F97" w14:paraId="5179E538" w14:textId="099C9ECA">
      <w:pPr>
        <w:contextualSpacing/>
        <w:outlineLvl w:val="0"/>
        <w:rPr>
          <w:rFonts w:ascii="Times New Roman" w:hAnsi="Times New Roman"/>
          <w:szCs w:val="24"/>
        </w:rPr>
      </w:pPr>
      <w:r w:rsidRPr="00501934">
        <w:rPr>
          <w:rFonts w:ascii="Times New Roman" w:hAnsi="Times New Roman"/>
          <w:szCs w:val="24"/>
        </w:rPr>
        <w:t>There are no questions of a sensitive nature.</w:t>
      </w:r>
      <w:r w:rsidRPr="00501934" w:rsidR="00561E3F">
        <w:rPr>
          <w:rFonts w:ascii="Times New Roman" w:hAnsi="Times New Roman"/>
          <w:szCs w:val="24"/>
        </w:rPr>
        <w:t xml:space="preserve"> No personally identifiable information is collected.</w:t>
      </w:r>
    </w:p>
    <w:p w:rsidR="00FF145C" w:rsidRPr="00501934" w:rsidP="00DB4225" w14:paraId="4C5B7C98" w14:textId="77777777">
      <w:pPr>
        <w:contextualSpacing/>
        <w:rPr>
          <w:rFonts w:ascii="Times New Roman" w:hAnsi="Times New Roman"/>
          <w:szCs w:val="24"/>
        </w:rPr>
      </w:pPr>
    </w:p>
    <w:p w:rsidR="00541136" w:rsidRPr="00501934" w:rsidP="00DB4225" w14:paraId="6CC7B898" w14:textId="77777777">
      <w:pPr>
        <w:tabs>
          <w:tab w:val="left" w:pos="-1440"/>
        </w:tabs>
        <w:ind w:left="720" w:hanging="720"/>
        <w:contextualSpacing/>
        <w:outlineLvl w:val="0"/>
        <w:rPr>
          <w:rFonts w:ascii="Times New Roman" w:hAnsi="Times New Roman"/>
          <w:szCs w:val="24"/>
        </w:rPr>
      </w:pPr>
      <w:r w:rsidRPr="00501934">
        <w:rPr>
          <w:rFonts w:ascii="Times New Roman" w:hAnsi="Times New Roman"/>
          <w:szCs w:val="24"/>
        </w:rPr>
        <w:t xml:space="preserve">12. </w:t>
      </w:r>
      <w:r w:rsidRPr="00501934">
        <w:rPr>
          <w:rFonts w:ascii="Times New Roman" w:hAnsi="Times New Roman"/>
          <w:szCs w:val="24"/>
          <w:u w:val="single"/>
        </w:rPr>
        <w:t>Burden estimate</w:t>
      </w:r>
      <w:r w:rsidRPr="00501934">
        <w:rPr>
          <w:rFonts w:ascii="Times New Roman" w:hAnsi="Times New Roman"/>
          <w:szCs w:val="24"/>
        </w:rPr>
        <w:t>:</w:t>
      </w:r>
    </w:p>
    <w:p w:rsidR="00040171" w:rsidRPr="00501934" w:rsidP="00DB4225" w14:paraId="45019634" w14:textId="77777777">
      <w:pPr>
        <w:tabs>
          <w:tab w:val="left" w:pos="-1440"/>
        </w:tabs>
        <w:ind w:left="720" w:hanging="720"/>
        <w:contextualSpacing/>
        <w:outlineLvl w:val="0"/>
        <w:rPr>
          <w:rFonts w:ascii="Times New Roman" w:hAnsi="Times New Roman"/>
          <w:szCs w:val="24"/>
        </w:rPr>
      </w:pPr>
    </w:p>
    <w:p w:rsidR="001A5ED5" w:rsidRPr="00501934" w:rsidP="00333F97" w14:paraId="68EC33D0" w14:textId="77777777">
      <w:pPr>
        <w:contextualSpacing/>
        <w:rPr>
          <w:rFonts w:ascii="Times New Roman" w:hAnsi="Times New Roman"/>
          <w:szCs w:val="24"/>
        </w:rPr>
      </w:pPr>
      <w:r w:rsidRPr="00501934">
        <w:rPr>
          <w:rFonts w:ascii="Times New Roman" w:hAnsi="Times New Roman"/>
          <w:szCs w:val="24"/>
        </w:rPr>
        <w:t xml:space="preserve">The </w:t>
      </w:r>
      <w:r w:rsidRPr="00501934" w:rsidR="005A1FB0">
        <w:rPr>
          <w:rFonts w:ascii="Times New Roman" w:hAnsi="Times New Roman"/>
          <w:szCs w:val="24"/>
        </w:rPr>
        <w:t>FDIC has identified the following as Paperwork Reduction Act</w:t>
      </w:r>
      <w:r w:rsidRPr="00501934" w:rsidR="00422F8C">
        <w:rPr>
          <w:rFonts w:ascii="Times New Roman" w:hAnsi="Times New Roman"/>
          <w:szCs w:val="24"/>
        </w:rPr>
        <w:t xml:space="preserve"> (PRA)</w:t>
      </w:r>
      <w:r w:rsidRPr="00501934" w:rsidR="005A1FB0">
        <w:rPr>
          <w:rFonts w:ascii="Times New Roman" w:hAnsi="Times New Roman"/>
          <w:szCs w:val="24"/>
        </w:rPr>
        <w:t xml:space="preserve"> information collection requirements</w:t>
      </w:r>
      <w:r w:rsidRPr="00501934" w:rsidR="00333F97">
        <w:rPr>
          <w:rFonts w:ascii="Times New Roman" w:hAnsi="Times New Roman"/>
          <w:szCs w:val="24"/>
        </w:rPr>
        <w:t>:</w:t>
      </w:r>
    </w:p>
    <w:p w:rsidR="005A1FB0" w:rsidRPr="001E58D7" w:rsidP="00333F97" w14:paraId="488C941E" w14:textId="77777777">
      <w:pPr>
        <w:contextualSpacing/>
        <w:rPr>
          <w:rFonts w:ascii="Times New Roman" w:hAnsi="Times New Roman"/>
          <w:szCs w:val="24"/>
        </w:rPr>
      </w:pPr>
    </w:p>
    <w:p w:rsidR="007E1D1C" w:rsidRPr="001E58D7" w:rsidP="004C6960" w14:paraId="541B2FC5" w14:textId="16A08054">
      <w:pPr>
        <w:numPr>
          <w:ilvl w:val="0"/>
          <w:numId w:val="15"/>
        </w:numPr>
        <w:spacing w:after="120"/>
        <w:rPr>
          <w:rFonts w:ascii="Times New Roman" w:hAnsi="Times New Roman"/>
          <w:szCs w:val="24"/>
          <w:lang w:bidi="en-US"/>
        </w:rPr>
      </w:pPr>
      <w:r w:rsidRPr="001E58D7">
        <w:rPr>
          <w:rFonts w:ascii="Times New Roman" w:hAnsi="Times New Roman"/>
          <w:b/>
          <w:bCs/>
          <w:szCs w:val="24"/>
          <w:lang w:bidi="en-US"/>
        </w:rPr>
        <w:t>Signs within Institution Premises – Banks &lt; $10</w:t>
      </w:r>
      <w:r w:rsidRPr="001E58D7" w:rsidR="00422F8C">
        <w:rPr>
          <w:rFonts w:ascii="Times New Roman" w:hAnsi="Times New Roman"/>
          <w:b/>
          <w:bCs/>
          <w:szCs w:val="24"/>
          <w:lang w:bidi="en-US"/>
        </w:rPr>
        <w:t xml:space="preserve"> </w:t>
      </w:r>
      <w:r w:rsidRPr="001E58D7">
        <w:rPr>
          <w:rFonts w:ascii="Times New Roman" w:hAnsi="Times New Roman"/>
          <w:b/>
          <w:bCs/>
          <w:szCs w:val="24"/>
          <w:lang w:bidi="en-US"/>
        </w:rPr>
        <w:t>B</w:t>
      </w:r>
      <w:r w:rsidRPr="001E58D7" w:rsidR="00422F8C">
        <w:rPr>
          <w:rFonts w:ascii="Times New Roman" w:hAnsi="Times New Roman"/>
          <w:b/>
          <w:bCs/>
          <w:szCs w:val="24"/>
          <w:lang w:bidi="en-US"/>
        </w:rPr>
        <w:t>illion</w:t>
      </w:r>
      <w:r w:rsidRPr="001E58D7">
        <w:rPr>
          <w:rFonts w:ascii="Times New Roman" w:hAnsi="Times New Roman"/>
          <w:b/>
          <w:bCs/>
          <w:szCs w:val="24"/>
          <w:lang w:bidi="en-US"/>
        </w:rPr>
        <w:t>, 12 CFR 328.3 (</w:t>
      </w:r>
      <w:r w:rsidRPr="001E58D7" w:rsidR="00823C83">
        <w:rPr>
          <w:rFonts w:ascii="Times New Roman" w:hAnsi="Times New Roman"/>
          <w:b/>
          <w:bCs/>
          <w:szCs w:val="24"/>
          <w:lang w:bidi="en-US"/>
        </w:rPr>
        <w:t xml:space="preserve">Third-Party </w:t>
      </w:r>
      <w:r w:rsidRPr="001E58D7" w:rsidR="00823C83">
        <w:rPr>
          <w:rFonts w:ascii="Times New Roman" w:hAnsi="Times New Roman"/>
          <w:b/>
          <w:bCs/>
          <w:szCs w:val="24"/>
          <w:lang w:bidi="en-US"/>
        </w:rPr>
        <w:t xml:space="preserve">Disclosure; </w:t>
      </w:r>
      <w:r w:rsidRPr="001E58D7">
        <w:rPr>
          <w:rFonts w:ascii="Times New Roman" w:hAnsi="Times New Roman"/>
          <w:b/>
          <w:bCs/>
          <w:szCs w:val="24"/>
          <w:lang w:bidi="en-US"/>
        </w:rPr>
        <w:t>Mandatory)</w:t>
      </w:r>
      <w:r w:rsidRPr="001E58D7">
        <w:rPr>
          <w:rFonts w:ascii="Times New Roman" w:hAnsi="Times New Roman"/>
          <w:b/>
          <w:szCs w:val="24"/>
          <w:lang w:bidi="en-US"/>
        </w:rPr>
        <w:t>.</w:t>
      </w:r>
      <w:r w:rsidRPr="001E58D7" w:rsidR="00823C83">
        <w:rPr>
          <w:rFonts w:ascii="Times New Roman" w:hAnsi="Times New Roman"/>
          <w:szCs w:val="24"/>
          <w:lang w:bidi="en-US"/>
        </w:rPr>
        <w:t xml:space="preserve"> Section 328.3</w:t>
      </w:r>
      <w:r w:rsidRPr="001E58D7">
        <w:rPr>
          <w:rFonts w:ascii="Times New Roman" w:hAnsi="Times New Roman"/>
          <w:szCs w:val="24"/>
          <w:lang w:bidi="en-US"/>
        </w:rPr>
        <w:t xml:space="preserve"> </w:t>
      </w:r>
      <w:r w:rsidRPr="001E58D7" w:rsidR="00823C83">
        <w:rPr>
          <w:rFonts w:ascii="Times New Roman" w:hAnsi="Times New Roman"/>
          <w:szCs w:val="24"/>
          <w:lang w:bidi="en-US"/>
        </w:rPr>
        <w:t>imposes PRA third-party disclosure</w:t>
      </w:r>
      <w:r w:rsidRPr="001E58D7">
        <w:rPr>
          <w:rFonts w:ascii="Times New Roman" w:hAnsi="Times New Roman"/>
          <w:szCs w:val="24"/>
          <w:lang w:bidi="en-US"/>
        </w:rPr>
        <w:t xml:space="preserve"> </w:t>
      </w:r>
      <w:r w:rsidRPr="001E58D7" w:rsidR="00823C83">
        <w:rPr>
          <w:rFonts w:ascii="Times New Roman" w:hAnsi="Times New Roman"/>
          <w:szCs w:val="24"/>
          <w:lang w:bidi="en-US"/>
        </w:rPr>
        <w:t>burden governing signage within the</w:t>
      </w:r>
      <w:r w:rsidRPr="001E58D7">
        <w:rPr>
          <w:rFonts w:ascii="Times New Roman" w:hAnsi="Times New Roman"/>
          <w:szCs w:val="24"/>
          <w:lang w:bidi="en-US"/>
        </w:rPr>
        <w:t xml:space="preserve"> </w:t>
      </w:r>
      <w:r w:rsidRPr="001E58D7" w:rsidR="00823C83">
        <w:rPr>
          <w:rFonts w:ascii="Times New Roman" w:hAnsi="Times New Roman"/>
          <w:szCs w:val="24"/>
          <w:lang w:bidi="en-US"/>
        </w:rPr>
        <w:t>premises of insured depository</w:t>
      </w:r>
      <w:r w:rsidRPr="001E58D7">
        <w:rPr>
          <w:rFonts w:ascii="Times New Roman" w:hAnsi="Times New Roman"/>
          <w:szCs w:val="24"/>
          <w:lang w:bidi="en-US"/>
        </w:rPr>
        <w:t xml:space="preserve"> </w:t>
      </w:r>
      <w:r w:rsidRPr="001E58D7" w:rsidR="00823C83">
        <w:rPr>
          <w:rFonts w:ascii="Times New Roman" w:hAnsi="Times New Roman"/>
          <w:szCs w:val="24"/>
          <w:lang w:bidi="en-US"/>
        </w:rPr>
        <w:t>institutions. This burden is associated</w:t>
      </w:r>
      <w:r w:rsidRPr="001E58D7">
        <w:rPr>
          <w:rFonts w:ascii="Times New Roman" w:hAnsi="Times New Roman"/>
          <w:szCs w:val="24"/>
          <w:lang w:bidi="en-US"/>
        </w:rPr>
        <w:t xml:space="preserve"> </w:t>
      </w:r>
      <w:r w:rsidRPr="001E58D7" w:rsidR="00823C83">
        <w:rPr>
          <w:rFonts w:ascii="Times New Roman" w:hAnsi="Times New Roman"/>
          <w:szCs w:val="24"/>
          <w:lang w:bidi="en-US"/>
        </w:rPr>
        <w:t xml:space="preserve">with the display of signage for </w:t>
      </w:r>
      <w:r w:rsidRPr="001E58D7" w:rsidR="00823C83">
        <w:rPr>
          <w:rFonts w:ascii="Times New Roman" w:hAnsi="Times New Roman"/>
          <w:szCs w:val="24"/>
          <w:lang w:bidi="en-US"/>
        </w:rPr>
        <w:t>nondeposit</w:t>
      </w:r>
      <w:r w:rsidRPr="001E58D7">
        <w:rPr>
          <w:rFonts w:ascii="Times New Roman" w:hAnsi="Times New Roman"/>
          <w:szCs w:val="24"/>
          <w:lang w:bidi="en-US"/>
        </w:rPr>
        <w:t xml:space="preserve"> </w:t>
      </w:r>
      <w:r w:rsidRPr="001E58D7" w:rsidR="00823C83">
        <w:rPr>
          <w:rFonts w:ascii="Times New Roman" w:hAnsi="Times New Roman"/>
          <w:szCs w:val="24"/>
          <w:lang w:bidi="en-US"/>
        </w:rPr>
        <w:t>products, segregating areas</w:t>
      </w:r>
      <w:r w:rsidRPr="001E58D7">
        <w:rPr>
          <w:rFonts w:ascii="Times New Roman" w:hAnsi="Times New Roman"/>
          <w:szCs w:val="24"/>
          <w:lang w:bidi="en-US"/>
        </w:rPr>
        <w:t xml:space="preserve"> </w:t>
      </w:r>
      <w:r w:rsidRPr="001E58D7" w:rsidR="00823C83">
        <w:rPr>
          <w:rFonts w:ascii="Times New Roman" w:hAnsi="Times New Roman"/>
          <w:szCs w:val="24"/>
          <w:lang w:bidi="en-US"/>
        </w:rPr>
        <w:t>offering non-deposit products, and the</w:t>
      </w:r>
      <w:r w:rsidRPr="001E58D7">
        <w:rPr>
          <w:rFonts w:ascii="Times New Roman" w:hAnsi="Times New Roman"/>
          <w:szCs w:val="24"/>
          <w:lang w:bidi="en-US"/>
        </w:rPr>
        <w:t xml:space="preserve"> </w:t>
      </w:r>
      <w:r w:rsidRPr="001E58D7" w:rsidR="00823C83">
        <w:rPr>
          <w:rFonts w:ascii="Times New Roman" w:hAnsi="Times New Roman"/>
          <w:szCs w:val="24"/>
          <w:lang w:bidi="en-US"/>
        </w:rPr>
        <w:t>use of electronic media. The FDIC</w:t>
      </w:r>
      <w:r w:rsidRPr="001E58D7">
        <w:rPr>
          <w:rFonts w:ascii="Times New Roman" w:hAnsi="Times New Roman"/>
          <w:szCs w:val="24"/>
          <w:lang w:bidi="en-US"/>
        </w:rPr>
        <w:t xml:space="preserve"> </w:t>
      </w:r>
      <w:r w:rsidRPr="001E58D7" w:rsidR="00823C83">
        <w:rPr>
          <w:rFonts w:ascii="Times New Roman" w:hAnsi="Times New Roman"/>
          <w:szCs w:val="24"/>
          <w:lang w:bidi="en-US"/>
        </w:rPr>
        <w:t>believes the hourly burden for these</w:t>
      </w:r>
      <w:r w:rsidRPr="001E58D7">
        <w:rPr>
          <w:rFonts w:ascii="Times New Roman" w:hAnsi="Times New Roman"/>
          <w:szCs w:val="24"/>
          <w:lang w:bidi="en-US"/>
        </w:rPr>
        <w:t xml:space="preserve"> </w:t>
      </w:r>
      <w:r w:rsidRPr="001E58D7" w:rsidR="00823C83">
        <w:rPr>
          <w:rFonts w:ascii="Times New Roman" w:hAnsi="Times New Roman"/>
          <w:szCs w:val="24"/>
          <w:lang w:bidi="en-US"/>
        </w:rPr>
        <w:t>activities differs among respondents.</w:t>
      </w:r>
      <w:r w:rsidRPr="001E58D7">
        <w:rPr>
          <w:rFonts w:ascii="Times New Roman" w:hAnsi="Times New Roman"/>
          <w:szCs w:val="24"/>
          <w:lang w:bidi="en-US"/>
        </w:rPr>
        <w:t xml:space="preserve"> </w:t>
      </w:r>
      <w:r w:rsidRPr="001E58D7" w:rsidR="00823C83">
        <w:rPr>
          <w:rFonts w:ascii="Times New Roman" w:hAnsi="Times New Roman"/>
          <w:szCs w:val="24"/>
          <w:lang w:bidi="en-US"/>
        </w:rPr>
        <w:t>For purposes of PRA, the FDIC</w:t>
      </w:r>
      <w:r w:rsidRPr="001E58D7">
        <w:rPr>
          <w:rFonts w:ascii="Times New Roman" w:hAnsi="Times New Roman"/>
          <w:szCs w:val="24"/>
          <w:lang w:bidi="en-US"/>
        </w:rPr>
        <w:t xml:space="preserve"> </w:t>
      </w:r>
      <w:r w:rsidRPr="001E58D7" w:rsidR="00823C83">
        <w:rPr>
          <w:rFonts w:ascii="Times New Roman" w:hAnsi="Times New Roman"/>
          <w:szCs w:val="24"/>
          <w:lang w:bidi="en-US"/>
        </w:rPr>
        <w:t>split</w:t>
      </w:r>
      <w:r w:rsidR="00262F39">
        <w:rPr>
          <w:rFonts w:ascii="Times New Roman" w:hAnsi="Times New Roman"/>
          <w:szCs w:val="24"/>
          <w:lang w:bidi="en-US"/>
        </w:rPr>
        <w:t>s</w:t>
      </w:r>
      <w:r w:rsidRPr="001E58D7" w:rsidR="00823C83">
        <w:rPr>
          <w:rFonts w:ascii="Times New Roman" w:hAnsi="Times New Roman"/>
          <w:szCs w:val="24"/>
          <w:lang w:bidi="en-US"/>
        </w:rPr>
        <w:t xml:space="preserve"> the burden into two information</w:t>
      </w:r>
      <w:r w:rsidRPr="001E58D7">
        <w:rPr>
          <w:rFonts w:ascii="Times New Roman" w:hAnsi="Times New Roman"/>
          <w:szCs w:val="24"/>
          <w:lang w:bidi="en-US"/>
        </w:rPr>
        <w:t xml:space="preserve"> </w:t>
      </w:r>
      <w:r w:rsidRPr="001E58D7" w:rsidR="00823C83">
        <w:rPr>
          <w:rFonts w:ascii="Times New Roman" w:hAnsi="Times New Roman"/>
          <w:szCs w:val="24"/>
          <w:lang w:bidi="en-US"/>
        </w:rPr>
        <w:t>collection categories: one for banks with</w:t>
      </w:r>
      <w:r w:rsidRPr="001E58D7">
        <w:rPr>
          <w:rFonts w:ascii="Times New Roman" w:hAnsi="Times New Roman"/>
          <w:szCs w:val="24"/>
          <w:lang w:bidi="en-US"/>
        </w:rPr>
        <w:t xml:space="preserve"> </w:t>
      </w:r>
      <w:r w:rsidRPr="001E58D7" w:rsidR="00823C83">
        <w:rPr>
          <w:rFonts w:ascii="Times New Roman" w:hAnsi="Times New Roman"/>
          <w:szCs w:val="24"/>
          <w:lang w:bidi="en-US"/>
        </w:rPr>
        <w:t>less than $10 billion in total</w:t>
      </w:r>
      <w:r w:rsidRPr="001E58D7">
        <w:rPr>
          <w:rFonts w:ascii="Times New Roman" w:hAnsi="Times New Roman"/>
          <w:szCs w:val="24"/>
          <w:lang w:bidi="en-US"/>
        </w:rPr>
        <w:t xml:space="preserve"> </w:t>
      </w:r>
      <w:r w:rsidRPr="001E58D7" w:rsidR="00823C83">
        <w:rPr>
          <w:rFonts w:ascii="Times New Roman" w:hAnsi="Times New Roman"/>
          <w:szCs w:val="24"/>
          <w:lang w:bidi="en-US"/>
        </w:rPr>
        <w:t>consolidated assets (assets) and one for</w:t>
      </w:r>
      <w:r w:rsidRPr="001E58D7">
        <w:rPr>
          <w:rFonts w:ascii="Times New Roman" w:hAnsi="Times New Roman"/>
          <w:szCs w:val="24"/>
          <w:lang w:bidi="en-US"/>
        </w:rPr>
        <w:t xml:space="preserve"> </w:t>
      </w:r>
      <w:r w:rsidRPr="001E58D7" w:rsidR="00823C83">
        <w:rPr>
          <w:rFonts w:ascii="Times New Roman" w:hAnsi="Times New Roman"/>
          <w:szCs w:val="24"/>
          <w:lang w:bidi="en-US"/>
        </w:rPr>
        <w:t>banks with at least $10 billion in assets.</w:t>
      </w:r>
      <w:r w:rsidRPr="001E58D7">
        <w:rPr>
          <w:rFonts w:ascii="Times New Roman" w:hAnsi="Times New Roman"/>
          <w:szCs w:val="24"/>
          <w:lang w:bidi="en-US"/>
        </w:rPr>
        <w:t xml:space="preserve"> </w:t>
      </w:r>
      <w:r w:rsidRPr="001E58D7" w:rsidR="00823C83">
        <w:rPr>
          <w:rFonts w:ascii="Times New Roman" w:hAnsi="Times New Roman"/>
          <w:szCs w:val="24"/>
          <w:lang w:bidi="en-US"/>
        </w:rPr>
        <w:t>This IC captures the burden for the</w:t>
      </w:r>
      <w:r w:rsidRPr="001E58D7">
        <w:rPr>
          <w:rFonts w:ascii="Times New Roman" w:hAnsi="Times New Roman"/>
          <w:szCs w:val="24"/>
          <w:lang w:bidi="en-US"/>
        </w:rPr>
        <w:t xml:space="preserve"> </w:t>
      </w:r>
      <w:r w:rsidRPr="001E58D7" w:rsidR="00823C83">
        <w:rPr>
          <w:rFonts w:ascii="Times New Roman" w:hAnsi="Times New Roman"/>
          <w:szCs w:val="24"/>
          <w:lang w:bidi="en-US"/>
        </w:rPr>
        <w:t>former group.</w:t>
      </w:r>
    </w:p>
    <w:p w:rsidR="005A1FB0" w:rsidRPr="001E58D7" w:rsidP="004C6960" w14:paraId="32046F7C" w14:textId="01DD56C6">
      <w:pPr>
        <w:numPr>
          <w:ilvl w:val="0"/>
          <w:numId w:val="15"/>
        </w:numPr>
        <w:spacing w:after="120"/>
        <w:rPr>
          <w:rFonts w:ascii="Times New Roman" w:hAnsi="Times New Roman"/>
          <w:szCs w:val="24"/>
          <w:lang w:bidi="en-US"/>
        </w:rPr>
      </w:pPr>
      <w:r w:rsidRPr="001E58D7">
        <w:rPr>
          <w:rFonts w:ascii="Times New Roman" w:hAnsi="Times New Roman"/>
          <w:b/>
          <w:bCs/>
          <w:szCs w:val="24"/>
          <w:lang w:bidi="en-US"/>
        </w:rPr>
        <w:t>Signs within Institution Premises – Banks &gt;= $10</w:t>
      </w:r>
      <w:r w:rsidRPr="001E58D7" w:rsidR="00422F8C">
        <w:rPr>
          <w:rFonts w:ascii="Times New Roman" w:hAnsi="Times New Roman"/>
          <w:b/>
          <w:bCs/>
          <w:szCs w:val="24"/>
          <w:lang w:bidi="en-US"/>
        </w:rPr>
        <w:t xml:space="preserve"> </w:t>
      </w:r>
      <w:r w:rsidRPr="001E58D7">
        <w:rPr>
          <w:rFonts w:ascii="Times New Roman" w:hAnsi="Times New Roman"/>
          <w:b/>
          <w:bCs/>
          <w:szCs w:val="24"/>
          <w:lang w:bidi="en-US"/>
        </w:rPr>
        <w:t>B</w:t>
      </w:r>
      <w:r w:rsidRPr="001E58D7" w:rsidR="00422F8C">
        <w:rPr>
          <w:rFonts w:ascii="Times New Roman" w:hAnsi="Times New Roman"/>
          <w:b/>
          <w:bCs/>
          <w:szCs w:val="24"/>
          <w:lang w:bidi="en-US"/>
        </w:rPr>
        <w:t>illion</w:t>
      </w:r>
      <w:r w:rsidRPr="001E58D7">
        <w:rPr>
          <w:rFonts w:ascii="Times New Roman" w:hAnsi="Times New Roman"/>
          <w:b/>
          <w:bCs/>
          <w:szCs w:val="24"/>
          <w:lang w:bidi="en-US"/>
        </w:rPr>
        <w:t>, 12 CFR 328.3 (</w:t>
      </w:r>
      <w:r w:rsidRPr="001E58D7" w:rsidR="00677F08">
        <w:rPr>
          <w:rFonts w:ascii="Times New Roman" w:hAnsi="Times New Roman"/>
          <w:b/>
          <w:bCs/>
          <w:szCs w:val="24"/>
          <w:lang w:bidi="en-US"/>
        </w:rPr>
        <w:t xml:space="preserve">Third-Party Disclosure; </w:t>
      </w:r>
      <w:r w:rsidRPr="001E58D7">
        <w:rPr>
          <w:rFonts w:ascii="Times New Roman" w:hAnsi="Times New Roman"/>
          <w:b/>
          <w:bCs/>
          <w:szCs w:val="24"/>
          <w:lang w:bidi="en-US"/>
        </w:rPr>
        <w:t>Mandatory)</w:t>
      </w:r>
      <w:r w:rsidRPr="001E58D7">
        <w:rPr>
          <w:rFonts w:ascii="Times New Roman" w:hAnsi="Times New Roman"/>
          <w:b/>
          <w:szCs w:val="24"/>
          <w:lang w:bidi="en-US"/>
        </w:rPr>
        <w:t>.</w:t>
      </w:r>
      <w:r w:rsidRPr="001E58D7">
        <w:rPr>
          <w:rFonts w:ascii="Times New Roman" w:hAnsi="Times New Roman"/>
          <w:szCs w:val="24"/>
          <w:lang w:bidi="en-US"/>
        </w:rPr>
        <w:t xml:space="preserve"> </w:t>
      </w:r>
      <w:r w:rsidRPr="001E58D7" w:rsidR="00677F08">
        <w:rPr>
          <w:rFonts w:ascii="Times New Roman" w:hAnsi="Times New Roman"/>
          <w:szCs w:val="24"/>
          <w:lang w:bidi="en-US"/>
        </w:rPr>
        <w:t xml:space="preserve">Section 328.3 imposes PRA third-party disclosure burden governing signage within the premises of insured depository institutions. This burden is associated with the display of signage for </w:t>
      </w:r>
      <w:r w:rsidRPr="001E58D7" w:rsidR="00677F08">
        <w:rPr>
          <w:rFonts w:ascii="Times New Roman" w:hAnsi="Times New Roman"/>
          <w:szCs w:val="24"/>
          <w:lang w:bidi="en-US"/>
        </w:rPr>
        <w:t>nondeposit</w:t>
      </w:r>
      <w:r w:rsidRPr="001E58D7" w:rsidR="00677F08">
        <w:rPr>
          <w:rFonts w:ascii="Times New Roman" w:hAnsi="Times New Roman"/>
          <w:szCs w:val="24"/>
          <w:lang w:bidi="en-US"/>
        </w:rPr>
        <w:t xml:space="preserve"> products, segregating areas offering non-deposit products, and the use of electronic media. The FDIC believes the hourly burden for these activities differs among respondents. For purposes of PRA, the FDIC split</w:t>
      </w:r>
      <w:r w:rsidR="00262F39">
        <w:rPr>
          <w:rFonts w:ascii="Times New Roman" w:hAnsi="Times New Roman"/>
          <w:szCs w:val="24"/>
          <w:lang w:bidi="en-US"/>
        </w:rPr>
        <w:t>s</w:t>
      </w:r>
      <w:r w:rsidRPr="001E58D7" w:rsidR="00677F08">
        <w:rPr>
          <w:rFonts w:ascii="Times New Roman" w:hAnsi="Times New Roman"/>
          <w:szCs w:val="24"/>
          <w:lang w:bidi="en-US"/>
        </w:rPr>
        <w:t xml:space="preserve"> the burden into two ICs: one for banks with less than $10 billion in total consolidated assets (assets) and one for banks with at least $10 billion in assets. This IC captures the burden for the latter group</w:t>
      </w:r>
      <w:r w:rsidRPr="001E58D7">
        <w:rPr>
          <w:rFonts w:ascii="Times New Roman" w:hAnsi="Times New Roman"/>
          <w:szCs w:val="24"/>
          <w:lang w:bidi="en-US"/>
        </w:rPr>
        <w:t>.</w:t>
      </w:r>
    </w:p>
    <w:p w:rsidR="005A1FB0" w:rsidRPr="00262F39" w:rsidP="004C6960" w14:paraId="6F35B67F" w14:textId="77777777">
      <w:pPr>
        <w:numPr>
          <w:ilvl w:val="0"/>
          <w:numId w:val="15"/>
        </w:numPr>
        <w:spacing w:after="120"/>
        <w:rPr>
          <w:rFonts w:ascii="Times New Roman" w:hAnsi="Times New Roman"/>
          <w:szCs w:val="24"/>
          <w:lang w:bidi="en-US"/>
        </w:rPr>
      </w:pPr>
      <w:bookmarkStart w:id="0" w:name="OLE_LINK1"/>
      <w:r w:rsidRPr="00262F39">
        <w:rPr>
          <w:rFonts w:ascii="Times New Roman" w:hAnsi="Times New Roman"/>
          <w:b/>
          <w:szCs w:val="24"/>
          <w:lang w:bidi="en-US"/>
        </w:rPr>
        <w:t xml:space="preserve">Signage for ATMs and </w:t>
      </w:r>
      <w:r w:rsidRPr="00262F39">
        <w:rPr>
          <w:rFonts w:ascii="Times New Roman" w:hAnsi="Times New Roman"/>
          <w:b/>
          <w:iCs/>
          <w:szCs w:val="24"/>
          <w:lang w:bidi="en-US"/>
        </w:rPr>
        <w:t xml:space="preserve">Digital Deposit-taking Channels </w:t>
      </w:r>
      <w:r w:rsidRPr="00262F39">
        <w:rPr>
          <w:rFonts w:ascii="Times New Roman" w:hAnsi="Times New Roman"/>
          <w:b/>
          <w:bCs/>
          <w:szCs w:val="24"/>
          <w:lang w:bidi="en-US"/>
        </w:rPr>
        <w:t>– Implementation, 12 CFR 328.4 and .5 (</w:t>
      </w:r>
      <w:r w:rsidRPr="00262F39" w:rsidR="00677F08">
        <w:rPr>
          <w:rFonts w:ascii="Times New Roman" w:hAnsi="Times New Roman"/>
          <w:b/>
          <w:bCs/>
          <w:szCs w:val="24"/>
          <w:lang w:bidi="en-US"/>
        </w:rPr>
        <w:t xml:space="preserve">Third-Party Disclosure; </w:t>
      </w:r>
      <w:r w:rsidRPr="00262F39">
        <w:rPr>
          <w:rFonts w:ascii="Times New Roman" w:hAnsi="Times New Roman"/>
          <w:b/>
          <w:bCs/>
          <w:szCs w:val="24"/>
          <w:lang w:bidi="en-US"/>
        </w:rPr>
        <w:t>Mandatory).</w:t>
      </w:r>
      <w:r w:rsidRPr="00262F39">
        <w:rPr>
          <w:rFonts w:ascii="Times New Roman" w:hAnsi="Times New Roman"/>
          <w:bCs/>
          <w:szCs w:val="24"/>
          <w:lang w:bidi="en-US"/>
        </w:rPr>
        <w:t xml:space="preserve"> </w:t>
      </w:r>
      <w:r w:rsidRPr="00262F39" w:rsidR="00677F08">
        <w:rPr>
          <w:rFonts w:ascii="Times New Roman" w:hAnsi="Times New Roman"/>
          <w:bCs/>
          <w:szCs w:val="24"/>
          <w:lang w:bidi="en-US"/>
        </w:rPr>
        <w:t>Sections 328.4 and 328.5 impose PRA third-party disclosure burden governing signs for ATMs as well as digital deposit-taking channels. This burden is associated with the display of signage for both deposit and non-deposit products. The FDIC believes banks will incur burdens in the first year to update their digital channels to incorporate the amended requirements in the rule. This IC captures the burden for these implementation activities.</w:t>
      </w:r>
    </w:p>
    <w:p w:rsidR="005A1FB0" w:rsidRPr="00262F39" w:rsidP="004C6960" w14:paraId="7AA706CA" w14:textId="56EA6C00">
      <w:pPr>
        <w:numPr>
          <w:ilvl w:val="0"/>
          <w:numId w:val="15"/>
        </w:numPr>
        <w:spacing w:after="120"/>
        <w:rPr>
          <w:rFonts w:ascii="Times New Roman" w:hAnsi="Times New Roman"/>
          <w:szCs w:val="24"/>
          <w:lang w:bidi="en-US"/>
        </w:rPr>
      </w:pPr>
      <w:r w:rsidRPr="00262F39">
        <w:rPr>
          <w:rFonts w:ascii="Times New Roman" w:hAnsi="Times New Roman"/>
          <w:b/>
          <w:szCs w:val="24"/>
          <w:lang w:bidi="en-US"/>
        </w:rPr>
        <w:t xml:space="preserve">Signage for ATMs and </w:t>
      </w:r>
      <w:r w:rsidRPr="00262F39">
        <w:rPr>
          <w:rFonts w:ascii="Times New Roman" w:hAnsi="Times New Roman"/>
          <w:b/>
          <w:iCs/>
          <w:szCs w:val="24"/>
          <w:lang w:bidi="en-US"/>
        </w:rPr>
        <w:t xml:space="preserve">Digital Deposit-taking Channels </w:t>
      </w:r>
      <w:r w:rsidRPr="00262F39">
        <w:rPr>
          <w:rFonts w:ascii="Times New Roman" w:hAnsi="Times New Roman"/>
          <w:b/>
          <w:bCs/>
          <w:szCs w:val="24"/>
          <w:lang w:bidi="en-US"/>
        </w:rPr>
        <w:t>– Banks &lt; $10</w:t>
      </w:r>
      <w:r w:rsidRPr="00262F39" w:rsidR="00422F8C">
        <w:rPr>
          <w:rFonts w:ascii="Times New Roman" w:hAnsi="Times New Roman"/>
          <w:b/>
          <w:bCs/>
          <w:szCs w:val="24"/>
          <w:lang w:bidi="en-US"/>
        </w:rPr>
        <w:t xml:space="preserve"> </w:t>
      </w:r>
      <w:r w:rsidRPr="00262F39">
        <w:rPr>
          <w:rFonts w:ascii="Times New Roman" w:hAnsi="Times New Roman"/>
          <w:b/>
          <w:bCs/>
          <w:szCs w:val="24"/>
          <w:lang w:bidi="en-US"/>
        </w:rPr>
        <w:t>B</w:t>
      </w:r>
      <w:r w:rsidRPr="00262F39" w:rsidR="00422F8C">
        <w:rPr>
          <w:rFonts w:ascii="Times New Roman" w:hAnsi="Times New Roman"/>
          <w:b/>
          <w:bCs/>
          <w:szCs w:val="24"/>
          <w:lang w:bidi="en-US"/>
        </w:rPr>
        <w:t>illion</w:t>
      </w:r>
      <w:r w:rsidRPr="00262F39">
        <w:rPr>
          <w:rFonts w:ascii="Times New Roman" w:hAnsi="Times New Roman"/>
          <w:b/>
          <w:bCs/>
          <w:szCs w:val="24"/>
          <w:lang w:bidi="en-US"/>
        </w:rPr>
        <w:t xml:space="preserve"> - Ongoing, 12 CFR 328.4 and .5 (</w:t>
      </w:r>
      <w:r w:rsidRPr="00262F39" w:rsidR="00AD23E3">
        <w:rPr>
          <w:rFonts w:ascii="Times New Roman" w:hAnsi="Times New Roman"/>
          <w:b/>
          <w:bCs/>
          <w:szCs w:val="24"/>
          <w:lang w:bidi="en-US"/>
        </w:rPr>
        <w:t>Third-Party Disclosure; Mandatory</w:t>
      </w:r>
      <w:r w:rsidRPr="00262F39">
        <w:rPr>
          <w:rFonts w:ascii="Times New Roman" w:hAnsi="Times New Roman"/>
          <w:b/>
          <w:bCs/>
          <w:szCs w:val="24"/>
          <w:lang w:bidi="en-US"/>
        </w:rPr>
        <w:t>).</w:t>
      </w:r>
      <w:r w:rsidRPr="00262F39">
        <w:rPr>
          <w:rFonts w:ascii="Times New Roman" w:hAnsi="Times New Roman"/>
          <w:bCs/>
          <w:szCs w:val="24"/>
          <w:lang w:bidi="en-US"/>
        </w:rPr>
        <w:t xml:space="preserve"> </w:t>
      </w:r>
      <w:bookmarkEnd w:id="0"/>
      <w:r w:rsidRPr="00262F39" w:rsidR="00AD23E3">
        <w:rPr>
          <w:rFonts w:ascii="Times New Roman" w:hAnsi="Times New Roman"/>
          <w:bCs/>
          <w:szCs w:val="24"/>
          <w:lang w:bidi="en-US"/>
        </w:rPr>
        <w:t>Sections 328.4 and 328.5 impose PRA third-party disclosure burden governing signs for ATMs as well as digital deposit-taking channels. This burden is associated with the display of signage</w:t>
      </w:r>
      <w:r w:rsidRPr="00262F39">
        <w:rPr>
          <w:rFonts w:ascii="Times New Roman" w:hAnsi="Times New Roman"/>
          <w:szCs w:val="24"/>
          <w:lang w:bidi="en-US"/>
        </w:rPr>
        <w:t xml:space="preserve"> for deposit and non-deposit products. The FDIC believes that, in years </w:t>
      </w:r>
      <w:r w:rsidRPr="00262F39">
        <w:rPr>
          <w:rFonts w:ascii="Times New Roman" w:hAnsi="Times New Roman"/>
          <w:szCs w:val="24"/>
          <w:lang w:bidi="en-US"/>
        </w:rPr>
        <w:t>subsequent to</w:t>
      </w:r>
      <w:r w:rsidRPr="00262F39">
        <w:rPr>
          <w:rFonts w:ascii="Times New Roman" w:hAnsi="Times New Roman"/>
          <w:szCs w:val="24"/>
          <w:lang w:bidi="en-US"/>
        </w:rPr>
        <w:t xml:space="preserve"> implementation, banks incur ongoing burdens to update and maintain their digital channels to ensure continual compliance with the requirements in the </w:t>
      </w:r>
      <w:r w:rsidRPr="00262F39" w:rsidR="00664282">
        <w:rPr>
          <w:rFonts w:ascii="Times New Roman" w:hAnsi="Times New Roman"/>
          <w:szCs w:val="24"/>
          <w:lang w:bidi="en-US"/>
        </w:rPr>
        <w:t>Final Rule</w:t>
      </w:r>
      <w:r w:rsidRPr="00262F39">
        <w:rPr>
          <w:rFonts w:ascii="Times New Roman" w:hAnsi="Times New Roman"/>
          <w:szCs w:val="24"/>
          <w:lang w:bidi="en-US"/>
        </w:rPr>
        <w:t>. For purposes of PRA, the FDIC split</w:t>
      </w:r>
      <w:r w:rsidR="00002B0F">
        <w:rPr>
          <w:rFonts w:ascii="Times New Roman" w:hAnsi="Times New Roman"/>
          <w:szCs w:val="24"/>
          <w:lang w:bidi="en-US"/>
        </w:rPr>
        <w:t>s</w:t>
      </w:r>
      <w:r w:rsidRPr="00262F39">
        <w:rPr>
          <w:rFonts w:ascii="Times New Roman" w:hAnsi="Times New Roman"/>
          <w:szCs w:val="24"/>
          <w:lang w:bidi="en-US"/>
        </w:rPr>
        <w:t xml:space="preserve"> this ongoing burden into two ICs: one for banks with less than $10 billion in total consolidated assets (assets) and one for banks with at least $10 billion in assets. This IC captures the burden for the former group.</w:t>
      </w:r>
    </w:p>
    <w:p w:rsidR="005A1FB0" w:rsidRPr="00262F39" w:rsidP="004C6960" w14:paraId="74BC7FDF" w14:textId="0F734CF4">
      <w:pPr>
        <w:numPr>
          <w:ilvl w:val="0"/>
          <w:numId w:val="15"/>
        </w:numPr>
        <w:spacing w:after="120"/>
        <w:rPr>
          <w:rFonts w:ascii="Times New Roman" w:hAnsi="Times New Roman"/>
          <w:szCs w:val="24"/>
          <w:lang w:bidi="en-US"/>
        </w:rPr>
      </w:pPr>
      <w:r w:rsidRPr="00262F39">
        <w:rPr>
          <w:rFonts w:ascii="Times New Roman" w:hAnsi="Times New Roman"/>
          <w:b/>
          <w:szCs w:val="24"/>
          <w:lang w:bidi="en-US"/>
        </w:rPr>
        <w:t xml:space="preserve">Signage for ATMs and </w:t>
      </w:r>
      <w:r w:rsidRPr="00262F39">
        <w:rPr>
          <w:rFonts w:ascii="Times New Roman" w:hAnsi="Times New Roman"/>
          <w:b/>
          <w:iCs/>
          <w:szCs w:val="24"/>
          <w:lang w:bidi="en-US"/>
        </w:rPr>
        <w:t xml:space="preserve">Digital Deposit-taking Channels </w:t>
      </w:r>
      <w:r w:rsidRPr="00262F39">
        <w:rPr>
          <w:rFonts w:ascii="Times New Roman" w:hAnsi="Times New Roman"/>
          <w:b/>
          <w:bCs/>
          <w:szCs w:val="24"/>
          <w:lang w:bidi="en-US"/>
        </w:rPr>
        <w:t>– Banks &gt;= $10</w:t>
      </w:r>
      <w:r w:rsidRPr="00262F39" w:rsidR="00422F8C">
        <w:rPr>
          <w:rFonts w:ascii="Times New Roman" w:hAnsi="Times New Roman"/>
          <w:b/>
          <w:bCs/>
          <w:szCs w:val="24"/>
          <w:lang w:bidi="en-US"/>
        </w:rPr>
        <w:t xml:space="preserve"> </w:t>
      </w:r>
      <w:r w:rsidRPr="00262F39">
        <w:rPr>
          <w:rFonts w:ascii="Times New Roman" w:hAnsi="Times New Roman"/>
          <w:b/>
          <w:bCs/>
          <w:szCs w:val="24"/>
          <w:lang w:bidi="en-US"/>
        </w:rPr>
        <w:t>B</w:t>
      </w:r>
      <w:r w:rsidRPr="00262F39" w:rsidR="00422F8C">
        <w:rPr>
          <w:rFonts w:ascii="Times New Roman" w:hAnsi="Times New Roman"/>
          <w:b/>
          <w:bCs/>
          <w:szCs w:val="24"/>
          <w:lang w:bidi="en-US"/>
        </w:rPr>
        <w:t>illion</w:t>
      </w:r>
      <w:r w:rsidRPr="00262F39">
        <w:rPr>
          <w:rFonts w:ascii="Times New Roman" w:hAnsi="Times New Roman"/>
          <w:b/>
          <w:bCs/>
          <w:szCs w:val="24"/>
          <w:lang w:bidi="en-US"/>
        </w:rPr>
        <w:t xml:space="preserve"> - Ongoing, 12 CFR 328.4 and .5 (</w:t>
      </w:r>
      <w:r w:rsidRPr="00262F39" w:rsidR="00AD23E3">
        <w:rPr>
          <w:rFonts w:ascii="Times New Roman" w:hAnsi="Times New Roman"/>
          <w:b/>
          <w:bCs/>
          <w:szCs w:val="24"/>
          <w:lang w:bidi="en-US"/>
        </w:rPr>
        <w:t>Third-Party Disclosure; Mandatory</w:t>
      </w:r>
      <w:r w:rsidRPr="00262F39">
        <w:rPr>
          <w:rFonts w:ascii="Times New Roman" w:hAnsi="Times New Roman"/>
          <w:b/>
          <w:bCs/>
          <w:szCs w:val="24"/>
          <w:lang w:bidi="en-US"/>
        </w:rPr>
        <w:t>).</w:t>
      </w:r>
      <w:r w:rsidRPr="00262F39">
        <w:rPr>
          <w:rFonts w:ascii="Times New Roman" w:hAnsi="Times New Roman"/>
          <w:bCs/>
          <w:szCs w:val="24"/>
          <w:lang w:bidi="en-US"/>
        </w:rPr>
        <w:t xml:space="preserve"> </w:t>
      </w:r>
      <w:r w:rsidRPr="00262F39" w:rsidR="00AD23E3">
        <w:rPr>
          <w:rFonts w:ascii="Times New Roman" w:hAnsi="Times New Roman"/>
          <w:bCs/>
          <w:szCs w:val="24"/>
          <w:lang w:bidi="en-US"/>
        </w:rPr>
        <w:t xml:space="preserve">Sections </w:t>
      </w:r>
      <w:r w:rsidRPr="00262F39">
        <w:rPr>
          <w:rFonts w:ascii="Times New Roman" w:hAnsi="Times New Roman"/>
          <w:bCs/>
          <w:szCs w:val="24"/>
          <w:lang w:bidi="en-US"/>
        </w:rPr>
        <w:t>328.4 and</w:t>
      </w:r>
      <w:r w:rsidRPr="00262F39" w:rsidR="00AD23E3">
        <w:rPr>
          <w:rFonts w:ascii="Times New Roman" w:hAnsi="Times New Roman"/>
          <w:bCs/>
          <w:szCs w:val="24"/>
          <w:lang w:bidi="en-US"/>
        </w:rPr>
        <w:t xml:space="preserve"> 338</w:t>
      </w:r>
      <w:r w:rsidRPr="00262F39">
        <w:rPr>
          <w:rFonts w:ascii="Times New Roman" w:hAnsi="Times New Roman"/>
          <w:bCs/>
          <w:szCs w:val="24"/>
          <w:lang w:bidi="en-US"/>
        </w:rPr>
        <w:t xml:space="preserve"> .5 </w:t>
      </w:r>
      <w:r w:rsidRPr="00262F39" w:rsidR="00AD23E3">
        <w:rPr>
          <w:rFonts w:ascii="Times New Roman" w:hAnsi="Times New Roman"/>
          <w:szCs w:val="24"/>
          <w:lang w:bidi="en-US"/>
        </w:rPr>
        <w:t>impose</w:t>
      </w:r>
      <w:r w:rsidRPr="00262F39">
        <w:rPr>
          <w:rFonts w:ascii="Times New Roman" w:hAnsi="Times New Roman"/>
          <w:szCs w:val="24"/>
          <w:lang w:bidi="en-US"/>
        </w:rPr>
        <w:t xml:space="preserve"> PRA </w:t>
      </w:r>
      <w:r w:rsidRPr="00262F39" w:rsidR="00AD23E3">
        <w:rPr>
          <w:rFonts w:ascii="Times New Roman" w:hAnsi="Times New Roman"/>
          <w:szCs w:val="24"/>
          <w:lang w:bidi="en-US"/>
        </w:rPr>
        <w:t xml:space="preserve">third-party disclosure </w:t>
      </w:r>
      <w:r w:rsidRPr="00262F39">
        <w:rPr>
          <w:rFonts w:ascii="Times New Roman" w:hAnsi="Times New Roman"/>
          <w:szCs w:val="24"/>
          <w:lang w:bidi="en-US"/>
        </w:rPr>
        <w:t xml:space="preserve">burden governing signs for ATMs as well as digital deposit-taking channels. This burden is associated with the display of signage for deposit and non-deposit products. The FDIC believes that, in years </w:t>
      </w:r>
      <w:r w:rsidRPr="00262F39">
        <w:rPr>
          <w:rFonts w:ascii="Times New Roman" w:hAnsi="Times New Roman"/>
          <w:szCs w:val="24"/>
          <w:lang w:bidi="en-US"/>
        </w:rPr>
        <w:t>subsequent to</w:t>
      </w:r>
      <w:r w:rsidRPr="00262F39">
        <w:rPr>
          <w:rFonts w:ascii="Times New Roman" w:hAnsi="Times New Roman"/>
          <w:szCs w:val="24"/>
          <w:lang w:bidi="en-US"/>
        </w:rPr>
        <w:t xml:space="preserve"> implementation, banks incur ongoing burdens to update and maintain their digital channels to ensure continual compliance with the requirements in the </w:t>
      </w:r>
      <w:r w:rsidRPr="00262F39" w:rsidR="00664282">
        <w:rPr>
          <w:rFonts w:ascii="Times New Roman" w:hAnsi="Times New Roman"/>
          <w:szCs w:val="24"/>
          <w:lang w:bidi="en-US"/>
        </w:rPr>
        <w:t>Final Rule</w:t>
      </w:r>
      <w:r w:rsidRPr="00262F39">
        <w:rPr>
          <w:rFonts w:ascii="Times New Roman" w:hAnsi="Times New Roman"/>
          <w:szCs w:val="24"/>
          <w:lang w:bidi="en-US"/>
        </w:rPr>
        <w:t>. For purposes of PRA, the FDIC split</w:t>
      </w:r>
      <w:r w:rsidR="003631A1">
        <w:rPr>
          <w:rFonts w:ascii="Times New Roman" w:hAnsi="Times New Roman"/>
          <w:szCs w:val="24"/>
          <w:lang w:bidi="en-US"/>
        </w:rPr>
        <w:t>s</w:t>
      </w:r>
      <w:r w:rsidRPr="00262F39">
        <w:rPr>
          <w:rFonts w:ascii="Times New Roman" w:hAnsi="Times New Roman"/>
          <w:szCs w:val="24"/>
          <w:lang w:bidi="en-US"/>
        </w:rPr>
        <w:t xml:space="preserve"> the burden into two ICs: one for banks with less than </w:t>
      </w:r>
      <w:r w:rsidRPr="00262F39">
        <w:rPr>
          <w:rFonts w:ascii="Times New Roman" w:hAnsi="Times New Roman"/>
          <w:szCs w:val="24"/>
          <w:lang w:bidi="en-US"/>
        </w:rPr>
        <w:t>$10 billion in total consolidated assets (assets) and one for banks with at least $10 billion in assets. This IC captures the burden for the latter group.</w:t>
      </w:r>
    </w:p>
    <w:p w:rsidR="005A1FB0" w:rsidRPr="0046373E" w:rsidP="004C6960" w14:paraId="7E827E07" w14:textId="77777777">
      <w:pPr>
        <w:numPr>
          <w:ilvl w:val="0"/>
          <w:numId w:val="15"/>
        </w:numPr>
        <w:spacing w:after="120"/>
        <w:rPr>
          <w:rFonts w:ascii="Times New Roman" w:hAnsi="Times New Roman"/>
          <w:szCs w:val="24"/>
          <w:lang w:bidi="en-US"/>
        </w:rPr>
      </w:pPr>
      <w:r w:rsidRPr="0046373E">
        <w:rPr>
          <w:rFonts w:ascii="Times New Roman" w:hAnsi="Times New Roman"/>
          <w:b/>
          <w:iCs/>
          <w:szCs w:val="24"/>
          <w:lang w:bidi="en-US"/>
        </w:rPr>
        <w:t>Policies and Procedures - Implementation</w:t>
      </w:r>
      <w:r w:rsidRPr="0046373E">
        <w:rPr>
          <w:rFonts w:ascii="Times New Roman" w:hAnsi="Times New Roman"/>
          <w:b/>
          <w:bCs/>
          <w:szCs w:val="24"/>
          <w:lang w:bidi="en-US"/>
        </w:rPr>
        <w:t>, 12 CFR 328.8 (</w:t>
      </w:r>
      <w:r w:rsidRPr="0046373E" w:rsidR="00AD23E3">
        <w:rPr>
          <w:rFonts w:ascii="Times New Roman" w:hAnsi="Times New Roman"/>
          <w:b/>
          <w:bCs/>
          <w:szCs w:val="24"/>
          <w:lang w:bidi="en-US"/>
        </w:rPr>
        <w:t xml:space="preserve">Recordkeeping; </w:t>
      </w:r>
      <w:r w:rsidRPr="0046373E">
        <w:rPr>
          <w:rFonts w:ascii="Times New Roman" w:hAnsi="Times New Roman"/>
          <w:b/>
          <w:bCs/>
          <w:szCs w:val="24"/>
          <w:lang w:bidi="en-US"/>
        </w:rPr>
        <w:t>Mandatory).</w:t>
      </w:r>
      <w:r w:rsidRPr="0046373E">
        <w:rPr>
          <w:rFonts w:ascii="Times New Roman" w:hAnsi="Times New Roman"/>
          <w:bCs/>
          <w:szCs w:val="24"/>
          <w:lang w:bidi="en-US"/>
        </w:rPr>
        <w:t xml:space="preserve"> </w:t>
      </w:r>
      <w:r w:rsidRPr="0046373E" w:rsidR="00AD23E3">
        <w:rPr>
          <w:rFonts w:ascii="Times New Roman" w:hAnsi="Times New Roman"/>
          <w:bCs/>
          <w:szCs w:val="24"/>
          <w:lang w:bidi="en-US"/>
        </w:rPr>
        <w:t xml:space="preserve">Section </w:t>
      </w:r>
      <w:r w:rsidRPr="0046373E">
        <w:rPr>
          <w:rFonts w:ascii="Times New Roman" w:hAnsi="Times New Roman"/>
          <w:bCs/>
          <w:szCs w:val="24"/>
          <w:lang w:bidi="en-US"/>
        </w:rPr>
        <w:t xml:space="preserve">328.8 </w:t>
      </w:r>
      <w:r w:rsidRPr="0046373E">
        <w:rPr>
          <w:rFonts w:ascii="Times New Roman" w:hAnsi="Times New Roman"/>
          <w:szCs w:val="24"/>
          <w:lang w:bidi="en-US"/>
        </w:rPr>
        <w:t>require</w:t>
      </w:r>
      <w:r w:rsidRPr="0046373E" w:rsidR="00AD23E3">
        <w:rPr>
          <w:rFonts w:ascii="Times New Roman" w:hAnsi="Times New Roman"/>
          <w:szCs w:val="24"/>
          <w:lang w:bidi="en-US"/>
        </w:rPr>
        <w:t>s</w:t>
      </w:r>
      <w:r w:rsidRPr="0046373E">
        <w:rPr>
          <w:rFonts w:ascii="Times New Roman" w:hAnsi="Times New Roman"/>
          <w:szCs w:val="24"/>
          <w:lang w:bidi="en-US"/>
        </w:rPr>
        <w:t xml:space="preserve"> IDIs to establish and maintain written policies and procedures to achieve compliance with part 328, including the requirement to monitor and evaluate the activities of persons that provide deposit-related services to the Insured Depository Institution or offer the Insured Depository Institution’s deposit-related products or services to other parties. The FDIC believes the hourly burden for these activities can be categorized into two distinct ICs covering (1) implementation burdens incurred in the first year in which the policies and procedures are implemented and (2) ongoing burden incurred every subsequent year to maintain compliance. This IC captures the implementation burden.</w:t>
      </w:r>
    </w:p>
    <w:p w:rsidR="005A1FB0" w:rsidRPr="0046373E" w:rsidP="004C6960" w14:paraId="6F29C1A9" w14:textId="77777777">
      <w:pPr>
        <w:numPr>
          <w:ilvl w:val="0"/>
          <w:numId w:val="15"/>
        </w:numPr>
        <w:spacing w:after="120"/>
        <w:rPr>
          <w:rFonts w:ascii="Times New Roman" w:hAnsi="Times New Roman"/>
          <w:szCs w:val="24"/>
          <w:lang w:bidi="en-US"/>
        </w:rPr>
      </w:pPr>
      <w:r w:rsidRPr="0046373E">
        <w:rPr>
          <w:rFonts w:ascii="Times New Roman" w:hAnsi="Times New Roman"/>
          <w:b/>
          <w:iCs/>
          <w:szCs w:val="24"/>
          <w:lang w:bidi="en-US"/>
        </w:rPr>
        <w:t>Policies and Procedures – Ongoing</w:t>
      </w:r>
      <w:r w:rsidRPr="0046373E">
        <w:rPr>
          <w:rFonts w:ascii="Times New Roman" w:hAnsi="Times New Roman"/>
          <w:b/>
          <w:bCs/>
          <w:szCs w:val="24"/>
          <w:lang w:bidi="en-US"/>
        </w:rPr>
        <w:t>, 12 CFR 328.8 (</w:t>
      </w:r>
      <w:r w:rsidRPr="0046373E" w:rsidR="00E6172B">
        <w:rPr>
          <w:rFonts w:ascii="Times New Roman" w:hAnsi="Times New Roman"/>
          <w:b/>
          <w:bCs/>
          <w:szCs w:val="24"/>
          <w:lang w:bidi="en-US"/>
        </w:rPr>
        <w:t xml:space="preserve">Recordkeeping; </w:t>
      </w:r>
      <w:r w:rsidRPr="0046373E">
        <w:rPr>
          <w:rFonts w:ascii="Times New Roman" w:hAnsi="Times New Roman"/>
          <w:b/>
          <w:bCs/>
          <w:szCs w:val="24"/>
          <w:lang w:bidi="en-US"/>
        </w:rPr>
        <w:t>Mandatory).</w:t>
      </w:r>
      <w:r w:rsidRPr="0046373E">
        <w:rPr>
          <w:rFonts w:ascii="Times New Roman" w:hAnsi="Times New Roman"/>
          <w:bCs/>
          <w:szCs w:val="24"/>
          <w:lang w:bidi="en-US"/>
        </w:rPr>
        <w:t xml:space="preserve"> </w:t>
      </w:r>
      <w:r w:rsidRPr="0046373E" w:rsidR="00E6172B">
        <w:rPr>
          <w:rFonts w:ascii="Times New Roman" w:hAnsi="Times New Roman"/>
          <w:bCs/>
          <w:szCs w:val="24"/>
          <w:lang w:bidi="en-US"/>
        </w:rPr>
        <w:t xml:space="preserve">Section </w:t>
      </w:r>
      <w:r w:rsidRPr="0046373E">
        <w:rPr>
          <w:rFonts w:ascii="Times New Roman" w:hAnsi="Times New Roman"/>
          <w:bCs/>
          <w:szCs w:val="24"/>
          <w:lang w:bidi="en-US"/>
        </w:rPr>
        <w:t xml:space="preserve">328.8 </w:t>
      </w:r>
      <w:r w:rsidRPr="0046373E">
        <w:rPr>
          <w:rFonts w:ascii="Times New Roman" w:hAnsi="Times New Roman"/>
          <w:szCs w:val="24"/>
          <w:lang w:bidi="en-US"/>
        </w:rPr>
        <w:t>require</w:t>
      </w:r>
      <w:r w:rsidRPr="0046373E" w:rsidR="00E6172B">
        <w:rPr>
          <w:rFonts w:ascii="Times New Roman" w:hAnsi="Times New Roman"/>
          <w:szCs w:val="24"/>
          <w:lang w:bidi="en-US"/>
        </w:rPr>
        <w:t>s</w:t>
      </w:r>
      <w:r w:rsidRPr="0046373E">
        <w:rPr>
          <w:rFonts w:ascii="Times New Roman" w:hAnsi="Times New Roman"/>
          <w:szCs w:val="24"/>
          <w:lang w:bidi="en-US"/>
        </w:rPr>
        <w:t xml:space="preserve"> IDIs to establish and maintain written policies and procedures to achieve compliance with part 328, including the requirement to monitor and evaluate the activities of persons that provide deposit-related services to the Insured Depository Institution or offer the Insured Depository Institution’s deposit-related products or services to other parties. The FDIC believes the hourly burden for these activities can be categorized into two distinct ICs covering (1) implementation burdens incurred in the first year in which the policies and procedures are implemented and (2) ongoing burden incurred every subsequent year to maintain compliance. This IC captures the ongoing burden.</w:t>
      </w:r>
    </w:p>
    <w:p w:rsidR="005A1FB0" w:rsidRPr="0046373E" w:rsidP="004C6960" w14:paraId="2FF7589F" w14:textId="77777777">
      <w:pPr>
        <w:numPr>
          <w:ilvl w:val="0"/>
          <w:numId w:val="15"/>
        </w:numPr>
        <w:spacing w:after="120"/>
        <w:rPr>
          <w:rFonts w:ascii="Times New Roman" w:hAnsi="Times New Roman"/>
          <w:szCs w:val="24"/>
          <w:lang w:bidi="en-US"/>
        </w:rPr>
      </w:pPr>
      <w:r w:rsidRPr="0046373E">
        <w:rPr>
          <w:rFonts w:ascii="Times New Roman" w:hAnsi="Times New Roman"/>
          <w:b/>
          <w:bCs/>
          <w:szCs w:val="24"/>
          <w:lang w:bidi="en-US"/>
        </w:rPr>
        <w:t>Insured Depository Institution Relationships - Implementation 12 CFR 328.102(b)(5) (</w:t>
      </w:r>
      <w:r w:rsidRPr="0046373E" w:rsidR="00E6172B">
        <w:rPr>
          <w:rFonts w:ascii="Times New Roman" w:hAnsi="Times New Roman"/>
          <w:b/>
          <w:bCs/>
          <w:szCs w:val="24"/>
          <w:lang w:bidi="en-US"/>
        </w:rPr>
        <w:t xml:space="preserve">Third-Party Disclosure; </w:t>
      </w:r>
      <w:r w:rsidRPr="0046373E">
        <w:rPr>
          <w:rFonts w:ascii="Times New Roman" w:hAnsi="Times New Roman"/>
          <w:b/>
          <w:bCs/>
          <w:szCs w:val="24"/>
          <w:lang w:bidi="en-US"/>
        </w:rPr>
        <w:t xml:space="preserve">Mandatory). </w:t>
      </w:r>
      <w:r w:rsidRPr="0046373E" w:rsidR="00E6172B">
        <w:rPr>
          <w:rFonts w:ascii="Times New Roman" w:hAnsi="Times New Roman"/>
          <w:szCs w:val="24"/>
          <w:lang w:bidi="en-US"/>
        </w:rPr>
        <w:t xml:space="preserve">Section </w:t>
      </w:r>
      <w:r w:rsidRPr="0046373E">
        <w:rPr>
          <w:rFonts w:ascii="Times New Roman" w:hAnsi="Times New Roman"/>
          <w:szCs w:val="24"/>
          <w:lang w:bidi="en-US"/>
        </w:rPr>
        <w:t>328.102(b)(5) require</w:t>
      </w:r>
      <w:r w:rsidRPr="0046373E" w:rsidR="00E6172B">
        <w:rPr>
          <w:rFonts w:ascii="Times New Roman" w:hAnsi="Times New Roman"/>
          <w:szCs w:val="24"/>
          <w:lang w:bidi="en-US"/>
        </w:rPr>
        <w:t>s</w:t>
      </w:r>
      <w:r w:rsidRPr="0046373E">
        <w:rPr>
          <w:rFonts w:ascii="Times New Roman" w:hAnsi="Times New Roman"/>
          <w:szCs w:val="24"/>
          <w:lang w:bidi="en-US"/>
        </w:rPr>
        <w:t xml:space="preserve"> covered non-bank entities to ensure that their public statements regarding deposit insurance comply with the requirements in part 328. The FDIC believes the hourly burden for these activities can be categorized into two distinct ICs covering (1) implementation burdens incurred in the first year in which the public statements are amended and (2) ongoing burden incurred every subsequent year to ensure continual compliance. This IC captures the implementation burden.</w:t>
      </w:r>
    </w:p>
    <w:p w:rsidR="005A1FB0" w:rsidRPr="0046373E" w:rsidP="004C6960" w14:paraId="3F0F98B7" w14:textId="77777777">
      <w:pPr>
        <w:numPr>
          <w:ilvl w:val="0"/>
          <w:numId w:val="15"/>
        </w:numPr>
        <w:spacing w:after="120"/>
        <w:rPr>
          <w:rFonts w:ascii="Times New Roman" w:hAnsi="Times New Roman"/>
          <w:szCs w:val="24"/>
          <w:lang w:bidi="en-US"/>
        </w:rPr>
      </w:pPr>
      <w:r w:rsidRPr="0046373E">
        <w:rPr>
          <w:rFonts w:ascii="Times New Roman" w:hAnsi="Times New Roman"/>
          <w:b/>
          <w:iCs/>
          <w:szCs w:val="24"/>
          <w:lang w:bidi="en-US"/>
        </w:rPr>
        <w:t>Insured Depository Institution Relationships - Ongoing 12 CFR 328.102(b)(5) (</w:t>
      </w:r>
      <w:r w:rsidRPr="0046373E" w:rsidR="00E6172B">
        <w:rPr>
          <w:rFonts w:ascii="Times New Roman" w:hAnsi="Times New Roman"/>
          <w:b/>
          <w:iCs/>
          <w:szCs w:val="24"/>
          <w:lang w:bidi="en-US"/>
        </w:rPr>
        <w:t xml:space="preserve">Third-Party Disclosure; </w:t>
      </w:r>
      <w:r w:rsidRPr="0046373E">
        <w:rPr>
          <w:rFonts w:ascii="Times New Roman" w:hAnsi="Times New Roman"/>
          <w:b/>
          <w:iCs/>
          <w:szCs w:val="24"/>
          <w:lang w:bidi="en-US"/>
        </w:rPr>
        <w:t>Mandatory</w:t>
      </w:r>
      <w:r w:rsidRPr="0046373E">
        <w:rPr>
          <w:rFonts w:ascii="Times New Roman" w:hAnsi="Times New Roman"/>
          <w:iCs/>
          <w:szCs w:val="24"/>
          <w:lang w:bidi="en-US"/>
        </w:rPr>
        <w:t xml:space="preserve">). </w:t>
      </w:r>
      <w:r w:rsidRPr="0046373E" w:rsidR="00E6172B">
        <w:rPr>
          <w:rFonts w:ascii="Times New Roman" w:hAnsi="Times New Roman"/>
          <w:bCs/>
          <w:szCs w:val="24"/>
          <w:lang w:bidi="en-US"/>
        </w:rPr>
        <w:t xml:space="preserve">Section </w:t>
      </w:r>
      <w:r w:rsidRPr="0046373E">
        <w:rPr>
          <w:rFonts w:ascii="Times New Roman" w:hAnsi="Times New Roman"/>
          <w:iCs/>
          <w:szCs w:val="24"/>
          <w:lang w:bidi="en-US"/>
        </w:rPr>
        <w:t xml:space="preserve">328.102(b)(5) </w:t>
      </w:r>
      <w:r w:rsidRPr="0046373E">
        <w:rPr>
          <w:rFonts w:ascii="Times New Roman" w:hAnsi="Times New Roman"/>
          <w:szCs w:val="24"/>
          <w:lang w:bidi="en-US"/>
        </w:rPr>
        <w:t>require</w:t>
      </w:r>
      <w:r w:rsidRPr="0046373E" w:rsidR="00E6172B">
        <w:rPr>
          <w:rFonts w:ascii="Times New Roman" w:hAnsi="Times New Roman"/>
          <w:szCs w:val="24"/>
          <w:lang w:bidi="en-US"/>
        </w:rPr>
        <w:t>s</w:t>
      </w:r>
      <w:r w:rsidRPr="0046373E">
        <w:rPr>
          <w:rFonts w:ascii="Times New Roman" w:hAnsi="Times New Roman"/>
          <w:szCs w:val="24"/>
          <w:lang w:bidi="en-US"/>
        </w:rPr>
        <w:t xml:space="preserve"> covered non-bank entities to ensure that their public statements regarding deposit insurance comply with the requirements in part 328. The FDIC believes the hourly burden for these activities can be categorized into two distinct ICs covering (1) implementation burdens incurred in the first year in which the public statements are amended and (2) ongoing burden incurred every subsequent year to ensure continual compliance. This IC captures the ongoing burden.</w:t>
      </w:r>
    </w:p>
    <w:p w:rsidR="00CF591E" w:rsidRPr="00E913A6" w:rsidP="00743BBF" w14:paraId="21073357" w14:textId="57C4E333">
      <w:pPr>
        <w:numPr>
          <w:ilvl w:val="0"/>
          <w:numId w:val="15"/>
        </w:numPr>
        <w:spacing w:after="120"/>
        <w:rPr>
          <w:rFonts w:ascii="Times New Roman" w:hAnsi="Times New Roman"/>
          <w:szCs w:val="24"/>
          <w:lang w:bidi="en-US"/>
        </w:rPr>
      </w:pPr>
      <w:r w:rsidRPr="0046373E">
        <w:rPr>
          <w:rFonts w:ascii="Times New Roman" w:hAnsi="Times New Roman"/>
          <w:b/>
          <w:iCs/>
          <w:szCs w:val="24"/>
          <w:lang w:bidi="en-US"/>
        </w:rPr>
        <w:t xml:space="preserve">Request for Consent to Use Non-English Language Advertising Statement - </w:t>
      </w:r>
      <w:r w:rsidRPr="0046373E">
        <w:rPr>
          <w:rFonts w:ascii="Times New Roman" w:hAnsi="Times New Roman"/>
          <w:b/>
          <w:bCs/>
          <w:szCs w:val="24"/>
          <w:lang w:bidi="en-US"/>
        </w:rPr>
        <w:t xml:space="preserve">12 CFR </w:t>
      </w:r>
      <w:r w:rsidRPr="0046373E">
        <w:rPr>
          <w:rFonts w:ascii="Times New Roman" w:hAnsi="Times New Roman"/>
          <w:b/>
          <w:iCs/>
          <w:szCs w:val="24"/>
          <w:lang w:bidi="en-US"/>
        </w:rPr>
        <w:t>328.6(f) (</w:t>
      </w:r>
      <w:r w:rsidRPr="0046373E" w:rsidR="00E6172B">
        <w:rPr>
          <w:rFonts w:ascii="Times New Roman" w:hAnsi="Times New Roman"/>
          <w:b/>
          <w:iCs/>
          <w:szCs w:val="24"/>
          <w:lang w:bidi="en-US"/>
        </w:rPr>
        <w:t xml:space="preserve">Reporting; </w:t>
      </w:r>
      <w:r w:rsidRPr="0046373E">
        <w:rPr>
          <w:rFonts w:ascii="Times New Roman" w:hAnsi="Times New Roman"/>
          <w:b/>
          <w:szCs w:val="24"/>
          <w:lang w:bidi="en-US"/>
        </w:rPr>
        <w:t>Required to Obtain or Retain a Benefit).</w:t>
      </w:r>
      <w:r w:rsidRPr="0046373E">
        <w:rPr>
          <w:rFonts w:ascii="Times New Roman" w:hAnsi="Times New Roman"/>
          <w:szCs w:val="24"/>
          <w:lang w:bidi="en-US"/>
        </w:rPr>
        <w:t xml:space="preserve"> </w:t>
      </w:r>
      <w:r w:rsidRPr="0046373E" w:rsidR="00E6172B">
        <w:rPr>
          <w:rFonts w:ascii="Times New Roman" w:hAnsi="Times New Roman"/>
          <w:szCs w:val="24"/>
          <w:lang w:bidi="en-US"/>
        </w:rPr>
        <w:t xml:space="preserve">Section </w:t>
      </w:r>
      <w:r w:rsidRPr="0046373E">
        <w:rPr>
          <w:rFonts w:ascii="Times New Roman" w:hAnsi="Times New Roman"/>
          <w:bCs/>
          <w:szCs w:val="24"/>
          <w:lang w:bidi="en-US"/>
        </w:rPr>
        <w:t>328.6(f),</w:t>
      </w:r>
      <w:r w:rsidRPr="0046373E">
        <w:rPr>
          <w:rFonts w:ascii="Times New Roman" w:hAnsi="Times New Roman"/>
          <w:bCs/>
          <w:szCs w:val="24"/>
          <w:lang w:bidi="en-US"/>
        </w:rPr>
        <w:t xml:space="preserve"> </w:t>
      </w:r>
      <w:r w:rsidRPr="0046373E">
        <w:rPr>
          <w:rFonts w:ascii="Times New Roman" w:hAnsi="Times New Roman"/>
          <w:szCs w:val="24"/>
          <w:lang w:bidi="en-US"/>
        </w:rPr>
        <w:t xml:space="preserve">requires IDIs to obtain prior written approval of the FDIC before using a non-English </w:t>
      </w:r>
      <w:r w:rsidRPr="0046373E">
        <w:rPr>
          <w:rFonts w:ascii="Times New Roman" w:hAnsi="Times New Roman"/>
          <w:szCs w:val="24"/>
          <w:lang w:bidi="en-US"/>
        </w:rPr>
        <w:t xml:space="preserve">equivalent of the official FDIC advertising statement in an advertisement. </w:t>
      </w:r>
      <w:r w:rsidRPr="00E913A6">
        <w:rPr>
          <w:rFonts w:ascii="Times New Roman" w:hAnsi="Times New Roman"/>
          <w:szCs w:val="24"/>
          <w:lang w:bidi="en-US"/>
        </w:rPr>
        <w:t xml:space="preserve"> </w:t>
      </w:r>
    </w:p>
    <w:p w:rsidR="002B705A" w:rsidRPr="00C21C3A" w:rsidP="00C21C3A" w14:paraId="23691A9B" w14:textId="7A4E184D">
      <w:pPr>
        <w:spacing w:after="120"/>
        <w:rPr>
          <w:rFonts w:ascii="Times New Roman" w:hAnsi="Times New Roman"/>
          <w:b/>
          <w:bCs/>
          <w:iCs/>
          <w:szCs w:val="24"/>
          <w:lang w:bidi="en-US"/>
        </w:rPr>
      </w:pPr>
      <w:r w:rsidRPr="00C21C3A">
        <w:rPr>
          <w:rFonts w:ascii="Times New Roman" w:hAnsi="Times New Roman"/>
          <w:b/>
          <w:bCs/>
          <w:iCs/>
          <w:szCs w:val="24"/>
          <w:lang w:bidi="en-US"/>
        </w:rPr>
        <w:t xml:space="preserve">Estimated Annual Burden Summary </w:t>
      </w:r>
    </w:p>
    <w:p w:rsidR="002B705A" w:rsidRPr="00743BBF" w:rsidP="00257644" w14:paraId="1C36A47D" w14:textId="3C10E9AB">
      <w:pPr>
        <w:spacing w:after="120"/>
        <w:rPr>
          <w:rFonts w:ascii="Times New Roman" w:hAnsi="Times New Roman"/>
          <w:szCs w:val="24"/>
          <w:lang w:bidi="en-US"/>
        </w:rPr>
      </w:pPr>
      <w:r w:rsidRPr="00174506">
        <w:rPr>
          <w:rFonts w:ascii="Times New Roman" w:hAnsi="Times New Roman"/>
          <w:szCs w:val="24"/>
          <w:lang w:bidi="en-US"/>
        </w:rPr>
        <w:t xml:space="preserve">The estimated annual burden for OMB No. 3064-0219 </w:t>
      </w:r>
      <w:r w:rsidR="00583EE2">
        <w:rPr>
          <w:rFonts w:ascii="Times New Roman" w:hAnsi="Times New Roman"/>
          <w:szCs w:val="24"/>
          <w:lang w:bidi="en-US"/>
        </w:rPr>
        <w:t>is</w:t>
      </w:r>
      <w:r w:rsidRPr="00174506">
        <w:rPr>
          <w:rFonts w:ascii="Times New Roman" w:hAnsi="Times New Roman"/>
          <w:szCs w:val="24"/>
          <w:lang w:bidi="en-US"/>
        </w:rPr>
        <w:t xml:space="preserve"> 355,389 hours as shown in Table 1, a decrease of 52,945 hours from the 2024 ICR estimate (408,334 hours). </w:t>
      </w:r>
      <w:r w:rsidR="00E913A6">
        <w:rPr>
          <w:rFonts w:ascii="Times New Roman" w:hAnsi="Times New Roman"/>
          <w:szCs w:val="24"/>
          <w:lang w:bidi="en-US"/>
        </w:rPr>
        <w:t>T</w:t>
      </w:r>
      <w:r w:rsidRPr="00174506">
        <w:rPr>
          <w:rFonts w:ascii="Times New Roman" w:hAnsi="Times New Roman"/>
          <w:szCs w:val="24"/>
          <w:lang w:bidi="en-US"/>
        </w:rPr>
        <w:t xml:space="preserve">he reduction in estimated annual burden comes from (i) a decrease in the number of respondents due to fewer IDIs over time, (ii) a decrease in the average number of branches over time, and (iii) lower average time per response expected for ICs 3-5, associated with the 2026 FR amendments to 12 CFR sections 328.4 and 328.5. </w:t>
      </w:r>
    </w:p>
    <w:tbl>
      <w:tblPr>
        <w:tblW w:w="9247" w:type="dxa"/>
        <w:tblCellMar>
          <w:top w:w="15" w:type="dxa"/>
        </w:tblCellMar>
        <w:tblLook w:val="04A0"/>
      </w:tblPr>
      <w:tblGrid>
        <w:gridCol w:w="2303"/>
        <w:gridCol w:w="1554"/>
        <w:gridCol w:w="1313"/>
        <w:gridCol w:w="1651"/>
        <w:gridCol w:w="1089"/>
        <w:gridCol w:w="1115"/>
        <w:gridCol w:w="222"/>
      </w:tblGrid>
      <w:tr w14:paraId="782EEE9D" w14:textId="77777777" w:rsidTr="002A1639">
        <w:tblPrEx>
          <w:tblW w:w="9247" w:type="dxa"/>
          <w:tblCellMar>
            <w:top w:w="15" w:type="dxa"/>
          </w:tblCellMar>
          <w:tblLook w:val="04A0"/>
        </w:tblPrEx>
        <w:trPr>
          <w:gridAfter w:val="1"/>
          <w:wAfter w:w="222" w:type="dxa"/>
          <w:trHeight w:val="360"/>
        </w:trPr>
        <w:tc>
          <w:tcPr>
            <w:tcW w:w="9025" w:type="dxa"/>
            <w:gridSpan w:val="6"/>
            <w:tcBorders>
              <w:top w:val="single" w:sz="8" w:space="0" w:color="auto"/>
              <w:left w:val="single" w:sz="8" w:space="0" w:color="auto"/>
              <w:bottom w:val="single" w:sz="8" w:space="0" w:color="auto"/>
              <w:right w:val="single" w:sz="8" w:space="0" w:color="000000"/>
            </w:tcBorders>
            <w:vAlign w:val="center"/>
            <w:hideMark/>
          </w:tcPr>
          <w:p w:rsidR="00D3496E" w:rsidRPr="005D02F4" w:rsidP="002A1639" w14:paraId="36731665" w14:textId="77777777">
            <w:pPr>
              <w:jc w:val="center"/>
              <w:rPr>
                <w:rFonts w:ascii="Source Sans Pro" w:hAnsi="Source Sans Pro" w:cs="Calibri"/>
                <w:szCs w:val="24"/>
              </w:rPr>
            </w:pPr>
            <w:r w:rsidRPr="005D02F4">
              <w:rPr>
                <w:rFonts w:ascii="Source Sans Pro" w:hAnsi="Source Sans Pro" w:cs="Calibri"/>
                <w:szCs w:val="24"/>
              </w:rPr>
              <w:t>Table 1. Summary of Estimated Annual Burden (OMB No. 3064-0219)</w:t>
            </w:r>
          </w:p>
        </w:tc>
      </w:tr>
      <w:tr w14:paraId="715D2F2C" w14:textId="77777777" w:rsidTr="002A1639">
        <w:tblPrEx>
          <w:tblW w:w="9247" w:type="dxa"/>
          <w:tblCellMar>
            <w:top w:w="15" w:type="dxa"/>
          </w:tblCellMar>
          <w:tblLook w:val="04A0"/>
        </w:tblPrEx>
        <w:trPr>
          <w:gridAfter w:val="1"/>
          <w:wAfter w:w="222" w:type="dxa"/>
          <w:trHeight w:val="1140"/>
        </w:trPr>
        <w:tc>
          <w:tcPr>
            <w:tcW w:w="2303" w:type="dxa"/>
            <w:tcBorders>
              <w:top w:val="nil"/>
              <w:left w:val="single" w:sz="8" w:space="0" w:color="auto"/>
              <w:bottom w:val="single" w:sz="8" w:space="0" w:color="auto"/>
              <w:right w:val="single" w:sz="8" w:space="0" w:color="auto"/>
            </w:tcBorders>
            <w:vAlign w:val="center"/>
            <w:hideMark/>
          </w:tcPr>
          <w:p w:rsidR="00D3496E" w:rsidRPr="005D02F4" w:rsidP="002A1639" w14:paraId="3B84F9A4" w14:textId="77777777">
            <w:pPr>
              <w:rPr>
                <w:rFonts w:ascii="Source Sans Pro" w:hAnsi="Source Sans Pro" w:cs="Calibri"/>
                <w:sz w:val="20"/>
              </w:rPr>
            </w:pPr>
            <w:r w:rsidRPr="005D02F4">
              <w:rPr>
                <w:rFonts w:ascii="Source Sans Pro" w:hAnsi="Source Sans Pro" w:cs="Calibri"/>
                <w:sz w:val="20"/>
              </w:rPr>
              <w:t>Information Collection (IC) (Obligation to Respond)</w:t>
            </w:r>
          </w:p>
        </w:tc>
        <w:tc>
          <w:tcPr>
            <w:tcW w:w="1554" w:type="dxa"/>
            <w:tcBorders>
              <w:top w:val="nil"/>
              <w:left w:val="nil"/>
              <w:bottom w:val="single" w:sz="8" w:space="0" w:color="auto"/>
              <w:right w:val="single" w:sz="8" w:space="0" w:color="auto"/>
            </w:tcBorders>
            <w:vAlign w:val="center"/>
            <w:hideMark/>
          </w:tcPr>
          <w:p w:rsidR="00D3496E" w:rsidRPr="005D02F4" w:rsidP="002A1639" w14:paraId="7769E51D" w14:textId="77777777">
            <w:pPr>
              <w:jc w:val="center"/>
              <w:rPr>
                <w:rFonts w:ascii="Source Sans Pro" w:hAnsi="Source Sans Pro" w:cs="Calibri"/>
                <w:sz w:val="20"/>
              </w:rPr>
            </w:pPr>
            <w:r w:rsidRPr="005D02F4">
              <w:rPr>
                <w:rFonts w:ascii="Source Sans Pro" w:hAnsi="Source Sans Pro" w:cs="Calibri"/>
                <w:sz w:val="20"/>
              </w:rPr>
              <w:t>Type of Burden</w:t>
            </w:r>
            <w:r w:rsidRPr="005D02F4">
              <w:rPr>
                <w:rFonts w:ascii="Source Sans Pro" w:hAnsi="Source Sans Pro" w:cs="Calibri"/>
                <w:sz w:val="20"/>
              </w:rPr>
              <w:br/>
              <w:t>(Frequency of Response)</w:t>
            </w:r>
          </w:p>
        </w:tc>
        <w:tc>
          <w:tcPr>
            <w:tcW w:w="1313" w:type="dxa"/>
            <w:tcBorders>
              <w:top w:val="nil"/>
              <w:left w:val="nil"/>
              <w:bottom w:val="single" w:sz="8" w:space="0" w:color="auto"/>
              <w:right w:val="single" w:sz="8" w:space="0" w:color="auto"/>
            </w:tcBorders>
            <w:vAlign w:val="center"/>
            <w:hideMark/>
          </w:tcPr>
          <w:p w:rsidR="00D3496E" w:rsidRPr="005D02F4" w:rsidP="002A1639" w14:paraId="34876FE3" w14:textId="77777777">
            <w:pPr>
              <w:jc w:val="center"/>
              <w:rPr>
                <w:rFonts w:ascii="Source Sans Pro" w:hAnsi="Source Sans Pro" w:cs="Calibri"/>
                <w:sz w:val="20"/>
              </w:rPr>
            </w:pPr>
            <w:r w:rsidRPr="005D02F4">
              <w:rPr>
                <w:rFonts w:ascii="Source Sans Pro" w:hAnsi="Source Sans Pro" w:cs="Calibri"/>
                <w:sz w:val="20"/>
              </w:rPr>
              <w:t xml:space="preserve"> Number of Respondents</w:t>
            </w:r>
          </w:p>
        </w:tc>
        <w:tc>
          <w:tcPr>
            <w:tcW w:w="1651" w:type="dxa"/>
            <w:tcBorders>
              <w:top w:val="nil"/>
              <w:left w:val="nil"/>
              <w:bottom w:val="single" w:sz="8" w:space="0" w:color="auto"/>
              <w:right w:val="single" w:sz="8" w:space="0" w:color="auto"/>
            </w:tcBorders>
            <w:vAlign w:val="center"/>
            <w:hideMark/>
          </w:tcPr>
          <w:p w:rsidR="00D3496E" w:rsidRPr="005D02F4" w:rsidP="002A1639" w14:paraId="4ADC3619" w14:textId="77777777">
            <w:pPr>
              <w:jc w:val="center"/>
              <w:rPr>
                <w:rFonts w:ascii="Source Sans Pro" w:hAnsi="Source Sans Pro" w:cs="Calibri"/>
                <w:sz w:val="20"/>
              </w:rPr>
            </w:pPr>
            <w:r w:rsidRPr="005D02F4">
              <w:rPr>
                <w:rFonts w:ascii="Source Sans Pro" w:hAnsi="Source Sans Pro" w:cs="Calibri"/>
                <w:sz w:val="20"/>
              </w:rPr>
              <w:t xml:space="preserve"> Number of Responses per Respondent</w:t>
            </w:r>
          </w:p>
        </w:tc>
        <w:tc>
          <w:tcPr>
            <w:tcW w:w="1089" w:type="dxa"/>
            <w:tcBorders>
              <w:top w:val="nil"/>
              <w:left w:val="nil"/>
              <w:bottom w:val="single" w:sz="8" w:space="0" w:color="auto"/>
              <w:right w:val="single" w:sz="8" w:space="0" w:color="auto"/>
            </w:tcBorders>
            <w:vAlign w:val="center"/>
            <w:hideMark/>
          </w:tcPr>
          <w:p w:rsidR="00D3496E" w:rsidRPr="005D02F4" w:rsidP="002A1639" w14:paraId="7D1446BA" w14:textId="77777777">
            <w:pPr>
              <w:jc w:val="center"/>
              <w:rPr>
                <w:rFonts w:ascii="Source Sans Pro" w:hAnsi="Source Sans Pro" w:cs="Calibri"/>
                <w:sz w:val="20"/>
              </w:rPr>
            </w:pPr>
            <w:r w:rsidRPr="005D02F4">
              <w:rPr>
                <w:rFonts w:ascii="Source Sans Pro" w:hAnsi="Source Sans Pro" w:cs="Calibri"/>
                <w:sz w:val="20"/>
              </w:rPr>
              <w:t>Average Time per Response (HH:MM)</w:t>
            </w:r>
          </w:p>
        </w:tc>
        <w:tc>
          <w:tcPr>
            <w:tcW w:w="1115" w:type="dxa"/>
            <w:tcBorders>
              <w:top w:val="nil"/>
              <w:left w:val="nil"/>
              <w:bottom w:val="single" w:sz="8" w:space="0" w:color="auto"/>
              <w:right w:val="single" w:sz="8" w:space="0" w:color="auto"/>
            </w:tcBorders>
            <w:vAlign w:val="center"/>
            <w:hideMark/>
          </w:tcPr>
          <w:p w:rsidR="00D3496E" w:rsidRPr="005D02F4" w:rsidP="002A1639" w14:paraId="0DEA521F" w14:textId="77777777">
            <w:pPr>
              <w:jc w:val="center"/>
              <w:rPr>
                <w:rFonts w:ascii="Source Sans Pro" w:hAnsi="Source Sans Pro" w:cs="Calibri"/>
                <w:sz w:val="20"/>
              </w:rPr>
            </w:pPr>
            <w:r w:rsidRPr="005D02F4">
              <w:rPr>
                <w:rFonts w:ascii="Source Sans Pro" w:hAnsi="Source Sans Pro" w:cs="Calibri"/>
                <w:sz w:val="20"/>
              </w:rPr>
              <w:t>Annual Burden (Hours)</w:t>
            </w:r>
          </w:p>
        </w:tc>
      </w:tr>
      <w:tr w14:paraId="223CE50A" w14:textId="77777777" w:rsidTr="002A1639">
        <w:tblPrEx>
          <w:tblW w:w="9247" w:type="dxa"/>
          <w:tblCellMar>
            <w:top w:w="15" w:type="dxa"/>
          </w:tblCellMar>
          <w:tblLook w:val="04A0"/>
        </w:tblPrEx>
        <w:trPr>
          <w:gridAfter w:val="1"/>
          <w:wAfter w:w="222" w:type="dxa"/>
          <w:trHeight w:val="825"/>
        </w:trPr>
        <w:tc>
          <w:tcPr>
            <w:tcW w:w="2303" w:type="dxa"/>
            <w:tcBorders>
              <w:top w:val="nil"/>
              <w:left w:val="single" w:sz="8" w:space="0" w:color="auto"/>
              <w:bottom w:val="single" w:sz="8" w:space="0" w:color="auto"/>
              <w:right w:val="single" w:sz="8" w:space="0" w:color="auto"/>
            </w:tcBorders>
            <w:vAlign w:val="center"/>
            <w:hideMark/>
          </w:tcPr>
          <w:p w:rsidR="00D3496E" w:rsidRPr="005D02F4" w:rsidP="002A1639" w14:paraId="1EE7A8DE" w14:textId="77777777">
            <w:pPr>
              <w:rPr>
                <w:rFonts w:ascii="Source Sans Pro" w:hAnsi="Source Sans Pro" w:cs="Calibri"/>
                <w:sz w:val="20"/>
              </w:rPr>
            </w:pPr>
            <w:r w:rsidRPr="005D02F4">
              <w:rPr>
                <w:rFonts w:ascii="Source Sans Pro" w:hAnsi="Source Sans Pro" w:cs="Calibri"/>
                <w:sz w:val="20"/>
              </w:rPr>
              <w:t>1. Signs within Institution Premises –Banks &lt; $10B, 12 CFR 328.3 (Mandatory)</w:t>
            </w:r>
          </w:p>
        </w:tc>
        <w:tc>
          <w:tcPr>
            <w:tcW w:w="1554" w:type="dxa"/>
            <w:tcBorders>
              <w:top w:val="nil"/>
              <w:left w:val="nil"/>
              <w:bottom w:val="single" w:sz="8" w:space="0" w:color="auto"/>
              <w:right w:val="single" w:sz="8" w:space="0" w:color="auto"/>
            </w:tcBorders>
            <w:vAlign w:val="center"/>
            <w:hideMark/>
          </w:tcPr>
          <w:p w:rsidR="00D3496E" w:rsidRPr="005D02F4" w:rsidP="002A1639" w14:paraId="3846061F" w14:textId="77777777">
            <w:pPr>
              <w:jc w:val="center"/>
              <w:rPr>
                <w:rFonts w:ascii="Source Sans Pro" w:hAnsi="Source Sans Pro" w:cs="Calibri"/>
                <w:sz w:val="20"/>
              </w:rPr>
            </w:pPr>
            <w:r w:rsidRPr="005D02F4">
              <w:rPr>
                <w:rFonts w:ascii="Source Sans Pro" w:hAnsi="Source Sans Pro" w:cs="Calibri"/>
                <w:sz w:val="20"/>
              </w:rPr>
              <w:t>Third-Party Disclosure</w:t>
            </w:r>
            <w:r w:rsidRPr="005D02F4">
              <w:rPr>
                <w:rFonts w:ascii="Source Sans Pro" w:hAnsi="Source Sans Pro" w:cs="Calibri"/>
                <w:sz w:val="20"/>
              </w:rPr>
              <w:br/>
              <w:t>(Annual)</w:t>
            </w:r>
          </w:p>
        </w:tc>
        <w:tc>
          <w:tcPr>
            <w:tcW w:w="1313" w:type="dxa"/>
            <w:tcBorders>
              <w:top w:val="nil"/>
              <w:left w:val="nil"/>
              <w:bottom w:val="single" w:sz="8" w:space="0" w:color="auto"/>
              <w:right w:val="single" w:sz="8" w:space="0" w:color="auto"/>
            </w:tcBorders>
            <w:noWrap/>
            <w:vAlign w:val="center"/>
            <w:hideMark/>
          </w:tcPr>
          <w:p w:rsidR="00D3496E" w:rsidRPr="005D02F4" w:rsidP="002A1639" w14:paraId="716592F3" w14:textId="77777777">
            <w:pPr>
              <w:jc w:val="right"/>
              <w:rPr>
                <w:rFonts w:ascii="Source Sans Pro" w:hAnsi="Source Sans Pro" w:cs="Calibri"/>
                <w:sz w:val="20"/>
              </w:rPr>
            </w:pPr>
            <w:r w:rsidRPr="005D02F4">
              <w:rPr>
                <w:rFonts w:ascii="Source Sans Pro" w:hAnsi="Source Sans Pro" w:cs="Calibri"/>
                <w:sz w:val="20"/>
              </w:rPr>
              <w:t>4,231</w:t>
            </w:r>
          </w:p>
        </w:tc>
        <w:tc>
          <w:tcPr>
            <w:tcW w:w="1651" w:type="dxa"/>
            <w:tcBorders>
              <w:top w:val="nil"/>
              <w:left w:val="nil"/>
              <w:bottom w:val="single" w:sz="8" w:space="0" w:color="auto"/>
              <w:right w:val="single" w:sz="8" w:space="0" w:color="auto"/>
            </w:tcBorders>
            <w:noWrap/>
            <w:vAlign w:val="center"/>
            <w:hideMark/>
          </w:tcPr>
          <w:p w:rsidR="00D3496E" w:rsidRPr="005D02F4" w:rsidP="002A1639" w14:paraId="60C35D40" w14:textId="77777777">
            <w:pPr>
              <w:jc w:val="right"/>
              <w:rPr>
                <w:rFonts w:ascii="Source Sans Pro" w:hAnsi="Source Sans Pro" w:cs="Calibri"/>
                <w:sz w:val="20"/>
              </w:rPr>
            </w:pPr>
            <w:r w:rsidRPr="005D02F4">
              <w:rPr>
                <w:rFonts w:ascii="Source Sans Pro" w:hAnsi="Source Sans Pro" w:cs="Calibri"/>
                <w:sz w:val="20"/>
              </w:rPr>
              <w:t>8</w:t>
            </w:r>
          </w:p>
        </w:tc>
        <w:tc>
          <w:tcPr>
            <w:tcW w:w="1089" w:type="dxa"/>
            <w:tcBorders>
              <w:top w:val="nil"/>
              <w:left w:val="nil"/>
              <w:bottom w:val="single" w:sz="8" w:space="0" w:color="auto"/>
              <w:right w:val="nil"/>
            </w:tcBorders>
            <w:vAlign w:val="center"/>
            <w:hideMark/>
          </w:tcPr>
          <w:p w:rsidR="00D3496E" w:rsidRPr="005D02F4" w:rsidP="002A1639" w14:paraId="41DD4C86" w14:textId="77777777">
            <w:pPr>
              <w:jc w:val="right"/>
              <w:rPr>
                <w:rFonts w:ascii="Source Sans Pro" w:hAnsi="Source Sans Pro" w:cs="Calibri"/>
                <w:sz w:val="20"/>
              </w:rPr>
            </w:pPr>
            <w:r w:rsidRPr="005D02F4">
              <w:rPr>
                <w:rFonts w:ascii="Source Sans Pro" w:hAnsi="Source Sans Pro" w:cs="Calibri"/>
                <w:sz w:val="20"/>
              </w:rPr>
              <w:t>1:00</w:t>
            </w:r>
          </w:p>
        </w:tc>
        <w:tc>
          <w:tcPr>
            <w:tcW w:w="1115" w:type="dxa"/>
            <w:tcBorders>
              <w:top w:val="nil"/>
              <w:left w:val="single" w:sz="8" w:space="0" w:color="auto"/>
              <w:bottom w:val="single" w:sz="8" w:space="0" w:color="auto"/>
              <w:right w:val="single" w:sz="8" w:space="0" w:color="auto"/>
            </w:tcBorders>
            <w:noWrap/>
            <w:vAlign w:val="center"/>
            <w:hideMark/>
          </w:tcPr>
          <w:p w:rsidR="00D3496E" w:rsidRPr="005D02F4" w:rsidP="002A1639" w14:paraId="61CD7636" w14:textId="77777777">
            <w:pPr>
              <w:jc w:val="right"/>
              <w:rPr>
                <w:rFonts w:ascii="Source Sans Pro" w:hAnsi="Source Sans Pro" w:cs="Calibri"/>
                <w:sz w:val="20"/>
              </w:rPr>
            </w:pPr>
            <w:r w:rsidRPr="005D02F4">
              <w:rPr>
                <w:rFonts w:ascii="Source Sans Pro" w:hAnsi="Source Sans Pro" w:cs="Calibri"/>
                <w:sz w:val="20"/>
              </w:rPr>
              <w:t>33,848</w:t>
            </w:r>
          </w:p>
        </w:tc>
      </w:tr>
      <w:tr w14:paraId="5614D6DB" w14:textId="77777777" w:rsidTr="002A1639">
        <w:tblPrEx>
          <w:tblW w:w="9247" w:type="dxa"/>
          <w:tblCellMar>
            <w:top w:w="15" w:type="dxa"/>
          </w:tblCellMar>
          <w:tblLook w:val="04A0"/>
        </w:tblPrEx>
        <w:trPr>
          <w:gridAfter w:val="1"/>
          <w:wAfter w:w="222" w:type="dxa"/>
          <w:trHeight w:val="825"/>
        </w:trPr>
        <w:tc>
          <w:tcPr>
            <w:tcW w:w="2303" w:type="dxa"/>
            <w:tcBorders>
              <w:top w:val="nil"/>
              <w:left w:val="single" w:sz="8" w:space="0" w:color="auto"/>
              <w:bottom w:val="single" w:sz="8" w:space="0" w:color="auto"/>
              <w:right w:val="single" w:sz="8" w:space="0" w:color="auto"/>
            </w:tcBorders>
            <w:vAlign w:val="center"/>
            <w:hideMark/>
          </w:tcPr>
          <w:p w:rsidR="00D3496E" w:rsidRPr="005D02F4" w:rsidP="002A1639" w14:paraId="152B67EF" w14:textId="77777777">
            <w:pPr>
              <w:rPr>
                <w:rFonts w:ascii="Source Sans Pro" w:hAnsi="Source Sans Pro" w:cs="Calibri"/>
                <w:sz w:val="20"/>
              </w:rPr>
            </w:pPr>
            <w:r w:rsidRPr="005D02F4">
              <w:rPr>
                <w:rFonts w:ascii="Source Sans Pro" w:hAnsi="Source Sans Pro" w:cs="Calibri"/>
                <w:sz w:val="20"/>
              </w:rPr>
              <w:t xml:space="preserve">2. Signs within Institution Premises –Banks &gt;= $10B, 12 CFR 328.3 (Mandatory). </w:t>
            </w:r>
          </w:p>
        </w:tc>
        <w:tc>
          <w:tcPr>
            <w:tcW w:w="1554" w:type="dxa"/>
            <w:tcBorders>
              <w:top w:val="nil"/>
              <w:left w:val="nil"/>
              <w:bottom w:val="single" w:sz="8" w:space="0" w:color="auto"/>
              <w:right w:val="single" w:sz="8" w:space="0" w:color="auto"/>
            </w:tcBorders>
            <w:vAlign w:val="center"/>
            <w:hideMark/>
          </w:tcPr>
          <w:p w:rsidR="00D3496E" w:rsidRPr="005D02F4" w:rsidP="002A1639" w14:paraId="3D3EF140" w14:textId="77777777">
            <w:pPr>
              <w:jc w:val="center"/>
              <w:rPr>
                <w:rFonts w:ascii="Source Sans Pro" w:hAnsi="Source Sans Pro" w:cs="Calibri"/>
                <w:sz w:val="20"/>
              </w:rPr>
            </w:pPr>
            <w:r w:rsidRPr="005D02F4">
              <w:rPr>
                <w:rFonts w:ascii="Source Sans Pro" w:hAnsi="Source Sans Pro" w:cs="Calibri"/>
                <w:sz w:val="20"/>
              </w:rPr>
              <w:t>Third-Party Disclosure</w:t>
            </w:r>
            <w:r w:rsidRPr="005D02F4">
              <w:rPr>
                <w:rFonts w:ascii="Source Sans Pro" w:hAnsi="Source Sans Pro" w:cs="Calibri"/>
                <w:sz w:val="20"/>
              </w:rPr>
              <w:br/>
              <w:t>(Annual)</w:t>
            </w:r>
          </w:p>
        </w:tc>
        <w:tc>
          <w:tcPr>
            <w:tcW w:w="1313" w:type="dxa"/>
            <w:tcBorders>
              <w:top w:val="nil"/>
              <w:left w:val="nil"/>
              <w:bottom w:val="single" w:sz="8" w:space="0" w:color="auto"/>
              <w:right w:val="single" w:sz="8" w:space="0" w:color="auto"/>
            </w:tcBorders>
            <w:noWrap/>
            <w:vAlign w:val="center"/>
            <w:hideMark/>
          </w:tcPr>
          <w:p w:rsidR="00D3496E" w:rsidRPr="005D02F4" w:rsidP="002A1639" w14:paraId="32B9EB48" w14:textId="77777777">
            <w:pPr>
              <w:jc w:val="right"/>
              <w:rPr>
                <w:rFonts w:ascii="Source Sans Pro" w:hAnsi="Source Sans Pro" w:cs="Calibri"/>
                <w:sz w:val="20"/>
              </w:rPr>
            </w:pPr>
            <w:r w:rsidRPr="005D02F4">
              <w:rPr>
                <w:rFonts w:ascii="Source Sans Pro" w:hAnsi="Source Sans Pro" w:cs="Calibri"/>
                <w:sz w:val="20"/>
              </w:rPr>
              <w:t>157</w:t>
            </w:r>
          </w:p>
        </w:tc>
        <w:tc>
          <w:tcPr>
            <w:tcW w:w="1651" w:type="dxa"/>
            <w:tcBorders>
              <w:top w:val="nil"/>
              <w:left w:val="nil"/>
              <w:bottom w:val="single" w:sz="8" w:space="0" w:color="auto"/>
              <w:right w:val="single" w:sz="8" w:space="0" w:color="auto"/>
            </w:tcBorders>
            <w:noWrap/>
            <w:vAlign w:val="center"/>
            <w:hideMark/>
          </w:tcPr>
          <w:p w:rsidR="00D3496E" w:rsidRPr="005D02F4" w:rsidP="002A1639" w14:paraId="21840A7E" w14:textId="77777777">
            <w:pPr>
              <w:jc w:val="right"/>
              <w:rPr>
                <w:rFonts w:ascii="Source Sans Pro" w:hAnsi="Source Sans Pro" w:cs="Calibri"/>
                <w:sz w:val="20"/>
              </w:rPr>
            </w:pPr>
            <w:r w:rsidRPr="005D02F4">
              <w:rPr>
                <w:rFonts w:ascii="Source Sans Pro" w:hAnsi="Source Sans Pro" w:cs="Calibri"/>
                <w:sz w:val="20"/>
              </w:rPr>
              <w:t>276</w:t>
            </w:r>
          </w:p>
        </w:tc>
        <w:tc>
          <w:tcPr>
            <w:tcW w:w="1089" w:type="dxa"/>
            <w:tcBorders>
              <w:top w:val="nil"/>
              <w:left w:val="nil"/>
              <w:bottom w:val="single" w:sz="8" w:space="0" w:color="auto"/>
              <w:right w:val="nil"/>
            </w:tcBorders>
            <w:vAlign w:val="center"/>
            <w:hideMark/>
          </w:tcPr>
          <w:p w:rsidR="00D3496E" w:rsidRPr="005D02F4" w:rsidP="002A1639" w14:paraId="61933560" w14:textId="77777777">
            <w:pPr>
              <w:jc w:val="right"/>
              <w:rPr>
                <w:rFonts w:ascii="Source Sans Pro" w:hAnsi="Source Sans Pro" w:cs="Calibri"/>
                <w:sz w:val="20"/>
              </w:rPr>
            </w:pPr>
            <w:r w:rsidRPr="005D02F4">
              <w:rPr>
                <w:rFonts w:ascii="Source Sans Pro" w:hAnsi="Source Sans Pro" w:cs="Calibri"/>
                <w:sz w:val="20"/>
              </w:rPr>
              <w:t>2:00</w:t>
            </w:r>
          </w:p>
        </w:tc>
        <w:tc>
          <w:tcPr>
            <w:tcW w:w="1115" w:type="dxa"/>
            <w:tcBorders>
              <w:top w:val="nil"/>
              <w:left w:val="single" w:sz="8" w:space="0" w:color="auto"/>
              <w:bottom w:val="single" w:sz="8" w:space="0" w:color="auto"/>
              <w:right w:val="single" w:sz="8" w:space="0" w:color="auto"/>
            </w:tcBorders>
            <w:noWrap/>
            <w:vAlign w:val="center"/>
            <w:hideMark/>
          </w:tcPr>
          <w:p w:rsidR="00D3496E" w:rsidRPr="005D02F4" w:rsidP="002A1639" w14:paraId="67738727" w14:textId="77777777">
            <w:pPr>
              <w:jc w:val="right"/>
              <w:rPr>
                <w:rFonts w:ascii="Source Sans Pro" w:hAnsi="Source Sans Pro" w:cs="Calibri"/>
                <w:sz w:val="20"/>
              </w:rPr>
            </w:pPr>
            <w:r w:rsidRPr="005D02F4">
              <w:rPr>
                <w:rFonts w:ascii="Source Sans Pro" w:hAnsi="Source Sans Pro" w:cs="Calibri"/>
                <w:sz w:val="20"/>
              </w:rPr>
              <w:t>86,664</w:t>
            </w:r>
          </w:p>
        </w:tc>
      </w:tr>
      <w:tr w14:paraId="585BE5A6" w14:textId="77777777" w:rsidTr="002A1639">
        <w:tblPrEx>
          <w:tblW w:w="9247" w:type="dxa"/>
          <w:tblCellMar>
            <w:top w:w="15" w:type="dxa"/>
          </w:tblCellMar>
          <w:tblLook w:val="04A0"/>
        </w:tblPrEx>
        <w:trPr>
          <w:gridAfter w:val="1"/>
          <w:wAfter w:w="222" w:type="dxa"/>
          <w:trHeight w:val="960"/>
        </w:trPr>
        <w:tc>
          <w:tcPr>
            <w:tcW w:w="2303" w:type="dxa"/>
            <w:tcBorders>
              <w:top w:val="nil"/>
              <w:left w:val="single" w:sz="8" w:space="0" w:color="auto"/>
              <w:bottom w:val="single" w:sz="8" w:space="0" w:color="auto"/>
              <w:right w:val="single" w:sz="8" w:space="0" w:color="auto"/>
            </w:tcBorders>
            <w:vAlign w:val="center"/>
            <w:hideMark/>
          </w:tcPr>
          <w:p w:rsidR="00D3496E" w:rsidRPr="005D02F4" w:rsidP="002A1639" w14:paraId="78837AC7" w14:textId="77777777">
            <w:pPr>
              <w:rPr>
                <w:rFonts w:ascii="Source Sans Pro" w:hAnsi="Source Sans Pro" w:cs="Calibri"/>
                <w:sz w:val="20"/>
              </w:rPr>
            </w:pPr>
            <w:r w:rsidRPr="005D02F4">
              <w:rPr>
                <w:rFonts w:ascii="Source Sans Pro" w:hAnsi="Source Sans Pro" w:cs="Calibri"/>
                <w:sz w:val="20"/>
              </w:rPr>
              <w:t xml:space="preserve">3. Signage for ATMs and Digital Deposit-taking Channels – Implementation, 12 CFR 328.4 and .5 (Mandatory). </w:t>
            </w:r>
          </w:p>
        </w:tc>
        <w:tc>
          <w:tcPr>
            <w:tcW w:w="1554" w:type="dxa"/>
            <w:tcBorders>
              <w:top w:val="nil"/>
              <w:left w:val="nil"/>
              <w:bottom w:val="single" w:sz="8" w:space="0" w:color="auto"/>
              <w:right w:val="single" w:sz="8" w:space="0" w:color="auto"/>
            </w:tcBorders>
            <w:vAlign w:val="center"/>
            <w:hideMark/>
          </w:tcPr>
          <w:p w:rsidR="00D3496E" w:rsidRPr="005D02F4" w:rsidP="002A1639" w14:paraId="670A21B9" w14:textId="77777777">
            <w:pPr>
              <w:jc w:val="center"/>
              <w:rPr>
                <w:rFonts w:ascii="Source Sans Pro" w:hAnsi="Source Sans Pro" w:cs="Calibri"/>
                <w:sz w:val="20"/>
              </w:rPr>
            </w:pPr>
            <w:r w:rsidRPr="005D02F4">
              <w:rPr>
                <w:rFonts w:ascii="Source Sans Pro" w:hAnsi="Source Sans Pro" w:cs="Calibri"/>
                <w:sz w:val="20"/>
              </w:rPr>
              <w:t>Third-Party Disclosure</w:t>
            </w:r>
            <w:r w:rsidRPr="005D02F4">
              <w:rPr>
                <w:rFonts w:ascii="Source Sans Pro" w:hAnsi="Source Sans Pro" w:cs="Calibri"/>
                <w:sz w:val="20"/>
              </w:rPr>
              <w:br/>
              <w:t>(Annual)</w:t>
            </w:r>
          </w:p>
        </w:tc>
        <w:tc>
          <w:tcPr>
            <w:tcW w:w="1313" w:type="dxa"/>
            <w:tcBorders>
              <w:top w:val="nil"/>
              <w:left w:val="nil"/>
              <w:bottom w:val="single" w:sz="8" w:space="0" w:color="auto"/>
              <w:right w:val="single" w:sz="8" w:space="0" w:color="auto"/>
            </w:tcBorders>
            <w:noWrap/>
            <w:vAlign w:val="center"/>
            <w:hideMark/>
          </w:tcPr>
          <w:p w:rsidR="00D3496E" w:rsidRPr="005D02F4" w:rsidP="002A1639" w14:paraId="0ABC92BF" w14:textId="77777777">
            <w:pPr>
              <w:jc w:val="right"/>
              <w:rPr>
                <w:rFonts w:ascii="Source Sans Pro" w:hAnsi="Source Sans Pro" w:cs="Calibri"/>
                <w:sz w:val="20"/>
              </w:rPr>
            </w:pPr>
            <w:r w:rsidRPr="005D02F4">
              <w:rPr>
                <w:rFonts w:ascii="Source Sans Pro" w:hAnsi="Source Sans Pro" w:cs="Calibri"/>
                <w:sz w:val="20"/>
              </w:rPr>
              <w:t>4,388</w:t>
            </w:r>
          </w:p>
        </w:tc>
        <w:tc>
          <w:tcPr>
            <w:tcW w:w="1651" w:type="dxa"/>
            <w:tcBorders>
              <w:top w:val="nil"/>
              <w:left w:val="nil"/>
              <w:bottom w:val="single" w:sz="8" w:space="0" w:color="auto"/>
              <w:right w:val="single" w:sz="8" w:space="0" w:color="auto"/>
            </w:tcBorders>
            <w:noWrap/>
            <w:vAlign w:val="center"/>
            <w:hideMark/>
          </w:tcPr>
          <w:p w:rsidR="00D3496E" w:rsidRPr="005D02F4" w:rsidP="002A1639" w14:paraId="7F56695F" w14:textId="77777777">
            <w:pPr>
              <w:jc w:val="right"/>
              <w:rPr>
                <w:rFonts w:ascii="Source Sans Pro" w:hAnsi="Source Sans Pro" w:cs="Calibri"/>
                <w:sz w:val="20"/>
              </w:rPr>
            </w:pPr>
            <w:r w:rsidRPr="005D02F4">
              <w:rPr>
                <w:rFonts w:ascii="Source Sans Pro" w:hAnsi="Source Sans Pro" w:cs="Calibri"/>
                <w:sz w:val="20"/>
              </w:rPr>
              <w:t>0.333</w:t>
            </w:r>
          </w:p>
        </w:tc>
        <w:tc>
          <w:tcPr>
            <w:tcW w:w="1089" w:type="dxa"/>
            <w:tcBorders>
              <w:top w:val="nil"/>
              <w:left w:val="nil"/>
              <w:bottom w:val="single" w:sz="8" w:space="0" w:color="auto"/>
              <w:right w:val="nil"/>
            </w:tcBorders>
            <w:vAlign w:val="center"/>
            <w:hideMark/>
          </w:tcPr>
          <w:p w:rsidR="00D3496E" w:rsidRPr="005D02F4" w:rsidP="002A1639" w14:paraId="3115665C" w14:textId="77777777">
            <w:pPr>
              <w:jc w:val="right"/>
              <w:rPr>
                <w:rFonts w:ascii="Source Sans Pro" w:hAnsi="Source Sans Pro" w:cs="Calibri"/>
                <w:sz w:val="20"/>
              </w:rPr>
            </w:pPr>
            <w:r w:rsidRPr="005D02F4">
              <w:rPr>
                <w:rFonts w:ascii="Source Sans Pro" w:hAnsi="Source Sans Pro" w:cs="Calibri"/>
                <w:sz w:val="20"/>
              </w:rPr>
              <w:t>41:00</w:t>
            </w:r>
          </w:p>
        </w:tc>
        <w:tc>
          <w:tcPr>
            <w:tcW w:w="1115" w:type="dxa"/>
            <w:tcBorders>
              <w:top w:val="nil"/>
              <w:left w:val="single" w:sz="8" w:space="0" w:color="auto"/>
              <w:bottom w:val="single" w:sz="8" w:space="0" w:color="auto"/>
              <w:right w:val="single" w:sz="8" w:space="0" w:color="auto"/>
            </w:tcBorders>
            <w:noWrap/>
            <w:vAlign w:val="center"/>
            <w:hideMark/>
          </w:tcPr>
          <w:p w:rsidR="00D3496E" w:rsidRPr="005D02F4" w:rsidP="002A1639" w14:paraId="1D04B336" w14:textId="77777777">
            <w:pPr>
              <w:jc w:val="right"/>
              <w:rPr>
                <w:rFonts w:ascii="Source Sans Pro" w:hAnsi="Source Sans Pro" w:cs="Calibri"/>
                <w:sz w:val="20"/>
              </w:rPr>
            </w:pPr>
            <w:r w:rsidRPr="005D02F4">
              <w:rPr>
                <w:rFonts w:ascii="Source Sans Pro" w:hAnsi="Source Sans Pro" w:cs="Calibri"/>
                <w:sz w:val="20"/>
              </w:rPr>
              <w:t>59,901</w:t>
            </w:r>
          </w:p>
        </w:tc>
      </w:tr>
      <w:tr w14:paraId="5A491E4E" w14:textId="77777777" w:rsidTr="002A1639">
        <w:tblPrEx>
          <w:tblW w:w="9247" w:type="dxa"/>
          <w:tblCellMar>
            <w:top w:w="15" w:type="dxa"/>
          </w:tblCellMar>
          <w:tblLook w:val="04A0"/>
        </w:tblPrEx>
        <w:trPr>
          <w:gridAfter w:val="1"/>
          <w:wAfter w:w="222" w:type="dxa"/>
          <w:trHeight w:val="1365"/>
        </w:trPr>
        <w:tc>
          <w:tcPr>
            <w:tcW w:w="2303" w:type="dxa"/>
            <w:tcBorders>
              <w:top w:val="nil"/>
              <w:left w:val="single" w:sz="8" w:space="0" w:color="auto"/>
              <w:bottom w:val="single" w:sz="8" w:space="0" w:color="auto"/>
              <w:right w:val="single" w:sz="8" w:space="0" w:color="auto"/>
            </w:tcBorders>
            <w:vAlign w:val="center"/>
            <w:hideMark/>
          </w:tcPr>
          <w:p w:rsidR="00D3496E" w:rsidRPr="005D02F4" w:rsidP="002A1639" w14:paraId="5885F2A3" w14:textId="77777777">
            <w:pPr>
              <w:rPr>
                <w:rFonts w:ascii="Source Sans Pro" w:hAnsi="Source Sans Pro" w:cs="Calibri"/>
                <w:sz w:val="20"/>
              </w:rPr>
            </w:pPr>
            <w:r w:rsidRPr="005D02F4">
              <w:rPr>
                <w:rFonts w:ascii="Source Sans Pro" w:hAnsi="Source Sans Pro" w:cs="Calibri"/>
                <w:sz w:val="20"/>
              </w:rPr>
              <w:t xml:space="preserve">4. Signage for ATMs and Digital Deposit-taking Channels –Banks &lt; $10B - Ongoing, 12 CFR 328.4 and .5 (Mandatory). </w:t>
            </w:r>
          </w:p>
        </w:tc>
        <w:tc>
          <w:tcPr>
            <w:tcW w:w="1554" w:type="dxa"/>
            <w:tcBorders>
              <w:top w:val="nil"/>
              <w:left w:val="nil"/>
              <w:bottom w:val="single" w:sz="8" w:space="0" w:color="auto"/>
              <w:right w:val="single" w:sz="8" w:space="0" w:color="auto"/>
            </w:tcBorders>
            <w:vAlign w:val="center"/>
            <w:hideMark/>
          </w:tcPr>
          <w:p w:rsidR="00D3496E" w:rsidRPr="005D02F4" w:rsidP="002A1639" w14:paraId="25BA2F2F" w14:textId="77777777">
            <w:pPr>
              <w:jc w:val="center"/>
              <w:rPr>
                <w:rFonts w:ascii="Source Sans Pro" w:hAnsi="Source Sans Pro" w:cs="Calibri"/>
                <w:sz w:val="20"/>
              </w:rPr>
            </w:pPr>
            <w:r w:rsidRPr="005D02F4">
              <w:rPr>
                <w:rFonts w:ascii="Source Sans Pro" w:hAnsi="Source Sans Pro" w:cs="Calibri"/>
                <w:sz w:val="20"/>
              </w:rPr>
              <w:t>Third-Party Disclosure</w:t>
            </w:r>
            <w:r w:rsidRPr="005D02F4">
              <w:rPr>
                <w:rFonts w:ascii="Source Sans Pro" w:hAnsi="Source Sans Pro" w:cs="Calibri"/>
                <w:sz w:val="20"/>
              </w:rPr>
              <w:br/>
              <w:t>(Annual)</w:t>
            </w:r>
          </w:p>
        </w:tc>
        <w:tc>
          <w:tcPr>
            <w:tcW w:w="1313" w:type="dxa"/>
            <w:tcBorders>
              <w:top w:val="nil"/>
              <w:left w:val="nil"/>
              <w:bottom w:val="single" w:sz="8" w:space="0" w:color="auto"/>
              <w:right w:val="single" w:sz="8" w:space="0" w:color="auto"/>
            </w:tcBorders>
            <w:noWrap/>
            <w:vAlign w:val="center"/>
            <w:hideMark/>
          </w:tcPr>
          <w:p w:rsidR="00D3496E" w:rsidRPr="005D02F4" w:rsidP="002A1639" w14:paraId="72B0DAFD" w14:textId="77777777">
            <w:pPr>
              <w:jc w:val="right"/>
              <w:rPr>
                <w:rFonts w:ascii="Source Sans Pro" w:hAnsi="Source Sans Pro" w:cs="Calibri"/>
                <w:sz w:val="20"/>
              </w:rPr>
            </w:pPr>
            <w:r w:rsidRPr="005D02F4">
              <w:rPr>
                <w:rFonts w:ascii="Source Sans Pro" w:hAnsi="Source Sans Pro" w:cs="Calibri"/>
                <w:sz w:val="20"/>
              </w:rPr>
              <w:t>4,231</w:t>
            </w:r>
          </w:p>
        </w:tc>
        <w:tc>
          <w:tcPr>
            <w:tcW w:w="1651" w:type="dxa"/>
            <w:tcBorders>
              <w:top w:val="nil"/>
              <w:left w:val="nil"/>
              <w:bottom w:val="single" w:sz="8" w:space="0" w:color="auto"/>
              <w:right w:val="single" w:sz="8" w:space="0" w:color="auto"/>
            </w:tcBorders>
            <w:noWrap/>
            <w:vAlign w:val="center"/>
            <w:hideMark/>
          </w:tcPr>
          <w:p w:rsidR="00D3496E" w:rsidRPr="005D02F4" w:rsidP="002A1639" w14:paraId="05CE0F9A" w14:textId="77777777">
            <w:pPr>
              <w:jc w:val="right"/>
              <w:rPr>
                <w:rFonts w:ascii="Source Sans Pro" w:hAnsi="Source Sans Pro" w:cs="Calibri"/>
                <w:sz w:val="20"/>
              </w:rPr>
            </w:pPr>
            <w:r w:rsidRPr="005D02F4">
              <w:rPr>
                <w:rFonts w:ascii="Source Sans Pro" w:hAnsi="Source Sans Pro" w:cs="Calibri"/>
                <w:sz w:val="20"/>
              </w:rPr>
              <w:t>0.667</w:t>
            </w:r>
          </w:p>
        </w:tc>
        <w:tc>
          <w:tcPr>
            <w:tcW w:w="1089" w:type="dxa"/>
            <w:tcBorders>
              <w:top w:val="nil"/>
              <w:left w:val="nil"/>
              <w:bottom w:val="single" w:sz="8" w:space="0" w:color="auto"/>
              <w:right w:val="nil"/>
            </w:tcBorders>
            <w:vAlign w:val="center"/>
            <w:hideMark/>
          </w:tcPr>
          <w:p w:rsidR="00D3496E" w:rsidRPr="005D02F4" w:rsidP="002A1639" w14:paraId="4D394BCE" w14:textId="77777777">
            <w:pPr>
              <w:jc w:val="right"/>
              <w:rPr>
                <w:rFonts w:ascii="Source Sans Pro" w:hAnsi="Source Sans Pro" w:cs="Calibri"/>
                <w:sz w:val="20"/>
              </w:rPr>
            </w:pPr>
            <w:r w:rsidRPr="005D02F4">
              <w:rPr>
                <w:rFonts w:ascii="Source Sans Pro" w:hAnsi="Source Sans Pro" w:cs="Calibri"/>
                <w:sz w:val="20"/>
              </w:rPr>
              <w:t>6:50</w:t>
            </w:r>
          </w:p>
        </w:tc>
        <w:tc>
          <w:tcPr>
            <w:tcW w:w="1115" w:type="dxa"/>
            <w:tcBorders>
              <w:top w:val="nil"/>
              <w:left w:val="single" w:sz="8" w:space="0" w:color="auto"/>
              <w:bottom w:val="single" w:sz="8" w:space="0" w:color="auto"/>
              <w:right w:val="single" w:sz="8" w:space="0" w:color="auto"/>
            </w:tcBorders>
            <w:noWrap/>
            <w:vAlign w:val="center"/>
            <w:hideMark/>
          </w:tcPr>
          <w:p w:rsidR="00D3496E" w:rsidRPr="005D02F4" w:rsidP="002A1639" w14:paraId="2A1DF4E7" w14:textId="77777777">
            <w:pPr>
              <w:jc w:val="right"/>
              <w:rPr>
                <w:rFonts w:ascii="Source Sans Pro" w:hAnsi="Source Sans Pro" w:cs="Calibri"/>
                <w:sz w:val="20"/>
              </w:rPr>
            </w:pPr>
            <w:r w:rsidRPr="005D02F4">
              <w:rPr>
                <w:rFonts w:ascii="Source Sans Pro" w:hAnsi="Source Sans Pro" w:cs="Calibri"/>
                <w:sz w:val="20"/>
              </w:rPr>
              <w:t>19,284</w:t>
            </w:r>
          </w:p>
        </w:tc>
      </w:tr>
      <w:tr w14:paraId="3C9549B5" w14:textId="77777777" w:rsidTr="002A1639">
        <w:tblPrEx>
          <w:tblW w:w="9247" w:type="dxa"/>
          <w:tblCellMar>
            <w:top w:w="15" w:type="dxa"/>
          </w:tblCellMar>
          <w:tblLook w:val="04A0"/>
        </w:tblPrEx>
        <w:trPr>
          <w:gridAfter w:val="1"/>
          <w:wAfter w:w="222" w:type="dxa"/>
          <w:trHeight w:val="1365"/>
        </w:trPr>
        <w:tc>
          <w:tcPr>
            <w:tcW w:w="2303" w:type="dxa"/>
            <w:tcBorders>
              <w:top w:val="nil"/>
              <w:left w:val="single" w:sz="8" w:space="0" w:color="auto"/>
              <w:bottom w:val="single" w:sz="8" w:space="0" w:color="auto"/>
              <w:right w:val="single" w:sz="8" w:space="0" w:color="auto"/>
            </w:tcBorders>
            <w:vAlign w:val="center"/>
            <w:hideMark/>
          </w:tcPr>
          <w:p w:rsidR="00D3496E" w:rsidRPr="005D02F4" w:rsidP="002A1639" w14:paraId="421C6EC0" w14:textId="77777777">
            <w:pPr>
              <w:rPr>
                <w:rFonts w:ascii="Source Sans Pro" w:hAnsi="Source Sans Pro" w:cs="Calibri"/>
                <w:sz w:val="20"/>
              </w:rPr>
            </w:pPr>
            <w:r w:rsidRPr="005D02F4">
              <w:rPr>
                <w:rFonts w:ascii="Source Sans Pro" w:hAnsi="Source Sans Pro" w:cs="Calibri"/>
                <w:sz w:val="20"/>
              </w:rPr>
              <w:t xml:space="preserve">5. Signage for ATMs and Digital Deposit-taking Channels –Banks &gt;= $10B - Ongoing, 12 CFR 328.4 and .5 (Mandatory). </w:t>
            </w:r>
          </w:p>
        </w:tc>
        <w:tc>
          <w:tcPr>
            <w:tcW w:w="1554" w:type="dxa"/>
            <w:tcBorders>
              <w:top w:val="nil"/>
              <w:left w:val="nil"/>
              <w:bottom w:val="single" w:sz="8" w:space="0" w:color="auto"/>
              <w:right w:val="single" w:sz="8" w:space="0" w:color="auto"/>
            </w:tcBorders>
            <w:vAlign w:val="center"/>
            <w:hideMark/>
          </w:tcPr>
          <w:p w:rsidR="00D3496E" w:rsidRPr="005D02F4" w:rsidP="002A1639" w14:paraId="57D1A27A" w14:textId="77777777">
            <w:pPr>
              <w:jc w:val="center"/>
              <w:rPr>
                <w:rFonts w:ascii="Source Sans Pro" w:hAnsi="Source Sans Pro" w:cs="Calibri"/>
                <w:sz w:val="20"/>
              </w:rPr>
            </w:pPr>
            <w:r w:rsidRPr="005D02F4">
              <w:rPr>
                <w:rFonts w:ascii="Source Sans Pro" w:hAnsi="Source Sans Pro" w:cs="Calibri"/>
                <w:sz w:val="20"/>
              </w:rPr>
              <w:t>Third-Party Disclosure</w:t>
            </w:r>
            <w:r w:rsidRPr="005D02F4">
              <w:rPr>
                <w:rFonts w:ascii="Source Sans Pro" w:hAnsi="Source Sans Pro" w:cs="Calibri"/>
                <w:sz w:val="20"/>
              </w:rPr>
              <w:br/>
              <w:t>(Annual)</w:t>
            </w:r>
          </w:p>
        </w:tc>
        <w:tc>
          <w:tcPr>
            <w:tcW w:w="1313" w:type="dxa"/>
            <w:tcBorders>
              <w:top w:val="nil"/>
              <w:left w:val="nil"/>
              <w:bottom w:val="single" w:sz="8" w:space="0" w:color="auto"/>
              <w:right w:val="single" w:sz="8" w:space="0" w:color="auto"/>
            </w:tcBorders>
            <w:noWrap/>
            <w:vAlign w:val="center"/>
            <w:hideMark/>
          </w:tcPr>
          <w:p w:rsidR="00D3496E" w:rsidRPr="005D02F4" w:rsidP="002A1639" w14:paraId="2052FD49" w14:textId="77777777">
            <w:pPr>
              <w:jc w:val="right"/>
              <w:rPr>
                <w:rFonts w:ascii="Source Sans Pro" w:hAnsi="Source Sans Pro" w:cs="Calibri"/>
                <w:sz w:val="20"/>
              </w:rPr>
            </w:pPr>
            <w:r w:rsidRPr="005D02F4">
              <w:rPr>
                <w:rFonts w:ascii="Source Sans Pro" w:hAnsi="Source Sans Pro" w:cs="Calibri"/>
                <w:sz w:val="20"/>
              </w:rPr>
              <w:t>157</w:t>
            </w:r>
          </w:p>
        </w:tc>
        <w:tc>
          <w:tcPr>
            <w:tcW w:w="1651" w:type="dxa"/>
            <w:tcBorders>
              <w:top w:val="nil"/>
              <w:left w:val="nil"/>
              <w:bottom w:val="single" w:sz="8" w:space="0" w:color="auto"/>
              <w:right w:val="single" w:sz="8" w:space="0" w:color="auto"/>
            </w:tcBorders>
            <w:noWrap/>
            <w:vAlign w:val="center"/>
            <w:hideMark/>
          </w:tcPr>
          <w:p w:rsidR="00D3496E" w:rsidRPr="005D02F4" w:rsidP="002A1639" w14:paraId="2ACBA0A1" w14:textId="77777777">
            <w:pPr>
              <w:jc w:val="right"/>
              <w:rPr>
                <w:rFonts w:ascii="Source Sans Pro" w:hAnsi="Source Sans Pro" w:cs="Calibri"/>
                <w:sz w:val="20"/>
              </w:rPr>
            </w:pPr>
            <w:r w:rsidRPr="005D02F4">
              <w:rPr>
                <w:rFonts w:ascii="Source Sans Pro" w:hAnsi="Source Sans Pro" w:cs="Calibri"/>
                <w:sz w:val="20"/>
              </w:rPr>
              <w:t>0.667</w:t>
            </w:r>
          </w:p>
        </w:tc>
        <w:tc>
          <w:tcPr>
            <w:tcW w:w="1089" w:type="dxa"/>
            <w:tcBorders>
              <w:top w:val="nil"/>
              <w:left w:val="nil"/>
              <w:bottom w:val="single" w:sz="8" w:space="0" w:color="auto"/>
              <w:right w:val="nil"/>
            </w:tcBorders>
            <w:vAlign w:val="center"/>
            <w:hideMark/>
          </w:tcPr>
          <w:p w:rsidR="00D3496E" w:rsidRPr="005D02F4" w:rsidP="002A1639" w14:paraId="60DE026C" w14:textId="77777777">
            <w:pPr>
              <w:jc w:val="right"/>
              <w:rPr>
                <w:rFonts w:ascii="Source Sans Pro" w:hAnsi="Source Sans Pro" w:cs="Calibri"/>
                <w:sz w:val="20"/>
              </w:rPr>
            </w:pPr>
            <w:r w:rsidRPr="005D02F4">
              <w:rPr>
                <w:rFonts w:ascii="Source Sans Pro" w:hAnsi="Source Sans Pro" w:cs="Calibri"/>
                <w:sz w:val="20"/>
              </w:rPr>
              <w:t>13:40</w:t>
            </w:r>
          </w:p>
        </w:tc>
        <w:tc>
          <w:tcPr>
            <w:tcW w:w="1115" w:type="dxa"/>
            <w:tcBorders>
              <w:top w:val="nil"/>
              <w:left w:val="single" w:sz="8" w:space="0" w:color="auto"/>
              <w:bottom w:val="single" w:sz="8" w:space="0" w:color="auto"/>
              <w:right w:val="single" w:sz="8" w:space="0" w:color="auto"/>
            </w:tcBorders>
            <w:noWrap/>
            <w:vAlign w:val="center"/>
            <w:hideMark/>
          </w:tcPr>
          <w:p w:rsidR="00D3496E" w:rsidRPr="005D02F4" w:rsidP="002A1639" w14:paraId="400FE371" w14:textId="77777777">
            <w:pPr>
              <w:jc w:val="right"/>
              <w:rPr>
                <w:rFonts w:ascii="Source Sans Pro" w:hAnsi="Source Sans Pro" w:cs="Calibri"/>
                <w:sz w:val="20"/>
              </w:rPr>
            </w:pPr>
            <w:r w:rsidRPr="005D02F4">
              <w:rPr>
                <w:rFonts w:ascii="Source Sans Pro" w:hAnsi="Source Sans Pro" w:cs="Calibri"/>
                <w:sz w:val="20"/>
              </w:rPr>
              <w:t>1,435</w:t>
            </w:r>
          </w:p>
        </w:tc>
      </w:tr>
      <w:tr w14:paraId="3FEB4409" w14:textId="77777777" w:rsidTr="002A1639">
        <w:tblPrEx>
          <w:tblW w:w="9247" w:type="dxa"/>
          <w:tblCellMar>
            <w:top w:w="15" w:type="dxa"/>
          </w:tblCellMar>
          <w:tblLook w:val="04A0"/>
        </w:tblPrEx>
        <w:trPr>
          <w:gridAfter w:val="1"/>
          <w:wAfter w:w="222" w:type="dxa"/>
          <w:trHeight w:val="825"/>
        </w:trPr>
        <w:tc>
          <w:tcPr>
            <w:tcW w:w="2303" w:type="dxa"/>
            <w:tcBorders>
              <w:top w:val="nil"/>
              <w:left w:val="single" w:sz="8" w:space="0" w:color="auto"/>
              <w:bottom w:val="single" w:sz="8" w:space="0" w:color="auto"/>
              <w:right w:val="single" w:sz="8" w:space="0" w:color="auto"/>
            </w:tcBorders>
            <w:vAlign w:val="center"/>
            <w:hideMark/>
          </w:tcPr>
          <w:p w:rsidR="00D3496E" w:rsidRPr="005D02F4" w:rsidP="002A1639" w14:paraId="46396E8F" w14:textId="77777777">
            <w:pPr>
              <w:rPr>
                <w:rFonts w:ascii="Source Sans Pro" w:hAnsi="Source Sans Pro" w:cs="Calibri"/>
                <w:sz w:val="20"/>
              </w:rPr>
            </w:pPr>
            <w:r w:rsidRPr="005D02F4">
              <w:rPr>
                <w:rFonts w:ascii="Source Sans Pro" w:hAnsi="Source Sans Pro" w:cs="Calibri"/>
                <w:sz w:val="20"/>
              </w:rPr>
              <w:t xml:space="preserve">6. Policies and Procedures -Implementation, 12 CFR 328.8 (Mandatory). </w:t>
            </w:r>
          </w:p>
        </w:tc>
        <w:tc>
          <w:tcPr>
            <w:tcW w:w="1554" w:type="dxa"/>
            <w:tcBorders>
              <w:top w:val="nil"/>
              <w:left w:val="nil"/>
              <w:bottom w:val="single" w:sz="8" w:space="0" w:color="auto"/>
              <w:right w:val="single" w:sz="8" w:space="0" w:color="auto"/>
            </w:tcBorders>
            <w:vAlign w:val="center"/>
            <w:hideMark/>
          </w:tcPr>
          <w:p w:rsidR="00D3496E" w:rsidRPr="005D02F4" w:rsidP="002A1639" w14:paraId="24533A91" w14:textId="77777777">
            <w:pPr>
              <w:jc w:val="center"/>
              <w:rPr>
                <w:rFonts w:ascii="Source Sans Pro" w:hAnsi="Source Sans Pro" w:cs="Calibri"/>
                <w:sz w:val="20"/>
              </w:rPr>
            </w:pPr>
            <w:r w:rsidRPr="005D02F4">
              <w:rPr>
                <w:rFonts w:ascii="Source Sans Pro" w:hAnsi="Source Sans Pro" w:cs="Calibri"/>
                <w:sz w:val="20"/>
              </w:rPr>
              <w:t>Recordkeeping</w:t>
            </w:r>
            <w:r w:rsidRPr="005D02F4">
              <w:rPr>
                <w:rFonts w:ascii="Source Sans Pro" w:hAnsi="Source Sans Pro" w:cs="Calibri"/>
                <w:sz w:val="20"/>
              </w:rPr>
              <w:br/>
              <w:t>(Annual)</w:t>
            </w:r>
          </w:p>
        </w:tc>
        <w:tc>
          <w:tcPr>
            <w:tcW w:w="1313" w:type="dxa"/>
            <w:tcBorders>
              <w:top w:val="nil"/>
              <w:left w:val="nil"/>
              <w:bottom w:val="single" w:sz="8" w:space="0" w:color="auto"/>
              <w:right w:val="single" w:sz="8" w:space="0" w:color="auto"/>
            </w:tcBorders>
            <w:noWrap/>
            <w:vAlign w:val="center"/>
            <w:hideMark/>
          </w:tcPr>
          <w:p w:rsidR="00D3496E" w:rsidRPr="005D02F4" w:rsidP="002A1639" w14:paraId="27FAA59E" w14:textId="77777777">
            <w:pPr>
              <w:jc w:val="right"/>
              <w:rPr>
                <w:rFonts w:ascii="Source Sans Pro" w:hAnsi="Source Sans Pro" w:cs="Calibri"/>
                <w:sz w:val="20"/>
              </w:rPr>
            </w:pPr>
            <w:r w:rsidRPr="002E5EE7">
              <w:rPr>
                <w:rFonts w:ascii="Source Sans Pro" w:hAnsi="Source Sans Pro" w:cs="Calibri"/>
                <w:sz w:val="20"/>
              </w:rPr>
              <w:t>4,388</w:t>
            </w:r>
          </w:p>
        </w:tc>
        <w:tc>
          <w:tcPr>
            <w:tcW w:w="1651" w:type="dxa"/>
            <w:tcBorders>
              <w:top w:val="nil"/>
              <w:left w:val="nil"/>
              <w:bottom w:val="single" w:sz="8" w:space="0" w:color="auto"/>
              <w:right w:val="single" w:sz="8" w:space="0" w:color="auto"/>
            </w:tcBorders>
            <w:noWrap/>
            <w:vAlign w:val="center"/>
            <w:hideMark/>
          </w:tcPr>
          <w:p w:rsidR="00D3496E" w:rsidRPr="005D02F4" w:rsidP="002A1639" w14:paraId="55B0692D" w14:textId="77777777">
            <w:pPr>
              <w:jc w:val="right"/>
              <w:rPr>
                <w:rFonts w:ascii="Source Sans Pro" w:hAnsi="Source Sans Pro" w:cs="Calibri"/>
                <w:sz w:val="20"/>
              </w:rPr>
            </w:pPr>
            <w:r w:rsidRPr="002E5EE7">
              <w:rPr>
                <w:rFonts w:ascii="Source Sans Pro" w:hAnsi="Source Sans Pro" w:cs="Calibri"/>
                <w:sz w:val="20"/>
              </w:rPr>
              <w:t>0.333</w:t>
            </w:r>
          </w:p>
        </w:tc>
        <w:tc>
          <w:tcPr>
            <w:tcW w:w="1089" w:type="dxa"/>
            <w:tcBorders>
              <w:top w:val="nil"/>
              <w:left w:val="nil"/>
              <w:bottom w:val="single" w:sz="8" w:space="0" w:color="auto"/>
              <w:right w:val="nil"/>
            </w:tcBorders>
            <w:vAlign w:val="center"/>
            <w:hideMark/>
          </w:tcPr>
          <w:p w:rsidR="00D3496E" w:rsidRPr="005D02F4" w:rsidP="002A1639" w14:paraId="6BBFC7D3" w14:textId="77777777">
            <w:pPr>
              <w:jc w:val="right"/>
              <w:rPr>
                <w:rFonts w:ascii="Source Sans Pro" w:hAnsi="Source Sans Pro" w:cs="Calibri"/>
                <w:sz w:val="20"/>
              </w:rPr>
            </w:pPr>
            <w:r w:rsidRPr="002E5EE7">
              <w:rPr>
                <w:rFonts w:ascii="Source Sans Pro" w:hAnsi="Source Sans Pro" w:cs="Calibri"/>
                <w:sz w:val="20"/>
              </w:rPr>
              <w:t>80:00</w:t>
            </w:r>
          </w:p>
        </w:tc>
        <w:tc>
          <w:tcPr>
            <w:tcW w:w="1115" w:type="dxa"/>
            <w:tcBorders>
              <w:top w:val="nil"/>
              <w:left w:val="single" w:sz="8" w:space="0" w:color="auto"/>
              <w:bottom w:val="single" w:sz="8" w:space="0" w:color="auto"/>
              <w:right w:val="single" w:sz="8" w:space="0" w:color="auto"/>
            </w:tcBorders>
            <w:noWrap/>
            <w:vAlign w:val="center"/>
            <w:hideMark/>
          </w:tcPr>
          <w:p w:rsidR="00D3496E" w:rsidRPr="005D02F4" w:rsidP="002A1639" w14:paraId="3761D9BF" w14:textId="77777777">
            <w:pPr>
              <w:jc w:val="right"/>
              <w:rPr>
                <w:rFonts w:ascii="Source Sans Pro" w:hAnsi="Source Sans Pro" w:cs="Calibri"/>
                <w:sz w:val="20"/>
              </w:rPr>
            </w:pPr>
            <w:r w:rsidRPr="002E5EE7">
              <w:rPr>
                <w:rFonts w:ascii="Source Sans Pro" w:hAnsi="Source Sans Pro" w:cs="Calibri"/>
                <w:sz w:val="20"/>
              </w:rPr>
              <w:t>116,880</w:t>
            </w:r>
          </w:p>
        </w:tc>
      </w:tr>
      <w:tr w14:paraId="3C0DA09F" w14:textId="77777777" w:rsidTr="002A1639">
        <w:tblPrEx>
          <w:tblW w:w="9247" w:type="dxa"/>
          <w:tblCellMar>
            <w:top w:w="15" w:type="dxa"/>
          </w:tblCellMar>
          <w:tblLook w:val="04A0"/>
        </w:tblPrEx>
        <w:trPr>
          <w:gridAfter w:val="1"/>
          <w:wAfter w:w="222" w:type="dxa"/>
          <w:trHeight w:val="825"/>
        </w:trPr>
        <w:tc>
          <w:tcPr>
            <w:tcW w:w="2303" w:type="dxa"/>
            <w:tcBorders>
              <w:top w:val="nil"/>
              <w:left w:val="single" w:sz="8" w:space="0" w:color="auto"/>
              <w:bottom w:val="single" w:sz="8" w:space="0" w:color="auto"/>
              <w:right w:val="single" w:sz="8" w:space="0" w:color="auto"/>
            </w:tcBorders>
            <w:vAlign w:val="center"/>
            <w:hideMark/>
          </w:tcPr>
          <w:p w:rsidR="00D3496E" w:rsidRPr="005D02F4" w:rsidP="002A1639" w14:paraId="3F9DEA55" w14:textId="77777777">
            <w:pPr>
              <w:rPr>
                <w:rFonts w:ascii="Source Sans Pro" w:hAnsi="Source Sans Pro" w:cs="Calibri"/>
                <w:sz w:val="20"/>
              </w:rPr>
            </w:pPr>
            <w:r w:rsidRPr="005D02F4">
              <w:rPr>
                <w:rFonts w:ascii="Source Sans Pro" w:hAnsi="Source Sans Pro" w:cs="Calibri"/>
                <w:sz w:val="20"/>
              </w:rPr>
              <w:t xml:space="preserve">7. Policies and Procedures –Ongoing, 12 CFR 328.8 (Mandatory). </w:t>
            </w:r>
          </w:p>
        </w:tc>
        <w:tc>
          <w:tcPr>
            <w:tcW w:w="1554" w:type="dxa"/>
            <w:tcBorders>
              <w:top w:val="nil"/>
              <w:left w:val="nil"/>
              <w:bottom w:val="single" w:sz="8" w:space="0" w:color="auto"/>
              <w:right w:val="single" w:sz="8" w:space="0" w:color="auto"/>
            </w:tcBorders>
            <w:vAlign w:val="center"/>
            <w:hideMark/>
          </w:tcPr>
          <w:p w:rsidR="00D3496E" w:rsidRPr="005D02F4" w:rsidP="002A1639" w14:paraId="28338949" w14:textId="77777777">
            <w:pPr>
              <w:jc w:val="center"/>
              <w:rPr>
                <w:rFonts w:ascii="Source Sans Pro" w:hAnsi="Source Sans Pro" w:cs="Calibri"/>
                <w:sz w:val="20"/>
              </w:rPr>
            </w:pPr>
            <w:r w:rsidRPr="005D02F4">
              <w:rPr>
                <w:rFonts w:ascii="Source Sans Pro" w:hAnsi="Source Sans Pro" w:cs="Calibri"/>
                <w:sz w:val="20"/>
              </w:rPr>
              <w:t>Recordkeeping</w:t>
            </w:r>
            <w:r w:rsidRPr="005D02F4">
              <w:rPr>
                <w:rFonts w:ascii="Source Sans Pro" w:hAnsi="Source Sans Pro" w:cs="Calibri"/>
                <w:sz w:val="20"/>
              </w:rPr>
              <w:br/>
              <w:t>(Annual)</w:t>
            </w:r>
          </w:p>
        </w:tc>
        <w:tc>
          <w:tcPr>
            <w:tcW w:w="1313" w:type="dxa"/>
            <w:tcBorders>
              <w:top w:val="nil"/>
              <w:left w:val="nil"/>
              <w:bottom w:val="single" w:sz="8" w:space="0" w:color="auto"/>
              <w:right w:val="single" w:sz="8" w:space="0" w:color="auto"/>
            </w:tcBorders>
            <w:noWrap/>
            <w:vAlign w:val="center"/>
            <w:hideMark/>
          </w:tcPr>
          <w:p w:rsidR="00D3496E" w:rsidRPr="005D02F4" w:rsidP="002A1639" w14:paraId="5C267728" w14:textId="77777777">
            <w:pPr>
              <w:jc w:val="right"/>
              <w:rPr>
                <w:rFonts w:ascii="Source Sans Pro" w:hAnsi="Source Sans Pro" w:cs="Calibri"/>
                <w:sz w:val="20"/>
              </w:rPr>
            </w:pPr>
            <w:r w:rsidRPr="002E5EE7">
              <w:rPr>
                <w:rFonts w:ascii="Source Sans Pro" w:hAnsi="Source Sans Pro" w:cs="Calibri"/>
                <w:sz w:val="20"/>
              </w:rPr>
              <w:t>4,388</w:t>
            </w:r>
          </w:p>
        </w:tc>
        <w:tc>
          <w:tcPr>
            <w:tcW w:w="1651" w:type="dxa"/>
            <w:tcBorders>
              <w:top w:val="nil"/>
              <w:left w:val="nil"/>
              <w:bottom w:val="single" w:sz="8" w:space="0" w:color="auto"/>
              <w:right w:val="single" w:sz="8" w:space="0" w:color="auto"/>
            </w:tcBorders>
            <w:noWrap/>
            <w:vAlign w:val="center"/>
            <w:hideMark/>
          </w:tcPr>
          <w:p w:rsidR="00D3496E" w:rsidRPr="005D02F4" w:rsidP="002A1639" w14:paraId="4AB617DE" w14:textId="77777777">
            <w:pPr>
              <w:jc w:val="right"/>
              <w:rPr>
                <w:rFonts w:ascii="Source Sans Pro" w:hAnsi="Source Sans Pro" w:cs="Calibri"/>
                <w:sz w:val="20"/>
              </w:rPr>
            </w:pPr>
            <w:r w:rsidRPr="002E5EE7">
              <w:rPr>
                <w:rFonts w:ascii="Source Sans Pro" w:hAnsi="Source Sans Pro" w:cs="Calibri"/>
                <w:sz w:val="20"/>
              </w:rPr>
              <w:t>0.667</w:t>
            </w:r>
          </w:p>
        </w:tc>
        <w:tc>
          <w:tcPr>
            <w:tcW w:w="1089" w:type="dxa"/>
            <w:tcBorders>
              <w:top w:val="nil"/>
              <w:left w:val="nil"/>
              <w:bottom w:val="single" w:sz="8" w:space="0" w:color="auto"/>
              <w:right w:val="nil"/>
            </w:tcBorders>
            <w:vAlign w:val="center"/>
            <w:hideMark/>
          </w:tcPr>
          <w:p w:rsidR="00D3496E" w:rsidRPr="005D02F4" w:rsidP="002A1639" w14:paraId="46BE6D6D" w14:textId="77777777">
            <w:pPr>
              <w:jc w:val="right"/>
              <w:rPr>
                <w:rFonts w:ascii="Source Sans Pro" w:hAnsi="Source Sans Pro" w:cs="Calibri"/>
                <w:sz w:val="20"/>
              </w:rPr>
            </w:pPr>
            <w:r w:rsidRPr="002E5EE7">
              <w:rPr>
                <w:rFonts w:ascii="Source Sans Pro" w:hAnsi="Source Sans Pro" w:cs="Calibri"/>
                <w:sz w:val="20"/>
              </w:rPr>
              <w:t>12:00</w:t>
            </w:r>
          </w:p>
        </w:tc>
        <w:tc>
          <w:tcPr>
            <w:tcW w:w="1115" w:type="dxa"/>
            <w:tcBorders>
              <w:top w:val="nil"/>
              <w:left w:val="single" w:sz="8" w:space="0" w:color="auto"/>
              <w:bottom w:val="single" w:sz="8" w:space="0" w:color="auto"/>
              <w:right w:val="single" w:sz="8" w:space="0" w:color="auto"/>
            </w:tcBorders>
            <w:noWrap/>
            <w:vAlign w:val="center"/>
            <w:hideMark/>
          </w:tcPr>
          <w:p w:rsidR="00D3496E" w:rsidRPr="005D02F4" w:rsidP="002A1639" w14:paraId="1278B6E8" w14:textId="77777777">
            <w:pPr>
              <w:jc w:val="right"/>
              <w:rPr>
                <w:rFonts w:ascii="Source Sans Pro" w:hAnsi="Source Sans Pro" w:cs="Calibri"/>
                <w:sz w:val="20"/>
              </w:rPr>
            </w:pPr>
            <w:r w:rsidRPr="002E5EE7">
              <w:rPr>
                <w:rFonts w:ascii="Source Sans Pro" w:hAnsi="Source Sans Pro" w:cs="Calibri"/>
                <w:sz w:val="20"/>
              </w:rPr>
              <w:t>35,124</w:t>
            </w:r>
          </w:p>
        </w:tc>
      </w:tr>
      <w:tr w14:paraId="7FB3451B" w14:textId="77777777" w:rsidTr="002A1639">
        <w:tblPrEx>
          <w:tblW w:w="9247" w:type="dxa"/>
          <w:tblCellMar>
            <w:top w:w="15" w:type="dxa"/>
          </w:tblCellMar>
          <w:tblLook w:val="04A0"/>
        </w:tblPrEx>
        <w:trPr>
          <w:gridAfter w:val="1"/>
          <w:wAfter w:w="222" w:type="dxa"/>
          <w:trHeight w:val="1095"/>
        </w:trPr>
        <w:tc>
          <w:tcPr>
            <w:tcW w:w="2303" w:type="dxa"/>
            <w:tcBorders>
              <w:top w:val="nil"/>
              <w:left w:val="single" w:sz="8" w:space="0" w:color="auto"/>
              <w:bottom w:val="single" w:sz="8" w:space="0" w:color="auto"/>
              <w:right w:val="single" w:sz="8" w:space="0" w:color="auto"/>
            </w:tcBorders>
            <w:vAlign w:val="center"/>
            <w:hideMark/>
          </w:tcPr>
          <w:p w:rsidR="00D3496E" w:rsidRPr="005D02F4" w:rsidP="002A1639" w14:paraId="71D7D265" w14:textId="77777777">
            <w:pPr>
              <w:rPr>
                <w:rFonts w:ascii="Source Sans Pro" w:hAnsi="Source Sans Pro" w:cs="Calibri"/>
                <w:sz w:val="20"/>
              </w:rPr>
            </w:pPr>
            <w:r w:rsidRPr="005D02F4">
              <w:rPr>
                <w:rFonts w:ascii="Source Sans Pro" w:hAnsi="Source Sans Pro" w:cs="Calibri"/>
                <w:sz w:val="20"/>
              </w:rPr>
              <w:t xml:space="preserve">8. Insured Depository Institution Relationships- Implementation 12 CFR 328.102(b)(5) (Mandatory).   </w:t>
            </w:r>
          </w:p>
        </w:tc>
        <w:tc>
          <w:tcPr>
            <w:tcW w:w="1554" w:type="dxa"/>
            <w:tcBorders>
              <w:top w:val="nil"/>
              <w:left w:val="nil"/>
              <w:bottom w:val="single" w:sz="8" w:space="0" w:color="auto"/>
              <w:right w:val="single" w:sz="8" w:space="0" w:color="auto"/>
            </w:tcBorders>
            <w:vAlign w:val="center"/>
            <w:hideMark/>
          </w:tcPr>
          <w:p w:rsidR="00D3496E" w:rsidRPr="005D02F4" w:rsidP="002A1639" w14:paraId="7FAF5656" w14:textId="77777777">
            <w:pPr>
              <w:jc w:val="center"/>
              <w:rPr>
                <w:rFonts w:ascii="Source Sans Pro" w:hAnsi="Source Sans Pro" w:cs="Calibri"/>
                <w:sz w:val="20"/>
              </w:rPr>
            </w:pPr>
            <w:r w:rsidRPr="005D02F4">
              <w:rPr>
                <w:rFonts w:ascii="Source Sans Pro" w:hAnsi="Source Sans Pro" w:cs="Calibri"/>
                <w:sz w:val="20"/>
              </w:rPr>
              <w:t>Third-Party Disclosure</w:t>
            </w:r>
            <w:r w:rsidRPr="005D02F4">
              <w:rPr>
                <w:rFonts w:ascii="Source Sans Pro" w:hAnsi="Source Sans Pro" w:cs="Calibri"/>
                <w:sz w:val="20"/>
              </w:rPr>
              <w:br/>
              <w:t>(Annual)</w:t>
            </w:r>
          </w:p>
        </w:tc>
        <w:tc>
          <w:tcPr>
            <w:tcW w:w="1313" w:type="dxa"/>
            <w:tcBorders>
              <w:top w:val="nil"/>
              <w:left w:val="nil"/>
              <w:bottom w:val="single" w:sz="8" w:space="0" w:color="auto"/>
              <w:right w:val="single" w:sz="8" w:space="0" w:color="auto"/>
            </w:tcBorders>
            <w:noWrap/>
            <w:vAlign w:val="center"/>
            <w:hideMark/>
          </w:tcPr>
          <w:p w:rsidR="00D3496E" w:rsidRPr="005D02F4" w:rsidP="002A1639" w14:paraId="049025F2" w14:textId="77777777">
            <w:pPr>
              <w:jc w:val="right"/>
              <w:rPr>
                <w:rFonts w:ascii="Source Sans Pro" w:hAnsi="Source Sans Pro" w:cs="Calibri"/>
                <w:sz w:val="20"/>
              </w:rPr>
            </w:pPr>
            <w:r w:rsidRPr="002E5EE7">
              <w:rPr>
                <w:rFonts w:ascii="Source Sans Pro" w:hAnsi="Source Sans Pro" w:cs="Calibri"/>
                <w:sz w:val="20"/>
              </w:rPr>
              <w:t>1,500</w:t>
            </w:r>
          </w:p>
        </w:tc>
        <w:tc>
          <w:tcPr>
            <w:tcW w:w="1651" w:type="dxa"/>
            <w:tcBorders>
              <w:top w:val="nil"/>
              <w:left w:val="nil"/>
              <w:bottom w:val="single" w:sz="8" w:space="0" w:color="auto"/>
              <w:right w:val="single" w:sz="8" w:space="0" w:color="auto"/>
            </w:tcBorders>
            <w:noWrap/>
            <w:vAlign w:val="center"/>
            <w:hideMark/>
          </w:tcPr>
          <w:p w:rsidR="00D3496E" w:rsidRPr="005D02F4" w:rsidP="002A1639" w14:paraId="290C5C67" w14:textId="77777777">
            <w:pPr>
              <w:jc w:val="right"/>
              <w:rPr>
                <w:rFonts w:ascii="Source Sans Pro" w:hAnsi="Source Sans Pro" w:cs="Calibri"/>
                <w:sz w:val="20"/>
              </w:rPr>
            </w:pPr>
            <w:r w:rsidRPr="002E5EE7">
              <w:rPr>
                <w:rFonts w:ascii="Source Sans Pro" w:hAnsi="Source Sans Pro" w:cs="Calibri"/>
                <w:sz w:val="20"/>
              </w:rPr>
              <w:t>0.333</w:t>
            </w:r>
          </w:p>
        </w:tc>
        <w:tc>
          <w:tcPr>
            <w:tcW w:w="1089" w:type="dxa"/>
            <w:tcBorders>
              <w:top w:val="nil"/>
              <w:left w:val="nil"/>
              <w:bottom w:val="single" w:sz="8" w:space="0" w:color="auto"/>
              <w:right w:val="nil"/>
            </w:tcBorders>
            <w:vAlign w:val="center"/>
            <w:hideMark/>
          </w:tcPr>
          <w:p w:rsidR="00D3496E" w:rsidRPr="005D02F4" w:rsidP="002A1639" w14:paraId="5A41AAB1" w14:textId="77777777">
            <w:pPr>
              <w:jc w:val="right"/>
              <w:rPr>
                <w:rFonts w:ascii="Source Sans Pro" w:hAnsi="Source Sans Pro" w:cs="Calibri"/>
                <w:sz w:val="20"/>
              </w:rPr>
            </w:pPr>
            <w:r w:rsidRPr="002E5EE7">
              <w:rPr>
                <w:rFonts w:ascii="Source Sans Pro" w:hAnsi="Source Sans Pro" w:cs="Calibri"/>
                <w:sz w:val="20"/>
              </w:rPr>
              <w:t>2:30</w:t>
            </w:r>
          </w:p>
        </w:tc>
        <w:tc>
          <w:tcPr>
            <w:tcW w:w="1115" w:type="dxa"/>
            <w:tcBorders>
              <w:top w:val="nil"/>
              <w:left w:val="single" w:sz="8" w:space="0" w:color="auto"/>
              <w:bottom w:val="single" w:sz="8" w:space="0" w:color="auto"/>
              <w:right w:val="single" w:sz="8" w:space="0" w:color="auto"/>
            </w:tcBorders>
            <w:noWrap/>
            <w:vAlign w:val="center"/>
            <w:hideMark/>
          </w:tcPr>
          <w:p w:rsidR="00D3496E" w:rsidRPr="005D02F4" w:rsidP="002A1639" w14:paraId="243E28E3" w14:textId="77777777">
            <w:pPr>
              <w:jc w:val="right"/>
              <w:rPr>
                <w:rFonts w:ascii="Source Sans Pro" w:hAnsi="Source Sans Pro" w:cs="Calibri"/>
                <w:sz w:val="20"/>
              </w:rPr>
            </w:pPr>
            <w:r w:rsidRPr="002E5EE7">
              <w:rPr>
                <w:rFonts w:ascii="Source Sans Pro" w:hAnsi="Source Sans Pro" w:cs="Calibri"/>
                <w:sz w:val="20"/>
              </w:rPr>
              <w:t>1,250</w:t>
            </w:r>
          </w:p>
        </w:tc>
      </w:tr>
      <w:tr w14:paraId="397FA9C7" w14:textId="77777777" w:rsidTr="002A1639">
        <w:tblPrEx>
          <w:tblW w:w="9247" w:type="dxa"/>
          <w:tblCellMar>
            <w:top w:w="15" w:type="dxa"/>
          </w:tblCellMar>
          <w:tblLook w:val="04A0"/>
        </w:tblPrEx>
        <w:trPr>
          <w:gridAfter w:val="1"/>
          <w:wAfter w:w="222" w:type="dxa"/>
          <w:trHeight w:val="1095"/>
        </w:trPr>
        <w:tc>
          <w:tcPr>
            <w:tcW w:w="2303" w:type="dxa"/>
            <w:tcBorders>
              <w:top w:val="nil"/>
              <w:left w:val="single" w:sz="8" w:space="0" w:color="auto"/>
              <w:bottom w:val="single" w:sz="8" w:space="0" w:color="auto"/>
              <w:right w:val="single" w:sz="8" w:space="0" w:color="auto"/>
            </w:tcBorders>
            <w:vAlign w:val="center"/>
            <w:hideMark/>
          </w:tcPr>
          <w:p w:rsidR="00D3496E" w:rsidRPr="005D02F4" w:rsidP="002A1639" w14:paraId="1B6F294D" w14:textId="77777777">
            <w:pPr>
              <w:rPr>
                <w:rFonts w:ascii="Source Sans Pro" w:hAnsi="Source Sans Pro" w:cs="Calibri"/>
                <w:sz w:val="20"/>
              </w:rPr>
            </w:pPr>
            <w:r w:rsidRPr="005D02F4">
              <w:rPr>
                <w:rFonts w:ascii="Source Sans Pro" w:hAnsi="Source Sans Pro" w:cs="Calibri"/>
                <w:sz w:val="20"/>
              </w:rPr>
              <w:t xml:space="preserve">9. Insured Depository Institution Relationships- Ongoing 12 CFR 328.102(b)(5) (Mandatory).   </w:t>
            </w:r>
          </w:p>
        </w:tc>
        <w:tc>
          <w:tcPr>
            <w:tcW w:w="1554" w:type="dxa"/>
            <w:tcBorders>
              <w:top w:val="nil"/>
              <w:left w:val="nil"/>
              <w:bottom w:val="single" w:sz="8" w:space="0" w:color="auto"/>
              <w:right w:val="single" w:sz="8" w:space="0" w:color="auto"/>
            </w:tcBorders>
            <w:vAlign w:val="center"/>
            <w:hideMark/>
          </w:tcPr>
          <w:p w:rsidR="00D3496E" w:rsidRPr="005D02F4" w:rsidP="002A1639" w14:paraId="129038A1" w14:textId="77777777">
            <w:pPr>
              <w:jc w:val="center"/>
              <w:rPr>
                <w:rFonts w:ascii="Source Sans Pro" w:hAnsi="Source Sans Pro" w:cs="Calibri"/>
                <w:sz w:val="20"/>
              </w:rPr>
            </w:pPr>
            <w:r w:rsidRPr="005D02F4">
              <w:rPr>
                <w:rFonts w:ascii="Source Sans Pro" w:hAnsi="Source Sans Pro" w:cs="Calibri"/>
                <w:sz w:val="20"/>
              </w:rPr>
              <w:t>Third-Party Disclosure</w:t>
            </w:r>
            <w:r w:rsidRPr="005D02F4">
              <w:rPr>
                <w:rFonts w:ascii="Source Sans Pro" w:hAnsi="Source Sans Pro" w:cs="Calibri"/>
                <w:sz w:val="20"/>
              </w:rPr>
              <w:br/>
              <w:t>(Annual)</w:t>
            </w:r>
          </w:p>
        </w:tc>
        <w:tc>
          <w:tcPr>
            <w:tcW w:w="1313" w:type="dxa"/>
            <w:tcBorders>
              <w:top w:val="nil"/>
              <w:left w:val="nil"/>
              <w:bottom w:val="single" w:sz="8" w:space="0" w:color="auto"/>
              <w:right w:val="single" w:sz="8" w:space="0" w:color="auto"/>
            </w:tcBorders>
            <w:noWrap/>
            <w:vAlign w:val="center"/>
            <w:hideMark/>
          </w:tcPr>
          <w:p w:rsidR="00D3496E" w:rsidRPr="005D02F4" w:rsidP="002A1639" w14:paraId="41D9412B" w14:textId="77777777">
            <w:pPr>
              <w:jc w:val="right"/>
              <w:rPr>
                <w:rFonts w:ascii="Source Sans Pro" w:hAnsi="Source Sans Pro" w:cs="Calibri"/>
                <w:sz w:val="20"/>
              </w:rPr>
            </w:pPr>
            <w:r w:rsidRPr="002E5EE7">
              <w:rPr>
                <w:rFonts w:ascii="Source Sans Pro" w:hAnsi="Source Sans Pro" w:cs="Calibri"/>
                <w:sz w:val="20"/>
              </w:rPr>
              <w:t>1,500</w:t>
            </w:r>
          </w:p>
        </w:tc>
        <w:tc>
          <w:tcPr>
            <w:tcW w:w="1651" w:type="dxa"/>
            <w:tcBorders>
              <w:top w:val="nil"/>
              <w:left w:val="nil"/>
              <w:bottom w:val="single" w:sz="8" w:space="0" w:color="auto"/>
              <w:right w:val="single" w:sz="8" w:space="0" w:color="auto"/>
            </w:tcBorders>
            <w:noWrap/>
            <w:vAlign w:val="center"/>
            <w:hideMark/>
          </w:tcPr>
          <w:p w:rsidR="00D3496E" w:rsidRPr="005D02F4" w:rsidP="002A1639" w14:paraId="46A5EFCE" w14:textId="77777777">
            <w:pPr>
              <w:jc w:val="right"/>
              <w:rPr>
                <w:rFonts w:ascii="Source Sans Pro" w:hAnsi="Source Sans Pro" w:cs="Calibri"/>
                <w:sz w:val="20"/>
              </w:rPr>
            </w:pPr>
            <w:r w:rsidRPr="002E5EE7">
              <w:rPr>
                <w:rFonts w:ascii="Source Sans Pro" w:hAnsi="Source Sans Pro" w:cs="Calibri"/>
                <w:sz w:val="20"/>
              </w:rPr>
              <w:t>0.667</w:t>
            </w:r>
          </w:p>
        </w:tc>
        <w:tc>
          <w:tcPr>
            <w:tcW w:w="1089" w:type="dxa"/>
            <w:tcBorders>
              <w:top w:val="nil"/>
              <w:left w:val="nil"/>
              <w:bottom w:val="single" w:sz="8" w:space="0" w:color="auto"/>
              <w:right w:val="nil"/>
            </w:tcBorders>
            <w:vAlign w:val="center"/>
            <w:hideMark/>
          </w:tcPr>
          <w:p w:rsidR="00D3496E" w:rsidRPr="005D02F4" w:rsidP="002A1639" w14:paraId="66ED7BDD" w14:textId="77777777">
            <w:pPr>
              <w:jc w:val="right"/>
              <w:rPr>
                <w:rFonts w:ascii="Source Sans Pro" w:hAnsi="Source Sans Pro" w:cs="Calibri"/>
                <w:sz w:val="20"/>
              </w:rPr>
            </w:pPr>
            <w:r w:rsidRPr="002E5EE7">
              <w:rPr>
                <w:rFonts w:ascii="Source Sans Pro" w:hAnsi="Source Sans Pro" w:cs="Calibri"/>
                <w:sz w:val="20"/>
              </w:rPr>
              <w:t>1:00</w:t>
            </w:r>
          </w:p>
        </w:tc>
        <w:tc>
          <w:tcPr>
            <w:tcW w:w="1115" w:type="dxa"/>
            <w:tcBorders>
              <w:top w:val="nil"/>
              <w:left w:val="single" w:sz="8" w:space="0" w:color="auto"/>
              <w:bottom w:val="single" w:sz="8" w:space="0" w:color="auto"/>
              <w:right w:val="single" w:sz="8" w:space="0" w:color="auto"/>
            </w:tcBorders>
            <w:noWrap/>
            <w:vAlign w:val="center"/>
            <w:hideMark/>
          </w:tcPr>
          <w:p w:rsidR="00D3496E" w:rsidRPr="005D02F4" w:rsidP="002A1639" w14:paraId="3FB5B8CF" w14:textId="77777777">
            <w:pPr>
              <w:jc w:val="right"/>
              <w:rPr>
                <w:rFonts w:ascii="Source Sans Pro" w:hAnsi="Source Sans Pro" w:cs="Calibri"/>
                <w:sz w:val="20"/>
              </w:rPr>
            </w:pPr>
            <w:r w:rsidRPr="002E5EE7">
              <w:rPr>
                <w:rFonts w:ascii="Source Sans Pro" w:hAnsi="Source Sans Pro" w:cs="Calibri"/>
                <w:sz w:val="20"/>
              </w:rPr>
              <w:t>1,001</w:t>
            </w:r>
          </w:p>
        </w:tc>
      </w:tr>
      <w:tr w14:paraId="340FB7D7" w14:textId="77777777" w:rsidTr="002A1639">
        <w:tblPrEx>
          <w:tblW w:w="9247" w:type="dxa"/>
          <w:tblCellMar>
            <w:top w:w="15" w:type="dxa"/>
          </w:tblCellMar>
          <w:tblLook w:val="04A0"/>
        </w:tblPrEx>
        <w:trPr>
          <w:gridAfter w:val="1"/>
          <w:wAfter w:w="222" w:type="dxa"/>
          <w:trHeight w:val="1905"/>
        </w:trPr>
        <w:tc>
          <w:tcPr>
            <w:tcW w:w="2303" w:type="dxa"/>
            <w:tcBorders>
              <w:top w:val="nil"/>
              <w:left w:val="single" w:sz="8" w:space="0" w:color="auto"/>
              <w:bottom w:val="single" w:sz="8" w:space="0" w:color="auto"/>
              <w:right w:val="single" w:sz="8" w:space="0" w:color="auto"/>
            </w:tcBorders>
            <w:vAlign w:val="center"/>
            <w:hideMark/>
          </w:tcPr>
          <w:p w:rsidR="00D3496E" w:rsidRPr="005D02F4" w:rsidP="002A1639" w14:paraId="71A10331" w14:textId="77777777">
            <w:pPr>
              <w:rPr>
                <w:rFonts w:ascii="Source Sans Pro" w:hAnsi="Source Sans Pro" w:cs="Calibri"/>
                <w:sz w:val="20"/>
              </w:rPr>
            </w:pPr>
            <w:r w:rsidRPr="005D02F4">
              <w:rPr>
                <w:rFonts w:ascii="Source Sans Pro" w:hAnsi="Source Sans Pro" w:cs="Calibri"/>
                <w:sz w:val="20"/>
              </w:rPr>
              <w:t xml:space="preserve">10. Request for Consent to Use Non-English Language Advertising Statement- 12 CFR 328.6(f) (Required to Obtain or Retain a Benefit).  </w:t>
            </w:r>
          </w:p>
        </w:tc>
        <w:tc>
          <w:tcPr>
            <w:tcW w:w="1554" w:type="dxa"/>
            <w:tcBorders>
              <w:top w:val="nil"/>
              <w:left w:val="nil"/>
              <w:bottom w:val="single" w:sz="8" w:space="0" w:color="auto"/>
              <w:right w:val="single" w:sz="8" w:space="0" w:color="auto"/>
            </w:tcBorders>
            <w:vAlign w:val="center"/>
            <w:hideMark/>
          </w:tcPr>
          <w:p w:rsidR="00D3496E" w:rsidRPr="005D02F4" w:rsidP="002A1639" w14:paraId="49046F14" w14:textId="77777777">
            <w:pPr>
              <w:jc w:val="center"/>
              <w:rPr>
                <w:rFonts w:ascii="Source Sans Pro" w:hAnsi="Source Sans Pro" w:cs="Calibri"/>
                <w:sz w:val="20"/>
              </w:rPr>
            </w:pPr>
            <w:r w:rsidRPr="005D02F4">
              <w:rPr>
                <w:rFonts w:ascii="Source Sans Pro" w:hAnsi="Source Sans Pro" w:cs="Calibri"/>
                <w:sz w:val="20"/>
              </w:rPr>
              <w:t>Reporting</w:t>
            </w:r>
            <w:r w:rsidRPr="005D02F4">
              <w:rPr>
                <w:rFonts w:ascii="Source Sans Pro" w:hAnsi="Source Sans Pro" w:cs="Calibri"/>
                <w:sz w:val="20"/>
              </w:rPr>
              <w:br/>
              <w:t>(On occasion)</w:t>
            </w:r>
          </w:p>
        </w:tc>
        <w:tc>
          <w:tcPr>
            <w:tcW w:w="1313" w:type="dxa"/>
            <w:tcBorders>
              <w:top w:val="nil"/>
              <w:left w:val="nil"/>
              <w:bottom w:val="single" w:sz="8" w:space="0" w:color="auto"/>
              <w:right w:val="single" w:sz="8" w:space="0" w:color="auto"/>
            </w:tcBorders>
            <w:noWrap/>
            <w:vAlign w:val="center"/>
            <w:hideMark/>
          </w:tcPr>
          <w:p w:rsidR="00D3496E" w:rsidRPr="005D02F4" w:rsidP="002A1639" w14:paraId="4A262AE8" w14:textId="77777777">
            <w:pPr>
              <w:jc w:val="right"/>
              <w:rPr>
                <w:rFonts w:ascii="Source Sans Pro" w:hAnsi="Source Sans Pro" w:cs="Calibri"/>
                <w:sz w:val="20"/>
              </w:rPr>
            </w:pPr>
            <w:r w:rsidRPr="005D02F4">
              <w:rPr>
                <w:rFonts w:ascii="Source Sans Pro" w:hAnsi="Source Sans Pro" w:cs="Calibri"/>
                <w:sz w:val="20"/>
              </w:rPr>
              <w:t>1</w:t>
            </w:r>
          </w:p>
        </w:tc>
        <w:tc>
          <w:tcPr>
            <w:tcW w:w="1651" w:type="dxa"/>
            <w:tcBorders>
              <w:top w:val="nil"/>
              <w:left w:val="nil"/>
              <w:bottom w:val="single" w:sz="8" w:space="0" w:color="auto"/>
              <w:right w:val="single" w:sz="8" w:space="0" w:color="auto"/>
            </w:tcBorders>
            <w:noWrap/>
            <w:vAlign w:val="center"/>
            <w:hideMark/>
          </w:tcPr>
          <w:p w:rsidR="00D3496E" w:rsidRPr="005D02F4" w:rsidP="002A1639" w14:paraId="3548DB8D" w14:textId="77777777">
            <w:pPr>
              <w:jc w:val="right"/>
              <w:rPr>
                <w:rFonts w:ascii="Source Sans Pro" w:hAnsi="Source Sans Pro" w:cs="Calibri"/>
                <w:sz w:val="20"/>
              </w:rPr>
            </w:pPr>
            <w:r w:rsidRPr="005D02F4">
              <w:rPr>
                <w:rFonts w:ascii="Source Sans Pro" w:hAnsi="Source Sans Pro" w:cs="Calibri"/>
                <w:sz w:val="20"/>
              </w:rPr>
              <w:t>1</w:t>
            </w:r>
          </w:p>
        </w:tc>
        <w:tc>
          <w:tcPr>
            <w:tcW w:w="1089" w:type="dxa"/>
            <w:tcBorders>
              <w:top w:val="nil"/>
              <w:left w:val="nil"/>
              <w:bottom w:val="single" w:sz="8" w:space="0" w:color="auto"/>
              <w:right w:val="nil"/>
            </w:tcBorders>
            <w:vAlign w:val="center"/>
            <w:hideMark/>
          </w:tcPr>
          <w:p w:rsidR="00D3496E" w:rsidRPr="005D02F4" w:rsidP="002A1639" w14:paraId="471B7ED3" w14:textId="77777777">
            <w:pPr>
              <w:jc w:val="right"/>
              <w:rPr>
                <w:rFonts w:ascii="Source Sans Pro" w:hAnsi="Source Sans Pro" w:cs="Calibri"/>
                <w:sz w:val="20"/>
              </w:rPr>
            </w:pPr>
            <w:r w:rsidRPr="005D02F4">
              <w:rPr>
                <w:rFonts w:ascii="Source Sans Pro" w:hAnsi="Source Sans Pro" w:cs="Calibri"/>
                <w:sz w:val="20"/>
              </w:rPr>
              <w:t>2:00</w:t>
            </w:r>
          </w:p>
        </w:tc>
        <w:tc>
          <w:tcPr>
            <w:tcW w:w="1115" w:type="dxa"/>
            <w:tcBorders>
              <w:top w:val="nil"/>
              <w:left w:val="single" w:sz="8" w:space="0" w:color="auto"/>
              <w:bottom w:val="single" w:sz="8" w:space="0" w:color="auto"/>
              <w:right w:val="single" w:sz="8" w:space="0" w:color="auto"/>
            </w:tcBorders>
            <w:noWrap/>
            <w:vAlign w:val="center"/>
            <w:hideMark/>
          </w:tcPr>
          <w:p w:rsidR="00D3496E" w:rsidRPr="005D02F4" w:rsidP="002A1639" w14:paraId="04DD2CE3" w14:textId="77777777">
            <w:pPr>
              <w:jc w:val="right"/>
              <w:rPr>
                <w:rFonts w:ascii="Source Sans Pro" w:hAnsi="Source Sans Pro" w:cs="Calibri"/>
                <w:sz w:val="20"/>
              </w:rPr>
            </w:pPr>
            <w:r w:rsidRPr="005D02F4">
              <w:rPr>
                <w:rFonts w:ascii="Source Sans Pro" w:hAnsi="Source Sans Pro" w:cs="Calibri"/>
                <w:sz w:val="20"/>
              </w:rPr>
              <w:t>2</w:t>
            </w:r>
          </w:p>
        </w:tc>
      </w:tr>
      <w:tr w14:paraId="663351D9" w14:textId="77777777" w:rsidTr="002A1639">
        <w:tblPrEx>
          <w:tblW w:w="9247" w:type="dxa"/>
          <w:tblCellMar>
            <w:top w:w="15" w:type="dxa"/>
          </w:tblCellMar>
          <w:tblLook w:val="04A0"/>
        </w:tblPrEx>
        <w:trPr>
          <w:gridAfter w:val="1"/>
          <w:wAfter w:w="222" w:type="dxa"/>
          <w:trHeight w:val="300"/>
        </w:trPr>
        <w:tc>
          <w:tcPr>
            <w:tcW w:w="7910"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D3496E" w:rsidRPr="005D02F4" w:rsidP="002A1639" w14:paraId="5A0C6F7F" w14:textId="77777777">
            <w:pPr>
              <w:jc w:val="right"/>
              <w:rPr>
                <w:rFonts w:ascii="Source Sans Pro" w:hAnsi="Source Sans Pro" w:cs="Calibri"/>
                <w:i/>
                <w:iCs/>
              </w:rPr>
            </w:pPr>
            <w:r w:rsidRPr="005D02F4">
              <w:rPr>
                <w:rFonts w:ascii="Source Sans Pro" w:hAnsi="Source Sans Pro" w:cs="Calibri"/>
                <w:i/>
                <w:iCs/>
              </w:rPr>
              <w:t>Total Annual Burden (Hours):</w:t>
            </w:r>
          </w:p>
        </w:tc>
        <w:tc>
          <w:tcPr>
            <w:tcW w:w="1115" w:type="dxa"/>
            <w:tcBorders>
              <w:top w:val="nil"/>
              <w:left w:val="nil"/>
              <w:bottom w:val="single" w:sz="8" w:space="0" w:color="auto"/>
              <w:right w:val="single" w:sz="8" w:space="0" w:color="auto"/>
            </w:tcBorders>
            <w:noWrap/>
            <w:vAlign w:val="bottom"/>
            <w:hideMark/>
          </w:tcPr>
          <w:p w:rsidR="00D3496E" w:rsidRPr="005D02F4" w:rsidP="002A1639" w14:paraId="2A1E446A" w14:textId="77777777">
            <w:pPr>
              <w:jc w:val="right"/>
              <w:rPr>
                <w:rFonts w:ascii="Source Sans Pro" w:hAnsi="Source Sans Pro" w:cs="Calibri"/>
                <w:i/>
                <w:iCs/>
              </w:rPr>
            </w:pPr>
            <w:r w:rsidRPr="005D02F4">
              <w:rPr>
                <w:rFonts w:ascii="Source Sans Pro" w:hAnsi="Source Sans Pro" w:cs="Calibri"/>
                <w:i/>
                <w:iCs/>
              </w:rPr>
              <w:t>355,</w:t>
            </w:r>
            <w:r>
              <w:rPr>
                <w:rFonts w:ascii="Source Sans Pro" w:hAnsi="Source Sans Pro" w:cs="Calibri"/>
                <w:i/>
                <w:iCs/>
              </w:rPr>
              <w:t>389</w:t>
            </w:r>
          </w:p>
        </w:tc>
      </w:tr>
      <w:tr w14:paraId="4B9E1E41" w14:textId="77777777" w:rsidTr="002A1639">
        <w:tblPrEx>
          <w:tblW w:w="9247" w:type="dxa"/>
          <w:tblCellMar>
            <w:top w:w="15" w:type="dxa"/>
          </w:tblCellMar>
          <w:tblLook w:val="04A0"/>
        </w:tblPrEx>
        <w:trPr>
          <w:gridAfter w:val="1"/>
          <w:wAfter w:w="222" w:type="dxa"/>
          <w:trHeight w:val="252"/>
        </w:trPr>
        <w:tc>
          <w:tcPr>
            <w:tcW w:w="9025" w:type="dxa"/>
            <w:gridSpan w:val="6"/>
            <w:tcBorders>
              <w:top w:val="single" w:sz="8" w:space="0" w:color="auto"/>
              <w:left w:val="single" w:sz="8" w:space="0" w:color="auto"/>
              <w:bottom w:val="nil"/>
              <w:right w:val="single" w:sz="8" w:space="0" w:color="000000"/>
            </w:tcBorders>
            <w:noWrap/>
            <w:hideMark/>
          </w:tcPr>
          <w:p w:rsidR="00D3496E" w:rsidRPr="005D02F4" w:rsidP="002A1639" w14:paraId="59D7ECA3" w14:textId="77777777">
            <w:pPr>
              <w:rPr>
                <w:rFonts w:ascii="Source Sans Pro" w:hAnsi="Source Sans Pro" w:cs="Calibri"/>
                <w:color w:val="000000"/>
                <w:sz w:val="18"/>
                <w:szCs w:val="18"/>
              </w:rPr>
            </w:pPr>
            <w:r w:rsidRPr="005D02F4">
              <w:rPr>
                <w:rFonts w:ascii="Source Sans Pro" w:hAnsi="Source Sans Pro" w:cs="Calibri"/>
                <w:color w:val="000000"/>
                <w:sz w:val="18"/>
                <w:szCs w:val="18"/>
              </w:rPr>
              <w:t>Source: FDIC.</w:t>
            </w:r>
          </w:p>
        </w:tc>
      </w:tr>
      <w:tr w14:paraId="48706F2D" w14:textId="77777777" w:rsidTr="002A1639">
        <w:tblPrEx>
          <w:tblW w:w="9247" w:type="dxa"/>
          <w:tblCellMar>
            <w:top w:w="15" w:type="dxa"/>
          </w:tblCellMar>
          <w:tblLook w:val="04A0"/>
        </w:tblPrEx>
        <w:trPr>
          <w:gridAfter w:val="1"/>
          <w:wAfter w:w="222" w:type="dxa"/>
          <w:trHeight w:val="458"/>
        </w:trPr>
        <w:tc>
          <w:tcPr>
            <w:tcW w:w="9025" w:type="dxa"/>
            <w:gridSpan w:val="6"/>
            <w:vMerge w:val="restart"/>
            <w:tcBorders>
              <w:top w:val="nil"/>
              <w:left w:val="single" w:sz="8" w:space="0" w:color="auto"/>
              <w:bottom w:val="single" w:sz="8" w:space="0" w:color="000000"/>
              <w:right w:val="single" w:sz="8" w:space="0" w:color="000000"/>
            </w:tcBorders>
            <w:vAlign w:val="center"/>
            <w:hideMark/>
          </w:tcPr>
          <w:p w:rsidR="00D3496E" w:rsidRPr="005D02F4" w:rsidP="002A1639" w14:paraId="0BFB72D1" w14:textId="77777777">
            <w:pPr>
              <w:rPr>
                <w:rFonts w:ascii="Source Sans Pro" w:hAnsi="Source Sans Pro" w:cs="Calibri"/>
                <w:color w:val="000000"/>
                <w:sz w:val="18"/>
                <w:szCs w:val="18"/>
              </w:rPr>
            </w:pPr>
            <w:r w:rsidRPr="005D02F4">
              <w:rPr>
                <w:rFonts w:ascii="Source Sans Pro" w:hAnsi="Source Sans Pro" w:cs="Calibri"/>
                <w:color w:val="000000"/>
                <w:sz w:val="18"/>
                <w:szCs w:val="18"/>
              </w:rPr>
              <w:t>Note: The estimated annual IC time burden is the product, rounded to the nearest hour, of the estimated annual number of responses and the estimated time per response for a given IC. The estimated annual number of responses is the product, rounded to the nearest whole number, of the estimated annual number of respondents and the estimated annual number of responses per respondent. This methodology ensures the estimated annual burdens in the table are consistent with the values recorded in OMB’s consolidated information system.</w:t>
            </w:r>
          </w:p>
        </w:tc>
      </w:tr>
      <w:tr w14:paraId="3367F001" w14:textId="77777777" w:rsidTr="002A1639">
        <w:tblPrEx>
          <w:tblW w:w="9247" w:type="dxa"/>
          <w:tblCellMar>
            <w:top w:w="15" w:type="dxa"/>
          </w:tblCellMar>
          <w:tblLook w:val="04A0"/>
        </w:tblPrEx>
        <w:trPr>
          <w:trHeight w:val="300"/>
        </w:trPr>
        <w:tc>
          <w:tcPr>
            <w:tcW w:w="9025" w:type="dxa"/>
            <w:gridSpan w:val="6"/>
            <w:vMerge/>
            <w:tcBorders>
              <w:top w:val="nil"/>
              <w:left w:val="single" w:sz="8" w:space="0" w:color="auto"/>
              <w:bottom w:val="single" w:sz="8" w:space="0" w:color="000000"/>
              <w:right w:val="single" w:sz="8" w:space="0" w:color="000000"/>
            </w:tcBorders>
            <w:vAlign w:val="center"/>
            <w:hideMark/>
          </w:tcPr>
          <w:p w:rsidR="00D3496E" w:rsidRPr="005D02F4" w:rsidP="002A1639" w14:paraId="1C65F47B" w14:textId="77777777">
            <w:pPr>
              <w:rPr>
                <w:rFonts w:ascii="Source Sans Pro" w:hAnsi="Source Sans Pro" w:cs="Calibri"/>
                <w:color w:val="000000"/>
                <w:sz w:val="18"/>
                <w:szCs w:val="18"/>
              </w:rPr>
            </w:pPr>
          </w:p>
        </w:tc>
        <w:tc>
          <w:tcPr>
            <w:tcW w:w="222" w:type="dxa"/>
            <w:tcBorders>
              <w:top w:val="nil"/>
              <w:left w:val="nil"/>
              <w:bottom w:val="nil"/>
              <w:right w:val="nil"/>
            </w:tcBorders>
            <w:noWrap/>
            <w:vAlign w:val="bottom"/>
            <w:hideMark/>
          </w:tcPr>
          <w:p w:rsidR="00D3496E" w:rsidRPr="005D02F4" w:rsidP="002A1639" w14:paraId="0E60D214" w14:textId="77777777">
            <w:pPr>
              <w:rPr>
                <w:rFonts w:ascii="Source Sans Pro" w:hAnsi="Source Sans Pro" w:cs="Calibri"/>
                <w:color w:val="000000"/>
                <w:sz w:val="18"/>
                <w:szCs w:val="18"/>
              </w:rPr>
            </w:pPr>
          </w:p>
        </w:tc>
      </w:tr>
      <w:tr w14:paraId="1C9658D8" w14:textId="77777777" w:rsidTr="002A1639">
        <w:tblPrEx>
          <w:tblW w:w="9247" w:type="dxa"/>
          <w:tblCellMar>
            <w:top w:w="15" w:type="dxa"/>
          </w:tblCellMar>
          <w:tblLook w:val="04A0"/>
        </w:tblPrEx>
        <w:trPr>
          <w:trHeight w:val="312"/>
        </w:trPr>
        <w:tc>
          <w:tcPr>
            <w:tcW w:w="9025" w:type="dxa"/>
            <w:gridSpan w:val="6"/>
            <w:vMerge/>
            <w:tcBorders>
              <w:top w:val="nil"/>
              <w:left w:val="single" w:sz="8" w:space="0" w:color="auto"/>
              <w:bottom w:val="single" w:sz="8" w:space="0" w:color="000000"/>
              <w:right w:val="single" w:sz="8" w:space="0" w:color="000000"/>
            </w:tcBorders>
            <w:vAlign w:val="center"/>
            <w:hideMark/>
          </w:tcPr>
          <w:p w:rsidR="00D3496E" w:rsidRPr="005D02F4" w:rsidP="002A1639" w14:paraId="356F2CAF" w14:textId="77777777">
            <w:pPr>
              <w:rPr>
                <w:rFonts w:ascii="Source Sans Pro" w:hAnsi="Source Sans Pro" w:cs="Calibri"/>
                <w:color w:val="000000"/>
                <w:sz w:val="18"/>
                <w:szCs w:val="18"/>
              </w:rPr>
            </w:pPr>
          </w:p>
        </w:tc>
        <w:tc>
          <w:tcPr>
            <w:tcW w:w="222" w:type="dxa"/>
            <w:tcBorders>
              <w:top w:val="nil"/>
              <w:left w:val="nil"/>
              <w:bottom w:val="nil"/>
              <w:right w:val="nil"/>
            </w:tcBorders>
            <w:noWrap/>
            <w:vAlign w:val="bottom"/>
            <w:hideMark/>
          </w:tcPr>
          <w:p w:rsidR="00D3496E" w:rsidRPr="005D02F4" w:rsidP="002A1639" w14:paraId="0511F2A5" w14:textId="77777777">
            <w:pPr>
              <w:rPr>
                <w:rFonts w:ascii="Times New Roman" w:hAnsi="Times New Roman"/>
                <w:sz w:val="20"/>
              </w:rPr>
            </w:pPr>
          </w:p>
        </w:tc>
      </w:tr>
      <w:tr w14:paraId="29437C8B" w14:textId="77777777" w:rsidTr="002A1639">
        <w:tblPrEx>
          <w:tblW w:w="9247" w:type="dxa"/>
          <w:tblCellMar>
            <w:top w:w="15" w:type="dxa"/>
          </w:tblCellMar>
          <w:tblLook w:val="04A0"/>
        </w:tblPrEx>
        <w:trPr>
          <w:trHeight w:val="409"/>
        </w:trPr>
        <w:tc>
          <w:tcPr>
            <w:tcW w:w="9025" w:type="dxa"/>
            <w:gridSpan w:val="6"/>
            <w:vMerge/>
            <w:tcBorders>
              <w:top w:val="nil"/>
              <w:left w:val="single" w:sz="8" w:space="0" w:color="auto"/>
              <w:bottom w:val="single" w:sz="8" w:space="0" w:color="000000"/>
              <w:right w:val="single" w:sz="8" w:space="0" w:color="000000"/>
            </w:tcBorders>
            <w:vAlign w:val="center"/>
            <w:hideMark/>
          </w:tcPr>
          <w:p w:rsidR="00D3496E" w:rsidRPr="005D02F4" w:rsidP="002A1639" w14:paraId="4EDB1316" w14:textId="77777777">
            <w:pPr>
              <w:rPr>
                <w:rFonts w:ascii="Source Sans Pro" w:hAnsi="Source Sans Pro" w:cs="Calibri"/>
                <w:color w:val="000000"/>
                <w:sz w:val="18"/>
                <w:szCs w:val="18"/>
              </w:rPr>
            </w:pPr>
          </w:p>
        </w:tc>
        <w:tc>
          <w:tcPr>
            <w:tcW w:w="222" w:type="dxa"/>
            <w:tcBorders>
              <w:top w:val="nil"/>
              <w:left w:val="nil"/>
              <w:bottom w:val="nil"/>
              <w:right w:val="nil"/>
            </w:tcBorders>
            <w:noWrap/>
            <w:vAlign w:val="bottom"/>
            <w:hideMark/>
          </w:tcPr>
          <w:p w:rsidR="00D3496E" w:rsidRPr="005D02F4" w:rsidP="002A1639" w14:paraId="45780ACF" w14:textId="77777777">
            <w:pPr>
              <w:rPr>
                <w:rFonts w:ascii="Times New Roman" w:hAnsi="Times New Roman"/>
                <w:sz w:val="20"/>
              </w:rPr>
            </w:pPr>
          </w:p>
        </w:tc>
      </w:tr>
    </w:tbl>
    <w:p w:rsidR="00291BF2" w:rsidRPr="002A40BD" w:rsidP="00257644" w14:paraId="0D05DE08" w14:textId="77777777">
      <w:pPr>
        <w:spacing w:after="120"/>
        <w:rPr>
          <w:rFonts w:ascii="Times New Roman" w:hAnsi="Times New Roman"/>
          <w:szCs w:val="24"/>
          <w:lang w:bidi="en-US"/>
        </w:rPr>
      </w:pPr>
    </w:p>
    <w:p w:rsidR="00257644" w:rsidRPr="00214C9B" w:rsidP="00257644" w14:paraId="352383FE" w14:textId="77777777">
      <w:pPr>
        <w:spacing w:after="120"/>
        <w:rPr>
          <w:rFonts w:ascii="Times New Roman" w:hAnsi="Times New Roman"/>
          <w:b/>
          <w:bCs/>
          <w:szCs w:val="24"/>
          <w:lang w:bidi="en-US"/>
        </w:rPr>
      </w:pPr>
      <w:r w:rsidRPr="00214C9B">
        <w:rPr>
          <w:rFonts w:ascii="Times New Roman" w:hAnsi="Times New Roman"/>
          <w:b/>
          <w:bCs/>
          <w:szCs w:val="24"/>
          <w:lang w:bidi="en-US"/>
        </w:rPr>
        <w:t xml:space="preserve">Estimated Hourly Burden Cost </w:t>
      </w:r>
    </w:p>
    <w:p w:rsidR="00820BBC" w:rsidRPr="00214C9B" w:rsidP="00820BBC" w14:paraId="000D4A2D" w14:textId="77777777">
      <w:pPr>
        <w:spacing w:after="120"/>
        <w:rPr>
          <w:rFonts w:ascii="Times New Roman" w:hAnsi="Times New Roman"/>
          <w:szCs w:val="24"/>
          <w:lang w:bidi="en-US"/>
        </w:rPr>
      </w:pPr>
      <w:r w:rsidRPr="00214C9B">
        <w:rPr>
          <w:rFonts w:ascii="Times New Roman" w:hAnsi="Times New Roman"/>
          <w:szCs w:val="24"/>
          <w:lang w:bidi="en-US"/>
        </w:rPr>
        <w:t xml:space="preserve">The average hourly cost of compliance is based on the 75th percentile hourly wages for relevant occupations in the Depository Credit Intermediation sector, as reported by the Bureau of Labor Statistics (BLS) Occupational Employment and Wage Statistics (OEWS) for May 2024, adjusted for non-wage compensation using BLS Employer Cost of Employee Compensation (ECEC) data and updated through September 2025. </w:t>
      </w:r>
      <w:r w:rsidRPr="00214C9B">
        <w:rPr>
          <w:rFonts w:ascii="Times New Roman" w:hAnsi="Times New Roman"/>
          <w:szCs w:val="24"/>
          <w:lang w:bidi="en-US"/>
        </w:rPr>
        <w:tab/>
      </w:r>
    </w:p>
    <w:p w:rsidR="00204653" w:rsidRPr="00214C9B" w:rsidP="00820BBC" w14:paraId="35B1CC11" w14:textId="18E350C1">
      <w:pPr>
        <w:spacing w:after="120"/>
        <w:rPr>
          <w:rFonts w:ascii="Times New Roman" w:hAnsi="Times New Roman"/>
          <w:szCs w:val="24"/>
          <w:lang w:bidi="en-US"/>
        </w:rPr>
      </w:pPr>
      <w:r w:rsidRPr="00214C9B">
        <w:rPr>
          <w:rFonts w:ascii="Times New Roman" w:hAnsi="Times New Roman"/>
          <w:szCs w:val="24"/>
          <w:lang w:bidi="en-US"/>
        </w:rPr>
        <w:t xml:space="preserve">The estimates of allocations of labor provided by these occupations below are based on the SMEs’ review of the FDIC’s estimates used in the 2024 ICR. The SMEs and I believe that these estimates continue to be reasonable and appropriate. The estimated weighted hourly compensation rate and the occupational distribution for each IC are reported in Table 2. The hourly compensation rate for each IC is weighted by its annual estimated burden hours and then summed across all 10 ICs to obtain an estimated weighted average hourly cost of $122.62 per </w:t>
      </w:r>
      <w:r w:rsidRPr="00214C9B">
        <w:rPr>
          <w:rFonts w:ascii="Times New Roman" w:hAnsi="Times New Roman"/>
          <w:szCs w:val="24"/>
          <w:lang w:bidi="en-US"/>
        </w:rPr>
        <w:t>hour for the entire ICR. This represents an approximately 51 percent increase in the estimated hourly compensation rate from the $81.13 per hour estimated in the 2024 ICR. This increase is driven by updates to the BLS OEWS data from May 2021 in the 2024 ICR to May 2024 for this ICR.</w:t>
      </w:r>
    </w:p>
    <w:tbl>
      <w:tblPr>
        <w:tblW w:w="10202" w:type="dxa"/>
        <w:tblLook w:val="04A0"/>
      </w:tblPr>
      <w:tblGrid>
        <w:gridCol w:w="1896"/>
        <w:gridCol w:w="840"/>
        <w:gridCol w:w="1000"/>
        <w:gridCol w:w="1000"/>
        <w:gridCol w:w="900"/>
        <w:gridCol w:w="1000"/>
        <w:gridCol w:w="1000"/>
        <w:gridCol w:w="900"/>
        <w:gridCol w:w="1444"/>
        <w:gridCol w:w="222"/>
      </w:tblGrid>
      <w:tr w14:paraId="2287A5EA" w14:textId="77777777">
        <w:tblPrEx>
          <w:tblW w:w="10202" w:type="dxa"/>
          <w:tblLook w:val="04A0"/>
        </w:tblPrEx>
        <w:trPr>
          <w:gridAfter w:val="1"/>
          <w:trHeight w:val="360"/>
        </w:trPr>
        <w:tc>
          <w:tcPr>
            <w:tcW w:w="9980" w:type="dxa"/>
            <w:gridSpan w:val="9"/>
            <w:tcBorders>
              <w:top w:val="single" w:sz="8" w:space="0" w:color="auto"/>
              <w:left w:val="single" w:sz="8" w:space="0" w:color="auto"/>
              <w:bottom w:val="single" w:sz="8" w:space="0" w:color="auto"/>
              <w:right w:val="single" w:sz="8" w:space="0" w:color="auto"/>
            </w:tcBorders>
            <w:noWrap/>
            <w:tcMar>
              <w:top w:w="15" w:type="dxa"/>
              <w:left w:w="108" w:type="dxa"/>
              <w:bottom w:w="0" w:type="dxa"/>
              <w:right w:w="108" w:type="dxa"/>
            </w:tcMar>
            <w:vAlign w:val="bottom"/>
            <w:hideMark/>
          </w:tcPr>
          <w:p w:rsidR="008B0C9A" w:rsidRPr="00214C9B" w14:paraId="555E6CFA" w14:textId="77777777">
            <w:pPr>
              <w:jc w:val="center"/>
              <w:rPr>
                <w:rFonts w:ascii="Times New Roman" w:hAnsi="Times New Roman"/>
                <w:snapToGrid/>
                <w:color w:val="000000"/>
                <w:szCs w:val="24"/>
              </w:rPr>
            </w:pPr>
            <w:r w:rsidRPr="00214C9B">
              <w:rPr>
                <w:rFonts w:ascii="Times New Roman" w:hAnsi="Times New Roman"/>
                <w:color w:val="000000"/>
                <w:szCs w:val="24"/>
              </w:rPr>
              <w:t>Table 2. Summary of Hourly Burden Cost Estimate (OMB No. 3064-0219)</w:t>
            </w:r>
          </w:p>
        </w:tc>
      </w:tr>
      <w:tr w14:paraId="32A43CCE" w14:textId="77777777">
        <w:tblPrEx>
          <w:tblW w:w="10202" w:type="dxa"/>
          <w:tblLook w:val="04A0"/>
        </w:tblPrEx>
        <w:trPr>
          <w:gridAfter w:val="1"/>
          <w:trHeight w:val="600"/>
        </w:trPr>
        <w:tc>
          <w:tcPr>
            <w:tcW w:w="1992" w:type="dxa"/>
            <w:vMerge w:val="restart"/>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8B0C9A" w:rsidRPr="00214C9B" w14:paraId="48F4B57C" w14:textId="77777777">
            <w:pPr>
              <w:rPr>
                <w:rFonts w:ascii="Times New Roman" w:hAnsi="Times New Roman"/>
                <w:color w:val="000000"/>
                <w:sz w:val="20"/>
              </w:rPr>
            </w:pPr>
            <w:r w:rsidRPr="00214C9B">
              <w:rPr>
                <w:rFonts w:ascii="Times New Roman" w:hAnsi="Times New Roman"/>
                <w:color w:val="000000"/>
                <w:sz w:val="20"/>
              </w:rPr>
              <w:t xml:space="preserve">Information Collection (IC) (Obligation to Respond) </w:t>
            </w:r>
          </w:p>
        </w:tc>
        <w:tc>
          <w:tcPr>
            <w:tcW w:w="840" w:type="dxa"/>
            <w:vMerge w:val="restart"/>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8B0C9A" w:rsidRPr="00214C9B" w14:paraId="6EE327B7" w14:textId="77777777">
            <w:pPr>
              <w:jc w:val="center"/>
              <w:rPr>
                <w:rFonts w:ascii="Times New Roman" w:hAnsi="Times New Roman"/>
                <w:color w:val="000000"/>
                <w:sz w:val="20"/>
              </w:rPr>
            </w:pPr>
            <w:r w:rsidRPr="00214C9B">
              <w:rPr>
                <w:rFonts w:ascii="Times New Roman" w:hAnsi="Times New Roman"/>
                <w:color w:val="000000"/>
                <w:sz w:val="20"/>
              </w:rPr>
              <w:t xml:space="preserve">Hourly Weight </w:t>
            </w:r>
            <w:r w:rsidRPr="00214C9B">
              <w:rPr>
                <w:rFonts w:ascii="Times New Roman" w:hAnsi="Times New Roman"/>
                <w:color w:val="000000"/>
                <w:sz w:val="20"/>
              </w:rPr>
              <w:br/>
              <w:t>(%)</w:t>
            </w:r>
          </w:p>
        </w:tc>
        <w:tc>
          <w:tcPr>
            <w:tcW w:w="5704" w:type="dxa"/>
            <w:gridSpan w:val="6"/>
            <w:vMerge w:val="restart"/>
            <w:tcBorders>
              <w:top w:val="single" w:sz="8" w:space="0" w:color="auto"/>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8B0C9A" w:rsidRPr="00214C9B" w14:paraId="1B77973C" w14:textId="77777777">
            <w:pPr>
              <w:jc w:val="center"/>
              <w:rPr>
                <w:rFonts w:ascii="Times New Roman" w:hAnsi="Times New Roman"/>
                <w:color w:val="000000"/>
                <w:sz w:val="20"/>
              </w:rPr>
            </w:pPr>
            <w:r w:rsidRPr="00214C9B">
              <w:rPr>
                <w:rFonts w:ascii="Times New Roman" w:hAnsi="Times New Roman"/>
                <w:color w:val="000000"/>
                <w:sz w:val="20"/>
              </w:rPr>
              <w:t xml:space="preserve">Percentage Shares of Hours Spent by and </w:t>
            </w:r>
            <w:r w:rsidRPr="00214C9B">
              <w:rPr>
                <w:rFonts w:ascii="Times New Roman" w:hAnsi="Times New Roman"/>
                <w:color w:val="000000"/>
                <w:sz w:val="20"/>
              </w:rPr>
              <w:br/>
              <w:t xml:space="preserve">Hourly Compensation Rates for each Occupation Group </w:t>
            </w:r>
            <w:r w:rsidRPr="00214C9B">
              <w:rPr>
                <w:rFonts w:ascii="Times New Roman" w:hAnsi="Times New Roman"/>
                <w:color w:val="000000"/>
                <w:sz w:val="20"/>
              </w:rPr>
              <w:br/>
              <w:t>(by Collection)</w:t>
            </w:r>
          </w:p>
        </w:tc>
        <w:tc>
          <w:tcPr>
            <w:tcW w:w="1444" w:type="dxa"/>
            <w:vMerge w:val="restart"/>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8B0C9A" w:rsidRPr="00214C9B" w14:paraId="55F1A719" w14:textId="77777777">
            <w:pPr>
              <w:jc w:val="center"/>
              <w:rPr>
                <w:rFonts w:ascii="Times New Roman" w:hAnsi="Times New Roman"/>
                <w:color w:val="000000"/>
                <w:sz w:val="20"/>
              </w:rPr>
            </w:pPr>
            <w:r w:rsidRPr="00214C9B">
              <w:rPr>
                <w:rFonts w:ascii="Times New Roman" w:hAnsi="Times New Roman"/>
                <w:color w:val="000000"/>
                <w:sz w:val="20"/>
              </w:rPr>
              <w:t>Estimated Hourly Compensation Rate</w:t>
            </w:r>
          </w:p>
        </w:tc>
      </w:tr>
      <w:tr w14:paraId="41F61B9F" w14:textId="77777777">
        <w:tblPrEx>
          <w:tblW w:w="10202" w:type="dxa"/>
          <w:tblLook w:val="04A0"/>
        </w:tblPrEx>
        <w:trPr>
          <w:trHeight w:val="863"/>
        </w:trPr>
        <w:tc>
          <w:tcPr>
            <w:tcW w:w="0" w:type="auto"/>
            <w:vMerge/>
            <w:tcBorders>
              <w:top w:val="nil"/>
              <w:left w:val="single" w:sz="8" w:space="0" w:color="auto"/>
              <w:bottom w:val="single" w:sz="8" w:space="0" w:color="auto"/>
              <w:right w:val="single" w:sz="8" w:space="0" w:color="auto"/>
            </w:tcBorders>
            <w:vAlign w:val="center"/>
            <w:hideMark/>
          </w:tcPr>
          <w:p w:rsidR="008B0C9A" w:rsidRPr="00214C9B" w14:paraId="61BD72B1" w14:textId="77777777">
            <w:pPr>
              <w:spacing w:line="256" w:lineRule="auto"/>
              <w:rPr>
                <w:rFonts w:ascii="Times New Roman" w:hAnsi="Times New Roman"/>
                <w:color w:val="000000"/>
                <w:sz w:val="20"/>
              </w:rPr>
            </w:pPr>
          </w:p>
        </w:tc>
        <w:tc>
          <w:tcPr>
            <w:tcW w:w="0" w:type="auto"/>
            <w:vMerge/>
            <w:tcBorders>
              <w:top w:val="nil"/>
              <w:left w:val="single" w:sz="8" w:space="0" w:color="auto"/>
              <w:bottom w:val="single" w:sz="8" w:space="0" w:color="auto"/>
              <w:right w:val="single" w:sz="8" w:space="0" w:color="auto"/>
            </w:tcBorders>
            <w:vAlign w:val="center"/>
            <w:hideMark/>
          </w:tcPr>
          <w:p w:rsidR="008B0C9A" w:rsidRPr="00214C9B" w14:paraId="3BE5D18F" w14:textId="77777777">
            <w:pPr>
              <w:spacing w:line="256" w:lineRule="auto"/>
              <w:rPr>
                <w:rFonts w:ascii="Times New Roman" w:hAnsi="Times New Roman"/>
                <w:color w:val="000000"/>
                <w:sz w:val="20"/>
              </w:rPr>
            </w:pPr>
          </w:p>
        </w:tc>
        <w:tc>
          <w:tcPr>
            <w:tcW w:w="0" w:type="auto"/>
            <w:gridSpan w:val="6"/>
            <w:vMerge/>
            <w:tcBorders>
              <w:top w:val="single" w:sz="8" w:space="0" w:color="auto"/>
              <w:left w:val="single" w:sz="8" w:space="0" w:color="auto"/>
              <w:bottom w:val="single" w:sz="8" w:space="0" w:color="auto"/>
              <w:right w:val="single" w:sz="8" w:space="0" w:color="auto"/>
            </w:tcBorders>
            <w:vAlign w:val="center"/>
            <w:hideMark/>
          </w:tcPr>
          <w:p w:rsidR="008B0C9A" w:rsidRPr="00214C9B" w14:paraId="7AA52BF2" w14:textId="77777777">
            <w:pPr>
              <w:spacing w:line="256" w:lineRule="auto"/>
              <w:rPr>
                <w:rFonts w:ascii="Times New Roman" w:hAnsi="Times New Roman"/>
                <w:color w:val="000000"/>
                <w:sz w:val="20"/>
              </w:rPr>
            </w:pPr>
          </w:p>
        </w:tc>
        <w:tc>
          <w:tcPr>
            <w:tcW w:w="0" w:type="auto"/>
            <w:vMerge/>
            <w:tcBorders>
              <w:top w:val="nil"/>
              <w:left w:val="single" w:sz="8" w:space="0" w:color="auto"/>
              <w:bottom w:val="single" w:sz="8" w:space="0" w:color="auto"/>
              <w:right w:val="single" w:sz="8" w:space="0" w:color="auto"/>
            </w:tcBorders>
            <w:vAlign w:val="center"/>
            <w:hideMark/>
          </w:tcPr>
          <w:p w:rsidR="008B0C9A" w:rsidRPr="00214C9B" w14:paraId="2D93CA51" w14:textId="77777777">
            <w:pPr>
              <w:spacing w:line="256" w:lineRule="auto"/>
              <w:rPr>
                <w:rFonts w:ascii="Times New Roman" w:hAnsi="Times New Roman"/>
                <w:color w:val="000000"/>
                <w:sz w:val="20"/>
              </w:rPr>
            </w:pPr>
          </w:p>
        </w:tc>
        <w:tc>
          <w:tcPr>
            <w:tcW w:w="0" w:type="auto"/>
            <w:vAlign w:val="center"/>
            <w:hideMark/>
          </w:tcPr>
          <w:p w:rsidR="008B0C9A" w:rsidRPr="00214C9B" w14:paraId="19C55261" w14:textId="77777777">
            <w:pPr>
              <w:rPr>
                <w:rFonts w:ascii="Times New Roman" w:hAnsi="Times New Roman"/>
                <w:color w:val="000000"/>
                <w:sz w:val="20"/>
              </w:rPr>
            </w:pPr>
          </w:p>
        </w:tc>
      </w:tr>
      <w:tr w14:paraId="3821A085" w14:textId="77777777">
        <w:tblPrEx>
          <w:tblW w:w="10202" w:type="dxa"/>
          <w:tblLook w:val="04A0"/>
        </w:tblPrEx>
        <w:trPr>
          <w:trHeight w:val="431"/>
        </w:trPr>
        <w:tc>
          <w:tcPr>
            <w:tcW w:w="0" w:type="auto"/>
            <w:vMerge/>
            <w:tcBorders>
              <w:top w:val="nil"/>
              <w:left w:val="single" w:sz="8" w:space="0" w:color="auto"/>
              <w:bottom w:val="single" w:sz="8" w:space="0" w:color="auto"/>
              <w:right w:val="single" w:sz="8" w:space="0" w:color="auto"/>
            </w:tcBorders>
            <w:vAlign w:val="center"/>
            <w:hideMark/>
          </w:tcPr>
          <w:p w:rsidR="008B0C9A" w:rsidRPr="00214C9B" w14:paraId="198E6813" w14:textId="77777777">
            <w:pPr>
              <w:spacing w:line="256" w:lineRule="auto"/>
              <w:rPr>
                <w:rFonts w:ascii="Times New Roman" w:hAnsi="Times New Roman"/>
                <w:color w:val="000000"/>
                <w:sz w:val="20"/>
              </w:rPr>
            </w:pPr>
          </w:p>
        </w:tc>
        <w:tc>
          <w:tcPr>
            <w:tcW w:w="0" w:type="auto"/>
            <w:vMerge/>
            <w:tcBorders>
              <w:top w:val="nil"/>
              <w:left w:val="single" w:sz="8" w:space="0" w:color="auto"/>
              <w:bottom w:val="single" w:sz="8" w:space="0" w:color="auto"/>
              <w:right w:val="single" w:sz="8" w:space="0" w:color="auto"/>
            </w:tcBorders>
            <w:vAlign w:val="center"/>
            <w:hideMark/>
          </w:tcPr>
          <w:p w:rsidR="008B0C9A" w:rsidRPr="00214C9B" w14:paraId="073B550E" w14:textId="77777777">
            <w:pPr>
              <w:spacing w:line="256" w:lineRule="auto"/>
              <w:rPr>
                <w:rFonts w:ascii="Times New Roman" w:hAnsi="Times New Roman"/>
                <w:color w:val="000000"/>
                <w:sz w:val="20"/>
              </w:rPr>
            </w:pPr>
          </w:p>
        </w:tc>
        <w:tc>
          <w:tcPr>
            <w:tcW w:w="984" w:type="dxa"/>
            <w:vMerge w:val="restart"/>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8B0C9A" w:rsidRPr="00214C9B" w14:paraId="0A3ABDC0" w14:textId="77777777">
            <w:pPr>
              <w:jc w:val="center"/>
              <w:rPr>
                <w:rFonts w:ascii="Times New Roman" w:hAnsi="Times New Roman"/>
                <w:color w:val="000000"/>
                <w:sz w:val="20"/>
              </w:rPr>
            </w:pPr>
            <w:r w:rsidRPr="00214C9B">
              <w:rPr>
                <w:rFonts w:ascii="Times New Roman" w:hAnsi="Times New Roman"/>
                <w:color w:val="000000"/>
                <w:sz w:val="20"/>
              </w:rPr>
              <w:t>Exec. &amp; Mgr.      ($158.33)</w:t>
            </w:r>
          </w:p>
        </w:tc>
        <w:tc>
          <w:tcPr>
            <w:tcW w:w="984" w:type="dxa"/>
            <w:vMerge w:val="restart"/>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8B0C9A" w:rsidRPr="00214C9B" w14:paraId="0A8E230E" w14:textId="77777777">
            <w:pPr>
              <w:jc w:val="center"/>
              <w:rPr>
                <w:rFonts w:ascii="Times New Roman" w:hAnsi="Times New Roman"/>
                <w:color w:val="000000"/>
                <w:sz w:val="20"/>
              </w:rPr>
            </w:pPr>
            <w:r w:rsidRPr="00214C9B">
              <w:rPr>
                <w:rFonts w:ascii="Times New Roman" w:hAnsi="Times New Roman"/>
                <w:color w:val="000000"/>
                <w:sz w:val="20"/>
              </w:rPr>
              <w:t>Lawyer</w:t>
            </w:r>
            <w:r w:rsidRPr="00214C9B">
              <w:rPr>
                <w:rFonts w:ascii="Times New Roman" w:hAnsi="Times New Roman"/>
                <w:color w:val="000000"/>
                <w:sz w:val="20"/>
              </w:rPr>
              <w:t xml:space="preserve">   (</w:t>
            </w:r>
            <w:r w:rsidRPr="00214C9B">
              <w:rPr>
                <w:rFonts w:ascii="Times New Roman" w:hAnsi="Times New Roman"/>
                <w:color w:val="000000"/>
                <w:sz w:val="20"/>
              </w:rPr>
              <w:t>$178.57)</w:t>
            </w:r>
          </w:p>
        </w:tc>
        <w:tc>
          <w:tcPr>
            <w:tcW w:w="884" w:type="dxa"/>
            <w:vMerge w:val="restart"/>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8B0C9A" w:rsidRPr="00214C9B" w14:paraId="09E37B53" w14:textId="77777777">
            <w:pPr>
              <w:jc w:val="center"/>
              <w:rPr>
                <w:rFonts w:ascii="Times New Roman" w:hAnsi="Times New Roman"/>
                <w:color w:val="000000"/>
                <w:sz w:val="20"/>
              </w:rPr>
            </w:pPr>
            <w:r w:rsidRPr="00214C9B">
              <w:rPr>
                <w:rFonts w:ascii="Times New Roman" w:hAnsi="Times New Roman"/>
                <w:color w:val="000000"/>
                <w:sz w:val="20"/>
              </w:rPr>
              <w:t>Compl</w:t>
            </w:r>
            <w:r w:rsidRPr="00214C9B">
              <w:rPr>
                <w:rFonts w:ascii="Times New Roman" w:hAnsi="Times New Roman"/>
                <w:color w:val="000000"/>
                <w:sz w:val="20"/>
              </w:rPr>
              <w:t>. Ofc.   ($80.32)</w:t>
            </w:r>
          </w:p>
        </w:tc>
        <w:tc>
          <w:tcPr>
            <w:tcW w:w="984" w:type="dxa"/>
            <w:vMerge w:val="restart"/>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8B0C9A" w:rsidRPr="00214C9B" w14:paraId="76FECB35" w14:textId="77777777">
            <w:pPr>
              <w:jc w:val="center"/>
              <w:rPr>
                <w:rFonts w:ascii="Times New Roman" w:hAnsi="Times New Roman"/>
                <w:color w:val="000000"/>
                <w:sz w:val="20"/>
              </w:rPr>
            </w:pPr>
            <w:r w:rsidRPr="00214C9B">
              <w:rPr>
                <w:rFonts w:ascii="Times New Roman" w:hAnsi="Times New Roman"/>
                <w:color w:val="000000"/>
                <w:sz w:val="20"/>
              </w:rPr>
              <w:t xml:space="preserve">IT </w:t>
            </w:r>
            <w:r w:rsidRPr="00214C9B">
              <w:rPr>
                <w:rFonts w:ascii="Times New Roman" w:hAnsi="Times New Roman"/>
                <w:color w:val="000000"/>
                <w:sz w:val="20"/>
              </w:rPr>
              <w:t xml:space="preserve">   (</w:t>
            </w:r>
            <w:r w:rsidRPr="00214C9B">
              <w:rPr>
                <w:rFonts w:ascii="Times New Roman" w:hAnsi="Times New Roman"/>
                <w:color w:val="000000"/>
                <w:sz w:val="20"/>
              </w:rPr>
              <w:t>$115.86)</w:t>
            </w:r>
          </w:p>
        </w:tc>
        <w:tc>
          <w:tcPr>
            <w:tcW w:w="984" w:type="dxa"/>
            <w:vMerge w:val="restart"/>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8B0C9A" w:rsidRPr="00214C9B" w14:paraId="27C6A8F7" w14:textId="77777777">
            <w:pPr>
              <w:jc w:val="center"/>
              <w:rPr>
                <w:rFonts w:ascii="Times New Roman" w:hAnsi="Times New Roman"/>
                <w:color w:val="000000"/>
                <w:sz w:val="20"/>
              </w:rPr>
            </w:pPr>
            <w:r w:rsidRPr="00214C9B">
              <w:rPr>
                <w:rFonts w:ascii="Times New Roman" w:hAnsi="Times New Roman"/>
                <w:color w:val="000000"/>
                <w:sz w:val="20"/>
              </w:rPr>
              <w:t xml:space="preserve">Fin. </w:t>
            </w:r>
            <w:r w:rsidRPr="00214C9B">
              <w:rPr>
                <w:rFonts w:ascii="Times New Roman" w:hAnsi="Times New Roman"/>
                <w:color w:val="000000"/>
                <w:sz w:val="20"/>
              </w:rPr>
              <w:t>Anlst</w:t>
            </w:r>
            <w:r w:rsidRPr="00214C9B">
              <w:rPr>
                <w:rFonts w:ascii="Times New Roman" w:hAnsi="Times New Roman"/>
                <w:color w:val="000000"/>
                <w:sz w:val="20"/>
              </w:rPr>
              <w:t>.    ($100.73)</w:t>
            </w:r>
          </w:p>
        </w:tc>
        <w:tc>
          <w:tcPr>
            <w:tcW w:w="884" w:type="dxa"/>
            <w:vMerge w:val="restart"/>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8B0C9A" w:rsidRPr="00214C9B" w14:paraId="0B4CD730" w14:textId="77777777">
            <w:pPr>
              <w:jc w:val="center"/>
              <w:rPr>
                <w:rFonts w:ascii="Times New Roman" w:hAnsi="Times New Roman"/>
                <w:color w:val="000000"/>
                <w:sz w:val="20"/>
              </w:rPr>
            </w:pPr>
            <w:r w:rsidRPr="00214C9B">
              <w:rPr>
                <w:rFonts w:ascii="Times New Roman" w:hAnsi="Times New Roman"/>
                <w:color w:val="000000"/>
                <w:sz w:val="20"/>
              </w:rPr>
              <w:t xml:space="preserve">Clerical </w:t>
            </w:r>
            <w:r w:rsidRPr="00214C9B">
              <w:rPr>
                <w:rFonts w:ascii="Times New Roman" w:hAnsi="Times New Roman"/>
                <w:color w:val="000000"/>
                <w:sz w:val="20"/>
              </w:rPr>
              <w:t xml:space="preserve">   (</w:t>
            </w:r>
            <w:r w:rsidRPr="00214C9B">
              <w:rPr>
                <w:rFonts w:ascii="Times New Roman" w:hAnsi="Times New Roman"/>
                <w:color w:val="000000"/>
                <w:sz w:val="20"/>
              </w:rPr>
              <w:t>$42.33)</w:t>
            </w:r>
          </w:p>
        </w:tc>
        <w:tc>
          <w:tcPr>
            <w:tcW w:w="0" w:type="auto"/>
            <w:vMerge/>
            <w:tcBorders>
              <w:top w:val="nil"/>
              <w:left w:val="single" w:sz="8" w:space="0" w:color="auto"/>
              <w:bottom w:val="single" w:sz="8" w:space="0" w:color="auto"/>
              <w:right w:val="single" w:sz="8" w:space="0" w:color="auto"/>
            </w:tcBorders>
            <w:vAlign w:val="center"/>
            <w:hideMark/>
          </w:tcPr>
          <w:p w:rsidR="008B0C9A" w:rsidRPr="00214C9B" w14:paraId="1DE7FC8B" w14:textId="77777777">
            <w:pPr>
              <w:spacing w:line="256" w:lineRule="auto"/>
              <w:rPr>
                <w:rFonts w:ascii="Times New Roman" w:hAnsi="Times New Roman"/>
                <w:color w:val="000000"/>
                <w:sz w:val="20"/>
              </w:rPr>
            </w:pPr>
          </w:p>
        </w:tc>
        <w:tc>
          <w:tcPr>
            <w:tcW w:w="0" w:type="auto"/>
            <w:vAlign w:val="center"/>
            <w:hideMark/>
          </w:tcPr>
          <w:p w:rsidR="008B0C9A" w:rsidRPr="00214C9B" w14:paraId="67D02B7F" w14:textId="77777777">
            <w:pPr>
              <w:spacing w:line="256" w:lineRule="auto"/>
              <w:rPr>
                <w:rFonts w:ascii="Times New Roman" w:hAnsi="Times New Roman"/>
                <w:sz w:val="20"/>
              </w:rPr>
            </w:pPr>
          </w:p>
        </w:tc>
      </w:tr>
      <w:tr w14:paraId="33C32BA6" w14:textId="77777777">
        <w:tblPrEx>
          <w:tblW w:w="10202" w:type="dxa"/>
          <w:tblLook w:val="04A0"/>
        </w:tblPrEx>
        <w:trPr>
          <w:trHeight w:val="1140"/>
        </w:trPr>
        <w:tc>
          <w:tcPr>
            <w:tcW w:w="0" w:type="auto"/>
            <w:vMerge/>
            <w:tcBorders>
              <w:top w:val="nil"/>
              <w:left w:val="single" w:sz="8" w:space="0" w:color="auto"/>
              <w:bottom w:val="single" w:sz="8" w:space="0" w:color="auto"/>
              <w:right w:val="single" w:sz="8" w:space="0" w:color="auto"/>
            </w:tcBorders>
            <w:vAlign w:val="center"/>
            <w:hideMark/>
          </w:tcPr>
          <w:p w:rsidR="008B0C9A" w:rsidRPr="00214C9B" w14:paraId="7D17F20B" w14:textId="77777777">
            <w:pPr>
              <w:spacing w:line="256" w:lineRule="auto"/>
              <w:rPr>
                <w:rFonts w:ascii="Times New Roman" w:hAnsi="Times New Roman"/>
                <w:color w:val="000000"/>
                <w:sz w:val="20"/>
              </w:rPr>
            </w:pPr>
          </w:p>
        </w:tc>
        <w:tc>
          <w:tcPr>
            <w:tcW w:w="0" w:type="auto"/>
            <w:vMerge/>
            <w:tcBorders>
              <w:top w:val="nil"/>
              <w:left w:val="single" w:sz="8" w:space="0" w:color="auto"/>
              <w:bottom w:val="single" w:sz="8" w:space="0" w:color="auto"/>
              <w:right w:val="single" w:sz="8" w:space="0" w:color="auto"/>
            </w:tcBorders>
            <w:vAlign w:val="center"/>
            <w:hideMark/>
          </w:tcPr>
          <w:p w:rsidR="008B0C9A" w:rsidRPr="00214C9B" w14:paraId="1AAD8722" w14:textId="77777777">
            <w:pPr>
              <w:spacing w:line="256" w:lineRule="auto"/>
              <w:rPr>
                <w:rFonts w:ascii="Times New Roman" w:hAnsi="Times New Roman"/>
                <w:color w:val="000000"/>
                <w:sz w:val="20"/>
              </w:rPr>
            </w:pPr>
          </w:p>
        </w:tc>
        <w:tc>
          <w:tcPr>
            <w:tcW w:w="0" w:type="auto"/>
            <w:vMerge/>
            <w:tcBorders>
              <w:top w:val="nil"/>
              <w:left w:val="single" w:sz="8" w:space="0" w:color="auto"/>
              <w:bottom w:val="single" w:sz="8" w:space="0" w:color="auto"/>
              <w:right w:val="single" w:sz="8" w:space="0" w:color="auto"/>
            </w:tcBorders>
            <w:vAlign w:val="center"/>
            <w:hideMark/>
          </w:tcPr>
          <w:p w:rsidR="008B0C9A" w:rsidRPr="00214C9B" w14:paraId="0E25F600" w14:textId="77777777">
            <w:pPr>
              <w:spacing w:line="256" w:lineRule="auto"/>
              <w:rPr>
                <w:rFonts w:ascii="Times New Roman" w:hAnsi="Times New Roman"/>
                <w:color w:val="000000"/>
                <w:sz w:val="20"/>
              </w:rPr>
            </w:pPr>
          </w:p>
        </w:tc>
        <w:tc>
          <w:tcPr>
            <w:tcW w:w="0" w:type="auto"/>
            <w:vMerge/>
            <w:tcBorders>
              <w:top w:val="nil"/>
              <w:left w:val="single" w:sz="8" w:space="0" w:color="auto"/>
              <w:bottom w:val="single" w:sz="8" w:space="0" w:color="auto"/>
              <w:right w:val="single" w:sz="8" w:space="0" w:color="auto"/>
            </w:tcBorders>
            <w:vAlign w:val="center"/>
            <w:hideMark/>
          </w:tcPr>
          <w:p w:rsidR="008B0C9A" w:rsidRPr="00214C9B" w14:paraId="615B1EE3" w14:textId="77777777">
            <w:pPr>
              <w:spacing w:line="256" w:lineRule="auto"/>
              <w:rPr>
                <w:rFonts w:ascii="Times New Roman" w:hAnsi="Times New Roman"/>
                <w:color w:val="000000"/>
                <w:sz w:val="20"/>
              </w:rPr>
            </w:pPr>
          </w:p>
        </w:tc>
        <w:tc>
          <w:tcPr>
            <w:tcW w:w="0" w:type="auto"/>
            <w:vMerge/>
            <w:tcBorders>
              <w:top w:val="nil"/>
              <w:left w:val="single" w:sz="8" w:space="0" w:color="auto"/>
              <w:bottom w:val="single" w:sz="8" w:space="0" w:color="auto"/>
              <w:right w:val="single" w:sz="8" w:space="0" w:color="auto"/>
            </w:tcBorders>
            <w:vAlign w:val="center"/>
            <w:hideMark/>
          </w:tcPr>
          <w:p w:rsidR="008B0C9A" w:rsidRPr="00214C9B" w14:paraId="7FBCCFD7" w14:textId="77777777">
            <w:pPr>
              <w:spacing w:line="256" w:lineRule="auto"/>
              <w:rPr>
                <w:rFonts w:ascii="Times New Roman" w:hAnsi="Times New Roman"/>
                <w:color w:val="000000"/>
                <w:sz w:val="20"/>
              </w:rPr>
            </w:pPr>
          </w:p>
        </w:tc>
        <w:tc>
          <w:tcPr>
            <w:tcW w:w="0" w:type="auto"/>
            <w:vMerge/>
            <w:tcBorders>
              <w:top w:val="nil"/>
              <w:left w:val="single" w:sz="8" w:space="0" w:color="auto"/>
              <w:bottom w:val="single" w:sz="8" w:space="0" w:color="auto"/>
              <w:right w:val="single" w:sz="8" w:space="0" w:color="auto"/>
            </w:tcBorders>
            <w:vAlign w:val="center"/>
            <w:hideMark/>
          </w:tcPr>
          <w:p w:rsidR="008B0C9A" w:rsidRPr="00214C9B" w14:paraId="097E6218" w14:textId="77777777">
            <w:pPr>
              <w:spacing w:line="256" w:lineRule="auto"/>
              <w:rPr>
                <w:rFonts w:ascii="Times New Roman" w:hAnsi="Times New Roman"/>
                <w:color w:val="000000"/>
                <w:sz w:val="20"/>
              </w:rPr>
            </w:pPr>
          </w:p>
        </w:tc>
        <w:tc>
          <w:tcPr>
            <w:tcW w:w="0" w:type="auto"/>
            <w:vMerge/>
            <w:tcBorders>
              <w:top w:val="nil"/>
              <w:left w:val="single" w:sz="8" w:space="0" w:color="auto"/>
              <w:bottom w:val="single" w:sz="8" w:space="0" w:color="auto"/>
              <w:right w:val="single" w:sz="8" w:space="0" w:color="auto"/>
            </w:tcBorders>
            <w:vAlign w:val="center"/>
            <w:hideMark/>
          </w:tcPr>
          <w:p w:rsidR="008B0C9A" w:rsidRPr="00214C9B" w14:paraId="5085F747" w14:textId="77777777">
            <w:pPr>
              <w:spacing w:line="256" w:lineRule="auto"/>
              <w:rPr>
                <w:rFonts w:ascii="Times New Roman" w:hAnsi="Times New Roman"/>
                <w:color w:val="000000"/>
                <w:sz w:val="20"/>
              </w:rPr>
            </w:pPr>
          </w:p>
        </w:tc>
        <w:tc>
          <w:tcPr>
            <w:tcW w:w="0" w:type="auto"/>
            <w:vMerge/>
            <w:tcBorders>
              <w:top w:val="nil"/>
              <w:left w:val="single" w:sz="8" w:space="0" w:color="auto"/>
              <w:bottom w:val="single" w:sz="8" w:space="0" w:color="auto"/>
              <w:right w:val="single" w:sz="8" w:space="0" w:color="auto"/>
            </w:tcBorders>
            <w:vAlign w:val="center"/>
            <w:hideMark/>
          </w:tcPr>
          <w:p w:rsidR="008B0C9A" w:rsidRPr="00214C9B" w14:paraId="3E6C405A" w14:textId="77777777">
            <w:pPr>
              <w:spacing w:line="256" w:lineRule="auto"/>
              <w:rPr>
                <w:rFonts w:ascii="Times New Roman" w:hAnsi="Times New Roman"/>
                <w:color w:val="000000"/>
                <w:sz w:val="20"/>
              </w:rPr>
            </w:pPr>
          </w:p>
        </w:tc>
        <w:tc>
          <w:tcPr>
            <w:tcW w:w="0" w:type="auto"/>
            <w:vMerge/>
            <w:tcBorders>
              <w:top w:val="nil"/>
              <w:left w:val="single" w:sz="8" w:space="0" w:color="auto"/>
              <w:bottom w:val="single" w:sz="8" w:space="0" w:color="auto"/>
              <w:right w:val="single" w:sz="8" w:space="0" w:color="auto"/>
            </w:tcBorders>
            <w:vAlign w:val="center"/>
            <w:hideMark/>
          </w:tcPr>
          <w:p w:rsidR="008B0C9A" w:rsidRPr="00214C9B" w14:paraId="59ED8334" w14:textId="77777777">
            <w:pPr>
              <w:spacing w:line="256" w:lineRule="auto"/>
              <w:rPr>
                <w:rFonts w:ascii="Times New Roman" w:hAnsi="Times New Roman"/>
                <w:color w:val="000000"/>
                <w:sz w:val="20"/>
              </w:rPr>
            </w:pPr>
          </w:p>
        </w:tc>
        <w:tc>
          <w:tcPr>
            <w:tcW w:w="0" w:type="auto"/>
            <w:vAlign w:val="center"/>
            <w:hideMark/>
          </w:tcPr>
          <w:p w:rsidR="008B0C9A" w:rsidRPr="00214C9B" w14:paraId="07CF38D0" w14:textId="77777777">
            <w:pPr>
              <w:rPr>
                <w:rFonts w:ascii="Times New Roman" w:hAnsi="Times New Roman"/>
                <w:color w:val="000000"/>
                <w:sz w:val="20"/>
              </w:rPr>
            </w:pPr>
          </w:p>
        </w:tc>
      </w:tr>
      <w:tr w14:paraId="61BC9DA5" w14:textId="77777777">
        <w:tblPrEx>
          <w:tblW w:w="10202" w:type="dxa"/>
          <w:tblLook w:val="04A0"/>
        </w:tblPrEx>
        <w:trPr>
          <w:trHeight w:val="825"/>
        </w:trPr>
        <w:tc>
          <w:tcPr>
            <w:tcW w:w="1992"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8B0C9A" w:rsidRPr="00214C9B" w14:paraId="616E5FF6" w14:textId="77777777">
            <w:pPr>
              <w:rPr>
                <w:rFonts w:ascii="Times New Roman" w:hAnsi="Times New Roman"/>
                <w:color w:val="000000"/>
                <w:sz w:val="20"/>
              </w:rPr>
            </w:pPr>
            <w:r w:rsidRPr="00214C9B">
              <w:rPr>
                <w:rFonts w:ascii="Times New Roman" w:hAnsi="Times New Roman"/>
                <w:color w:val="000000"/>
                <w:sz w:val="20"/>
              </w:rPr>
              <w:t>1. Signs within Institution Premises –Banks &lt; $10B, 12 CFR 328.3 (Mandatory)</w:t>
            </w:r>
          </w:p>
        </w:tc>
        <w:tc>
          <w:tcPr>
            <w:tcW w:w="840"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62644658" w14:textId="77777777">
            <w:pPr>
              <w:jc w:val="center"/>
              <w:rPr>
                <w:rFonts w:ascii="Times New Roman" w:hAnsi="Times New Roman"/>
                <w:color w:val="000000"/>
                <w:sz w:val="20"/>
              </w:rPr>
            </w:pPr>
            <w:r w:rsidRPr="00214C9B">
              <w:rPr>
                <w:rFonts w:ascii="Times New Roman" w:hAnsi="Times New Roman"/>
                <w:color w:val="000000"/>
                <w:sz w:val="20"/>
              </w:rPr>
              <w:t>9.52</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3BEB7FFA" w14:textId="77777777">
            <w:pPr>
              <w:jc w:val="center"/>
              <w:rPr>
                <w:rFonts w:ascii="Times New Roman" w:hAnsi="Times New Roman"/>
                <w:color w:val="000000"/>
                <w:sz w:val="20"/>
              </w:rPr>
            </w:pPr>
            <w:r w:rsidRPr="00214C9B">
              <w:rPr>
                <w:rFonts w:ascii="Times New Roman" w:hAnsi="Times New Roman"/>
                <w:color w:val="000000"/>
                <w:sz w:val="20"/>
              </w:rPr>
              <w:t>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549963C6" w14:textId="77777777">
            <w:pPr>
              <w:jc w:val="center"/>
              <w:rPr>
                <w:rFonts w:ascii="Times New Roman" w:hAnsi="Times New Roman"/>
                <w:color w:val="000000"/>
                <w:sz w:val="20"/>
              </w:rPr>
            </w:pPr>
            <w:r w:rsidRPr="00214C9B">
              <w:rPr>
                <w:rFonts w:ascii="Times New Roman" w:hAnsi="Times New Roman"/>
                <w:color w:val="000000"/>
                <w:sz w:val="20"/>
              </w:rPr>
              <w:t>0</w:t>
            </w:r>
          </w:p>
        </w:tc>
        <w:tc>
          <w:tcPr>
            <w:tcW w:w="8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1B95877C" w14:textId="77777777">
            <w:pPr>
              <w:jc w:val="center"/>
              <w:rPr>
                <w:rFonts w:ascii="Times New Roman" w:hAnsi="Times New Roman"/>
                <w:color w:val="000000"/>
                <w:sz w:val="20"/>
              </w:rPr>
            </w:pPr>
            <w:r w:rsidRPr="00214C9B">
              <w:rPr>
                <w:rFonts w:ascii="Times New Roman" w:hAnsi="Times New Roman"/>
                <w:color w:val="000000"/>
                <w:sz w:val="20"/>
              </w:rPr>
              <w:t>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527B70BE" w14:textId="77777777">
            <w:pPr>
              <w:jc w:val="center"/>
              <w:rPr>
                <w:rFonts w:ascii="Times New Roman" w:hAnsi="Times New Roman"/>
                <w:color w:val="000000"/>
                <w:sz w:val="20"/>
              </w:rPr>
            </w:pPr>
            <w:r w:rsidRPr="00214C9B">
              <w:rPr>
                <w:rFonts w:ascii="Times New Roman" w:hAnsi="Times New Roman"/>
                <w:color w:val="000000"/>
                <w:sz w:val="20"/>
              </w:rPr>
              <w:t>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64A11AEA" w14:textId="77777777">
            <w:pPr>
              <w:jc w:val="center"/>
              <w:rPr>
                <w:rFonts w:ascii="Times New Roman" w:hAnsi="Times New Roman"/>
                <w:color w:val="000000"/>
                <w:sz w:val="20"/>
              </w:rPr>
            </w:pPr>
            <w:r w:rsidRPr="00214C9B">
              <w:rPr>
                <w:rFonts w:ascii="Times New Roman" w:hAnsi="Times New Roman"/>
                <w:color w:val="000000"/>
                <w:sz w:val="20"/>
              </w:rPr>
              <w:t>0</w:t>
            </w:r>
          </w:p>
        </w:tc>
        <w:tc>
          <w:tcPr>
            <w:tcW w:w="8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13926072" w14:textId="77777777">
            <w:pPr>
              <w:jc w:val="center"/>
              <w:rPr>
                <w:rFonts w:ascii="Times New Roman" w:hAnsi="Times New Roman"/>
                <w:color w:val="000000"/>
                <w:sz w:val="20"/>
              </w:rPr>
            </w:pPr>
            <w:r w:rsidRPr="00214C9B">
              <w:rPr>
                <w:rFonts w:ascii="Times New Roman" w:hAnsi="Times New Roman"/>
                <w:color w:val="000000"/>
                <w:sz w:val="20"/>
              </w:rPr>
              <w:t>100</w:t>
            </w:r>
          </w:p>
        </w:tc>
        <w:tc>
          <w:tcPr>
            <w:tcW w:w="144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718ABC4B" w14:textId="77777777">
            <w:pPr>
              <w:ind w:firstLine="200" w:firstLineChars="100"/>
              <w:jc w:val="right"/>
              <w:rPr>
                <w:rFonts w:ascii="Times New Roman" w:hAnsi="Times New Roman"/>
                <w:color w:val="000000"/>
                <w:sz w:val="20"/>
              </w:rPr>
            </w:pPr>
            <w:r w:rsidRPr="00214C9B">
              <w:rPr>
                <w:rFonts w:ascii="Times New Roman" w:hAnsi="Times New Roman"/>
                <w:color w:val="000000"/>
                <w:sz w:val="20"/>
              </w:rPr>
              <w:t xml:space="preserve">$42.33 </w:t>
            </w:r>
          </w:p>
        </w:tc>
        <w:tc>
          <w:tcPr>
            <w:tcW w:w="0" w:type="auto"/>
            <w:vAlign w:val="center"/>
            <w:hideMark/>
          </w:tcPr>
          <w:p w:rsidR="008B0C9A" w:rsidRPr="00214C9B" w14:paraId="72668300" w14:textId="77777777">
            <w:pPr>
              <w:spacing w:line="256" w:lineRule="auto"/>
              <w:rPr>
                <w:rFonts w:ascii="Times New Roman" w:hAnsi="Times New Roman"/>
                <w:sz w:val="20"/>
              </w:rPr>
            </w:pPr>
          </w:p>
        </w:tc>
      </w:tr>
      <w:tr w14:paraId="094C7429" w14:textId="77777777">
        <w:tblPrEx>
          <w:tblW w:w="10202" w:type="dxa"/>
          <w:tblLook w:val="04A0"/>
        </w:tblPrEx>
        <w:trPr>
          <w:trHeight w:val="825"/>
        </w:trPr>
        <w:tc>
          <w:tcPr>
            <w:tcW w:w="1992"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8B0C9A" w:rsidRPr="00214C9B" w14:paraId="1BF8AC85" w14:textId="77777777">
            <w:pPr>
              <w:rPr>
                <w:rFonts w:ascii="Times New Roman" w:hAnsi="Times New Roman"/>
                <w:color w:val="000000"/>
                <w:sz w:val="20"/>
              </w:rPr>
            </w:pPr>
            <w:r w:rsidRPr="00214C9B">
              <w:rPr>
                <w:rFonts w:ascii="Times New Roman" w:hAnsi="Times New Roman"/>
                <w:color w:val="000000"/>
                <w:sz w:val="20"/>
              </w:rPr>
              <w:t xml:space="preserve">2. Signs within Institution Premises –Banks &gt;= $10B, 12 CFR 328.3 (Mandatory). </w:t>
            </w:r>
          </w:p>
        </w:tc>
        <w:tc>
          <w:tcPr>
            <w:tcW w:w="840"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2DFF1B2C" w14:textId="77777777">
            <w:pPr>
              <w:jc w:val="center"/>
              <w:rPr>
                <w:rFonts w:ascii="Times New Roman" w:hAnsi="Times New Roman"/>
                <w:color w:val="000000"/>
                <w:sz w:val="20"/>
              </w:rPr>
            </w:pPr>
            <w:r w:rsidRPr="00214C9B">
              <w:rPr>
                <w:rFonts w:ascii="Times New Roman" w:hAnsi="Times New Roman"/>
                <w:color w:val="000000"/>
                <w:sz w:val="20"/>
              </w:rPr>
              <w:t>24.39</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2EC22AF2" w14:textId="77777777">
            <w:pPr>
              <w:jc w:val="center"/>
              <w:rPr>
                <w:rFonts w:ascii="Times New Roman" w:hAnsi="Times New Roman"/>
                <w:color w:val="000000"/>
                <w:sz w:val="20"/>
              </w:rPr>
            </w:pPr>
            <w:r w:rsidRPr="00214C9B">
              <w:rPr>
                <w:rFonts w:ascii="Times New Roman" w:hAnsi="Times New Roman"/>
                <w:color w:val="000000"/>
                <w:sz w:val="20"/>
              </w:rPr>
              <w:t>100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69F65616" w14:textId="77777777">
            <w:pPr>
              <w:jc w:val="center"/>
              <w:rPr>
                <w:rFonts w:ascii="Times New Roman" w:hAnsi="Times New Roman"/>
                <w:color w:val="000000"/>
                <w:sz w:val="20"/>
              </w:rPr>
            </w:pPr>
            <w:r w:rsidRPr="00214C9B">
              <w:rPr>
                <w:rFonts w:ascii="Times New Roman" w:hAnsi="Times New Roman"/>
                <w:color w:val="000000"/>
                <w:sz w:val="20"/>
              </w:rPr>
              <w:t>0</w:t>
            </w:r>
          </w:p>
        </w:tc>
        <w:tc>
          <w:tcPr>
            <w:tcW w:w="8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2A517178" w14:textId="77777777">
            <w:pPr>
              <w:jc w:val="center"/>
              <w:rPr>
                <w:rFonts w:ascii="Times New Roman" w:hAnsi="Times New Roman"/>
                <w:color w:val="000000"/>
                <w:sz w:val="20"/>
              </w:rPr>
            </w:pPr>
            <w:r w:rsidRPr="00214C9B">
              <w:rPr>
                <w:rFonts w:ascii="Times New Roman" w:hAnsi="Times New Roman"/>
                <w:color w:val="000000"/>
                <w:sz w:val="20"/>
              </w:rPr>
              <w:t>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117ADC84" w14:textId="77777777">
            <w:pPr>
              <w:jc w:val="center"/>
              <w:rPr>
                <w:rFonts w:ascii="Times New Roman" w:hAnsi="Times New Roman"/>
                <w:color w:val="000000"/>
                <w:sz w:val="20"/>
              </w:rPr>
            </w:pPr>
            <w:r w:rsidRPr="00214C9B">
              <w:rPr>
                <w:rFonts w:ascii="Times New Roman" w:hAnsi="Times New Roman"/>
                <w:color w:val="000000"/>
                <w:sz w:val="20"/>
              </w:rPr>
              <w:t>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316A7837" w14:textId="77777777">
            <w:pPr>
              <w:jc w:val="center"/>
              <w:rPr>
                <w:rFonts w:ascii="Times New Roman" w:hAnsi="Times New Roman"/>
                <w:color w:val="000000"/>
                <w:sz w:val="20"/>
              </w:rPr>
            </w:pPr>
            <w:r w:rsidRPr="00214C9B">
              <w:rPr>
                <w:rFonts w:ascii="Times New Roman" w:hAnsi="Times New Roman"/>
                <w:color w:val="000000"/>
                <w:sz w:val="20"/>
              </w:rPr>
              <w:t>0</w:t>
            </w:r>
          </w:p>
        </w:tc>
        <w:tc>
          <w:tcPr>
            <w:tcW w:w="8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5C929BAA" w14:textId="77777777">
            <w:pPr>
              <w:jc w:val="center"/>
              <w:rPr>
                <w:rFonts w:ascii="Times New Roman" w:hAnsi="Times New Roman"/>
                <w:color w:val="000000"/>
                <w:sz w:val="20"/>
              </w:rPr>
            </w:pPr>
            <w:r w:rsidRPr="00214C9B">
              <w:rPr>
                <w:rFonts w:ascii="Times New Roman" w:hAnsi="Times New Roman"/>
                <w:color w:val="000000"/>
                <w:sz w:val="20"/>
              </w:rPr>
              <w:t>0</w:t>
            </w:r>
          </w:p>
        </w:tc>
        <w:tc>
          <w:tcPr>
            <w:tcW w:w="144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7F6A9FBF" w14:textId="77777777">
            <w:pPr>
              <w:ind w:firstLine="200" w:firstLineChars="100"/>
              <w:jc w:val="right"/>
              <w:rPr>
                <w:rFonts w:ascii="Times New Roman" w:hAnsi="Times New Roman"/>
                <w:color w:val="000000"/>
                <w:sz w:val="20"/>
              </w:rPr>
            </w:pPr>
            <w:r w:rsidRPr="00214C9B">
              <w:rPr>
                <w:rFonts w:ascii="Times New Roman" w:hAnsi="Times New Roman"/>
                <w:color w:val="000000"/>
                <w:sz w:val="20"/>
              </w:rPr>
              <w:t xml:space="preserve">$158.33 </w:t>
            </w:r>
          </w:p>
        </w:tc>
        <w:tc>
          <w:tcPr>
            <w:tcW w:w="0" w:type="auto"/>
            <w:vAlign w:val="center"/>
            <w:hideMark/>
          </w:tcPr>
          <w:p w:rsidR="008B0C9A" w:rsidRPr="00214C9B" w14:paraId="387F5E2B" w14:textId="77777777">
            <w:pPr>
              <w:spacing w:line="256" w:lineRule="auto"/>
              <w:rPr>
                <w:rFonts w:ascii="Times New Roman" w:hAnsi="Times New Roman"/>
                <w:sz w:val="20"/>
              </w:rPr>
            </w:pPr>
          </w:p>
        </w:tc>
      </w:tr>
      <w:tr w14:paraId="3415CA92" w14:textId="77777777">
        <w:tblPrEx>
          <w:tblW w:w="10202" w:type="dxa"/>
          <w:tblLook w:val="04A0"/>
        </w:tblPrEx>
        <w:trPr>
          <w:trHeight w:val="960"/>
        </w:trPr>
        <w:tc>
          <w:tcPr>
            <w:tcW w:w="1992"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8B0C9A" w:rsidRPr="00214C9B" w14:paraId="551108E2" w14:textId="77777777">
            <w:pPr>
              <w:rPr>
                <w:rFonts w:ascii="Times New Roman" w:hAnsi="Times New Roman"/>
                <w:color w:val="000000"/>
                <w:sz w:val="20"/>
              </w:rPr>
            </w:pPr>
            <w:r w:rsidRPr="00214C9B">
              <w:rPr>
                <w:rFonts w:ascii="Times New Roman" w:hAnsi="Times New Roman"/>
                <w:color w:val="000000"/>
                <w:sz w:val="20"/>
              </w:rPr>
              <w:t xml:space="preserve">3. Signage for ATMs and Digital Deposit-taking Channels – Implementation, 12 CFR 328.4 and .5 (Mandatory). </w:t>
            </w:r>
          </w:p>
        </w:tc>
        <w:tc>
          <w:tcPr>
            <w:tcW w:w="840"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098EA497" w14:textId="77777777">
            <w:pPr>
              <w:jc w:val="center"/>
              <w:rPr>
                <w:rFonts w:ascii="Times New Roman" w:hAnsi="Times New Roman"/>
                <w:color w:val="000000"/>
                <w:sz w:val="20"/>
              </w:rPr>
            </w:pPr>
            <w:r w:rsidRPr="00214C9B">
              <w:rPr>
                <w:rFonts w:ascii="Times New Roman" w:hAnsi="Times New Roman"/>
                <w:color w:val="000000"/>
                <w:sz w:val="20"/>
              </w:rPr>
              <w:t>16.86</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404CEA34" w14:textId="77777777">
            <w:pPr>
              <w:jc w:val="center"/>
              <w:rPr>
                <w:rFonts w:ascii="Times New Roman" w:hAnsi="Times New Roman"/>
                <w:color w:val="000000"/>
                <w:sz w:val="20"/>
              </w:rPr>
            </w:pPr>
            <w:r w:rsidRPr="00214C9B">
              <w:rPr>
                <w:rFonts w:ascii="Times New Roman" w:hAnsi="Times New Roman"/>
                <w:color w:val="000000"/>
                <w:sz w:val="20"/>
              </w:rPr>
              <w:t>20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61C1B351" w14:textId="77777777">
            <w:pPr>
              <w:jc w:val="center"/>
              <w:rPr>
                <w:rFonts w:ascii="Times New Roman" w:hAnsi="Times New Roman"/>
                <w:color w:val="000000"/>
                <w:sz w:val="20"/>
              </w:rPr>
            </w:pPr>
            <w:r w:rsidRPr="00214C9B">
              <w:rPr>
                <w:rFonts w:ascii="Times New Roman" w:hAnsi="Times New Roman"/>
                <w:color w:val="000000"/>
                <w:sz w:val="20"/>
              </w:rPr>
              <w:t>0</w:t>
            </w:r>
          </w:p>
        </w:tc>
        <w:tc>
          <w:tcPr>
            <w:tcW w:w="8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5F090FE1" w14:textId="77777777">
            <w:pPr>
              <w:jc w:val="center"/>
              <w:rPr>
                <w:rFonts w:ascii="Times New Roman" w:hAnsi="Times New Roman"/>
                <w:color w:val="000000"/>
                <w:sz w:val="20"/>
              </w:rPr>
            </w:pPr>
            <w:r w:rsidRPr="00214C9B">
              <w:rPr>
                <w:rFonts w:ascii="Times New Roman" w:hAnsi="Times New Roman"/>
                <w:color w:val="000000"/>
                <w:sz w:val="20"/>
              </w:rPr>
              <w:t>20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79B30254" w14:textId="77777777">
            <w:pPr>
              <w:jc w:val="center"/>
              <w:rPr>
                <w:rFonts w:ascii="Times New Roman" w:hAnsi="Times New Roman"/>
                <w:color w:val="000000"/>
                <w:sz w:val="20"/>
              </w:rPr>
            </w:pPr>
            <w:r w:rsidRPr="00214C9B">
              <w:rPr>
                <w:rFonts w:ascii="Times New Roman" w:hAnsi="Times New Roman"/>
                <w:color w:val="000000"/>
                <w:sz w:val="20"/>
              </w:rPr>
              <w:t>60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636D3751" w14:textId="77777777">
            <w:pPr>
              <w:jc w:val="center"/>
              <w:rPr>
                <w:rFonts w:ascii="Times New Roman" w:hAnsi="Times New Roman"/>
                <w:color w:val="000000"/>
                <w:sz w:val="20"/>
              </w:rPr>
            </w:pPr>
            <w:r w:rsidRPr="00214C9B">
              <w:rPr>
                <w:rFonts w:ascii="Times New Roman" w:hAnsi="Times New Roman"/>
                <w:color w:val="000000"/>
                <w:sz w:val="20"/>
              </w:rPr>
              <w:t>0</w:t>
            </w:r>
          </w:p>
        </w:tc>
        <w:tc>
          <w:tcPr>
            <w:tcW w:w="8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6FF0005B" w14:textId="77777777">
            <w:pPr>
              <w:jc w:val="center"/>
              <w:rPr>
                <w:rFonts w:ascii="Times New Roman" w:hAnsi="Times New Roman"/>
                <w:color w:val="000000"/>
                <w:sz w:val="20"/>
              </w:rPr>
            </w:pPr>
            <w:r w:rsidRPr="00214C9B">
              <w:rPr>
                <w:rFonts w:ascii="Times New Roman" w:hAnsi="Times New Roman"/>
                <w:color w:val="000000"/>
                <w:sz w:val="20"/>
              </w:rPr>
              <w:t>0</w:t>
            </w:r>
          </w:p>
        </w:tc>
        <w:tc>
          <w:tcPr>
            <w:tcW w:w="144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654A8C68" w14:textId="77777777">
            <w:pPr>
              <w:ind w:firstLine="200" w:firstLineChars="100"/>
              <w:jc w:val="right"/>
              <w:rPr>
                <w:rFonts w:ascii="Times New Roman" w:hAnsi="Times New Roman"/>
                <w:color w:val="000000"/>
                <w:sz w:val="20"/>
              </w:rPr>
            </w:pPr>
            <w:r w:rsidRPr="00214C9B">
              <w:rPr>
                <w:rFonts w:ascii="Times New Roman" w:hAnsi="Times New Roman"/>
                <w:color w:val="000000"/>
                <w:sz w:val="20"/>
              </w:rPr>
              <w:t xml:space="preserve">$117.25 </w:t>
            </w:r>
          </w:p>
        </w:tc>
        <w:tc>
          <w:tcPr>
            <w:tcW w:w="0" w:type="auto"/>
            <w:vAlign w:val="center"/>
            <w:hideMark/>
          </w:tcPr>
          <w:p w:rsidR="008B0C9A" w:rsidRPr="00214C9B" w14:paraId="77F95A9A" w14:textId="77777777">
            <w:pPr>
              <w:spacing w:line="256" w:lineRule="auto"/>
              <w:rPr>
                <w:rFonts w:ascii="Times New Roman" w:hAnsi="Times New Roman"/>
                <w:sz w:val="20"/>
              </w:rPr>
            </w:pPr>
          </w:p>
        </w:tc>
      </w:tr>
      <w:tr w14:paraId="67D61892" w14:textId="77777777">
        <w:tblPrEx>
          <w:tblW w:w="10202" w:type="dxa"/>
          <w:tblLook w:val="04A0"/>
        </w:tblPrEx>
        <w:trPr>
          <w:trHeight w:val="1365"/>
        </w:trPr>
        <w:tc>
          <w:tcPr>
            <w:tcW w:w="1992"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8B0C9A" w:rsidRPr="00214C9B" w14:paraId="430909FF" w14:textId="77777777">
            <w:pPr>
              <w:rPr>
                <w:rFonts w:ascii="Times New Roman" w:hAnsi="Times New Roman"/>
                <w:color w:val="000000"/>
                <w:sz w:val="20"/>
              </w:rPr>
            </w:pPr>
            <w:r w:rsidRPr="00214C9B">
              <w:rPr>
                <w:rFonts w:ascii="Times New Roman" w:hAnsi="Times New Roman"/>
                <w:color w:val="000000"/>
                <w:sz w:val="20"/>
              </w:rPr>
              <w:t xml:space="preserve">4. Signage for ATMs and Digital Deposit-taking Channels –Banks &lt; $10B - Ongoing, 12 CFR 328.4 and .5 (Mandatory). </w:t>
            </w:r>
          </w:p>
        </w:tc>
        <w:tc>
          <w:tcPr>
            <w:tcW w:w="840"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4CD15600" w14:textId="77777777">
            <w:pPr>
              <w:jc w:val="center"/>
              <w:rPr>
                <w:rFonts w:ascii="Times New Roman" w:hAnsi="Times New Roman"/>
                <w:color w:val="000000"/>
                <w:sz w:val="20"/>
              </w:rPr>
            </w:pPr>
            <w:r w:rsidRPr="00214C9B">
              <w:rPr>
                <w:rFonts w:ascii="Times New Roman" w:hAnsi="Times New Roman"/>
                <w:color w:val="000000"/>
                <w:sz w:val="20"/>
              </w:rPr>
              <w:t>5.43</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15DD1A17" w14:textId="77777777">
            <w:pPr>
              <w:jc w:val="center"/>
              <w:rPr>
                <w:rFonts w:ascii="Times New Roman" w:hAnsi="Times New Roman"/>
                <w:color w:val="000000"/>
                <w:sz w:val="20"/>
              </w:rPr>
            </w:pPr>
            <w:r w:rsidRPr="00214C9B">
              <w:rPr>
                <w:rFonts w:ascii="Times New Roman" w:hAnsi="Times New Roman"/>
                <w:color w:val="000000"/>
                <w:sz w:val="20"/>
              </w:rPr>
              <w:t>10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5E3EA0E5" w14:textId="77777777">
            <w:pPr>
              <w:jc w:val="center"/>
              <w:rPr>
                <w:rFonts w:ascii="Times New Roman" w:hAnsi="Times New Roman"/>
                <w:color w:val="000000"/>
                <w:sz w:val="20"/>
              </w:rPr>
            </w:pPr>
            <w:r w:rsidRPr="00214C9B">
              <w:rPr>
                <w:rFonts w:ascii="Times New Roman" w:hAnsi="Times New Roman"/>
                <w:color w:val="000000"/>
                <w:sz w:val="20"/>
              </w:rPr>
              <w:t>0</w:t>
            </w:r>
          </w:p>
        </w:tc>
        <w:tc>
          <w:tcPr>
            <w:tcW w:w="8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23AF6868" w14:textId="77777777">
            <w:pPr>
              <w:jc w:val="center"/>
              <w:rPr>
                <w:rFonts w:ascii="Times New Roman" w:hAnsi="Times New Roman"/>
                <w:color w:val="000000"/>
                <w:sz w:val="20"/>
              </w:rPr>
            </w:pPr>
            <w:r w:rsidRPr="00214C9B">
              <w:rPr>
                <w:rFonts w:ascii="Times New Roman" w:hAnsi="Times New Roman"/>
                <w:color w:val="000000"/>
                <w:sz w:val="20"/>
              </w:rPr>
              <w:t>10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1B4510E3" w14:textId="77777777">
            <w:pPr>
              <w:jc w:val="center"/>
              <w:rPr>
                <w:rFonts w:ascii="Times New Roman" w:hAnsi="Times New Roman"/>
                <w:color w:val="000000"/>
                <w:sz w:val="20"/>
              </w:rPr>
            </w:pPr>
            <w:r w:rsidRPr="00214C9B">
              <w:rPr>
                <w:rFonts w:ascii="Times New Roman" w:hAnsi="Times New Roman"/>
                <w:color w:val="000000"/>
                <w:sz w:val="20"/>
              </w:rPr>
              <w:t>80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43A5834C" w14:textId="77777777">
            <w:pPr>
              <w:jc w:val="center"/>
              <w:rPr>
                <w:rFonts w:ascii="Times New Roman" w:hAnsi="Times New Roman"/>
                <w:color w:val="000000"/>
                <w:sz w:val="20"/>
              </w:rPr>
            </w:pPr>
            <w:r w:rsidRPr="00214C9B">
              <w:rPr>
                <w:rFonts w:ascii="Times New Roman" w:hAnsi="Times New Roman"/>
                <w:color w:val="000000"/>
                <w:sz w:val="20"/>
              </w:rPr>
              <w:t>0</w:t>
            </w:r>
          </w:p>
        </w:tc>
        <w:tc>
          <w:tcPr>
            <w:tcW w:w="8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3FAAC23E" w14:textId="77777777">
            <w:pPr>
              <w:jc w:val="center"/>
              <w:rPr>
                <w:rFonts w:ascii="Times New Roman" w:hAnsi="Times New Roman"/>
                <w:color w:val="000000"/>
                <w:sz w:val="20"/>
              </w:rPr>
            </w:pPr>
            <w:r w:rsidRPr="00214C9B">
              <w:rPr>
                <w:rFonts w:ascii="Times New Roman" w:hAnsi="Times New Roman"/>
                <w:color w:val="000000"/>
                <w:sz w:val="20"/>
              </w:rPr>
              <w:t>0</w:t>
            </w:r>
          </w:p>
        </w:tc>
        <w:tc>
          <w:tcPr>
            <w:tcW w:w="144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14EA90E1" w14:textId="77777777">
            <w:pPr>
              <w:ind w:firstLine="200" w:firstLineChars="100"/>
              <w:jc w:val="right"/>
              <w:rPr>
                <w:rFonts w:ascii="Times New Roman" w:hAnsi="Times New Roman"/>
                <w:color w:val="000000"/>
                <w:sz w:val="20"/>
              </w:rPr>
            </w:pPr>
            <w:r w:rsidRPr="00214C9B">
              <w:rPr>
                <w:rFonts w:ascii="Times New Roman" w:hAnsi="Times New Roman"/>
                <w:color w:val="000000"/>
                <w:sz w:val="20"/>
              </w:rPr>
              <w:t xml:space="preserve">$116.55 </w:t>
            </w:r>
          </w:p>
        </w:tc>
        <w:tc>
          <w:tcPr>
            <w:tcW w:w="0" w:type="auto"/>
            <w:vAlign w:val="center"/>
            <w:hideMark/>
          </w:tcPr>
          <w:p w:rsidR="008B0C9A" w:rsidRPr="00214C9B" w14:paraId="05C4BEBD" w14:textId="77777777">
            <w:pPr>
              <w:spacing w:line="256" w:lineRule="auto"/>
              <w:rPr>
                <w:rFonts w:ascii="Times New Roman" w:hAnsi="Times New Roman"/>
                <w:sz w:val="20"/>
              </w:rPr>
            </w:pPr>
          </w:p>
        </w:tc>
      </w:tr>
      <w:tr w14:paraId="1D913814" w14:textId="77777777">
        <w:tblPrEx>
          <w:tblW w:w="10202" w:type="dxa"/>
          <w:tblLook w:val="04A0"/>
        </w:tblPrEx>
        <w:trPr>
          <w:trHeight w:val="1365"/>
        </w:trPr>
        <w:tc>
          <w:tcPr>
            <w:tcW w:w="1992"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8B0C9A" w:rsidRPr="00214C9B" w14:paraId="1B7996EC" w14:textId="77777777">
            <w:pPr>
              <w:rPr>
                <w:rFonts w:ascii="Times New Roman" w:hAnsi="Times New Roman"/>
                <w:color w:val="000000"/>
                <w:sz w:val="20"/>
              </w:rPr>
            </w:pPr>
            <w:r w:rsidRPr="00214C9B">
              <w:rPr>
                <w:rFonts w:ascii="Times New Roman" w:hAnsi="Times New Roman"/>
                <w:color w:val="000000"/>
                <w:sz w:val="20"/>
              </w:rPr>
              <w:t xml:space="preserve">5. Signage for ATMs and Digital Deposit-taking Channels –Banks &gt;= $10B - Ongoing, 12 CFR 328.4 and .5 (Mandatory). </w:t>
            </w:r>
          </w:p>
        </w:tc>
        <w:tc>
          <w:tcPr>
            <w:tcW w:w="840"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229F9535" w14:textId="77777777">
            <w:pPr>
              <w:jc w:val="center"/>
              <w:rPr>
                <w:rFonts w:ascii="Times New Roman" w:hAnsi="Times New Roman"/>
                <w:color w:val="000000"/>
                <w:sz w:val="20"/>
              </w:rPr>
            </w:pPr>
            <w:r w:rsidRPr="00214C9B">
              <w:rPr>
                <w:rFonts w:ascii="Times New Roman" w:hAnsi="Times New Roman"/>
                <w:color w:val="000000"/>
                <w:sz w:val="20"/>
              </w:rPr>
              <w:t>0.40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5F2BD1F1" w14:textId="77777777">
            <w:pPr>
              <w:jc w:val="center"/>
              <w:rPr>
                <w:rFonts w:ascii="Times New Roman" w:hAnsi="Times New Roman"/>
                <w:color w:val="000000"/>
                <w:sz w:val="20"/>
              </w:rPr>
            </w:pPr>
            <w:r w:rsidRPr="00214C9B">
              <w:rPr>
                <w:rFonts w:ascii="Times New Roman" w:hAnsi="Times New Roman"/>
                <w:color w:val="000000"/>
                <w:sz w:val="20"/>
              </w:rPr>
              <w:t>10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2F21F387" w14:textId="77777777">
            <w:pPr>
              <w:jc w:val="center"/>
              <w:rPr>
                <w:rFonts w:ascii="Times New Roman" w:hAnsi="Times New Roman"/>
                <w:color w:val="000000"/>
                <w:sz w:val="20"/>
              </w:rPr>
            </w:pPr>
            <w:r w:rsidRPr="00214C9B">
              <w:rPr>
                <w:rFonts w:ascii="Times New Roman" w:hAnsi="Times New Roman"/>
                <w:color w:val="000000"/>
                <w:sz w:val="20"/>
              </w:rPr>
              <w:t>0</w:t>
            </w:r>
          </w:p>
        </w:tc>
        <w:tc>
          <w:tcPr>
            <w:tcW w:w="8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448847E0" w14:textId="77777777">
            <w:pPr>
              <w:jc w:val="center"/>
              <w:rPr>
                <w:rFonts w:ascii="Times New Roman" w:hAnsi="Times New Roman"/>
                <w:color w:val="000000"/>
                <w:sz w:val="20"/>
              </w:rPr>
            </w:pPr>
            <w:r w:rsidRPr="00214C9B">
              <w:rPr>
                <w:rFonts w:ascii="Times New Roman" w:hAnsi="Times New Roman"/>
                <w:color w:val="000000"/>
                <w:sz w:val="20"/>
              </w:rPr>
              <w:t>10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3B3A414E" w14:textId="77777777">
            <w:pPr>
              <w:jc w:val="center"/>
              <w:rPr>
                <w:rFonts w:ascii="Times New Roman" w:hAnsi="Times New Roman"/>
                <w:color w:val="000000"/>
                <w:sz w:val="20"/>
              </w:rPr>
            </w:pPr>
            <w:r w:rsidRPr="00214C9B">
              <w:rPr>
                <w:rFonts w:ascii="Times New Roman" w:hAnsi="Times New Roman"/>
                <w:color w:val="000000"/>
                <w:sz w:val="20"/>
              </w:rPr>
              <w:t>80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44E81A83" w14:textId="77777777">
            <w:pPr>
              <w:jc w:val="center"/>
              <w:rPr>
                <w:rFonts w:ascii="Times New Roman" w:hAnsi="Times New Roman"/>
                <w:color w:val="000000"/>
                <w:sz w:val="20"/>
              </w:rPr>
            </w:pPr>
            <w:r w:rsidRPr="00214C9B">
              <w:rPr>
                <w:rFonts w:ascii="Times New Roman" w:hAnsi="Times New Roman"/>
                <w:color w:val="000000"/>
                <w:sz w:val="20"/>
              </w:rPr>
              <w:t>0</w:t>
            </w:r>
          </w:p>
        </w:tc>
        <w:tc>
          <w:tcPr>
            <w:tcW w:w="8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174DF0E1" w14:textId="77777777">
            <w:pPr>
              <w:jc w:val="center"/>
              <w:rPr>
                <w:rFonts w:ascii="Times New Roman" w:hAnsi="Times New Roman"/>
                <w:color w:val="000000"/>
                <w:sz w:val="20"/>
              </w:rPr>
            </w:pPr>
            <w:r w:rsidRPr="00214C9B">
              <w:rPr>
                <w:rFonts w:ascii="Times New Roman" w:hAnsi="Times New Roman"/>
                <w:color w:val="000000"/>
                <w:sz w:val="20"/>
              </w:rPr>
              <w:t>0</w:t>
            </w:r>
          </w:p>
        </w:tc>
        <w:tc>
          <w:tcPr>
            <w:tcW w:w="144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241EA0B0" w14:textId="77777777">
            <w:pPr>
              <w:ind w:firstLine="200" w:firstLineChars="100"/>
              <w:jc w:val="right"/>
              <w:rPr>
                <w:rFonts w:ascii="Times New Roman" w:hAnsi="Times New Roman"/>
                <w:color w:val="000000"/>
                <w:sz w:val="20"/>
              </w:rPr>
            </w:pPr>
            <w:r w:rsidRPr="00214C9B">
              <w:rPr>
                <w:rFonts w:ascii="Times New Roman" w:hAnsi="Times New Roman"/>
                <w:color w:val="000000"/>
                <w:sz w:val="20"/>
              </w:rPr>
              <w:t xml:space="preserve">$116.55 </w:t>
            </w:r>
          </w:p>
        </w:tc>
        <w:tc>
          <w:tcPr>
            <w:tcW w:w="0" w:type="auto"/>
            <w:vAlign w:val="center"/>
            <w:hideMark/>
          </w:tcPr>
          <w:p w:rsidR="008B0C9A" w:rsidRPr="00214C9B" w14:paraId="46073536" w14:textId="77777777">
            <w:pPr>
              <w:spacing w:line="256" w:lineRule="auto"/>
              <w:rPr>
                <w:rFonts w:ascii="Times New Roman" w:hAnsi="Times New Roman"/>
                <w:sz w:val="20"/>
              </w:rPr>
            </w:pPr>
          </w:p>
        </w:tc>
      </w:tr>
      <w:tr w14:paraId="2C61BCFB" w14:textId="77777777">
        <w:tblPrEx>
          <w:tblW w:w="10202" w:type="dxa"/>
          <w:tblLook w:val="04A0"/>
        </w:tblPrEx>
        <w:trPr>
          <w:trHeight w:val="825"/>
        </w:trPr>
        <w:tc>
          <w:tcPr>
            <w:tcW w:w="1992"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8B0C9A" w:rsidRPr="00214C9B" w14:paraId="67211A79" w14:textId="77777777">
            <w:pPr>
              <w:rPr>
                <w:rFonts w:ascii="Times New Roman" w:hAnsi="Times New Roman"/>
                <w:color w:val="000000"/>
                <w:sz w:val="20"/>
              </w:rPr>
            </w:pPr>
            <w:r w:rsidRPr="00214C9B">
              <w:rPr>
                <w:rFonts w:ascii="Times New Roman" w:hAnsi="Times New Roman"/>
                <w:color w:val="000000"/>
                <w:sz w:val="20"/>
              </w:rPr>
              <w:t xml:space="preserve">6. Policies and Procedures -Implementation, 12 CFR 328.8 (Mandatory). </w:t>
            </w:r>
          </w:p>
        </w:tc>
        <w:tc>
          <w:tcPr>
            <w:tcW w:w="840"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7C019189" w14:textId="77777777">
            <w:pPr>
              <w:jc w:val="center"/>
              <w:rPr>
                <w:rFonts w:ascii="Times New Roman" w:hAnsi="Times New Roman"/>
                <w:color w:val="000000"/>
                <w:sz w:val="20"/>
              </w:rPr>
            </w:pPr>
            <w:r w:rsidRPr="00214C9B">
              <w:rPr>
                <w:rFonts w:ascii="Times New Roman" w:hAnsi="Times New Roman"/>
                <w:color w:val="000000"/>
                <w:sz w:val="20"/>
              </w:rPr>
              <w:t>32.89</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63391F17" w14:textId="77777777">
            <w:pPr>
              <w:jc w:val="center"/>
              <w:rPr>
                <w:rFonts w:ascii="Times New Roman" w:hAnsi="Times New Roman"/>
                <w:color w:val="000000"/>
                <w:sz w:val="20"/>
              </w:rPr>
            </w:pPr>
            <w:r w:rsidRPr="00214C9B">
              <w:rPr>
                <w:rFonts w:ascii="Times New Roman" w:hAnsi="Times New Roman"/>
                <w:color w:val="000000"/>
                <w:sz w:val="20"/>
              </w:rPr>
              <w:t>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216AABF8" w14:textId="77777777">
            <w:pPr>
              <w:jc w:val="center"/>
              <w:rPr>
                <w:rFonts w:ascii="Times New Roman" w:hAnsi="Times New Roman"/>
                <w:color w:val="000000"/>
                <w:sz w:val="20"/>
              </w:rPr>
            </w:pPr>
            <w:r w:rsidRPr="00214C9B">
              <w:rPr>
                <w:rFonts w:ascii="Times New Roman" w:hAnsi="Times New Roman"/>
                <w:color w:val="000000"/>
                <w:sz w:val="20"/>
              </w:rPr>
              <w:t>45</w:t>
            </w:r>
          </w:p>
        </w:tc>
        <w:tc>
          <w:tcPr>
            <w:tcW w:w="8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1454112E" w14:textId="77777777">
            <w:pPr>
              <w:jc w:val="center"/>
              <w:rPr>
                <w:rFonts w:ascii="Times New Roman" w:hAnsi="Times New Roman"/>
                <w:color w:val="000000"/>
                <w:sz w:val="20"/>
              </w:rPr>
            </w:pPr>
            <w:r w:rsidRPr="00214C9B">
              <w:rPr>
                <w:rFonts w:ascii="Times New Roman" w:hAnsi="Times New Roman"/>
                <w:color w:val="000000"/>
                <w:sz w:val="20"/>
              </w:rPr>
              <w:t>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7823BB25" w14:textId="77777777">
            <w:pPr>
              <w:jc w:val="center"/>
              <w:rPr>
                <w:rFonts w:ascii="Times New Roman" w:hAnsi="Times New Roman"/>
                <w:color w:val="000000"/>
                <w:sz w:val="20"/>
              </w:rPr>
            </w:pPr>
            <w:r w:rsidRPr="00214C9B">
              <w:rPr>
                <w:rFonts w:ascii="Times New Roman" w:hAnsi="Times New Roman"/>
                <w:color w:val="000000"/>
                <w:sz w:val="20"/>
              </w:rPr>
              <w:t>10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0DCF6571" w14:textId="77777777">
            <w:pPr>
              <w:jc w:val="center"/>
              <w:rPr>
                <w:rFonts w:ascii="Times New Roman" w:hAnsi="Times New Roman"/>
                <w:color w:val="000000"/>
                <w:sz w:val="20"/>
              </w:rPr>
            </w:pPr>
            <w:r w:rsidRPr="00214C9B">
              <w:rPr>
                <w:rFonts w:ascii="Times New Roman" w:hAnsi="Times New Roman"/>
                <w:color w:val="000000"/>
                <w:sz w:val="20"/>
              </w:rPr>
              <w:t>0</w:t>
            </w:r>
          </w:p>
        </w:tc>
        <w:tc>
          <w:tcPr>
            <w:tcW w:w="8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68736236" w14:textId="77777777">
            <w:pPr>
              <w:jc w:val="center"/>
              <w:rPr>
                <w:rFonts w:ascii="Times New Roman" w:hAnsi="Times New Roman"/>
                <w:color w:val="000000"/>
                <w:sz w:val="20"/>
              </w:rPr>
            </w:pPr>
            <w:r w:rsidRPr="00214C9B">
              <w:rPr>
                <w:rFonts w:ascii="Times New Roman" w:hAnsi="Times New Roman"/>
                <w:color w:val="000000"/>
                <w:sz w:val="20"/>
              </w:rPr>
              <w:t>45</w:t>
            </w:r>
          </w:p>
        </w:tc>
        <w:tc>
          <w:tcPr>
            <w:tcW w:w="144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2D8B9A5E" w14:textId="77777777">
            <w:pPr>
              <w:ind w:firstLine="200" w:firstLineChars="100"/>
              <w:jc w:val="right"/>
              <w:rPr>
                <w:rFonts w:ascii="Times New Roman" w:hAnsi="Times New Roman"/>
                <w:color w:val="000000"/>
                <w:sz w:val="20"/>
              </w:rPr>
            </w:pPr>
            <w:r w:rsidRPr="00214C9B">
              <w:rPr>
                <w:rFonts w:ascii="Times New Roman" w:hAnsi="Times New Roman"/>
                <w:color w:val="000000"/>
                <w:sz w:val="20"/>
              </w:rPr>
              <w:t xml:space="preserve">$110.99 </w:t>
            </w:r>
          </w:p>
        </w:tc>
        <w:tc>
          <w:tcPr>
            <w:tcW w:w="0" w:type="auto"/>
            <w:vAlign w:val="center"/>
            <w:hideMark/>
          </w:tcPr>
          <w:p w:rsidR="008B0C9A" w:rsidRPr="00214C9B" w14:paraId="5FADDF70" w14:textId="77777777">
            <w:pPr>
              <w:spacing w:line="256" w:lineRule="auto"/>
              <w:rPr>
                <w:rFonts w:ascii="Times New Roman" w:hAnsi="Times New Roman"/>
                <w:sz w:val="20"/>
              </w:rPr>
            </w:pPr>
          </w:p>
        </w:tc>
      </w:tr>
      <w:tr w14:paraId="088EAFE9" w14:textId="77777777">
        <w:tblPrEx>
          <w:tblW w:w="10202" w:type="dxa"/>
          <w:tblLook w:val="04A0"/>
        </w:tblPrEx>
        <w:trPr>
          <w:trHeight w:val="825"/>
        </w:trPr>
        <w:tc>
          <w:tcPr>
            <w:tcW w:w="1992"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8B0C9A" w:rsidRPr="00214C9B" w14:paraId="3C9BB53D" w14:textId="77777777">
            <w:pPr>
              <w:rPr>
                <w:rFonts w:ascii="Times New Roman" w:hAnsi="Times New Roman"/>
                <w:color w:val="000000"/>
                <w:sz w:val="20"/>
              </w:rPr>
            </w:pPr>
            <w:r w:rsidRPr="00214C9B">
              <w:rPr>
                <w:rFonts w:ascii="Times New Roman" w:hAnsi="Times New Roman"/>
                <w:color w:val="000000"/>
                <w:sz w:val="20"/>
              </w:rPr>
              <w:t xml:space="preserve">7. Policies and Procedures –Ongoing, 12 CFR 328.8 (Mandatory). </w:t>
            </w:r>
          </w:p>
        </w:tc>
        <w:tc>
          <w:tcPr>
            <w:tcW w:w="840"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3C84A6A6" w14:textId="77777777">
            <w:pPr>
              <w:jc w:val="center"/>
              <w:rPr>
                <w:rFonts w:ascii="Times New Roman" w:hAnsi="Times New Roman"/>
                <w:color w:val="000000"/>
                <w:sz w:val="20"/>
              </w:rPr>
            </w:pPr>
            <w:r w:rsidRPr="00214C9B">
              <w:rPr>
                <w:rFonts w:ascii="Times New Roman" w:hAnsi="Times New Roman"/>
                <w:color w:val="000000"/>
                <w:sz w:val="20"/>
              </w:rPr>
              <w:t>9.88</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47F9FEB4" w14:textId="77777777">
            <w:pPr>
              <w:jc w:val="center"/>
              <w:rPr>
                <w:rFonts w:ascii="Times New Roman" w:hAnsi="Times New Roman"/>
                <w:color w:val="000000"/>
                <w:sz w:val="20"/>
              </w:rPr>
            </w:pPr>
            <w:r w:rsidRPr="00214C9B">
              <w:rPr>
                <w:rFonts w:ascii="Times New Roman" w:hAnsi="Times New Roman"/>
                <w:color w:val="000000"/>
                <w:sz w:val="20"/>
              </w:rPr>
              <w:t>75</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5CAD1568" w14:textId="77777777">
            <w:pPr>
              <w:jc w:val="center"/>
              <w:rPr>
                <w:rFonts w:ascii="Times New Roman" w:hAnsi="Times New Roman"/>
                <w:color w:val="000000"/>
                <w:sz w:val="20"/>
              </w:rPr>
            </w:pPr>
            <w:r w:rsidRPr="00214C9B">
              <w:rPr>
                <w:rFonts w:ascii="Times New Roman" w:hAnsi="Times New Roman"/>
                <w:color w:val="000000"/>
                <w:sz w:val="20"/>
              </w:rPr>
              <w:t>25</w:t>
            </w:r>
          </w:p>
        </w:tc>
        <w:tc>
          <w:tcPr>
            <w:tcW w:w="8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771B24B3" w14:textId="77777777">
            <w:pPr>
              <w:jc w:val="center"/>
              <w:rPr>
                <w:rFonts w:ascii="Times New Roman" w:hAnsi="Times New Roman"/>
                <w:color w:val="000000"/>
                <w:sz w:val="20"/>
              </w:rPr>
            </w:pPr>
            <w:r w:rsidRPr="00214C9B">
              <w:rPr>
                <w:rFonts w:ascii="Times New Roman" w:hAnsi="Times New Roman"/>
                <w:color w:val="000000"/>
                <w:sz w:val="20"/>
              </w:rPr>
              <w:t>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675BD2C6" w14:textId="77777777">
            <w:pPr>
              <w:jc w:val="center"/>
              <w:rPr>
                <w:rFonts w:ascii="Times New Roman" w:hAnsi="Times New Roman"/>
                <w:color w:val="000000"/>
                <w:sz w:val="20"/>
              </w:rPr>
            </w:pPr>
            <w:r w:rsidRPr="00214C9B">
              <w:rPr>
                <w:rFonts w:ascii="Times New Roman" w:hAnsi="Times New Roman"/>
                <w:color w:val="000000"/>
                <w:sz w:val="20"/>
              </w:rPr>
              <w:t>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48B1D790" w14:textId="77777777">
            <w:pPr>
              <w:jc w:val="center"/>
              <w:rPr>
                <w:rFonts w:ascii="Times New Roman" w:hAnsi="Times New Roman"/>
                <w:color w:val="000000"/>
                <w:sz w:val="20"/>
              </w:rPr>
            </w:pPr>
            <w:r w:rsidRPr="00214C9B">
              <w:rPr>
                <w:rFonts w:ascii="Times New Roman" w:hAnsi="Times New Roman"/>
                <w:color w:val="000000"/>
                <w:sz w:val="20"/>
              </w:rPr>
              <w:t>0</w:t>
            </w:r>
          </w:p>
        </w:tc>
        <w:tc>
          <w:tcPr>
            <w:tcW w:w="8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69A77CC9" w14:textId="77777777">
            <w:pPr>
              <w:jc w:val="center"/>
              <w:rPr>
                <w:rFonts w:ascii="Times New Roman" w:hAnsi="Times New Roman"/>
                <w:color w:val="000000"/>
                <w:sz w:val="20"/>
              </w:rPr>
            </w:pPr>
            <w:r w:rsidRPr="00214C9B">
              <w:rPr>
                <w:rFonts w:ascii="Times New Roman" w:hAnsi="Times New Roman"/>
                <w:color w:val="000000"/>
                <w:sz w:val="20"/>
              </w:rPr>
              <w:t>0</w:t>
            </w:r>
          </w:p>
        </w:tc>
        <w:tc>
          <w:tcPr>
            <w:tcW w:w="144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596B242D" w14:textId="77777777">
            <w:pPr>
              <w:ind w:firstLine="200" w:firstLineChars="100"/>
              <w:jc w:val="right"/>
              <w:rPr>
                <w:rFonts w:ascii="Times New Roman" w:hAnsi="Times New Roman"/>
                <w:color w:val="000000"/>
                <w:sz w:val="20"/>
              </w:rPr>
            </w:pPr>
            <w:r w:rsidRPr="00214C9B">
              <w:rPr>
                <w:rFonts w:ascii="Times New Roman" w:hAnsi="Times New Roman"/>
                <w:color w:val="000000"/>
                <w:sz w:val="20"/>
              </w:rPr>
              <w:t xml:space="preserve">$163.39 </w:t>
            </w:r>
          </w:p>
        </w:tc>
        <w:tc>
          <w:tcPr>
            <w:tcW w:w="0" w:type="auto"/>
            <w:vAlign w:val="center"/>
            <w:hideMark/>
          </w:tcPr>
          <w:p w:rsidR="008B0C9A" w:rsidRPr="00214C9B" w14:paraId="7E57C788" w14:textId="77777777">
            <w:pPr>
              <w:spacing w:line="256" w:lineRule="auto"/>
              <w:rPr>
                <w:rFonts w:ascii="Times New Roman" w:hAnsi="Times New Roman"/>
                <w:sz w:val="20"/>
              </w:rPr>
            </w:pPr>
          </w:p>
        </w:tc>
      </w:tr>
      <w:tr w14:paraId="3F219B9A" w14:textId="77777777">
        <w:tblPrEx>
          <w:tblW w:w="10202" w:type="dxa"/>
          <w:tblLook w:val="04A0"/>
        </w:tblPrEx>
        <w:trPr>
          <w:trHeight w:val="1095"/>
        </w:trPr>
        <w:tc>
          <w:tcPr>
            <w:tcW w:w="1992"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8B0C9A" w:rsidRPr="00214C9B" w14:paraId="64FF28BA" w14:textId="77777777">
            <w:pPr>
              <w:rPr>
                <w:rFonts w:ascii="Times New Roman" w:hAnsi="Times New Roman"/>
                <w:color w:val="000000"/>
                <w:sz w:val="20"/>
              </w:rPr>
            </w:pPr>
            <w:r w:rsidRPr="00214C9B">
              <w:rPr>
                <w:rFonts w:ascii="Times New Roman" w:hAnsi="Times New Roman"/>
                <w:color w:val="000000"/>
                <w:sz w:val="20"/>
              </w:rPr>
              <w:t xml:space="preserve">8. Insured Depository Institution Relationships- Implementation 12 CFR 328.102(b)(5) (Mandatory).   </w:t>
            </w:r>
          </w:p>
        </w:tc>
        <w:tc>
          <w:tcPr>
            <w:tcW w:w="840"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2BCA526B" w14:textId="77777777">
            <w:pPr>
              <w:jc w:val="center"/>
              <w:rPr>
                <w:rFonts w:ascii="Times New Roman" w:hAnsi="Times New Roman"/>
                <w:color w:val="000000"/>
                <w:sz w:val="20"/>
              </w:rPr>
            </w:pPr>
            <w:r w:rsidRPr="00214C9B">
              <w:rPr>
                <w:rFonts w:ascii="Times New Roman" w:hAnsi="Times New Roman"/>
                <w:color w:val="000000"/>
                <w:sz w:val="20"/>
              </w:rPr>
              <w:t>0.35</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0BC8AD77" w14:textId="77777777">
            <w:pPr>
              <w:jc w:val="center"/>
              <w:rPr>
                <w:rFonts w:ascii="Times New Roman" w:hAnsi="Times New Roman"/>
                <w:color w:val="000000"/>
                <w:sz w:val="20"/>
              </w:rPr>
            </w:pPr>
            <w:r w:rsidRPr="00214C9B">
              <w:rPr>
                <w:rFonts w:ascii="Times New Roman" w:hAnsi="Times New Roman"/>
                <w:color w:val="000000"/>
                <w:sz w:val="20"/>
              </w:rPr>
              <w:t>25</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2CB3527F" w14:textId="77777777">
            <w:pPr>
              <w:jc w:val="center"/>
              <w:rPr>
                <w:rFonts w:ascii="Times New Roman" w:hAnsi="Times New Roman"/>
                <w:color w:val="000000"/>
                <w:sz w:val="20"/>
              </w:rPr>
            </w:pPr>
            <w:r w:rsidRPr="00214C9B">
              <w:rPr>
                <w:rFonts w:ascii="Times New Roman" w:hAnsi="Times New Roman"/>
                <w:color w:val="000000"/>
                <w:sz w:val="20"/>
              </w:rPr>
              <w:t>25</w:t>
            </w:r>
          </w:p>
        </w:tc>
        <w:tc>
          <w:tcPr>
            <w:tcW w:w="8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7670A8AD" w14:textId="77777777">
            <w:pPr>
              <w:jc w:val="center"/>
              <w:rPr>
                <w:rFonts w:ascii="Times New Roman" w:hAnsi="Times New Roman"/>
                <w:color w:val="000000"/>
                <w:sz w:val="20"/>
              </w:rPr>
            </w:pPr>
            <w:r w:rsidRPr="00214C9B">
              <w:rPr>
                <w:rFonts w:ascii="Times New Roman" w:hAnsi="Times New Roman"/>
                <w:color w:val="000000"/>
                <w:sz w:val="20"/>
              </w:rPr>
              <w:t>5</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5B03ED2E" w14:textId="77777777">
            <w:pPr>
              <w:jc w:val="center"/>
              <w:rPr>
                <w:rFonts w:ascii="Times New Roman" w:hAnsi="Times New Roman"/>
                <w:color w:val="000000"/>
                <w:sz w:val="20"/>
              </w:rPr>
            </w:pPr>
            <w:r w:rsidRPr="00214C9B">
              <w:rPr>
                <w:rFonts w:ascii="Times New Roman" w:hAnsi="Times New Roman"/>
                <w:color w:val="000000"/>
                <w:sz w:val="20"/>
              </w:rPr>
              <w:t>5</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40AEF320" w14:textId="77777777">
            <w:pPr>
              <w:jc w:val="center"/>
              <w:rPr>
                <w:rFonts w:ascii="Times New Roman" w:hAnsi="Times New Roman"/>
                <w:color w:val="000000"/>
                <w:sz w:val="20"/>
              </w:rPr>
            </w:pPr>
            <w:r w:rsidRPr="00214C9B">
              <w:rPr>
                <w:rFonts w:ascii="Times New Roman" w:hAnsi="Times New Roman"/>
                <w:color w:val="000000"/>
                <w:sz w:val="20"/>
              </w:rPr>
              <w:t>30</w:t>
            </w:r>
          </w:p>
        </w:tc>
        <w:tc>
          <w:tcPr>
            <w:tcW w:w="8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12B1DE4E" w14:textId="77777777">
            <w:pPr>
              <w:jc w:val="center"/>
              <w:rPr>
                <w:rFonts w:ascii="Times New Roman" w:hAnsi="Times New Roman"/>
                <w:color w:val="000000"/>
                <w:sz w:val="20"/>
              </w:rPr>
            </w:pPr>
            <w:r w:rsidRPr="00214C9B">
              <w:rPr>
                <w:rFonts w:ascii="Times New Roman" w:hAnsi="Times New Roman"/>
                <w:color w:val="000000"/>
                <w:sz w:val="20"/>
              </w:rPr>
              <w:t>10</w:t>
            </w:r>
          </w:p>
        </w:tc>
        <w:tc>
          <w:tcPr>
            <w:tcW w:w="144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4CAA1B58" w14:textId="77777777">
            <w:pPr>
              <w:ind w:firstLine="200" w:firstLineChars="100"/>
              <w:jc w:val="right"/>
              <w:rPr>
                <w:rFonts w:ascii="Times New Roman" w:hAnsi="Times New Roman"/>
                <w:color w:val="000000"/>
                <w:sz w:val="20"/>
              </w:rPr>
            </w:pPr>
            <w:r w:rsidRPr="00214C9B">
              <w:rPr>
                <w:rFonts w:ascii="Times New Roman" w:hAnsi="Times New Roman"/>
                <w:color w:val="000000"/>
                <w:sz w:val="20"/>
              </w:rPr>
              <w:t xml:space="preserve">$128.49 </w:t>
            </w:r>
          </w:p>
        </w:tc>
        <w:tc>
          <w:tcPr>
            <w:tcW w:w="0" w:type="auto"/>
            <w:vAlign w:val="center"/>
            <w:hideMark/>
          </w:tcPr>
          <w:p w:rsidR="008B0C9A" w:rsidRPr="00214C9B" w14:paraId="34E7E3F9" w14:textId="77777777">
            <w:pPr>
              <w:spacing w:line="256" w:lineRule="auto"/>
              <w:rPr>
                <w:rFonts w:ascii="Times New Roman" w:hAnsi="Times New Roman"/>
                <w:sz w:val="20"/>
              </w:rPr>
            </w:pPr>
          </w:p>
        </w:tc>
      </w:tr>
      <w:tr w14:paraId="597F74AF" w14:textId="77777777">
        <w:tblPrEx>
          <w:tblW w:w="10202" w:type="dxa"/>
          <w:tblLook w:val="04A0"/>
        </w:tblPrEx>
        <w:trPr>
          <w:trHeight w:val="1095"/>
        </w:trPr>
        <w:tc>
          <w:tcPr>
            <w:tcW w:w="1992"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8B0C9A" w:rsidRPr="00214C9B" w14:paraId="075B3C1D" w14:textId="77777777">
            <w:pPr>
              <w:rPr>
                <w:rFonts w:ascii="Times New Roman" w:hAnsi="Times New Roman"/>
                <w:color w:val="000000"/>
                <w:sz w:val="20"/>
              </w:rPr>
            </w:pPr>
            <w:r w:rsidRPr="00214C9B">
              <w:rPr>
                <w:rFonts w:ascii="Times New Roman" w:hAnsi="Times New Roman"/>
                <w:color w:val="000000"/>
                <w:sz w:val="20"/>
              </w:rPr>
              <w:t xml:space="preserve">9. Insured Depository Institution Relationships- Ongoing 12 CFR 328.102(b)(5) (Mandatory).   </w:t>
            </w:r>
          </w:p>
        </w:tc>
        <w:tc>
          <w:tcPr>
            <w:tcW w:w="840"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521DDDDB" w14:textId="77777777">
            <w:pPr>
              <w:jc w:val="center"/>
              <w:rPr>
                <w:rFonts w:ascii="Times New Roman" w:hAnsi="Times New Roman"/>
                <w:color w:val="000000"/>
                <w:sz w:val="20"/>
              </w:rPr>
            </w:pPr>
            <w:r w:rsidRPr="00214C9B">
              <w:rPr>
                <w:rFonts w:ascii="Times New Roman" w:hAnsi="Times New Roman"/>
                <w:color w:val="000000"/>
                <w:sz w:val="20"/>
              </w:rPr>
              <w:t>0.28</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5ED4F2AC" w14:textId="77777777">
            <w:pPr>
              <w:jc w:val="center"/>
              <w:rPr>
                <w:rFonts w:ascii="Times New Roman" w:hAnsi="Times New Roman"/>
                <w:color w:val="000000"/>
                <w:sz w:val="20"/>
              </w:rPr>
            </w:pPr>
            <w:r w:rsidRPr="00214C9B">
              <w:rPr>
                <w:rFonts w:ascii="Times New Roman" w:hAnsi="Times New Roman"/>
                <w:color w:val="000000"/>
                <w:sz w:val="20"/>
              </w:rPr>
              <w:t>10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2A6EA1B4" w14:textId="77777777">
            <w:pPr>
              <w:jc w:val="center"/>
              <w:rPr>
                <w:rFonts w:ascii="Times New Roman" w:hAnsi="Times New Roman"/>
                <w:color w:val="000000"/>
                <w:sz w:val="20"/>
              </w:rPr>
            </w:pPr>
            <w:r w:rsidRPr="00214C9B">
              <w:rPr>
                <w:rFonts w:ascii="Times New Roman" w:hAnsi="Times New Roman"/>
                <w:color w:val="000000"/>
                <w:sz w:val="20"/>
              </w:rPr>
              <w:t>10</w:t>
            </w:r>
          </w:p>
        </w:tc>
        <w:tc>
          <w:tcPr>
            <w:tcW w:w="8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713E3B79" w14:textId="77777777">
            <w:pPr>
              <w:jc w:val="center"/>
              <w:rPr>
                <w:rFonts w:ascii="Times New Roman" w:hAnsi="Times New Roman"/>
                <w:color w:val="000000"/>
                <w:sz w:val="20"/>
              </w:rPr>
            </w:pPr>
            <w:r w:rsidRPr="00214C9B">
              <w:rPr>
                <w:rFonts w:ascii="Times New Roman" w:hAnsi="Times New Roman"/>
                <w:color w:val="000000"/>
                <w:sz w:val="20"/>
              </w:rPr>
              <w:t>10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7B7C7CED" w14:textId="77777777">
            <w:pPr>
              <w:jc w:val="center"/>
              <w:rPr>
                <w:rFonts w:ascii="Times New Roman" w:hAnsi="Times New Roman"/>
                <w:color w:val="000000"/>
                <w:sz w:val="20"/>
              </w:rPr>
            </w:pPr>
            <w:r w:rsidRPr="00214C9B">
              <w:rPr>
                <w:rFonts w:ascii="Times New Roman" w:hAnsi="Times New Roman"/>
                <w:color w:val="000000"/>
                <w:sz w:val="20"/>
              </w:rPr>
              <w:t>40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71D1868E" w14:textId="77777777">
            <w:pPr>
              <w:jc w:val="center"/>
              <w:rPr>
                <w:rFonts w:ascii="Times New Roman" w:hAnsi="Times New Roman"/>
                <w:color w:val="000000"/>
                <w:sz w:val="20"/>
              </w:rPr>
            </w:pPr>
            <w:r w:rsidRPr="00214C9B">
              <w:rPr>
                <w:rFonts w:ascii="Times New Roman" w:hAnsi="Times New Roman"/>
                <w:color w:val="000000"/>
                <w:sz w:val="20"/>
              </w:rPr>
              <w:t>20</w:t>
            </w:r>
          </w:p>
        </w:tc>
        <w:tc>
          <w:tcPr>
            <w:tcW w:w="8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0E23FC89" w14:textId="77777777">
            <w:pPr>
              <w:jc w:val="center"/>
              <w:rPr>
                <w:rFonts w:ascii="Times New Roman" w:hAnsi="Times New Roman"/>
                <w:color w:val="000000"/>
                <w:sz w:val="20"/>
              </w:rPr>
            </w:pPr>
            <w:r w:rsidRPr="00214C9B">
              <w:rPr>
                <w:rFonts w:ascii="Times New Roman" w:hAnsi="Times New Roman"/>
                <w:color w:val="000000"/>
                <w:sz w:val="20"/>
              </w:rPr>
              <w:t>10</w:t>
            </w:r>
          </w:p>
        </w:tc>
        <w:tc>
          <w:tcPr>
            <w:tcW w:w="144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159BCC7E" w14:textId="77777777">
            <w:pPr>
              <w:ind w:firstLine="200" w:firstLineChars="100"/>
              <w:jc w:val="right"/>
              <w:rPr>
                <w:rFonts w:ascii="Times New Roman" w:hAnsi="Times New Roman"/>
                <w:color w:val="000000"/>
                <w:sz w:val="20"/>
              </w:rPr>
            </w:pPr>
            <w:r w:rsidRPr="00214C9B">
              <w:rPr>
                <w:rFonts w:ascii="Times New Roman" w:hAnsi="Times New Roman"/>
                <w:color w:val="000000"/>
                <w:sz w:val="20"/>
              </w:rPr>
              <w:t xml:space="preserve">$112.45 </w:t>
            </w:r>
          </w:p>
        </w:tc>
        <w:tc>
          <w:tcPr>
            <w:tcW w:w="0" w:type="auto"/>
            <w:vAlign w:val="center"/>
            <w:hideMark/>
          </w:tcPr>
          <w:p w:rsidR="008B0C9A" w:rsidRPr="00214C9B" w14:paraId="1500C482" w14:textId="77777777">
            <w:pPr>
              <w:spacing w:line="256" w:lineRule="auto"/>
              <w:rPr>
                <w:rFonts w:ascii="Times New Roman" w:hAnsi="Times New Roman"/>
                <w:sz w:val="20"/>
              </w:rPr>
            </w:pPr>
          </w:p>
        </w:tc>
      </w:tr>
      <w:tr w14:paraId="3ACFB22F" w14:textId="77777777">
        <w:tblPrEx>
          <w:tblW w:w="10202" w:type="dxa"/>
          <w:tblLook w:val="04A0"/>
        </w:tblPrEx>
        <w:trPr>
          <w:trHeight w:val="1905"/>
        </w:trPr>
        <w:tc>
          <w:tcPr>
            <w:tcW w:w="1992" w:type="dxa"/>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8B0C9A" w:rsidRPr="00214C9B" w14:paraId="09AC4607" w14:textId="77777777">
            <w:pPr>
              <w:rPr>
                <w:rFonts w:ascii="Times New Roman" w:hAnsi="Times New Roman"/>
                <w:color w:val="000000"/>
                <w:sz w:val="20"/>
              </w:rPr>
            </w:pPr>
            <w:r w:rsidRPr="00214C9B">
              <w:rPr>
                <w:rFonts w:ascii="Times New Roman" w:hAnsi="Times New Roman"/>
                <w:color w:val="000000"/>
                <w:sz w:val="20"/>
              </w:rPr>
              <w:t xml:space="preserve">10. Request for Consent to Use Non-English Language Advertising Statement- 12 CFR 328.6(f) (Required to Obtain or Retain a Benefit).  </w:t>
            </w:r>
          </w:p>
        </w:tc>
        <w:tc>
          <w:tcPr>
            <w:tcW w:w="840"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310735F6" w14:textId="77777777">
            <w:pPr>
              <w:jc w:val="center"/>
              <w:rPr>
                <w:rFonts w:ascii="Times New Roman" w:hAnsi="Times New Roman"/>
                <w:color w:val="000000"/>
                <w:sz w:val="20"/>
              </w:rPr>
            </w:pPr>
            <w:r w:rsidRPr="00214C9B">
              <w:rPr>
                <w:rFonts w:ascii="Times New Roman" w:hAnsi="Times New Roman"/>
                <w:color w:val="000000"/>
                <w:sz w:val="20"/>
              </w:rPr>
              <w:t>0.00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7CADF9C7" w14:textId="77777777">
            <w:pPr>
              <w:jc w:val="center"/>
              <w:rPr>
                <w:rFonts w:ascii="Times New Roman" w:hAnsi="Times New Roman"/>
                <w:color w:val="000000"/>
                <w:sz w:val="20"/>
              </w:rPr>
            </w:pPr>
            <w:r w:rsidRPr="00214C9B">
              <w:rPr>
                <w:rFonts w:ascii="Times New Roman" w:hAnsi="Times New Roman"/>
                <w:color w:val="000000"/>
                <w:sz w:val="20"/>
              </w:rPr>
              <w:t>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39543836" w14:textId="77777777">
            <w:pPr>
              <w:jc w:val="center"/>
              <w:rPr>
                <w:rFonts w:ascii="Times New Roman" w:hAnsi="Times New Roman"/>
                <w:color w:val="000000"/>
                <w:sz w:val="20"/>
              </w:rPr>
            </w:pPr>
            <w:r w:rsidRPr="00214C9B">
              <w:rPr>
                <w:rFonts w:ascii="Times New Roman" w:hAnsi="Times New Roman"/>
                <w:color w:val="000000"/>
                <w:sz w:val="20"/>
              </w:rPr>
              <w:t>100</w:t>
            </w:r>
          </w:p>
        </w:tc>
        <w:tc>
          <w:tcPr>
            <w:tcW w:w="8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6EFD3F43" w14:textId="77777777">
            <w:pPr>
              <w:jc w:val="center"/>
              <w:rPr>
                <w:rFonts w:ascii="Times New Roman" w:hAnsi="Times New Roman"/>
                <w:color w:val="000000"/>
                <w:sz w:val="20"/>
              </w:rPr>
            </w:pPr>
            <w:r w:rsidRPr="00214C9B">
              <w:rPr>
                <w:rFonts w:ascii="Times New Roman" w:hAnsi="Times New Roman"/>
                <w:color w:val="000000"/>
                <w:sz w:val="20"/>
              </w:rPr>
              <w:t>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0470F0C5" w14:textId="77777777">
            <w:pPr>
              <w:jc w:val="center"/>
              <w:rPr>
                <w:rFonts w:ascii="Times New Roman" w:hAnsi="Times New Roman"/>
                <w:color w:val="000000"/>
                <w:sz w:val="20"/>
              </w:rPr>
            </w:pPr>
            <w:r w:rsidRPr="00214C9B">
              <w:rPr>
                <w:rFonts w:ascii="Times New Roman" w:hAnsi="Times New Roman"/>
                <w:color w:val="000000"/>
                <w:sz w:val="20"/>
              </w:rPr>
              <w:t>0</w:t>
            </w:r>
          </w:p>
        </w:tc>
        <w:tc>
          <w:tcPr>
            <w:tcW w:w="9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7BD159C1" w14:textId="77777777">
            <w:pPr>
              <w:jc w:val="center"/>
              <w:rPr>
                <w:rFonts w:ascii="Times New Roman" w:hAnsi="Times New Roman"/>
                <w:color w:val="000000"/>
                <w:sz w:val="20"/>
              </w:rPr>
            </w:pPr>
            <w:r w:rsidRPr="00214C9B">
              <w:rPr>
                <w:rFonts w:ascii="Times New Roman" w:hAnsi="Times New Roman"/>
                <w:color w:val="000000"/>
                <w:sz w:val="20"/>
              </w:rPr>
              <w:t>0</w:t>
            </w:r>
          </w:p>
        </w:tc>
        <w:tc>
          <w:tcPr>
            <w:tcW w:w="88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296D370D" w14:textId="77777777">
            <w:pPr>
              <w:jc w:val="center"/>
              <w:rPr>
                <w:rFonts w:ascii="Times New Roman" w:hAnsi="Times New Roman"/>
                <w:color w:val="000000"/>
                <w:sz w:val="20"/>
              </w:rPr>
            </w:pPr>
            <w:r w:rsidRPr="00214C9B">
              <w:rPr>
                <w:rFonts w:ascii="Times New Roman" w:hAnsi="Times New Roman"/>
                <w:color w:val="000000"/>
                <w:sz w:val="20"/>
              </w:rPr>
              <w:t>0</w:t>
            </w:r>
          </w:p>
        </w:tc>
        <w:tc>
          <w:tcPr>
            <w:tcW w:w="1444" w:type="dxa"/>
            <w:tcBorders>
              <w:top w:val="nil"/>
              <w:left w:val="nil"/>
              <w:bottom w:val="single" w:sz="8" w:space="0" w:color="auto"/>
              <w:right w:val="single" w:sz="8" w:space="0" w:color="auto"/>
            </w:tcBorders>
            <w:tcMar>
              <w:top w:w="15" w:type="dxa"/>
              <w:left w:w="108" w:type="dxa"/>
              <w:bottom w:w="0" w:type="dxa"/>
              <w:right w:w="108" w:type="dxa"/>
            </w:tcMar>
            <w:vAlign w:val="center"/>
            <w:hideMark/>
          </w:tcPr>
          <w:p w:rsidR="008B0C9A" w:rsidRPr="00214C9B" w14:paraId="5DE5C3F7" w14:textId="77777777">
            <w:pPr>
              <w:ind w:firstLine="200" w:firstLineChars="100"/>
              <w:jc w:val="right"/>
              <w:rPr>
                <w:rFonts w:ascii="Times New Roman" w:hAnsi="Times New Roman"/>
                <w:color w:val="000000"/>
                <w:sz w:val="20"/>
              </w:rPr>
            </w:pPr>
            <w:r w:rsidRPr="00214C9B">
              <w:rPr>
                <w:rFonts w:ascii="Times New Roman" w:hAnsi="Times New Roman"/>
                <w:color w:val="000000"/>
                <w:sz w:val="20"/>
              </w:rPr>
              <w:t xml:space="preserve">$178.57 </w:t>
            </w:r>
          </w:p>
        </w:tc>
        <w:tc>
          <w:tcPr>
            <w:tcW w:w="0" w:type="auto"/>
            <w:vAlign w:val="center"/>
            <w:hideMark/>
          </w:tcPr>
          <w:p w:rsidR="008B0C9A" w:rsidRPr="00214C9B" w14:paraId="529BB731" w14:textId="77777777">
            <w:pPr>
              <w:spacing w:line="256" w:lineRule="auto"/>
              <w:rPr>
                <w:rFonts w:ascii="Times New Roman" w:hAnsi="Times New Roman"/>
                <w:sz w:val="20"/>
              </w:rPr>
            </w:pPr>
          </w:p>
        </w:tc>
      </w:tr>
      <w:tr w14:paraId="63547DE4" w14:textId="77777777">
        <w:tblPrEx>
          <w:tblW w:w="10202" w:type="dxa"/>
          <w:tblLook w:val="04A0"/>
        </w:tblPrEx>
        <w:trPr>
          <w:trHeight w:val="300"/>
        </w:trPr>
        <w:tc>
          <w:tcPr>
            <w:tcW w:w="8536" w:type="dxa"/>
            <w:gridSpan w:val="8"/>
            <w:tcBorders>
              <w:top w:val="single" w:sz="8" w:space="0" w:color="auto"/>
              <w:left w:val="single" w:sz="8" w:space="0" w:color="auto"/>
              <w:bottom w:val="nil"/>
              <w:right w:val="single" w:sz="8" w:space="0" w:color="auto"/>
            </w:tcBorders>
            <w:tcMar>
              <w:top w:w="15" w:type="dxa"/>
              <w:left w:w="108" w:type="dxa"/>
              <w:bottom w:w="0" w:type="dxa"/>
              <w:right w:w="108" w:type="dxa"/>
            </w:tcMar>
            <w:vAlign w:val="center"/>
            <w:hideMark/>
          </w:tcPr>
          <w:p w:rsidR="008B0C9A" w:rsidRPr="00214C9B" w14:paraId="4CF397AE" w14:textId="77777777">
            <w:pPr>
              <w:jc w:val="right"/>
              <w:rPr>
                <w:rFonts w:ascii="Times New Roman" w:hAnsi="Times New Roman"/>
                <w:b/>
                <w:bCs/>
                <w:i/>
                <w:iCs/>
                <w:color w:val="000000"/>
                <w:sz w:val="22"/>
                <w:szCs w:val="22"/>
              </w:rPr>
            </w:pPr>
            <w:r w:rsidRPr="00214C9B">
              <w:rPr>
                <w:rFonts w:ascii="Times New Roman" w:hAnsi="Times New Roman"/>
                <w:b/>
                <w:bCs/>
                <w:i/>
                <w:iCs/>
                <w:color w:val="000000"/>
              </w:rPr>
              <w:t>Weighted Average Hourly Compensation Rate:</w:t>
            </w:r>
          </w:p>
        </w:tc>
        <w:tc>
          <w:tcPr>
            <w:tcW w:w="1444" w:type="dxa"/>
            <w:tcBorders>
              <w:top w:val="nil"/>
              <w:left w:val="nil"/>
              <w:bottom w:val="nil"/>
              <w:right w:val="single" w:sz="8" w:space="0" w:color="auto"/>
            </w:tcBorders>
            <w:tcMar>
              <w:top w:w="15" w:type="dxa"/>
              <w:left w:w="108" w:type="dxa"/>
              <w:bottom w:w="0" w:type="dxa"/>
              <w:right w:w="108" w:type="dxa"/>
            </w:tcMar>
            <w:vAlign w:val="center"/>
            <w:hideMark/>
          </w:tcPr>
          <w:p w:rsidR="008B0C9A" w:rsidRPr="00214C9B" w14:paraId="380EC98D" w14:textId="77777777">
            <w:pPr>
              <w:ind w:firstLine="240" w:firstLineChars="100"/>
              <w:jc w:val="right"/>
              <w:rPr>
                <w:rFonts w:ascii="Times New Roman" w:hAnsi="Times New Roman"/>
                <w:b/>
                <w:bCs/>
                <w:i/>
                <w:iCs/>
                <w:color w:val="000000"/>
              </w:rPr>
            </w:pPr>
            <w:r w:rsidRPr="00214C9B">
              <w:rPr>
                <w:rFonts w:ascii="Times New Roman" w:hAnsi="Times New Roman"/>
                <w:b/>
                <w:bCs/>
                <w:i/>
                <w:iCs/>
                <w:color w:val="000000"/>
              </w:rPr>
              <w:t xml:space="preserve">$122.62 </w:t>
            </w:r>
          </w:p>
        </w:tc>
        <w:tc>
          <w:tcPr>
            <w:tcW w:w="0" w:type="auto"/>
            <w:vAlign w:val="center"/>
            <w:hideMark/>
          </w:tcPr>
          <w:p w:rsidR="008B0C9A" w:rsidRPr="00214C9B" w14:paraId="2A56E9CF" w14:textId="77777777">
            <w:pPr>
              <w:spacing w:line="256" w:lineRule="auto"/>
              <w:rPr>
                <w:rFonts w:ascii="Times New Roman" w:hAnsi="Times New Roman"/>
                <w:sz w:val="20"/>
              </w:rPr>
            </w:pPr>
          </w:p>
        </w:tc>
      </w:tr>
      <w:tr w14:paraId="0BC7EF2C" w14:textId="77777777">
        <w:tblPrEx>
          <w:tblW w:w="10202" w:type="dxa"/>
          <w:tblLook w:val="04A0"/>
        </w:tblPrEx>
        <w:trPr>
          <w:trHeight w:val="404"/>
        </w:trPr>
        <w:tc>
          <w:tcPr>
            <w:tcW w:w="9980" w:type="dxa"/>
            <w:gridSpan w:val="9"/>
            <w:vMerge w:val="restart"/>
            <w:tcBorders>
              <w:top w:val="single" w:sz="8" w:space="0" w:color="auto"/>
              <w:left w:val="single" w:sz="8" w:space="0" w:color="auto"/>
              <w:bottom w:val="nil"/>
              <w:right w:val="single" w:sz="8" w:space="0" w:color="000000"/>
            </w:tcBorders>
            <w:tcMar>
              <w:top w:w="15" w:type="dxa"/>
              <w:left w:w="108" w:type="dxa"/>
              <w:bottom w:w="0" w:type="dxa"/>
              <w:right w:w="108" w:type="dxa"/>
            </w:tcMar>
            <w:vAlign w:val="center"/>
            <w:hideMark/>
          </w:tcPr>
          <w:p w:rsidR="008B0C9A" w:rsidRPr="00214C9B" w14:paraId="3B6E8FE9" w14:textId="77777777">
            <w:pPr>
              <w:rPr>
                <w:rFonts w:ascii="Times New Roman" w:hAnsi="Times New Roman"/>
                <w:color w:val="000000"/>
                <w:sz w:val="18"/>
                <w:szCs w:val="18"/>
              </w:rPr>
            </w:pPr>
            <w:r w:rsidRPr="00214C9B">
              <w:rPr>
                <w:rFonts w:ascii="Times New Roman" w:hAnsi="Times New Roman"/>
                <w:color w:val="000000"/>
                <w:sz w:val="18"/>
                <w:szCs w:val="18"/>
              </w:rPr>
              <w:t xml:space="preserve">Source: Bureau of Labor Statistics: 'National Industry-Specific Occupational Employment and Wage Estimates: Industry: Credit Intermediation and Related Activities (5221 And 5223 only)' (May 2024), Employer Cost of Employee Compensation (March 2024), and Employment Cost Index (March 2024 and September 2025). Standard Occupational Classification (SOC) Codes: Exec. And </w:t>
            </w:r>
            <w:r w:rsidRPr="00214C9B">
              <w:rPr>
                <w:rFonts w:ascii="Times New Roman" w:hAnsi="Times New Roman"/>
                <w:color w:val="000000"/>
                <w:sz w:val="18"/>
                <w:szCs w:val="18"/>
              </w:rPr>
              <w:t>Mgr</w:t>
            </w:r>
            <w:r w:rsidRPr="00214C9B">
              <w:rPr>
                <w:rFonts w:ascii="Times New Roman" w:hAnsi="Times New Roman"/>
                <w:color w:val="000000"/>
                <w:sz w:val="18"/>
                <w:szCs w:val="18"/>
              </w:rPr>
              <w:t xml:space="preserve"> = 11-0000 Management Occupations; Lawyer = 23-0000 Legal Occupations; </w:t>
            </w:r>
            <w:r w:rsidRPr="00214C9B">
              <w:rPr>
                <w:rFonts w:ascii="Times New Roman" w:hAnsi="Times New Roman"/>
                <w:color w:val="000000"/>
                <w:sz w:val="18"/>
                <w:szCs w:val="18"/>
              </w:rPr>
              <w:t>Compl</w:t>
            </w:r>
            <w:r w:rsidRPr="00214C9B">
              <w:rPr>
                <w:rFonts w:ascii="Times New Roman" w:hAnsi="Times New Roman"/>
                <w:color w:val="000000"/>
                <w:sz w:val="18"/>
                <w:szCs w:val="18"/>
              </w:rPr>
              <w:t xml:space="preserve">. Ofc. = 13-1040 Compliance Officers; IT = 15-0000 Computer and Mathematical Occupations; Fin. </w:t>
            </w:r>
            <w:r w:rsidRPr="00214C9B">
              <w:rPr>
                <w:rFonts w:ascii="Times New Roman" w:hAnsi="Times New Roman"/>
                <w:color w:val="000000"/>
                <w:sz w:val="18"/>
                <w:szCs w:val="18"/>
              </w:rPr>
              <w:t>Anlst</w:t>
            </w:r>
            <w:r w:rsidRPr="00214C9B">
              <w:rPr>
                <w:rFonts w:ascii="Times New Roman" w:hAnsi="Times New Roman"/>
                <w:color w:val="000000"/>
                <w:sz w:val="18"/>
                <w:szCs w:val="18"/>
              </w:rPr>
              <w:t xml:space="preserve">. = 13-2051 Financial and Investment Analysts; Clerical = 43-0000 Office and Administrative Support Occupations. </w:t>
            </w:r>
          </w:p>
        </w:tc>
        <w:tc>
          <w:tcPr>
            <w:tcW w:w="0" w:type="auto"/>
            <w:vAlign w:val="center"/>
            <w:hideMark/>
          </w:tcPr>
          <w:p w:rsidR="008B0C9A" w:rsidRPr="00214C9B" w14:paraId="1B93AFB2" w14:textId="77777777">
            <w:pPr>
              <w:spacing w:line="256" w:lineRule="auto"/>
              <w:rPr>
                <w:rFonts w:ascii="Times New Roman" w:hAnsi="Times New Roman"/>
                <w:sz w:val="20"/>
              </w:rPr>
            </w:pPr>
          </w:p>
        </w:tc>
      </w:tr>
      <w:tr w14:paraId="2EE8808F" w14:textId="77777777">
        <w:tblPrEx>
          <w:tblW w:w="10202" w:type="dxa"/>
          <w:tblLook w:val="04A0"/>
        </w:tblPrEx>
        <w:trPr>
          <w:trHeight w:val="404"/>
        </w:trPr>
        <w:tc>
          <w:tcPr>
            <w:tcW w:w="0" w:type="auto"/>
            <w:gridSpan w:val="9"/>
            <w:vMerge/>
            <w:tcBorders>
              <w:top w:val="single" w:sz="8" w:space="0" w:color="auto"/>
              <w:left w:val="single" w:sz="8" w:space="0" w:color="auto"/>
              <w:bottom w:val="nil"/>
              <w:right w:val="single" w:sz="8" w:space="0" w:color="000000"/>
            </w:tcBorders>
            <w:vAlign w:val="center"/>
            <w:hideMark/>
          </w:tcPr>
          <w:p w:rsidR="008B0C9A" w:rsidRPr="00214C9B" w14:paraId="102F249C" w14:textId="77777777">
            <w:pPr>
              <w:spacing w:line="256" w:lineRule="auto"/>
              <w:rPr>
                <w:rFonts w:ascii="Times New Roman" w:hAnsi="Times New Roman"/>
                <w:color w:val="000000"/>
                <w:sz w:val="18"/>
                <w:szCs w:val="18"/>
              </w:rPr>
            </w:pPr>
          </w:p>
        </w:tc>
        <w:tc>
          <w:tcPr>
            <w:tcW w:w="0" w:type="auto"/>
            <w:vAlign w:val="center"/>
            <w:hideMark/>
          </w:tcPr>
          <w:p w:rsidR="008B0C9A" w:rsidRPr="00214C9B" w14:paraId="7B9C1BEE" w14:textId="77777777">
            <w:pPr>
              <w:rPr>
                <w:rFonts w:ascii="Times New Roman" w:hAnsi="Times New Roman"/>
                <w:color w:val="000000"/>
                <w:sz w:val="18"/>
                <w:szCs w:val="18"/>
              </w:rPr>
            </w:pPr>
          </w:p>
        </w:tc>
      </w:tr>
      <w:tr w14:paraId="3C95A877" w14:textId="77777777">
        <w:tblPrEx>
          <w:tblW w:w="10202" w:type="dxa"/>
          <w:tblLook w:val="04A0"/>
        </w:tblPrEx>
        <w:trPr>
          <w:trHeight w:val="404"/>
        </w:trPr>
        <w:tc>
          <w:tcPr>
            <w:tcW w:w="0" w:type="auto"/>
            <w:gridSpan w:val="9"/>
            <w:vMerge/>
            <w:tcBorders>
              <w:top w:val="single" w:sz="8" w:space="0" w:color="auto"/>
              <w:left w:val="single" w:sz="8" w:space="0" w:color="auto"/>
              <w:bottom w:val="nil"/>
              <w:right w:val="single" w:sz="8" w:space="0" w:color="000000"/>
            </w:tcBorders>
            <w:vAlign w:val="center"/>
            <w:hideMark/>
          </w:tcPr>
          <w:p w:rsidR="008B0C9A" w:rsidRPr="00214C9B" w14:paraId="2898B49C" w14:textId="77777777">
            <w:pPr>
              <w:spacing w:line="256" w:lineRule="auto"/>
              <w:rPr>
                <w:rFonts w:ascii="Times New Roman" w:hAnsi="Times New Roman"/>
                <w:color w:val="000000"/>
                <w:sz w:val="18"/>
                <w:szCs w:val="18"/>
              </w:rPr>
            </w:pPr>
          </w:p>
        </w:tc>
        <w:tc>
          <w:tcPr>
            <w:tcW w:w="0" w:type="auto"/>
            <w:vAlign w:val="center"/>
            <w:hideMark/>
          </w:tcPr>
          <w:p w:rsidR="008B0C9A" w:rsidRPr="00214C9B" w14:paraId="0555832A" w14:textId="77777777">
            <w:pPr>
              <w:spacing w:line="256" w:lineRule="auto"/>
              <w:rPr>
                <w:rFonts w:ascii="Times New Roman" w:hAnsi="Times New Roman"/>
                <w:sz w:val="20"/>
              </w:rPr>
            </w:pPr>
          </w:p>
        </w:tc>
      </w:tr>
      <w:tr w14:paraId="548E5AF6" w14:textId="77777777">
        <w:tblPrEx>
          <w:tblW w:w="10202" w:type="dxa"/>
          <w:tblLook w:val="04A0"/>
        </w:tblPrEx>
        <w:trPr>
          <w:trHeight w:val="404"/>
        </w:trPr>
        <w:tc>
          <w:tcPr>
            <w:tcW w:w="0" w:type="auto"/>
            <w:gridSpan w:val="9"/>
            <w:vMerge/>
            <w:tcBorders>
              <w:top w:val="single" w:sz="8" w:space="0" w:color="auto"/>
              <w:left w:val="single" w:sz="8" w:space="0" w:color="auto"/>
              <w:bottom w:val="nil"/>
              <w:right w:val="single" w:sz="8" w:space="0" w:color="000000"/>
            </w:tcBorders>
            <w:vAlign w:val="center"/>
            <w:hideMark/>
          </w:tcPr>
          <w:p w:rsidR="008B0C9A" w:rsidRPr="00214C9B" w14:paraId="546CBEA3" w14:textId="77777777">
            <w:pPr>
              <w:spacing w:line="256" w:lineRule="auto"/>
              <w:rPr>
                <w:rFonts w:ascii="Times New Roman" w:hAnsi="Times New Roman"/>
                <w:color w:val="000000"/>
                <w:sz w:val="18"/>
                <w:szCs w:val="18"/>
              </w:rPr>
            </w:pPr>
          </w:p>
        </w:tc>
        <w:tc>
          <w:tcPr>
            <w:tcW w:w="0" w:type="auto"/>
            <w:vAlign w:val="center"/>
            <w:hideMark/>
          </w:tcPr>
          <w:p w:rsidR="008B0C9A" w:rsidRPr="00214C9B" w14:paraId="6ADA5226" w14:textId="77777777">
            <w:pPr>
              <w:spacing w:line="256" w:lineRule="auto"/>
              <w:rPr>
                <w:rFonts w:ascii="Times New Roman" w:hAnsi="Times New Roman"/>
                <w:sz w:val="20"/>
              </w:rPr>
            </w:pPr>
          </w:p>
        </w:tc>
      </w:tr>
      <w:tr w14:paraId="4993E226" w14:textId="77777777">
        <w:tblPrEx>
          <w:tblW w:w="10202" w:type="dxa"/>
          <w:tblLook w:val="04A0"/>
        </w:tblPrEx>
        <w:trPr>
          <w:trHeight w:val="409"/>
        </w:trPr>
        <w:tc>
          <w:tcPr>
            <w:tcW w:w="9980" w:type="dxa"/>
            <w:gridSpan w:val="9"/>
            <w:vMerge w:val="restart"/>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8B0C9A" w:rsidRPr="00214C9B" w14:paraId="74448394" w14:textId="77777777">
            <w:pPr>
              <w:rPr>
                <w:rFonts w:ascii="Times New Roman" w:hAnsi="Times New Roman"/>
                <w:color w:val="000000"/>
                <w:sz w:val="18"/>
                <w:szCs w:val="18"/>
              </w:rPr>
            </w:pPr>
            <w:r w:rsidRPr="00214C9B">
              <w:rPr>
                <w:rFonts w:ascii="Times New Roman" w:hAnsi="Times New Roman"/>
                <w:color w:val="000000"/>
                <w:sz w:val="18"/>
                <w:szCs w:val="18"/>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c>
          <w:tcPr>
            <w:tcW w:w="0" w:type="auto"/>
            <w:vAlign w:val="center"/>
            <w:hideMark/>
          </w:tcPr>
          <w:p w:rsidR="008B0C9A" w:rsidRPr="00214C9B" w14:paraId="0378BA68" w14:textId="77777777">
            <w:pPr>
              <w:spacing w:line="256" w:lineRule="auto"/>
              <w:rPr>
                <w:rFonts w:ascii="Times New Roman" w:hAnsi="Times New Roman"/>
                <w:sz w:val="20"/>
              </w:rPr>
            </w:pPr>
          </w:p>
        </w:tc>
      </w:tr>
      <w:tr w14:paraId="482EE68B" w14:textId="77777777">
        <w:tblPrEx>
          <w:tblW w:w="10202" w:type="dxa"/>
          <w:tblLook w:val="04A0"/>
        </w:tblPrEx>
        <w:trPr>
          <w:trHeight w:val="404"/>
        </w:trPr>
        <w:tc>
          <w:tcPr>
            <w:tcW w:w="0" w:type="auto"/>
            <w:gridSpan w:val="9"/>
            <w:vMerge/>
            <w:tcBorders>
              <w:top w:val="nil"/>
              <w:left w:val="single" w:sz="8" w:space="0" w:color="auto"/>
              <w:bottom w:val="single" w:sz="8" w:space="0" w:color="auto"/>
              <w:right w:val="single" w:sz="8" w:space="0" w:color="auto"/>
            </w:tcBorders>
            <w:vAlign w:val="center"/>
            <w:hideMark/>
          </w:tcPr>
          <w:p w:rsidR="008B0C9A" w:rsidRPr="00214C9B" w14:paraId="4957B8C0" w14:textId="77777777">
            <w:pPr>
              <w:spacing w:line="256" w:lineRule="auto"/>
              <w:rPr>
                <w:rFonts w:ascii="Times New Roman" w:hAnsi="Times New Roman"/>
                <w:color w:val="000000"/>
                <w:sz w:val="18"/>
                <w:szCs w:val="18"/>
              </w:rPr>
            </w:pPr>
          </w:p>
        </w:tc>
        <w:tc>
          <w:tcPr>
            <w:tcW w:w="0" w:type="auto"/>
            <w:vAlign w:val="center"/>
            <w:hideMark/>
          </w:tcPr>
          <w:p w:rsidR="008B0C9A" w:rsidRPr="00214C9B" w14:paraId="45577BA3" w14:textId="77777777">
            <w:pPr>
              <w:rPr>
                <w:rFonts w:ascii="Times New Roman" w:hAnsi="Times New Roman"/>
                <w:color w:val="000000"/>
                <w:sz w:val="18"/>
                <w:szCs w:val="18"/>
              </w:rPr>
            </w:pPr>
          </w:p>
        </w:tc>
      </w:tr>
      <w:tr w14:paraId="3A281FE7" w14:textId="77777777">
        <w:tblPrEx>
          <w:tblW w:w="10202" w:type="dxa"/>
          <w:tblLook w:val="04A0"/>
        </w:tblPrEx>
        <w:trPr>
          <w:trHeight w:val="404"/>
        </w:trPr>
        <w:tc>
          <w:tcPr>
            <w:tcW w:w="0" w:type="auto"/>
            <w:gridSpan w:val="9"/>
            <w:vMerge/>
            <w:tcBorders>
              <w:top w:val="nil"/>
              <w:left w:val="single" w:sz="8" w:space="0" w:color="auto"/>
              <w:bottom w:val="single" w:sz="8" w:space="0" w:color="auto"/>
              <w:right w:val="single" w:sz="8" w:space="0" w:color="auto"/>
            </w:tcBorders>
            <w:vAlign w:val="center"/>
            <w:hideMark/>
          </w:tcPr>
          <w:p w:rsidR="008B0C9A" w:rsidRPr="00214C9B" w14:paraId="4A4F4387" w14:textId="77777777">
            <w:pPr>
              <w:spacing w:line="256" w:lineRule="auto"/>
              <w:rPr>
                <w:rFonts w:ascii="Times New Roman" w:hAnsi="Times New Roman"/>
                <w:color w:val="000000"/>
                <w:sz w:val="18"/>
                <w:szCs w:val="18"/>
              </w:rPr>
            </w:pPr>
          </w:p>
        </w:tc>
        <w:tc>
          <w:tcPr>
            <w:tcW w:w="0" w:type="auto"/>
            <w:vAlign w:val="center"/>
            <w:hideMark/>
          </w:tcPr>
          <w:p w:rsidR="008B0C9A" w:rsidRPr="00214C9B" w14:paraId="5DDE747F" w14:textId="77777777">
            <w:pPr>
              <w:spacing w:line="256" w:lineRule="auto"/>
              <w:rPr>
                <w:rFonts w:ascii="Times New Roman" w:hAnsi="Times New Roman"/>
                <w:sz w:val="20"/>
              </w:rPr>
            </w:pPr>
          </w:p>
        </w:tc>
      </w:tr>
      <w:tr w14:paraId="57D30FA4" w14:textId="77777777">
        <w:tblPrEx>
          <w:tblW w:w="10202" w:type="dxa"/>
          <w:tblLook w:val="04A0"/>
        </w:tblPrEx>
        <w:trPr>
          <w:trHeight w:val="404"/>
        </w:trPr>
        <w:tc>
          <w:tcPr>
            <w:tcW w:w="0" w:type="auto"/>
            <w:gridSpan w:val="9"/>
            <w:vMerge/>
            <w:tcBorders>
              <w:top w:val="nil"/>
              <w:left w:val="single" w:sz="8" w:space="0" w:color="auto"/>
              <w:bottom w:val="single" w:sz="8" w:space="0" w:color="auto"/>
              <w:right w:val="single" w:sz="8" w:space="0" w:color="auto"/>
            </w:tcBorders>
            <w:vAlign w:val="center"/>
            <w:hideMark/>
          </w:tcPr>
          <w:p w:rsidR="008B0C9A" w:rsidRPr="00214C9B" w14:paraId="305CACBF" w14:textId="77777777">
            <w:pPr>
              <w:spacing w:line="256" w:lineRule="auto"/>
              <w:rPr>
                <w:rFonts w:ascii="Times New Roman" w:hAnsi="Times New Roman"/>
                <w:color w:val="000000"/>
                <w:sz w:val="18"/>
                <w:szCs w:val="18"/>
              </w:rPr>
            </w:pPr>
          </w:p>
        </w:tc>
        <w:tc>
          <w:tcPr>
            <w:tcW w:w="0" w:type="auto"/>
            <w:vAlign w:val="center"/>
            <w:hideMark/>
          </w:tcPr>
          <w:p w:rsidR="008B0C9A" w:rsidRPr="00214C9B" w14:paraId="6E5BEE54" w14:textId="77777777">
            <w:pPr>
              <w:spacing w:line="256" w:lineRule="auto"/>
              <w:rPr>
                <w:rFonts w:ascii="Times New Roman" w:hAnsi="Times New Roman"/>
                <w:sz w:val="20"/>
              </w:rPr>
            </w:pPr>
          </w:p>
        </w:tc>
      </w:tr>
    </w:tbl>
    <w:p w:rsidR="00204653" w:rsidRPr="00214C9B" w:rsidP="00257644" w14:paraId="6503FDB0" w14:textId="77777777">
      <w:pPr>
        <w:spacing w:after="120"/>
        <w:rPr>
          <w:rFonts w:ascii="Times New Roman" w:hAnsi="Times New Roman"/>
          <w:color w:val="FF0000"/>
          <w:szCs w:val="24"/>
          <w:lang w:bidi="en-US"/>
        </w:rPr>
      </w:pPr>
    </w:p>
    <w:p w:rsidR="00214C9B" w:rsidRPr="00214C9B" w:rsidP="00214C9B" w14:paraId="58329185" w14:textId="77777777">
      <w:pPr>
        <w:keepNext/>
        <w:keepLines/>
        <w:widowControl/>
        <w:spacing w:before="240" w:line="360" w:lineRule="auto"/>
        <w:jc w:val="both"/>
        <w:outlineLvl w:val="0"/>
        <w:rPr>
          <w:rFonts w:ascii="Times New Roman" w:hAnsi="Times New Roman"/>
          <w:b/>
          <w:bCs/>
          <w:snapToGrid/>
          <w:szCs w:val="24"/>
        </w:rPr>
      </w:pPr>
      <w:r w:rsidRPr="00214C9B">
        <w:rPr>
          <w:rFonts w:ascii="Times New Roman" w:hAnsi="Times New Roman"/>
          <w:b/>
          <w:bCs/>
          <w:snapToGrid/>
          <w:szCs w:val="24"/>
        </w:rPr>
        <w:t>Total Estimated Annual Compliance Cost</w:t>
      </w:r>
    </w:p>
    <w:p w:rsidR="00214C9B" w:rsidRPr="00214C9B" w:rsidP="00214C9B" w14:paraId="27058139" w14:textId="77777777">
      <w:pPr>
        <w:widowControl/>
        <w:spacing w:after="160"/>
        <w:jc w:val="both"/>
        <w:rPr>
          <w:rFonts w:ascii="Times New Roman" w:eastAsia="Source Sans Pro" w:hAnsi="Times New Roman"/>
          <w:snapToGrid/>
          <w:szCs w:val="24"/>
          <w:lang w:bidi="en-US"/>
        </w:rPr>
      </w:pPr>
      <w:r w:rsidRPr="00214C9B">
        <w:rPr>
          <w:rFonts w:ascii="Times New Roman" w:eastAsia="Source Sans Pro" w:hAnsi="Times New Roman"/>
          <w:snapToGrid/>
          <w:szCs w:val="24"/>
          <w:lang w:bidi="en-US"/>
        </w:rPr>
        <w:t>The total annual cost burden for OMB No. 3064-0219 is calculated by multiplying the total annual estimated burden hours for this ICR, as reported in Table 1, by the weighted average hourly compensation estimate, as reported in Table 2. Results are summarized in Table 3 below. The total annual cost burden for this IC is estimated as: 355,389 hours/year × $122.62/hour = $43,577,799 per year. This final estimate represents an approximately 32 percent increase in the estimated annual cost burden from the $</w:t>
      </w:r>
      <w:r w:rsidRPr="00214C9B">
        <w:rPr>
          <w:rFonts w:ascii="Times New Roman" w:hAnsi="Times New Roman"/>
          <w:snapToGrid/>
          <w:szCs w:val="24"/>
        </w:rPr>
        <w:t>33,128,137</w:t>
      </w:r>
      <w:r w:rsidRPr="00214C9B">
        <w:rPr>
          <w:rFonts w:ascii="Times New Roman" w:eastAsia="Source Sans Pro" w:hAnsi="Times New Roman"/>
          <w:snapToGrid/>
          <w:szCs w:val="24"/>
          <w:lang w:bidi="en-US"/>
        </w:rPr>
        <w:t xml:space="preserve"> estimated in the 2024 ICR. As previously discussed in this memo, this increase is generally driven by the reduced burden hours being more than offset by the increase in wages, due to inflation adjustments. </w:t>
      </w:r>
    </w:p>
    <w:tbl>
      <w:tblPr>
        <w:tblW w:w="9350" w:type="dxa"/>
        <w:tblLook w:val="04A0"/>
      </w:tblPr>
      <w:tblGrid>
        <w:gridCol w:w="3770"/>
        <w:gridCol w:w="1530"/>
        <w:gridCol w:w="2340"/>
        <w:gridCol w:w="1710"/>
      </w:tblGrid>
      <w:tr w14:paraId="0BBCA9AE" w14:textId="77777777" w:rsidTr="002A1639">
        <w:tblPrEx>
          <w:tblW w:w="9350" w:type="dxa"/>
          <w:tblLook w:val="04A0"/>
        </w:tblPrEx>
        <w:trPr>
          <w:trHeight w:val="360"/>
        </w:trPr>
        <w:tc>
          <w:tcPr>
            <w:tcW w:w="9350" w:type="dxa"/>
            <w:gridSpan w:val="4"/>
            <w:tcBorders>
              <w:top w:val="single" w:sz="8" w:space="0" w:color="auto"/>
              <w:left w:val="single" w:sz="8" w:space="0" w:color="auto"/>
              <w:bottom w:val="single" w:sz="8" w:space="0" w:color="auto"/>
              <w:right w:val="single" w:sz="8" w:space="0" w:color="000000"/>
            </w:tcBorders>
            <w:noWrap/>
            <w:vAlign w:val="center"/>
            <w:hideMark/>
          </w:tcPr>
          <w:p w:rsidR="00214C9B" w:rsidRPr="00214C9B" w:rsidP="00214C9B" w14:paraId="193B1C62" w14:textId="77777777">
            <w:pPr>
              <w:widowControl/>
              <w:jc w:val="center"/>
              <w:rPr>
                <w:rFonts w:ascii="Times New Roman" w:hAnsi="Times New Roman"/>
                <w:snapToGrid/>
                <w:color w:val="000000"/>
                <w:szCs w:val="24"/>
              </w:rPr>
            </w:pPr>
            <w:r w:rsidRPr="00214C9B">
              <w:rPr>
                <w:rFonts w:ascii="Times New Roman" w:hAnsi="Times New Roman"/>
                <w:snapToGrid/>
                <w:color w:val="000000"/>
                <w:szCs w:val="24"/>
              </w:rPr>
              <w:t>Table 3. Total Estimated Cost Burden (OMB No. 3064-0219)</w:t>
            </w:r>
          </w:p>
        </w:tc>
      </w:tr>
      <w:tr w14:paraId="6D65E24E" w14:textId="77777777" w:rsidTr="002A1639">
        <w:tblPrEx>
          <w:tblW w:w="9350" w:type="dxa"/>
          <w:tblLook w:val="04A0"/>
        </w:tblPrEx>
        <w:trPr>
          <w:trHeight w:val="600"/>
        </w:trPr>
        <w:tc>
          <w:tcPr>
            <w:tcW w:w="3770" w:type="dxa"/>
            <w:tcBorders>
              <w:top w:val="nil"/>
              <w:left w:val="single" w:sz="8" w:space="0" w:color="auto"/>
              <w:bottom w:val="single" w:sz="8" w:space="0" w:color="auto"/>
              <w:right w:val="single" w:sz="8" w:space="0" w:color="auto"/>
            </w:tcBorders>
            <w:vAlign w:val="center"/>
            <w:hideMark/>
          </w:tcPr>
          <w:p w:rsidR="00214C9B" w:rsidRPr="00214C9B" w:rsidP="00214C9B" w14:paraId="5FC63606" w14:textId="77777777">
            <w:pPr>
              <w:widowControl/>
              <w:rPr>
                <w:rFonts w:ascii="Times New Roman" w:hAnsi="Times New Roman"/>
                <w:snapToGrid/>
                <w:color w:val="000000"/>
                <w:sz w:val="20"/>
              </w:rPr>
            </w:pPr>
            <w:r w:rsidRPr="00214C9B">
              <w:rPr>
                <w:rFonts w:ascii="Times New Roman" w:hAnsi="Times New Roman"/>
                <w:snapToGrid/>
                <w:color w:val="000000"/>
                <w:sz w:val="20"/>
              </w:rPr>
              <w:t>Information Collection Request</w:t>
            </w:r>
          </w:p>
        </w:tc>
        <w:tc>
          <w:tcPr>
            <w:tcW w:w="1530" w:type="dxa"/>
            <w:tcBorders>
              <w:top w:val="nil"/>
              <w:left w:val="nil"/>
              <w:bottom w:val="single" w:sz="8" w:space="0" w:color="auto"/>
              <w:right w:val="single" w:sz="8" w:space="0" w:color="auto"/>
            </w:tcBorders>
            <w:vAlign w:val="center"/>
            <w:hideMark/>
          </w:tcPr>
          <w:p w:rsidR="00214C9B" w:rsidRPr="00214C9B" w:rsidP="00214C9B" w14:paraId="52137EC3" w14:textId="77777777">
            <w:pPr>
              <w:widowControl/>
              <w:jc w:val="center"/>
              <w:rPr>
                <w:rFonts w:ascii="Times New Roman" w:hAnsi="Times New Roman"/>
                <w:snapToGrid/>
                <w:color w:val="000000"/>
                <w:sz w:val="20"/>
              </w:rPr>
            </w:pPr>
            <w:r w:rsidRPr="00214C9B">
              <w:rPr>
                <w:rFonts w:ascii="Times New Roman" w:hAnsi="Times New Roman"/>
                <w:snapToGrid/>
                <w:color w:val="000000"/>
                <w:sz w:val="20"/>
              </w:rPr>
              <w:t>Annual Burden (Hours)</w:t>
            </w:r>
          </w:p>
        </w:tc>
        <w:tc>
          <w:tcPr>
            <w:tcW w:w="2340" w:type="dxa"/>
            <w:tcBorders>
              <w:top w:val="nil"/>
              <w:left w:val="nil"/>
              <w:bottom w:val="single" w:sz="8" w:space="0" w:color="auto"/>
              <w:right w:val="single" w:sz="8" w:space="0" w:color="auto"/>
            </w:tcBorders>
            <w:vAlign w:val="center"/>
            <w:hideMark/>
          </w:tcPr>
          <w:p w:rsidR="00214C9B" w:rsidRPr="00214C9B" w:rsidP="00214C9B" w14:paraId="50F2DEF9" w14:textId="77777777">
            <w:pPr>
              <w:widowControl/>
              <w:jc w:val="center"/>
              <w:rPr>
                <w:rFonts w:ascii="Times New Roman" w:hAnsi="Times New Roman"/>
                <w:snapToGrid/>
                <w:color w:val="000000"/>
                <w:sz w:val="20"/>
              </w:rPr>
            </w:pPr>
            <w:r w:rsidRPr="00214C9B">
              <w:rPr>
                <w:rFonts w:ascii="Times New Roman" w:hAnsi="Times New Roman"/>
                <w:snapToGrid/>
                <w:color w:val="000000"/>
                <w:sz w:val="20"/>
              </w:rPr>
              <w:t>Weighted Average Hourly Compensation Rate</w:t>
            </w:r>
          </w:p>
        </w:tc>
        <w:tc>
          <w:tcPr>
            <w:tcW w:w="1710" w:type="dxa"/>
            <w:tcBorders>
              <w:top w:val="nil"/>
              <w:left w:val="nil"/>
              <w:bottom w:val="single" w:sz="8" w:space="0" w:color="auto"/>
              <w:right w:val="single" w:sz="8" w:space="0" w:color="auto"/>
            </w:tcBorders>
            <w:vAlign w:val="center"/>
            <w:hideMark/>
          </w:tcPr>
          <w:p w:rsidR="00214C9B" w:rsidRPr="00214C9B" w:rsidP="00214C9B" w14:paraId="1060D206" w14:textId="77777777">
            <w:pPr>
              <w:widowControl/>
              <w:jc w:val="center"/>
              <w:rPr>
                <w:rFonts w:ascii="Times New Roman" w:hAnsi="Times New Roman"/>
                <w:snapToGrid/>
                <w:color w:val="000000"/>
                <w:sz w:val="20"/>
              </w:rPr>
            </w:pPr>
            <w:r w:rsidRPr="00214C9B">
              <w:rPr>
                <w:rFonts w:ascii="Times New Roman" w:hAnsi="Times New Roman"/>
                <w:snapToGrid/>
                <w:color w:val="000000"/>
                <w:sz w:val="20"/>
              </w:rPr>
              <w:t>Annual Respondent Cost</w:t>
            </w:r>
          </w:p>
        </w:tc>
      </w:tr>
      <w:tr w14:paraId="3324CD1D" w14:textId="77777777" w:rsidTr="002A1639">
        <w:tblPrEx>
          <w:tblW w:w="9350" w:type="dxa"/>
          <w:tblLook w:val="04A0"/>
        </w:tblPrEx>
        <w:trPr>
          <w:trHeight w:val="863"/>
        </w:trPr>
        <w:tc>
          <w:tcPr>
            <w:tcW w:w="3770" w:type="dxa"/>
            <w:tcBorders>
              <w:top w:val="nil"/>
              <w:left w:val="single" w:sz="8" w:space="0" w:color="auto"/>
              <w:bottom w:val="single" w:sz="8" w:space="0" w:color="auto"/>
              <w:right w:val="single" w:sz="8" w:space="0" w:color="auto"/>
            </w:tcBorders>
            <w:vAlign w:val="center"/>
            <w:hideMark/>
          </w:tcPr>
          <w:p w:rsidR="00214C9B" w:rsidRPr="00214C9B" w:rsidP="00214C9B" w14:paraId="78A7B807" w14:textId="77777777">
            <w:pPr>
              <w:widowControl/>
              <w:rPr>
                <w:rFonts w:ascii="Times New Roman" w:hAnsi="Times New Roman"/>
                <w:snapToGrid/>
                <w:color w:val="000000"/>
                <w:sz w:val="20"/>
              </w:rPr>
            </w:pPr>
            <w:r w:rsidRPr="00214C9B">
              <w:rPr>
                <w:rFonts w:ascii="Times New Roman" w:hAnsi="Times New Roman"/>
                <w:snapToGrid/>
                <w:color w:val="000000"/>
                <w:sz w:val="20"/>
              </w:rPr>
              <w:t>FDIC Official Sign and Advertising Requirements, False Advertising, Misrepresentation of Insured Status, and Misuse of the FDIC’s Name or Logo</w:t>
            </w:r>
          </w:p>
        </w:tc>
        <w:tc>
          <w:tcPr>
            <w:tcW w:w="1530" w:type="dxa"/>
            <w:tcBorders>
              <w:top w:val="nil"/>
              <w:left w:val="nil"/>
              <w:bottom w:val="single" w:sz="8" w:space="0" w:color="auto"/>
              <w:right w:val="single" w:sz="8" w:space="0" w:color="auto"/>
            </w:tcBorders>
            <w:noWrap/>
            <w:vAlign w:val="center"/>
            <w:hideMark/>
          </w:tcPr>
          <w:p w:rsidR="00214C9B" w:rsidRPr="00214C9B" w:rsidP="00214C9B" w14:paraId="554BE1BF" w14:textId="77777777">
            <w:pPr>
              <w:widowControl/>
              <w:ind w:firstLine="200" w:firstLineChars="100"/>
              <w:jc w:val="right"/>
              <w:rPr>
                <w:rFonts w:ascii="Times New Roman" w:hAnsi="Times New Roman"/>
                <w:snapToGrid/>
                <w:color w:val="000000"/>
                <w:sz w:val="20"/>
              </w:rPr>
            </w:pPr>
            <w:r w:rsidRPr="00214C9B">
              <w:rPr>
                <w:rFonts w:ascii="Times New Roman" w:hAnsi="Times New Roman"/>
                <w:snapToGrid/>
                <w:color w:val="000000"/>
                <w:sz w:val="20"/>
              </w:rPr>
              <w:t xml:space="preserve">355,389 </w:t>
            </w:r>
          </w:p>
        </w:tc>
        <w:tc>
          <w:tcPr>
            <w:tcW w:w="2340" w:type="dxa"/>
            <w:tcBorders>
              <w:top w:val="nil"/>
              <w:left w:val="nil"/>
              <w:bottom w:val="single" w:sz="8" w:space="0" w:color="auto"/>
              <w:right w:val="single" w:sz="8" w:space="0" w:color="auto"/>
            </w:tcBorders>
            <w:noWrap/>
            <w:vAlign w:val="center"/>
            <w:hideMark/>
          </w:tcPr>
          <w:p w:rsidR="00214C9B" w:rsidRPr="00214C9B" w:rsidP="00214C9B" w14:paraId="5B204A4E" w14:textId="77777777">
            <w:pPr>
              <w:widowControl/>
              <w:ind w:firstLine="200" w:firstLineChars="100"/>
              <w:jc w:val="right"/>
              <w:rPr>
                <w:rFonts w:ascii="Times New Roman" w:hAnsi="Times New Roman"/>
                <w:snapToGrid/>
                <w:color w:val="000000"/>
                <w:sz w:val="20"/>
              </w:rPr>
            </w:pPr>
            <w:r w:rsidRPr="00214C9B">
              <w:rPr>
                <w:rFonts w:ascii="Times New Roman" w:hAnsi="Times New Roman"/>
                <w:snapToGrid/>
                <w:color w:val="000000"/>
                <w:sz w:val="20"/>
              </w:rPr>
              <w:t>$122.62</w:t>
            </w:r>
          </w:p>
        </w:tc>
        <w:tc>
          <w:tcPr>
            <w:tcW w:w="1710" w:type="dxa"/>
            <w:tcBorders>
              <w:top w:val="nil"/>
              <w:left w:val="nil"/>
              <w:bottom w:val="single" w:sz="8" w:space="0" w:color="auto"/>
              <w:right w:val="single" w:sz="8" w:space="0" w:color="auto"/>
            </w:tcBorders>
            <w:noWrap/>
            <w:vAlign w:val="center"/>
            <w:hideMark/>
          </w:tcPr>
          <w:p w:rsidR="00214C9B" w:rsidRPr="00214C9B" w:rsidP="00214C9B" w14:paraId="00CF7E16" w14:textId="77777777">
            <w:pPr>
              <w:widowControl/>
              <w:ind w:firstLine="200" w:firstLineChars="100"/>
              <w:jc w:val="right"/>
              <w:rPr>
                <w:rFonts w:ascii="Times New Roman" w:hAnsi="Times New Roman"/>
                <w:snapToGrid/>
                <w:color w:val="000000"/>
                <w:sz w:val="20"/>
              </w:rPr>
            </w:pPr>
            <w:r w:rsidRPr="00214C9B">
              <w:rPr>
                <w:rFonts w:ascii="Times New Roman" w:hAnsi="Times New Roman"/>
                <w:snapToGrid/>
                <w:color w:val="000000"/>
                <w:sz w:val="20"/>
              </w:rPr>
              <w:t>$43,577,799</w:t>
            </w:r>
          </w:p>
        </w:tc>
      </w:tr>
      <w:tr w14:paraId="443407C6" w14:textId="77777777" w:rsidTr="002A1639">
        <w:tblPrEx>
          <w:tblW w:w="9350" w:type="dxa"/>
          <w:tblLook w:val="04A0"/>
        </w:tblPrEx>
        <w:trPr>
          <w:trHeight w:val="360"/>
        </w:trPr>
        <w:tc>
          <w:tcPr>
            <w:tcW w:w="7640"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214C9B" w:rsidRPr="00214C9B" w:rsidP="00214C9B" w14:paraId="25DD9114" w14:textId="77777777">
            <w:pPr>
              <w:widowControl/>
              <w:jc w:val="right"/>
              <w:rPr>
                <w:rFonts w:ascii="Times New Roman" w:hAnsi="Times New Roman"/>
                <w:b/>
                <w:bCs/>
                <w:i/>
                <w:iCs/>
                <w:snapToGrid/>
                <w:color w:val="000000"/>
                <w:sz w:val="22"/>
                <w:szCs w:val="22"/>
              </w:rPr>
            </w:pPr>
            <w:r w:rsidRPr="00214C9B">
              <w:rPr>
                <w:rFonts w:ascii="Times New Roman" w:hAnsi="Times New Roman"/>
                <w:b/>
                <w:bCs/>
                <w:i/>
                <w:iCs/>
                <w:snapToGrid/>
                <w:color w:val="000000"/>
                <w:sz w:val="22"/>
                <w:szCs w:val="22"/>
              </w:rPr>
              <w:t>Total Annual Respondent Cost:</w:t>
            </w:r>
          </w:p>
        </w:tc>
        <w:tc>
          <w:tcPr>
            <w:tcW w:w="1710" w:type="dxa"/>
            <w:tcBorders>
              <w:top w:val="nil"/>
              <w:left w:val="nil"/>
              <w:bottom w:val="single" w:sz="8" w:space="0" w:color="auto"/>
              <w:right w:val="single" w:sz="8" w:space="0" w:color="auto"/>
            </w:tcBorders>
            <w:vAlign w:val="center"/>
            <w:hideMark/>
          </w:tcPr>
          <w:p w:rsidR="00214C9B" w:rsidRPr="00214C9B" w:rsidP="00214C9B" w14:paraId="40136C71" w14:textId="77777777">
            <w:pPr>
              <w:widowControl/>
              <w:ind w:firstLine="220" w:firstLineChars="100"/>
              <w:jc w:val="right"/>
              <w:rPr>
                <w:rFonts w:ascii="Times New Roman" w:hAnsi="Times New Roman"/>
                <w:b/>
                <w:bCs/>
                <w:i/>
                <w:iCs/>
                <w:snapToGrid/>
                <w:color w:val="000000"/>
                <w:sz w:val="22"/>
                <w:szCs w:val="22"/>
              </w:rPr>
            </w:pPr>
            <w:r w:rsidRPr="00214C9B">
              <w:rPr>
                <w:rFonts w:ascii="Times New Roman" w:hAnsi="Times New Roman"/>
                <w:b/>
                <w:bCs/>
                <w:i/>
                <w:iCs/>
                <w:snapToGrid/>
                <w:color w:val="000000"/>
                <w:sz w:val="22"/>
                <w:szCs w:val="22"/>
              </w:rPr>
              <w:t xml:space="preserve">$43,577,799 </w:t>
            </w:r>
          </w:p>
        </w:tc>
      </w:tr>
      <w:tr w14:paraId="79FA34BE" w14:textId="77777777" w:rsidTr="002A1639">
        <w:tblPrEx>
          <w:tblW w:w="9350" w:type="dxa"/>
          <w:tblLook w:val="04A0"/>
        </w:tblPrEx>
        <w:trPr>
          <w:trHeight w:val="295"/>
        </w:trPr>
        <w:tc>
          <w:tcPr>
            <w:tcW w:w="9350" w:type="dxa"/>
            <w:gridSpan w:val="4"/>
            <w:tcBorders>
              <w:top w:val="single" w:sz="8" w:space="0" w:color="auto"/>
              <w:left w:val="single" w:sz="8" w:space="0" w:color="auto"/>
              <w:bottom w:val="single" w:sz="8" w:space="0" w:color="auto"/>
              <w:right w:val="single" w:sz="8" w:space="0" w:color="000000"/>
            </w:tcBorders>
            <w:noWrap/>
            <w:hideMark/>
          </w:tcPr>
          <w:p w:rsidR="00214C9B" w:rsidRPr="00214C9B" w:rsidP="00214C9B" w14:paraId="1B1B1B7C" w14:textId="77777777">
            <w:pPr>
              <w:widowControl/>
              <w:rPr>
                <w:rFonts w:ascii="Times New Roman" w:hAnsi="Times New Roman"/>
                <w:snapToGrid/>
                <w:color w:val="000000"/>
                <w:sz w:val="18"/>
                <w:szCs w:val="18"/>
              </w:rPr>
            </w:pPr>
            <w:r w:rsidRPr="00214C9B">
              <w:rPr>
                <w:rFonts w:ascii="Times New Roman" w:hAnsi="Times New Roman"/>
                <w:snapToGrid/>
                <w:color w:val="000000"/>
                <w:sz w:val="18"/>
                <w:szCs w:val="18"/>
              </w:rPr>
              <w:t>Source: FDIC.</w:t>
            </w:r>
          </w:p>
        </w:tc>
      </w:tr>
    </w:tbl>
    <w:p w:rsidR="00351FB2" w:rsidRPr="008953D7" w:rsidP="00DB4225" w14:paraId="17DD5FE8" w14:textId="77777777">
      <w:pPr>
        <w:contextualSpacing/>
        <w:rPr>
          <w:rFonts w:ascii="Times New Roman" w:hAnsi="Times New Roman"/>
          <w:color w:val="FF0000"/>
          <w:szCs w:val="24"/>
        </w:rPr>
      </w:pPr>
    </w:p>
    <w:p w:rsidR="00541136" w:rsidRPr="00E76116" w:rsidP="00DB4225" w14:paraId="22B4F584" w14:textId="77777777">
      <w:pPr>
        <w:tabs>
          <w:tab w:val="left" w:pos="-1440"/>
        </w:tabs>
        <w:ind w:left="720" w:hanging="720"/>
        <w:contextualSpacing/>
        <w:outlineLvl w:val="0"/>
        <w:rPr>
          <w:rFonts w:ascii="Times New Roman" w:hAnsi="Times New Roman"/>
          <w:szCs w:val="24"/>
        </w:rPr>
      </w:pPr>
      <w:r w:rsidRPr="00E76116">
        <w:rPr>
          <w:rFonts w:ascii="Times New Roman" w:hAnsi="Times New Roman"/>
          <w:szCs w:val="24"/>
        </w:rPr>
        <w:t xml:space="preserve">13. </w:t>
      </w:r>
      <w:r w:rsidRPr="00E76116">
        <w:rPr>
          <w:rFonts w:ascii="Times New Roman" w:hAnsi="Times New Roman"/>
          <w:szCs w:val="24"/>
          <w:u w:val="single"/>
        </w:rPr>
        <w:t>Estimate of annualized costs to respondents</w:t>
      </w:r>
      <w:r w:rsidRPr="00E76116" w:rsidR="007C0BCC">
        <w:rPr>
          <w:rFonts w:ascii="Times New Roman" w:hAnsi="Times New Roman"/>
          <w:szCs w:val="24"/>
          <w:u w:val="single"/>
        </w:rPr>
        <w:t xml:space="preserve"> </w:t>
      </w:r>
      <w:r w:rsidRPr="00E76116" w:rsidR="007C0BCC">
        <w:rPr>
          <w:rFonts w:ascii="Times New Roman" w:hAnsi="Times New Roman"/>
          <w:bCs/>
          <w:szCs w:val="24"/>
          <w:u w:val="single"/>
        </w:rPr>
        <w:t>(excluding cost of hour burden in Item #12)</w:t>
      </w:r>
      <w:r w:rsidRPr="00E76116">
        <w:rPr>
          <w:rFonts w:ascii="Times New Roman" w:hAnsi="Times New Roman"/>
          <w:szCs w:val="24"/>
        </w:rPr>
        <w:t>:</w:t>
      </w:r>
    </w:p>
    <w:p w:rsidR="00541136" w:rsidRPr="00E76116" w:rsidP="00DB4225" w14:paraId="133B7F34" w14:textId="77777777">
      <w:pPr>
        <w:contextualSpacing/>
        <w:rPr>
          <w:rFonts w:ascii="Times New Roman" w:hAnsi="Times New Roman"/>
          <w:szCs w:val="24"/>
        </w:rPr>
      </w:pPr>
    </w:p>
    <w:p w:rsidR="00541136" w:rsidRPr="00E76116" w:rsidP="00333F97" w14:paraId="6C8BB4D8" w14:textId="77777777">
      <w:pPr>
        <w:contextualSpacing/>
        <w:rPr>
          <w:rFonts w:ascii="Times New Roman" w:hAnsi="Times New Roman"/>
          <w:szCs w:val="24"/>
        </w:rPr>
      </w:pPr>
      <w:r w:rsidRPr="00E76116">
        <w:rPr>
          <w:rFonts w:ascii="Times New Roman" w:hAnsi="Times New Roman"/>
          <w:szCs w:val="24"/>
        </w:rPr>
        <w:t>None.</w:t>
      </w:r>
    </w:p>
    <w:p w:rsidR="00541136" w:rsidRPr="00E76116" w:rsidP="00DB4225" w14:paraId="46A5C332" w14:textId="77777777">
      <w:pPr>
        <w:contextualSpacing/>
        <w:rPr>
          <w:rFonts w:ascii="Times New Roman" w:hAnsi="Times New Roman"/>
          <w:szCs w:val="24"/>
        </w:rPr>
      </w:pPr>
    </w:p>
    <w:p w:rsidR="00541136" w:rsidRPr="00E76116" w:rsidP="00DB4225" w14:paraId="603E3166" w14:textId="77777777">
      <w:pPr>
        <w:contextualSpacing/>
        <w:outlineLvl w:val="0"/>
        <w:rPr>
          <w:rFonts w:ascii="Times New Roman" w:hAnsi="Times New Roman"/>
          <w:szCs w:val="24"/>
        </w:rPr>
      </w:pPr>
      <w:r w:rsidRPr="00E76116">
        <w:rPr>
          <w:rFonts w:ascii="Times New Roman" w:hAnsi="Times New Roman"/>
          <w:szCs w:val="24"/>
        </w:rPr>
        <w:t xml:space="preserve">14. </w:t>
      </w:r>
      <w:r w:rsidRPr="00E76116">
        <w:rPr>
          <w:rFonts w:ascii="Times New Roman" w:hAnsi="Times New Roman"/>
          <w:szCs w:val="24"/>
          <w:u w:val="single"/>
        </w:rPr>
        <w:t>Estimate of annualized costs to the government</w:t>
      </w:r>
      <w:r w:rsidRPr="00E76116">
        <w:rPr>
          <w:rFonts w:ascii="Times New Roman" w:hAnsi="Times New Roman"/>
          <w:szCs w:val="24"/>
        </w:rPr>
        <w:t>:</w:t>
      </w:r>
    </w:p>
    <w:p w:rsidR="00541136" w:rsidRPr="00E76116" w:rsidP="00DB4225" w14:paraId="4CFA06E5" w14:textId="77777777">
      <w:pPr>
        <w:contextualSpacing/>
        <w:rPr>
          <w:rFonts w:ascii="Times New Roman" w:hAnsi="Times New Roman"/>
          <w:szCs w:val="24"/>
        </w:rPr>
      </w:pPr>
    </w:p>
    <w:p w:rsidR="00FF145C" w:rsidRPr="00E76116" w:rsidP="00E76116" w14:paraId="7F79F51B" w14:textId="481A5EFD">
      <w:pPr>
        <w:contextualSpacing/>
        <w:outlineLvl w:val="0"/>
        <w:rPr>
          <w:rFonts w:ascii="Times New Roman" w:hAnsi="Times New Roman"/>
          <w:szCs w:val="24"/>
        </w:rPr>
      </w:pPr>
      <w:r w:rsidRPr="00E76116">
        <w:rPr>
          <w:rFonts w:ascii="Times New Roman" w:hAnsi="Times New Roman"/>
          <w:szCs w:val="24"/>
        </w:rPr>
        <w:t>None.</w:t>
      </w:r>
    </w:p>
    <w:p w:rsidR="00204653" w:rsidRPr="008953D7" w:rsidP="00DB4225" w14:paraId="04BD0153" w14:textId="77777777">
      <w:pPr>
        <w:tabs>
          <w:tab w:val="left" w:pos="-1440"/>
        </w:tabs>
        <w:ind w:left="720" w:hanging="720"/>
        <w:contextualSpacing/>
        <w:outlineLvl w:val="0"/>
        <w:rPr>
          <w:rFonts w:ascii="Times New Roman" w:hAnsi="Times New Roman"/>
          <w:color w:val="FF0000"/>
          <w:szCs w:val="24"/>
        </w:rPr>
      </w:pPr>
    </w:p>
    <w:p w:rsidR="00541136" w:rsidRPr="00E92549" w:rsidP="00DB4225" w14:paraId="61E89202" w14:textId="77777777">
      <w:pPr>
        <w:tabs>
          <w:tab w:val="left" w:pos="-1440"/>
        </w:tabs>
        <w:ind w:left="720" w:hanging="720"/>
        <w:contextualSpacing/>
        <w:outlineLvl w:val="0"/>
        <w:rPr>
          <w:rFonts w:ascii="Times New Roman" w:hAnsi="Times New Roman"/>
          <w:szCs w:val="24"/>
        </w:rPr>
      </w:pPr>
      <w:r w:rsidRPr="00E92549">
        <w:rPr>
          <w:rFonts w:ascii="Times New Roman" w:hAnsi="Times New Roman"/>
          <w:szCs w:val="24"/>
        </w:rPr>
        <w:t xml:space="preserve">15. </w:t>
      </w:r>
      <w:r w:rsidRPr="00E92549">
        <w:rPr>
          <w:rFonts w:ascii="Times New Roman" w:hAnsi="Times New Roman"/>
          <w:szCs w:val="24"/>
          <w:u w:val="single"/>
        </w:rPr>
        <w:t>Changes in burden:</w:t>
      </w:r>
    </w:p>
    <w:p w:rsidR="00541136" w:rsidRPr="00E92549" w:rsidP="00DB4225" w14:paraId="32365428" w14:textId="77777777">
      <w:pPr>
        <w:contextualSpacing/>
        <w:rPr>
          <w:rFonts w:ascii="Times New Roman" w:hAnsi="Times New Roman"/>
          <w:szCs w:val="24"/>
        </w:rPr>
      </w:pPr>
    </w:p>
    <w:p w:rsidR="00ED4A76" w:rsidP="00ED4A76" w14:paraId="4FC45682" w14:textId="6FD4465D">
      <w:pPr>
        <w:tabs>
          <w:tab w:val="left" w:pos="-1440"/>
        </w:tabs>
        <w:contextualSpacing/>
        <w:outlineLvl w:val="0"/>
        <w:rPr>
          <w:rFonts w:ascii="Times New Roman" w:eastAsia="Source Sans Pro" w:hAnsi="Times New Roman"/>
          <w:snapToGrid/>
          <w:szCs w:val="24"/>
          <w:lang w:bidi="en-US"/>
        </w:rPr>
      </w:pPr>
      <w:r w:rsidRPr="003400DF">
        <w:rPr>
          <w:rFonts w:ascii="Times New Roman" w:eastAsia="Source Sans Pro" w:hAnsi="Times New Roman"/>
          <w:snapToGrid/>
          <w:szCs w:val="24"/>
          <w:lang w:bidi="en-US"/>
        </w:rPr>
        <w:t>The estimates discussed above result in a total estimated annual burden for OMB No. 3064-0219 of 355,389 hours as shown in Table 1, a decrease of 52,945 hours from the 2024 ICR estimate (408,334 hours).</w:t>
      </w:r>
      <w:r w:rsidR="008250CA">
        <w:rPr>
          <w:rFonts w:ascii="Times New Roman" w:eastAsia="Source Sans Pro" w:hAnsi="Times New Roman"/>
          <w:snapToGrid/>
          <w:szCs w:val="24"/>
          <w:lang w:bidi="en-US"/>
        </w:rPr>
        <w:t xml:space="preserve"> T</w:t>
      </w:r>
      <w:r w:rsidRPr="003400DF">
        <w:rPr>
          <w:rFonts w:ascii="Times New Roman" w:eastAsia="Source Sans Pro" w:hAnsi="Times New Roman"/>
          <w:snapToGrid/>
          <w:szCs w:val="24"/>
          <w:lang w:bidi="en-US"/>
        </w:rPr>
        <w:t>he reduction in estimated annual burden comes from (i) a decrease in the number of respondents due to fewer IDIs over time, (ii) a decrease in the average number of branches over time, and (iii) lower average time per response expected for ICs 3-5, associated with the 2026 FR amendments to 12 CFR sections 328.4 and 328.5.</w:t>
      </w:r>
    </w:p>
    <w:p w:rsidR="007C3CD1" w:rsidRPr="008953D7" w:rsidP="00ED4A76" w14:paraId="721135C9" w14:textId="61C4A394">
      <w:pPr>
        <w:tabs>
          <w:tab w:val="left" w:pos="-1440"/>
        </w:tabs>
        <w:contextualSpacing/>
        <w:outlineLvl w:val="0"/>
        <w:rPr>
          <w:rFonts w:ascii="Times New Roman" w:hAnsi="Times New Roman"/>
          <w:color w:val="FF0000"/>
          <w:szCs w:val="24"/>
        </w:rPr>
      </w:pPr>
      <w:r w:rsidRPr="008953D7">
        <w:rPr>
          <w:rFonts w:ascii="Times New Roman" w:hAnsi="Times New Roman"/>
          <w:color w:val="FF0000"/>
          <w:szCs w:val="24"/>
        </w:rPr>
        <w:tab/>
      </w:r>
    </w:p>
    <w:p w:rsidR="00541136" w:rsidRPr="00E474B6" w:rsidP="0064308E" w14:paraId="194946C0" w14:textId="77777777">
      <w:pPr>
        <w:tabs>
          <w:tab w:val="left" w:pos="-1440"/>
        </w:tabs>
        <w:contextualSpacing/>
        <w:outlineLvl w:val="0"/>
        <w:rPr>
          <w:rFonts w:ascii="Times New Roman" w:hAnsi="Times New Roman"/>
          <w:szCs w:val="24"/>
          <w:u w:val="single"/>
        </w:rPr>
      </w:pPr>
      <w:r w:rsidRPr="00E474B6">
        <w:rPr>
          <w:rFonts w:ascii="Times New Roman" w:hAnsi="Times New Roman"/>
          <w:szCs w:val="24"/>
        </w:rPr>
        <w:t xml:space="preserve">16. </w:t>
      </w:r>
      <w:r w:rsidRPr="00E474B6" w:rsidR="0064308E">
        <w:rPr>
          <w:rFonts w:ascii="Times New Roman" w:hAnsi="Times New Roman"/>
          <w:szCs w:val="24"/>
          <w:u w:val="single"/>
        </w:rPr>
        <w:t xml:space="preserve">Information </w:t>
      </w:r>
      <w:r w:rsidRPr="00E474B6">
        <w:rPr>
          <w:rFonts w:ascii="Times New Roman" w:hAnsi="Times New Roman"/>
          <w:szCs w:val="24"/>
          <w:u w:val="single"/>
        </w:rPr>
        <w:t>colle</w:t>
      </w:r>
      <w:r w:rsidRPr="00E474B6" w:rsidR="0064308E">
        <w:rPr>
          <w:rFonts w:ascii="Times New Roman" w:hAnsi="Times New Roman"/>
          <w:szCs w:val="24"/>
          <w:u w:val="single"/>
        </w:rPr>
        <w:t>ction</w:t>
      </w:r>
      <w:r w:rsidRPr="00E474B6" w:rsidR="008E7924">
        <w:rPr>
          <w:rFonts w:ascii="Times New Roman" w:hAnsi="Times New Roman"/>
          <w:szCs w:val="24"/>
          <w:u w:val="single"/>
        </w:rPr>
        <w:t xml:space="preserve"> where</w:t>
      </w:r>
      <w:r w:rsidRPr="00E474B6">
        <w:rPr>
          <w:rFonts w:ascii="Times New Roman" w:hAnsi="Times New Roman"/>
          <w:szCs w:val="24"/>
          <w:u w:val="single"/>
        </w:rPr>
        <w:t xml:space="preserve"> results are planned to be published for </w:t>
      </w:r>
      <w:r w:rsidRPr="00E474B6" w:rsidR="0064308E">
        <w:rPr>
          <w:rFonts w:ascii="Times New Roman" w:hAnsi="Times New Roman"/>
          <w:szCs w:val="24"/>
          <w:u w:val="single"/>
        </w:rPr>
        <w:t>statistical use</w:t>
      </w:r>
      <w:r w:rsidRPr="00E474B6">
        <w:rPr>
          <w:rFonts w:ascii="Times New Roman" w:hAnsi="Times New Roman"/>
          <w:szCs w:val="24"/>
        </w:rPr>
        <w:t>:</w:t>
      </w:r>
    </w:p>
    <w:p w:rsidR="00541136" w:rsidRPr="00E474B6" w:rsidP="00DB4225" w14:paraId="2B2BE86D" w14:textId="77777777">
      <w:pPr>
        <w:ind w:left="720"/>
        <w:contextualSpacing/>
        <w:rPr>
          <w:rFonts w:ascii="Times New Roman" w:hAnsi="Times New Roman"/>
          <w:szCs w:val="24"/>
        </w:rPr>
      </w:pPr>
    </w:p>
    <w:p w:rsidR="00541136" w:rsidRPr="00E474B6" w:rsidP="00333F97" w14:paraId="4E806BAC" w14:textId="77777777">
      <w:pPr>
        <w:contextualSpacing/>
        <w:outlineLvl w:val="0"/>
        <w:rPr>
          <w:rFonts w:ascii="Times New Roman" w:hAnsi="Times New Roman"/>
          <w:szCs w:val="24"/>
        </w:rPr>
      </w:pPr>
      <w:r w:rsidRPr="00E474B6">
        <w:rPr>
          <w:rFonts w:ascii="Times New Roman" w:hAnsi="Times New Roman"/>
          <w:szCs w:val="24"/>
        </w:rPr>
        <w:t>No publication for statistical use is contemplated.</w:t>
      </w:r>
    </w:p>
    <w:p w:rsidR="00541136" w:rsidRPr="00E474B6" w:rsidP="00DB4225" w14:paraId="2FAF89AA" w14:textId="77777777">
      <w:pPr>
        <w:contextualSpacing/>
        <w:rPr>
          <w:rFonts w:ascii="Times New Roman" w:hAnsi="Times New Roman"/>
          <w:szCs w:val="24"/>
        </w:rPr>
      </w:pPr>
    </w:p>
    <w:p w:rsidR="00541136" w:rsidRPr="00E474B6" w:rsidP="00DB4225" w14:paraId="7C4112F9" w14:textId="77777777">
      <w:pPr>
        <w:contextualSpacing/>
        <w:outlineLvl w:val="0"/>
        <w:rPr>
          <w:rFonts w:ascii="Times New Roman" w:hAnsi="Times New Roman"/>
          <w:szCs w:val="24"/>
        </w:rPr>
      </w:pPr>
      <w:r w:rsidRPr="00E474B6">
        <w:rPr>
          <w:rFonts w:ascii="Times New Roman" w:hAnsi="Times New Roman"/>
          <w:szCs w:val="24"/>
        </w:rPr>
        <w:t xml:space="preserve">17. </w:t>
      </w:r>
      <w:r w:rsidRPr="00E474B6">
        <w:rPr>
          <w:rFonts w:ascii="Times New Roman" w:hAnsi="Times New Roman"/>
          <w:szCs w:val="24"/>
          <w:u w:val="single"/>
        </w:rPr>
        <w:t>Display of expiration date</w:t>
      </w:r>
      <w:r w:rsidRPr="00E474B6">
        <w:rPr>
          <w:rFonts w:ascii="Times New Roman" w:hAnsi="Times New Roman"/>
          <w:szCs w:val="24"/>
        </w:rPr>
        <w:t>:</w:t>
      </w:r>
    </w:p>
    <w:p w:rsidR="00541136" w:rsidRPr="00E474B6" w:rsidP="00DB4225" w14:paraId="6781E0F4" w14:textId="77777777">
      <w:pPr>
        <w:contextualSpacing/>
        <w:rPr>
          <w:rFonts w:ascii="Times New Roman" w:hAnsi="Times New Roman"/>
          <w:szCs w:val="24"/>
        </w:rPr>
      </w:pPr>
    </w:p>
    <w:p w:rsidR="00541136" w:rsidRPr="00E474B6" w:rsidP="00333F97" w14:paraId="7C9FCC46" w14:textId="77777777">
      <w:pPr>
        <w:contextualSpacing/>
        <w:outlineLvl w:val="0"/>
        <w:rPr>
          <w:rFonts w:ascii="Times New Roman" w:hAnsi="Times New Roman"/>
          <w:szCs w:val="24"/>
        </w:rPr>
      </w:pPr>
      <w:r w:rsidRPr="00E474B6">
        <w:rPr>
          <w:rFonts w:ascii="Times New Roman" w:hAnsi="Times New Roman"/>
          <w:szCs w:val="24"/>
        </w:rPr>
        <w:t>Not applicable.</w:t>
      </w:r>
    </w:p>
    <w:p w:rsidR="00541136" w:rsidRPr="00E474B6" w:rsidP="00DB4225" w14:paraId="196C9F41" w14:textId="77777777">
      <w:pPr>
        <w:contextualSpacing/>
        <w:rPr>
          <w:rFonts w:ascii="Times New Roman" w:hAnsi="Times New Roman"/>
          <w:szCs w:val="24"/>
        </w:rPr>
      </w:pPr>
    </w:p>
    <w:p w:rsidR="00541136" w:rsidRPr="00E474B6" w:rsidP="00DB4225" w14:paraId="772643F9" w14:textId="77777777">
      <w:pPr>
        <w:contextualSpacing/>
        <w:outlineLvl w:val="0"/>
        <w:rPr>
          <w:rFonts w:ascii="Times New Roman" w:hAnsi="Times New Roman"/>
          <w:szCs w:val="24"/>
        </w:rPr>
      </w:pPr>
      <w:r w:rsidRPr="00E474B6">
        <w:rPr>
          <w:rFonts w:ascii="Times New Roman" w:hAnsi="Times New Roman"/>
          <w:szCs w:val="24"/>
        </w:rPr>
        <w:t xml:space="preserve">18. </w:t>
      </w:r>
      <w:r w:rsidRPr="00E474B6">
        <w:rPr>
          <w:rFonts w:ascii="Times New Roman" w:hAnsi="Times New Roman"/>
          <w:szCs w:val="24"/>
          <w:u w:val="single"/>
        </w:rPr>
        <w:t>Exceptions to certification statement</w:t>
      </w:r>
      <w:r w:rsidRPr="00E474B6">
        <w:rPr>
          <w:rFonts w:ascii="Times New Roman" w:hAnsi="Times New Roman"/>
          <w:szCs w:val="24"/>
        </w:rPr>
        <w:t>:</w:t>
      </w:r>
    </w:p>
    <w:p w:rsidR="00541136" w:rsidRPr="00E474B6" w:rsidP="00DB4225" w14:paraId="120A8C9D" w14:textId="77777777">
      <w:pPr>
        <w:contextualSpacing/>
        <w:rPr>
          <w:rFonts w:ascii="Times New Roman" w:hAnsi="Times New Roman"/>
          <w:szCs w:val="24"/>
        </w:rPr>
      </w:pPr>
    </w:p>
    <w:p w:rsidR="00541136" w:rsidRPr="00E474B6" w:rsidP="00333F97" w14:paraId="39C11EE7" w14:textId="77777777">
      <w:pPr>
        <w:contextualSpacing/>
        <w:outlineLvl w:val="0"/>
        <w:rPr>
          <w:rFonts w:ascii="Times New Roman" w:hAnsi="Times New Roman"/>
          <w:szCs w:val="24"/>
        </w:rPr>
      </w:pPr>
      <w:r w:rsidRPr="00E474B6">
        <w:rPr>
          <w:rFonts w:ascii="Times New Roman" w:hAnsi="Times New Roman"/>
          <w:szCs w:val="24"/>
        </w:rPr>
        <w:t>Not applicable.</w:t>
      </w:r>
    </w:p>
    <w:p w:rsidR="00541136" w:rsidRPr="00E474B6" w:rsidP="00DB4225" w14:paraId="40CB62C7" w14:textId="77777777">
      <w:pPr>
        <w:contextualSpacing/>
        <w:rPr>
          <w:rFonts w:ascii="Times New Roman" w:hAnsi="Times New Roman"/>
          <w:szCs w:val="24"/>
        </w:rPr>
      </w:pPr>
    </w:p>
    <w:p w:rsidR="00541136" w:rsidRPr="00E474B6" w:rsidP="00DB4225" w14:paraId="5599447C" w14:textId="77777777">
      <w:pPr>
        <w:contextualSpacing/>
        <w:outlineLvl w:val="0"/>
        <w:rPr>
          <w:rFonts w:ascii="Times New Roman" w:hAnsi="Times New Roman"/>
          <w:szCs w:val="24"/>
        </w:rPr>
      </w:pPr>
      <w:r w:rsidRPr="00E474B6">
        <w:rPr>
          <w:rFonts w:ascii="Times New Roman" w:hAnsi="Times New Roman"/>
          <w:szCs w:val="24"/>
        </w:rPr>
        <w:t>B.</w:t>
      </w:r>
      <w:r w:rsidRPr="00E474B6">
        <w:rPr>
          <w:rFonts w:ascii="Times New Roman" w:hAnsi="Times New Roman"/>
          <w:szCs w:val="24"/>
          <w:u w:val="single"/>
        </w:rPr>
        <w:t xml:space="preserve"> Collections of Information Employing Statistical Methods.</w:t>
      </w:r>
    </w:p>
    <w:p w:rsidR="00541136" w:rsidRPr="00E474B6" w:rsidP="00DB4225" w14:paraId="73E51ADE" w14:textId="77777777">
      <w:pPr>
        <w:contextualSpacing/>
        <w:rPr>
          <w:rFonts w:ascii="Times New Roman" w:hAnsi="Times New Roman"/>
          <w:szCs w:val="24"/>
        </w:rPr>
      </w:pPr>
    </w:p>
    <w:p w:rsidR="00541136" w:rsidRPr="00E474B6" w:rsidP="00DB4225" w14:paraId="37449DFA" w14:textId="77777777">
      <w:pPr>
        <w:contextualSpacing/>
        <w:rPr>
          <w:rFonts w:ascii="Times New Roman" w:hAnsi="Times New Roman"/>
          <w:szCs w:val="24"/>
        </w:rPr>
      </w:pPr>
      <w:r w:rsidRPr="00E474B6">
        <w:rPr>
          <w:rFonts w:ascii="Times New Roman" w:hAnsi="Times New Roman"/>
          <w:szCs w:val="24"/>
        </w:rPr>
        <w:t>Not applicable.</w:t>
      </w:r>
    </w:p>
    <w:sectPr w:rsidSect="002301CF">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pgMar w:top="1440" w:right="1440" w:bottom="1440" w:left="1440" w:header="99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C38" w:rsidP="009E3EF8" w14:paraId="241DDD3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C38" w14:paraId="28BB4DD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C38" w:rsidP="009E3EF8" w14:paraId="56739106" w14:textId="77777777">
    <w:pPr>
      <w:pStyle w:val="Footer"/>
      <w:framePr w:wrap="around" w:vAnchor="text" w:hAnchor="margin" w:xAlign="center" w:y="1"/>
      <w:rPr>
        <w:rStyle w:val="PageNumber"/>
        <w:rFonts w:ascii="Times New Roman" w:hAnsi="Times New Roman"/>
      </w:rPr>
    </w:pPr>
  </w:p>
  <w:p w:rsidR="003C1C38" w:rsidRPr="00D44A17" w:rsidP="009E3EF8" w14:paraId="2A8F678D" w14:textId="77777777">
    <w:pPr>
      <w:pStyle w:val="Footer"/>
      <w:framePr w:wrap="around" w:vAnchor="text" w:hAnchor="margin" w:xAlign="center" w:y="1"/>
      <w:rPr>
        <w:rStyle w:val="PageNumber"/>
        <w:rFonts w:ascii="Times New Roman" w:hAnsi="Times New Roman"/>
      </w:rPr>
    </w:pPr>
    <w:r>
      <w:rPr>
        <w:rStyle w:val="PageNumber"/>
        <w:rFonts w:ascii="Times New Roman" w:hAnsi="Times New Roman"/>
      </w:rPr>
      <w:tab/>
    </w: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34477D">
      <w:rPr>
        <w:rStyle w:val="PageNumber"/>
        <w:rFonts w:ascii="Times New Roman" w:hAnsi="Times New Roman"/>
        <w:noProof/>
      </w:rPr>
      <w:t>10</w:t>
    </w:r>
    <w:r w:rsidRPr="00D44A17">
      <w:rPr>
        <w:rStyle w:val="PageNumber"/>
        <w:rFonts w:ascii="Times New Roman" w:hAnsi="Times New Roman"/>
      </w:rPr>
      <w:fldChar w:fldCharType="end"/>
    </w:r>
  </w:p>
  <w:p w:rsidR="003C1C38" w14:paraId="5A8453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C38" w14:paraId="51707A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7A90" w14:paraId="38214A9E" w14:textId="77777777">
      <w:r>
        <w:separator/>
      </w:r>
    </w:p>
  </w:footnote>
  <w:footnote w:type="continuationSeparator" w:id="1">
    <w:p w:rsidR="00357A90" w14:paraId="3EF65D29" w14:textId="77777777">
      <w:r>
        <w:continuationSeparator/>
      </w:r>
    </w:p>
  </w:footnote>
  <w:footnote w:id="2">
    <w:p w:rsidR="00B4587C" w:rsidRPr="00C1013A" w:rsidP="00B4587C" w14:paraId="414EB1BF" w14:textId="77777777">
      <w:pPr>
        <w:pStyle w:val="FootnoteText"/>
        <w:rPr>
          <w:rFonts w:ascii="Times New Roman" w:hAnsi="Times New Roman"/>
        </w:rPr>
      </w:pPr>
      <w:r w:rsidRPr="00C1013A">
        <w:rPr>
          <w:rStyle w:val="FootnoteReference"/>
          <w:rFonts w:ascii="Times New Roman" w:hAnsi="Times New Roman"/>
        </w:rPr>
        <w:footnoteRef/>
      </w:r>
      <w:r w:rsidRPr="00C1013A">
        <w:rPr>
          <w:rFonts w:ascii="Times New Roman" w:hAnsi="Times New Roman"/>
        </w:rPr>
        <w:t xml:space="preserve"> </w:t>
      </w:r>
      <w:r w:rsidRPr="00C1013A">
        <w:rPr>
          <w:rFonts w:ascii="Times New Roman" w:hAnsi="Times New Roman"/>
          <w:i/>
          <w:iCs/>
        </w:rPr>
        <w:t xml:space="preserve">See </w:t>
      </w:r>
      <w:r w:rsidRPr="00C1013A">
        <w:rPr>
          <w:rFonts w:ascii="Times New Roman" w:hAnsi="Times New Roman"/>
        </w:rPr>
        <w:t xml:space="preserve">90 FR 40767 (Aug. 21,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C38" w14:paraId="761796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C38" w14:paraId="5659E81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C38" w14:paraId="5E8265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71312"/>
    <w:multiLevelType w:val="hybridMultilevel"/>
    <w:tmpl w:val="430A4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D501A5"/>
    <w:multiLevelType w:val="hybridMultilevel"/>
    <w:tmpl w:val="430A4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CDB2B0D"/>
    <w:multiLevelType w:val="hybridMultilevel"/>
    <w:tmpl w:val="430A4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0103A46"/>
    <w:multiLevelType w:val="hybridMultilevel"/>
    <w:tmpl w:val="1054A2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99400B"/>
    <w:multiLevelType w:val="hybridMultilevel"/>
    <w:tmpl w:val="3496D816"/>
    <w:lvl w:ilvl="0">
      <w:start w:val="1"/>
      <w:numFmt w:val="bullet"/>
      <w:lvlText w:val=""/>
      <w:lvlJc w:val="left"/>
      <w:pPr>
        <w:ind w:left="300" w:hanging="360"/>
      </w:pPr>
      <w:rPr>
        <w:rFonts w:ascii="Symbol" w:hAnsi="Symbol" w:hint="default"/>
      </w:rPr>
    </w:lvl>
    <w:lvl w:ilvl="1" w:tentative="1">
      <w:start w:val="1"/>
      <w:numFmt w:val="bullet"/>
      <w:lvlText w:val="o"/>
      <w:lvlJc w:val="left"/>
      <w:pPr>
        <w:ind w:left="1020" w:hanging="360"/>
      </w:pPr>
      <w:rPr>
        <w:rFonts w:ascii="Courier New" w:hAnsi="Courier New" w:cs="Courier New" w:hint="default"/>
      </w:rPr>
    </w:lvl>
    <w:lvl w:ilvl="2" w:tentative="1">
      <w:start w:val="1"/>
      <w:numFmt w:val="bullet"/>
      <w:lvlText w:val=""/>
      <w:lvlJc w:val="left"/>
      <w:pPr>
        <w:ind w:left="1740" w:hanging="360"/>
      </w:pPr>
      <w:rPr>
        <w:rFonts w:ascii="Wingdings" w:hAnsi="Wingdings" w:hint="default"/>
      </w:rPr>
    </w:lvl>
    <w:lvl w:ilvl="3" w:tentative="1">
      <w:start w:val="1"/>
      <w:numFmt w:val="bullet"/>
      <w:lvlText w:val=""/>
      <w:lvlJc w:val="left"/>
      <w:pPr>
        <w:ind w:left="2460" w:hanging="360"/>
      </w:pPr>
      <w:rPr>
        <w:rFonts w:ascii="Symbol" w:hAnsi="Symbol" w:hint="default"/>
      </w:rPr>
    </w:lvl>
    <w:lvl w:ilvl="4" w:tentative="1">
      <w:start w:val="1"/>
      <w:numFmt w:val="bullet"/>
      <w:lvlText w:val="o"/>
      <w:lvlJc w:val="left"/>
      <w:pPr>
        <w:ind w:left="3180" w:hanging="360"/>
      </w:pPr>
      <w:rPr>
        <w:rFonts w:ascii="Courier New" w:hAnsi="Courier New" w:cs="Courier New" w:hint="default"/>
      </w:rPr>
    </w:lvl>
    <w:lvl w:ilvl="5" w:tentative="1">
      <w:start w:val="1"/>
      <w:numFmt w:val="bullet"/>
      <w:lvlText w:val=""/>
      <w:lvlJc w:val="left"/>
      <w:pPr>
        <w:ind w:left="3900" w:hanging="360"/>
      </w:pPr>
      <w:rPr>
        <w:rFonts w:ascii="Wingdings" w:hAnsi="Wingdings" w:hint="default"/>
      </w:rPr>
    </w:lvl>
    <w:lvl w:ilvl="6" w:tentative="1">
      <w:start w:val="1"/>
      <w:numFmt w:val="bullet"/>
      <w:lvlText w:val=""/>
      <w:lvlJc w:val="left"/>
      <w:pPr>
        <w:ind w:left="4620" w:hanging="360"/>
      </w:pPr>
      <w:rPr>
        <w:rFonts w:ascii="Symbol" w:hAnsi="Symbol" w:hint="default"/>
      </w:rPr>
    </w:lvl>
    <w:lvl w:ilvl="7" w:tentative="1">
      <w:start w:val="1"/>
      <w:numFmt w:val="bullet"/>
      <w:lvlText w:val="o"/>
      <w:lvlJc w:val="left"/>
      <w:pPr>
        <w:ind w:left="5340" w:hanging="360"/>
      </w:pPr>
      <w:rPr>
        <w:rFonts w:ascii="Courier New" w:hAnsi="Courier New" w:cs="Courier New" w:hint="default"/>
      </w:rPr>
    </w:lvl>
    <w:lvl w:ilvl="8" w:tentative="1">
      <w:start w:val="1"/>
      <w:numFmt w:val="bullet"/>
      <w:lvlText w:val=""/>
      <w:lvlJc w:val="left"/>
      <w:pPr>
        <w:ind w:left="6060" w:hanging="360"/>
      </w:pPr>
      <w:rPr>
        <w:rFonts w:ascii="Wingdings" w:hAnsi="Wingdings" w:hint="default"/>
      </w:rPr>
    </w:lvl>
  </w:abstractNum>
  <w:abstractNum w:abstractNumId="7">
    <w:nsid w:val="31276A36"/>
    <w:multiLevelType w:val="hybridMultilevel"/>
    <w:tmpl w:val="D76282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5661A53"/>
    <w:multiLevelType w:val="hybridMultilevel"/>
    <w:tmpl w:val="2E222D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5517159D"/>
    <w:multiLevelType w:val="hybridMultilevel"/>
    <w:tmpl w:val="FD50B272"/>
    <w:lvl w:ilvl="0">
      <w:start w:val="1"/>
      <w:numFmt w:val="bullet"/>
      <w:lvlText w:val=""/>
      <w:lvlJc w:val="left"/>
      <w:pPr>
        <w:ind w:left="300" w:hanging="360"/>
      </w:pPr>
      <w:rPr>
        <w:rFonts w:ascii="Symbol" w:hAnsi="Symbol" w:hint="default"/>
      </w:rPr>
    </w:lvl>
    <w:lvl w:ilvl="1" w:tentative="1">
      <w:start w:val="1"/>
      <w:numFmt w:val="bullet"/>
      <w:lvlText w:val="o"/>
      <w:lvlJc w:val="left"/>
      <w:pPr>
        <w:ind w:left="1020" w:hanging="360"/>
      </w:pPr>
      <w:rPr>
        <w:rFonts w:ascii="Courier New" w:hAnsi="Courier New" w:cs="Courier New" w:hint="default"/>
      </w:rPr>
    </w:lvl>
    <w:lvl w:ilvl="2" w:tentative="1">
      <w:start w:val="1"/>
      <w:numFmt w:val="bullet"/>
      <w:lvlText w:val=""/>
      <w:lvlJc w:val="left"/>
      <w:pPr>
        <w:ind w:left="1740" w:hanging="360"/>
      </w:pPr>
      <w:rPr>
        <w:rFonts w:ascii="Wingdings" w:hAnsi="Wingdings" w:hint="default"/>
      </w:rPr>
    </w:lvl>
    <w:lvl w:ilvl="3" w:tentative="1">
      <w:start w:val="1"/>
      <w:numFmt w:val="bullet"/>
      <w:lvlText w:val=""/>
      <w:lvlJc w:val="left"/>
      <w:pPr>
        <w:ind w:left="2460" w:hanging="360"/>
      </w:pPr>
      <w:rPr>
        <w:rFonts w:ascii="Symbol" w:hAnsi="Symbol" w:hint="default"/>
      </w:rPr>
    </w:lvl>
    <w:lvl w:ilvl="4" w:tentative="1">
      <w:start w:val="1"/>
      <w:numFmt w:val="bullet"/>
      <w:lvlText w:val="o"/>
      <w:lvlJc w:val="left"/>
      <w:pPr>
        <w:ind w:left="3180" w:hanging="360"/>
      </w:pPr>
      <w:rPr>
        <w:rFonts w:ascii="Courier New" w:hAnsi="Courier New" w:cs="Courier New" w:hint="default"/>
      </w:rPr>
    </w:lvl>
    <w:lvl w:ilvl="5" w:tentative="1">
      <w:start w:val="1"/>
      <w:numFmt w:val="bullet"/>
      <w:lvlText w:val=""/>
      <w:lvlJc w:val="left"/>
      <w:pPr>
        <w:ind w:left="3900" w:hanging="360"/>
      </w:pPr>
      <w:rPr>
        <w:rFonts w:ascii="Wingdings" w:hAnsi="Wingdings" w:hint="default"/>
      </w:rPr>
    </w:lvl>
    <w:lvl w:ilvl="6" w:tentative="1">
      <w:start w:val="1"/>
      <w:numFmt w:val="bullet"/>
      <w:lvlText w:val=""/>
      <w:lvlJc w:val="left"/>
      <w:pPr>
        <w:ind w:left="4620" w:hanging="360"/>
      </w:pPr>
      <w:rPr>
        <w:rFonts w:ascii="Symbol" w:hAnsi="Symbol" w:hint="default"/>
      </w:rPr>
    </w:lvl>
    <w:lvl w:ilvl="7" w:tentative="1">
      <w:start w:val="1"/>
      <w:numFmt w:val="bullet"/>
      <w:lvlText w:val="o"/>
      <w:lvlJc w:val="left"/>
      <w:pPr>
        <w:ind w:left="5340" w:hanging="360"/>
      </w:pPr>
      <w:rPr>
        <w:rFonts w:ascii="Courier New" w:hAnsi="Courier New" w:cs="Courier New" w:hint="default"/>
      </w:rPr>
    </w:lvl>
    <w:lvl w:ilvl="8" w:tentative="1">
      <w:start w:val="1"/>
      <w:numFmt w:val="bullet"/>
      <w:lvlText w:val=""/>
      <w:lvlJc w:val="left"/>
      <w:pPr>
        <w:ind w:left="6060" w:hanging="360"/>
      </w:pPr>
      <w:rPr>
        <w:rFonts w:ascii="Wingdings" w:hAnsi="Wingdings" w:hint="default"/>
      </w:rPr>
    </w:lvl>
  </w:abstractNum>
  <w:abstractNum w:abstractNumId="11">
    <w:nsid w:val="59124418"/>
    <w:multiLevelType w:val="hybridMultilevel"/>
    <w:tmpl w:val="0E8A13D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BE36426"/>
    <w:multiLevelType w:val="hybridMultilevel"/>
    <w:tmpl w:val="F7145AC0"/>
    <w:lvl w:ilvl="0">
      <w:start w:val="1"/>
      <w:numFmt w:val="decimal"/>
      <w:lvlText w:val="(%1)"/>
      <w:lvlJc w:val="left"/>
      <w:pPr>
        <w:ind w:left="810" w:hanging="360"/>
      </w:pPr>
      <w:rPr>
        <w:rFonts w:cs="Times New Roman" w:hint="default"/>
      </w:rPr>
    </w:lvl>
    <w:lvl w:ilvl="1" w:tentative="1">
      <w:start w:val="1"/>
      <w:numFmt w:val="lowerLetter"/>
      <w:lvlText w:val="%2."/>
      <w:lvlJc w:val="left"/>
      <w:pPr>
        <w:ind w:left="1890" w:hanging="360"/>
      </w:pPr>
      <w:rPr>
        <w:rFonts w:cs="Times New Roman"/>
      </w:rPr>
    </w:lvl>
    <w:lvl w:ilvl="2" w:tentative="1">
      <w:start w:val="1"/>
      <w:numFmt w:val="lowerRoman"/>
      <w:lvlText w:val="%3."/>
      <w:lvlJc w:val="right"/>
      <w:pPr>
        <w:ind w:left="2610" w:hanging="180"/>
      </w:pPr>
      <w:rPr>
        <w:rFonts w:cs="Times New Roman"/>
      </w:rPr>
    </w:lvl>
    <w:lvl w:ilvl="3" w:tentative="1">
      <w:start w:val="1"/>
      <w:numFmt w:val="decimal"/>
      <w:lvlText w:val="%4."/>
      <w:lvlJc w:val="left"/>
      <w:pPr>
        <w:ind w:left="3330" w:hanging="360"/>
      </w:pPr>
      <w:rPr>
        <w:rFonts w:cs="Times New Roman"/>
      </w:rPr>
    </w:lvl>
    <w:lvl w:ilvl="4" w:tentative="1">
      <w:start w:val="1"/>
      <w:numFmt w:val="lowerLetter"/>
      <w:lvlText w:val="%5."/>
      <w:lvlJc w:val="left"/>
      <w:pPr>
        <w:ind w:left="4050" w:hanging="360"/>
      </w:pPr>
      <w:rPr>
        <w:rFonts w:cs="Times New Roman"/>
      </w:rPr>
    </w:lvl>
    <w:lvl w:ilvl="5" w:tentative="1">
      <w:start w:val="1"/>
      <w:numFmt w:val="lowerRoman"/>
      <w:lvlText w:val="%6."/>
      <w:lvlJc w:val="right"/>
      <w:pPr>
        <w:ind w:left="4770" w:hanging="180"/>
      </w:pPr>
      <w:rPr>
        <w:rFonts w:cs="Times New Roman"/>
      </w:rPr>
    </w:lvl>
    <w:lvl w:ilvl="6" w:tentative="1">
      <w:start w:val="1"/>
      <w:numFmt w:val="decimal"/>
      <w:lvlText w:val="%7."/>
      <w:lvlJc w:val="left"/>
      <w:pPr>
        <w:ind w:left="5490" w:hanging="360"/>
      </w:pPr>
      <w:rPr>
        <w:rFonts w:cs="Times New Roman"/>
      </w:rPr>
    </w:lvl>
    <w:lvl w:ilvl="7" w:tentative="1">
      <w:start w:val="1"/>
      <w:numFmt w:val="lowerLetter"/>
      <w:lvlText w:val="%8."/>
      <w:lvlJc w:val="left"/>
      <w:pPr>
        <w:ind w:left="6210" w:hanging="360"/>
      </w:pPr>
      <w:rPr>
        <w:rFonts w:cs="Times New Roman"/>
      </w:rPr>
    </w:lvl>
    <w:lvl w:ilvl="8" w:tentative="1">
      <w:start w:val="1"/>
      <w:numFmt w:val="lowerRoman"/>
      <w:lvlText w:val="%9."/>
      <w:lvlJc w:val="right"/>
      <w:pPr>
        <w:ind w:left="6930" w:hanging="180"/>
      </w:pPr>
      <w:rPr>
        <w:rFonts w:cs="Times New Roman"/>
      </w:rPr>
    </w:lvl>
  </w:abstractNum>
  <w:abstractNum w:abstractNumId="14">
    <w:nsid w:val="739330B2"/>
    <w:multiLevelType w:val="hybridMultilevel"/>
    <w:tmpl w:val="AA1CA4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5">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83409831">
    <w:abstractNumId w:val="8"/>
  </w:num>
  <w:num w:numId="2" w16cid:durableId="979112344">
    <w:abstractNumId w:val="12"/>
  </w:num>
  <w:num w:numId="3" w16cid:durableId="466780140">
    <w:abstractNumId w:val="4"/>
  </w:num>
  <w:num w:numId="4" w16cid:durableId="1184242422">
    <w:abstractNumId w:val="2"/>
  </w:num>
  <w:num w:numId="5" w16cid:durableId="253321683">
    <w:abstractNumId w:val="15"/>
  </w:num>
  <w:num w:numId="6" w16cid:durableId="2117939654">
    <w:abstractNumId w:val="9"/>
  </w:num>
  <w:num w:numId="7" w16cid:durableId="1093546728">
    <w:abstractNumId w:val="7"/>
  </w:num>
  <w:num w:numId="8" w16cid:durableId="100875834">
    <w:abstractNumId w:val="13"/>
  </w:num>
  <w:num w:numId="9" w16cid:durableId="180124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1218121">
    <w:abstractNumId w:val="11"/>
  </w:num>
  <w:num w:numId="11" w16cid:durableId="1832990056">
    <w:abstractNumId w:val="14"/>
  </w:num>
  <w:num w:numId="12" w16cid:durableId="979768383">
    <w:abstractNumId w:val="10"/>
  </w:num>
  <w:num w:numId="13" w16cid:durableId="686904011">
    <w:abstractNumId w:val="6"/>
  </w:num>
  <w:num w:numId="14" w16cid:durableId="1569611465">
    <w:abstractNumId w:val="1"/>
  </w:num>
  <w:num w:numId="15" w16cid:durableId="1104615757">
    <w:abstractNumId w:val="5"/>
  </w:num>
  <w:num w:numId="16" w16cid:durableId="251547838">
    <w:abstractNumId w:val="0"/>
  </w:num>
  <w:num w:numId="17" w16cid:durableId="1825312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A9"/>
    <w:rsid w:val="00002B0F"/>
    <w:rsid w:val="00024493"/>
    <w:rsid w:val="00040171"/>
    <w:rsid w:val="00042D4F"/>
    <w:rsid w:val="00056F57"/>
    <w:rsid w:val="00057ACE"/>
    <w:rsid w:val="00062456"/>
    <w:rsid w:val="0007337A"/>
    <w:rsid w:val="000841A0"/>
    <w:rsid w:val="00094D94"/>
    <w:rsid w:val="000A0178"/>
    <w:rsid w:val="000A5C81"/>
    <w:rsid w:val="000B6DF0"/>
    <w:rsid w:val="000C7953"/>
    <w:rsid w:val="000D29F6"/>
    <w:rsid w:val="000D71BF"/>
    <w:rsid w:val="000E295E"/>
    <w:rsid w:val="000E739A"/>
    <w:rsid w:val="000F0705"/>
    <w:rsid w:val="000F0AD0"/>
    <w:rsid w:val="000F4771"/>
    <w:rsid w:val="000F6399"/>
    <w:rsid w:val="00102A24"/>
    <w:rsid w:val="001067D8"/>
    <w:rsid w:val="00112142"/>
    <w:rsid w:val="0011233B"/>
    <w:rsid w:val="001127A4"/>
    <w:rsid w:val="001244C6"/>
    <w:rsid w:val="00126C08"/>
    <w:rsid w:val="00127D85"/>
    <w:rsid w:val="0014438C"/>
    <w:rsid w:val="0014688A"/>
    <w:rsid w:val="001550B2"/>
    <w:rsid w:val="00163054"/>
    <w:rsid w:val="001668CF"/>
    <w:rsid w:val="00174506"/>
    <w:rsid w:val="0018255F"/>
    <w:rsid w:val="00185880"/>
    <w:rsid w:val="00185B75"/>
    <w:rsid w:val="00185D39"/>
    <w:rsid w:val="001870F5"/>
    <w:rsid w:val="00187489"/>
    <w:rsid w:val="001A5ED5"/>
    <w:rsid w:val="001D77CC"/>
    <w:rsid w:val="001E58D7"/>
    <w:rsid w:val="001E69B5"/>
    <w:rsid w:val="001F20B1"/>
    <w:rsid w:val="00204653"/>
    <w:rsid w:val="00205F8D"/>
    <w:rsid w:val="00214C9B"/>
    <w:rsid w:val="00224A97"/>
    <w:rsid w:val="00226623"/>
    <w:rsid w:val="002301CF"/>
    <w:rsid w:val="00247AA4"/>
    <w:rsid w:val="002541C3"/>
    <w:rsid w:val="00256276"/>
    <w:rsid w:val="00257644"/>
    <w:rsid w:val="00260E9B"/>
    <w:rsid w:val="00262DF4"/>
    <w:rsid w:val="00262F39"/>
    <w:rsid w:val="00273BFA"/>
    <w:rsid w:val="00277D8E"/>
    <w:rsid w:val="00284464"/>
    <w:rsid w:val="00291085"/>
    <w:rsid w:val="00291B2E"/>
    <w:rsid w:val="00291BF2"/>
    <w:rsid w:val="0029200F"/>
    <w:rsid w:val="002A1639"/>
    <w:rsid w:val="002A40BD"/>
    <w:rsid w:val="002B408A"/>
    <w:rsid w:val="002B4F98"/>
    <w:rsid w:val="002B650F"/>
    <w:rsid w:val="002B705A"/>
    <w:rsid w:val="002E5EE7"/>
    <w:rsid w:val="002F05FC"/>
    <w:rsid w:val="002F5062"/>
    <w:rsid w:val="00310CE0"/>
    <w:rsid w:val="0031284F"/>
    <w:rsid w:val="00312ECF"/>
    <w:rsid w:val="00315751"/>
    <w:rsid w:val="003175D7"/>
    <w:rsid w:val="00332136"/>
    <w:rsid w:val="00333F97"/>
    <w:rsid w:val="003357F5"/>
    <w:rsid w:val="00335AA6"/>
    <w:rsid w:val="003400DF"/>
    <w:rsid w:val="0034477D"/>
    <w:rsid w:val="003469B0"/>
    <w:rsid w:val="00347D7A"/>
    <w:rsid w:val="00350F70"/>
    <w:rsid w:val="00351FB2"/>
    <w:rsid w:val="00357A90"/>
    <w:rsid w:val="00360AA2"/>
    <w:rsid w:val="003620AD"/>
    <w:rsid w:val="003631A1"/>
    <w:rsid w:val="0037256C"/>
    <w:rsid w:val="003826B0"/>
    <w:rsid w:val="00387712"/>
    <w:rsid w:val="003A2886"/>
    <w:rsid w:val="003A6AFF"/>
    <w:rsid w:val="003A7F94"/>
    <w:rsid w:val="003B2377"/>
    <w:rsid w:val="003B7806"/>
    <w:rsid w:val="003C1C38"/>
    <w:rsid w:val="003C203B"/>
    <w:rsid w:val="003C29B8"/>
    <w:rsid w:val="003C3C49"/>
    <w:rsid w:val="003D4816"/>
    <w:rsid w:val="003E7DCF"/>
    <w:rsid w:val="003F29AE"/>
    <w:rsid w:val="003F3502"/>
    <w:rsid w:val="0041183F"/>
    <w:rsid w:val="00420F7B"/>
    <w:rsid w:val="00422F8C"/>
    <w:rsid w:val="004275D5"/>
    <w:rsid w:val="0043250F"/>
    <w:rsid w:val="00440A95"/>
    <w:rsid w:val="00447EA5"/>
    <w:rsid w:val="0045298C"/>
    <w:rsid w:val="0046373E"/>
    <w:rsid w:val="00464C03"/>
    <w:rsid w:val="00466EEC"/>
    <w:rsid w:val="004762BF"/>
    <w:rsid w:val="00486088"/>
    <w:rsid w:val="00486C05"/>
    <w:rsid w:val="004871BC"/>
    <w:rsid w:val="004A438B"/>
    <w:rsid w:val="004A605B"/>
    <w:rsid w:val="004B2683"/>
    <w:rsid w:val="004B4DB0"/>
    <w:rsid w:val="004B5F1A"/>
    <w:rsid w:val="004B6DD0"/>
    <w:rsid w:val="004C5182"/>
    <w:rsid w:val="004C640F"/>
    <w:rsid w:val="004C6960"/>
    <w:rsid w:val="004D18A2"/>
    <w:rsid w:val="004E118F"/>
    <w:rsid w:val="004E3939"/>
    <w:rsid w:val="004F02DB"/>
    <w:rsid w:val="004F7723"/>
    <w:rsid w:val="00501934"/>
    <w:rsid w:val="0052060F"/>
    <w:rsid w:val="0052159B"/>
    <w:rsid w:val="005304A6"/>
    <w:rsid w:val="00531257"/>
    <w:rsid w:val="0053501B"/>
    <w:rsid w:val="00541136"/>
    <w:rsid w:val="00553817"/>
    <w:rsid w:val="0055485E"/>
    <w:rsid w:val="00555C40"/>
    <w:rsid w:val="00561E3F"/>
    <w:rsid w:val="0056652F"/>
    <w:rsid w:val="00571EC0"/>
    <w:rsid w:val="005723EE"/>
    <w:rsid w:val="0057362F"/>
    <w:rsid w:val="00574518"/>
    <w:rsid w:val="0057656B"/>
    <w:rsid w:val="00583EE2"/>
    <w:rsid w:val="00585794"/>
    <w:rsid w:val="00585A65"/>
    <w:rsid w:val="00587E41"/>
    <w:rsid w:val="0059227D"/>
    <w:rsid w:val="00597DF1"/>
    <w:rsid w:val="005A1FB0"/>
    <w:rsid w:val="005A3BE6"/>
    <w:rsid w:val="005C700C"/>
    <w:rsid w:val="005C7D7E"/>
    <w:rsid w:val="005D02F4"/>
    <w:rsid w:val="005D12BE"/>
    <w:rsid w:val="005F0EBE"/>
    <w:rsid w:val="005F3A57"/>
    <w:rsid w:val="005F59E6"/>
    <w:rsid w:val="00603617"/>
    <w:rsid w:val="006057E5"/>
    <w:rsid w:val="006178A5"/>
    <w:rsid w:val="006266B0"/>
    <w:rsid w:val="006312DA"/>
    <w:rsid w:val="006344AB"/>
    <w:rsid w:val="00640050"/>
    <w:rsid w:val="0064308E"/>
    <w:rsid w:val="006457F8"/>
    <w:rsid w:val="00650B31"/>
    <w:rsid w:val="00652234"/>
    <w:rsid w:val="006610B6"/>
    <w:rsid w:val="00664282"/>
    <w:rsid w:val="00672CF7"/>
    <w:rsid w:val="00676E05"/>
    <w:rsid w:val="00677966"/>
    <w:rsid w:val="00677F08"/>
    <w:rsid w:val="0068174B"/>
    <w:rsid w:val="00682BA1"/>
    <w:rsid w:val="006842EE"/>
    <w:rsid w:val="006914A9"/>
    <w:rsid w:val="00693D39"/>
    <w:rsid w:val="006A35C3"/>
    <w:rsid w:val="006B072A"/>
    <w:rsid w:val="006C121B"/>
    <w:rsid w:val="006C2B19"/>
    <w:rsid w:val="006C348D"/>
    <w:rsid w:val="006D02C2"/>
    <w:rsid w:val="006E48C6"/>
    <w:rsid w:val="006E60EC"/>
    <w:rsid w:val="006E6F12"/>
    <w:rsid w:val="007016A5"/>
    <w:rsid w:val="00701CF4"/>
    <w:rsid w:val="00705C97"/>
    <w:rsid w:val="00710847"/>
    <w:rsid w:val="007142B0"/>
    <w:rsid w:val="007234BD"/>
    <w:rsid w:val="0072471D"/>
    <w:rsid w:val="0072585E"/>
    <w:rsid w:val="00734B23"/>
    <w:rsid w:val="00741D8A"/>
    <w:rsid w:val="0074350A"/>
    <w:rsid w:val="00743BBF"/>
    <w:rsid w:val="007543F7"/>
    <w:rsid w:val="00760C6D"/>
    <w:rsid w:val="007641B1"/>
    <w:rsid w:val="007646D3"/>
    <w:rsid w:val="00776AA2"/>
    <w:rsid w:val="00780279"/>
    <w:rsid w:val="00782DF2"/>
    <w:rsid w:val="00792888"/>
    <w:rsid w:val="007A266A"/>
    <w:rsid w:val="007A5227"/>
    <w:rsid w:val="007B685A"/>
    <w:rsid w:val="007B7D84"/>
    <w:rsid w:val="007C0BCC"/>
    <w:rsid w:val="007C13DE"/>
    <w:rsid w:val="007C3CD1"/>
    <w:rsid w:val="007C7882"/>
    <w:rsid w:val="007D0C3C"/>
    <w:rsid w:val="007D0E37"/>
    <w:rsid w:val="007D24BD"/>
    <w:rsid w:val="007D4B8C"/>
    <w:rsid w:val="007D701B"/>
    <w:rsid w:val="007E1D1C"/>
    <w:rsid w:val="007E2BF9"/>
    <w:rsid w:val="007E6B2D"/>
    <w:rsid w:val="007F0634"/>
    <w:rsid w:val="007F347F"/>
    <w:rsid w:val="007F574F"/>
    <w:rsid w:val="0080316E"/>
    <w:rsid w:val="00820BBC"/>
    <w:rsid w:val="00822AF7"/>
    <w:rsid w:val="00823C83"/>
    <w:rsid w:val="008250CA"/>
    <w:rsid w:val="008262BC"/>
    <w:rsid w:val="0083036D"/>
    <w:rsid w:val="00832F4D"/>
    <w:rsid w:val="00836C39"/>
    <w:rsid w:val="00842FF8"/>
    <w:rsid w:val="00850D6B"/>
    <w:rsid w:val="00850F2E"/>
    <w:rsid w:val="00855435"/>
    <w:rsid w:val="00855657"/>
    <w:rsid w:val="00861894"/>
    <w:rsid w:val="00865B72"/>
    <w:rsid w:val="008719A1"/>
    <w:rsid w:val="0087439D"/>
    <w:rsid w:val="008953D7"/>
    <w:rsid w:val="00896C27"/>
    <w:rsid w:val="008A69D0"/>
    <w:rsid w:val="008B0C9A"/>
    <w:rsid w:val="008B7C3D"/>
    <w:rsid w:val="008D1F22"/>
    <w:rsid w:val="008D2908"/>
    <w:rsid w:val="008D4DFA"/>
    <w:rsid w:val="008D57B5"/>
    <w:rsid w:val="008D6C05"/>
    <w:rsid w:val="008D7F91"/>
    <w:rsid w:val="008E7924"/>
    <w:rsid w:val="008F393B"/>
    <w:rsid w:val="008F65F9"/>
    <w:rsid w:val="008F7601"/>
    <w:rsid w:val="008F776C"/>
    <w:rsid w:val="008F7E63"/>
    <w:rsid w:val="00901670"/>
    <w:rsid w:val="00905047"/>
    <w:rsid w:val="0091376C"/>
    <w:rsid w:val="00921AC7"/>
    <w:rsid w:val="00926342"/>
    <w:rsid w:val="009273DF"/>
    <w:rsid w:val="009423EE"/>
    <w:rsid w:val="00950FE9"/>
    <w:rsid w:val="0095420A"/>
    <w:rsid w:val="00957F5B"/>
    <w:rsid w:val="00966385"/>
    <w:rsid w:val="00982C52"/>
    <w:rsid w:val="00984A05"/>
    <w:rsid w:val="0098595A"/>
    <w:rsid w:val="009873A8"/>
    <w:rsid w:val="0099011C"/>
    <w:rsid w:val="009E3EF8"/>
    <w:rsid w:val="009F5B24"/>
    <w:rsid w:val="00A02458"/>
    <w:rsid w:val="00A05524"/>
    <w:rsid w:val="00A118AA"/>
    <w:rsid w:val="00A17C09"/>
    <w:rsid w:val="00A22D8F"/>
    <w:rsid w:val="00A40055"/>
    <w:rsid w:val="00A42208"/>
    <w:rsid w:val="00A441BA"/>
    <w:rsid w:val="00A76A56"/>
    <w:rsid w:val="00A778CD"/>
    <w:rsid w:val="00A90B7D"/>
    <w:rsid w:val="00AA4AD0"/>
    <w:rsid w:val="00AC662C"/>
    <w:rsid w:val="00AD0380"/>
    <w:rsid w:val="00AD23E3"/>
    <w:rsid w:val="00B001CC"/>
    <w:rsid w:val="00B0188F"/>
    <w:rsid w:val="00B20A0C"/>
    <w:rsid w:val="00B30C27"/>
    <w:rsid w:val="00B31017"/>
    <w:rsid w:val="00B312D4"/>
    <w:rsid w:val="00B359B1"/>
    <w:rsid w:val="00B36074"/>
    <w:rsid w:val="00B36BA5"/>
    <w:rsid w:val="00B378D2"/>
    <w:rsid w:val="00B44406"/>
    <w:rsid w:val="00B4587C"/>
    <w:rsid w:val="00B45CDB"/>
    <w:rsid w:val="00B46745"/>
    <w:rsid w:val="00B473C8"/>
    <w:rsid w:val="00B537A5"/>
    <w:rsid w:val="00B56F34"/>
    <w:rsid w:val="00B72A05"/>
    <w:rsid w:val="00B766D5"/>
    <w:rsid w:val="00B84379"/>
    <w:rsid w:val="00B86915"/>
    <w:rsid w:val="00B968A6"/>
    <w:rsid w:val="00BB1832"/>
    <w:rsid w:val="00BB4224"/>
    <w:rsid w:val="00BB4921"/>
    <w:rsid w:val="00BD0BCB"/>
    <w:rsid w:val="00BD6331"/>
    <w:rsid w:val="00BE5CFB"/>
    <w:rsid w:val="00BF240F"/>
    <w:rsid w:val="00BF3DBF"/>
    <w:rsid w:val="00C03840"/>
    <w:rsid w:val="00C06211"/>
    <w:rsid w:val="00C1013A"/>
    <w:rsid w:val="00C21C3A"/>
    <w:rsid w:val="00C26121"/>
    <w:rsid w:val="00C3046E"/>
    <w:rsid w:val="00C31329"/>
    <w:rsid w:val="00C40062"/>
    <w:rsid w:val="00C40BE8"/>
    <w:rsid w:val="00C41079"/>
    <w:rsid w:val="00C479F8"/>
    <w:rsid w:val="00C47C8E"/>
    <w:rsid w:val="00C513AD"/>
    <w:rsid w:val="00C52CF0"/>
    <w:rsid w:val="00C57197"/>
    <w:rsid w:val="00C740C8"/>
    <w:rsid w:val="00C752A0"/>
    <w:rsid w:val="00C81237"/>
    <w:rsid w:val="00C86A75"/>
    <w:rsid w:val="00CA3140"/>
    <w:rsid w:val="00CA379B"/>
    <w:rsid w:val="00CB00F1"/>
    <w:rsid w:val="00CC1490"/>
    <w:rsid w:val="00CC7927"/>
    <w:rsid w:val="00CC7F5B"/>
    <w:rsid w:val="00CD1070"/>
    <w:rsid w:val="00CD25D3"/>
    <w:rsid w:val="00CE1B4B"/>
    <w:rsid w:val="00CE41FF"/>
    <w:rsid w:val="00CF03AB"/>
    <w:rsid w:val="00CF0BD4"/>
    <w:rsid w:val="00CF472E"/>
    <w:rsid w:val="00CF4B0A"/>
    <w:rsid w:val="00CF591E"/>
    <w:rsid w:val="00D0439A"/>
    <w:rsid w:val="00D04E0C"/>
    <w:rsid w:val="00D2095D"/>
    <w:rsid w:val="00D27522"/>
    <w:rsid w:val="00D30EFA"/>
    <w:rsid w:val="00D340F3"/>
    <w:rsid w:val="00D3496E"/>
    <w:rsid w:val="00D43D05"/>
    <w:rsid w:val="00D44A17"/>
    <w:rsid w:val="00D5098C"/>
    <w:rsid w:val="00D52C20"/>
    <w:rsid w:val="00D55668"/>
    <w:rsid w:val="00D60633"/>
    <w:rsid w:val="00D63E61"/>
    <w:rsid w:val="00D76413"/>
    <w:rsid w:val="00D809FD"/>
    <w:rsid w:val="00D83E34"/>
    <w:rsid w:val="00D850AB"/>
    <w:rsid w:val="00D855D3"/>
    <w:rsid w:val="00D93B21"/>
    <w:rsid w:val="00DA7769"/>
    <w:rsid w:val="00DB4225"/>
    <w:rsid w:val="00DB42F5"/>
    <w:rsid w:val="00DB6876"/>
    <w:rsid w:val="00DB73FE"/>
    <w:rsid w:val="00DC768C"/>
    <w:rsid w:val="00DD2B32"/>
    <w:rsid w:val="00DD668A"/>
    <w:rsid w:val="00DE07A9"/>
    <w:rsid w:val="00DE4CEE"/>
    <w:rsid w:val="00E00061"/>
    <w:rsid w:val="00E0241E"/>
    <w:rsid w:val="00E04B07"/>
    <w:rsid w:val="00E05277"/>
    <w:rsid w:val="00E05DAD"/>
    <w:rsid w:val="00E07AC2"/>
    <w:rsid w:val="00E13B07"/>
    <w:rsid w:val="00E235CC"/>
    <w:rsid w:val="00E2670F"/>
    <w:rsid w:val="00E42194"/>
    <w:rsid w:val="00E47115"/>
    <w:rsid w:val="00E474B6"/>
    <w:rsid w:val="00E47BFD"/>
    <w:rsid w:val="00E53C0F"/>
    <w:rsid w:val="00E6172B"/>
    <w:rsid w:val="00E6549A"/>
    <w:rsid w:val="00E67162"/>
    <w:rsid w:val="00E674A3"/>
    <w:rsid w:val="00E73EF6"/>
    <w:rsid w:val="00E76116"/>
    <w:rsid w:val="00E913A6"/>
    <w:rsid w:val="00E922CF"/>
    <w:rsid w:val="00E92549"/>
    <w:rsid w:val="00E92B41"/>
    <w:rsid w:val="00E93140"/>
    <w:rsid w:val="00E9580B"/>
    <w:rsid w:val="00EA052D"/>
    <w:rsid w:val="00EA1240"/>
    <w:rsid w:val="00EA4C7F"/>
    <w:rsid w:val="00EB24FA"/>
    <w:rsid w:val="00EC2113"/>
    <w:rsid w:val="00EC2B07"/>
    <w:rsid w:val="00EC319A"/>
    <w:rsid w:val="00EC60B8"/>
    <w:rsid w:val="00ED4A76"/>
    <w:rsid w:val="00ED4BE7"/>
    <w:rsid w:val="00ED6060"/>
    <w:rsid w:val="00EE1E0F"/>
    <w:rsid w:val="00EE530C"/>
    <w:rsid w:val="00EF7930"/>
    <w:rsid w:val="00F0437F"/>
    <w:rsid w:val="00F07B6C"/>
    <w:rsid w:val="00F11239"/>
    <w:rsid w:val="00F1200B"/>
    <w:rsid w:val="00F16D15"/>
    <w:rsid w:val="00F27BAA"/>
    <w:rsid w:val="00F3047E"/>
    <w:rsid w:val="00F371C2"/>
    <w:rsid w:val="00F4377F"/>
    <w:rsid w:val="00F46B02"/>
    <w:rsid w:val="00F556CB"/>
    <w:rsid w:val="00F56D99"/>
    <w:rsid w:val="00F57620"/>
    <w:rsid w:val="00F66314"/>
    <w:rsid w:val="00F81F52"/>
    <w:rsid w:val="00F84941"/>
    <w:rsid w:val="00F85FBA"/>
    <w:rsid w:val="00F8634C"/>
    <w:rsid w:val="00FC02FF"/>
    <w:rsid w:val="00FC0FC9"/>
    <w:rsid w:val="00FC42BE"/>
    <w:rsid w:val="00FC640D"/>
    <w:rsid w:val="00FE151E"/>
    <w:rsid w:val="00FE3313"/>
    <w:rsid w:val="00FE5C5B"/>
    <w:rsid w:val="00FF145C"/>
    <w:rsid w:val="00FF30D4"/>
    <w:rsid w:val="00FF62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F0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136"/>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semiHidden/>
    <w:rsid w:val="00541136"/>
  </w:style>
  <w:style w:type="paragraph" w:styleId="Header">
    <w:name w:val="header"/>
    <w:basedOn w:val="Normal"/>
    <w:rsid w:val="00541136"/>
    <w:pPr>
      <w:tabs>
        <w:tab w:val="center" w:pos="4320"/>
        <w:tab w:val="right" w:pos="8640"/>
      </w:tabs>
    </w:pPr>
  </w:style>
  <w:style w:type="character" w:styleId="PageNumber">
    <w:name w:val="page number"/>
    <w:basedOn w:val="DefaultParagraphFont"/>
    <w:rsid w:val="00541136"/>
  </w:style>
  <w:style w:type="paragraph" w:styleId="Footer">
    <w:name w:val="footer"/>
    <w:basedOn w:val="Normal"/>
    <w:rsid w:val="00541136"/>
    <w:pPr>
      <w:tabs>
        <w:tab w:val="center" w:pos="4320"/>
        <w:tab w:val="right" w:pos="8640"/>
      </w:tabs>
    </w:pPr>
  </w:style>
  <w:style w:type="paragraph" w:styleId="FootnoteText">
    <w:name w:val="footnote text"/>
    <w:aliases w:val="ft"/>
    <w:basedOn w:val="Normal"/>
    <w:link w:val="FootnoteTextChar"/>
    <w:semiHidden/>
    <w:rsid w:val="00541136"/>
    <w:pPr>
      <w:autoSpaceDE w:val="0"/>
      <w:autoSpaceDN w:val="0"/>
      <w:adjustRightInd w:val="0"/>
    </w:pPr>
    <w:rPr>
      <w:rFonts w:ascii="CourierPS" w:hAnsi="CourierPS"/>
      <w:snapToGrid/>
      <w:sz w:val="20"/>
    </w:rPr>
  </w:style>
  <w:style w:type="paragraph" w:styleId="BodyText">
    <w:name w:val="Body Text"/>
    <w:basedOn w:val="Normal"/>
    <w:link w:val="BodyTextChar"/>
    <w:rsid w:val="00EC319A"/>
    <w:pPr>
      <w:widowControl/>
    </w:pPr>
    <w:rPr>
      <w:rFonts w:ascii="Times New Roman" w:hAnsi="Times New Roman"/>
      <w:i/>
      <w:iCs/>
      <w:snapToGrid/>
    </w:rPr>
  </w:style>
  <w:style w:type="character" w:customStyle="1" w:styleId="BodyTextChar">
    <w:name w:val="Body Text Char"/>
    <w:link w:val="BodyText"/>
    <w:semiHidden/>
    <w:locked/>
    <w:rsid w:val="00EC319A"/>
    <w:rPr>
      <w:i/>
      <w:iCs/>
      <w:sz w:val="24"/>
      <w:lang w:val="en-US" w:eastAsia="en-US" w:bidi="ar-SA"/>
    </w:rPr>
  </w:style>
  <w:style w:type="character" w:customStyle="1" w:styleId="documentbody1">
    <w:name w:val="documentbody1"/>
    <w:rsid w:val="00EA1240"/>
    <w:rPr>
      <w:rFonts w:ascii="Verdana" w:hAnsi="Verdana" w:cs="Times New Roman"/>
      <w:sz w:val="19"/>
      <w:szCs w:val="19"/>
    </w:rPr>
  </w:style>
  <w:style w:type="paragraph" w:customStyle="1" w:styleId="DoubleSpace">
    <w:name w:val="Double Space"/>
    <w:basedOn w:val="Normal"/>
    <w:rsid w:val="00EA1240"/>
    <w:pPr>
      <w:widowControl/>
      <w:spacing w:line="480" w:lineRule="auto"/>
    </w:pPr>
    <w:rPr>
      <w:rFonts w:ascii="CG Times" w:hAnsi="CG Times"/>
      <w:snapToGrid/>
    </w:rPr>
  </w:style>
  <w:style w:type="paragraph" w:styleId="ListParagraph">
    <w:name w:val="List Paragraph"/>
    <w:basedOn w:val="Normal"/>
    <w:uiPriority w:val="34"/>
    <w:qFormat/>
    <w:rsid w:val="00EA1240"/>
    <w:pPr>
      <w:widowControl/>
      <w:spacing w:after="200" w:line="276" w:lineRule="auto"/>
      <w:ind w:left="720"/>
      <w:contextualSpacing/>
    </w:pPr>
    <w:rPr>
      <w:rFonts w:ascii="Calibri" w:hAnsi="Calibri"/>
      <w:snapToGrid/>
      <w:sz w:val="22"/>
      <w:szCs w:val="22"/>
    </w:rPr>
  </w:style>
  <w:style w:type="paragraph" w:customStyle="1" w:styleId="doublespace0">
    <w:name w:val="doublespace"/>
    <w:basedOn w:val="Normal"/>
    <w:rsid w:val="00792888"/>
    <w:pPr>
      <w:widowControl/>
      <w:spacing w:before="100" w:beforeAutospacing="1" w:after="100" w:afterAutospacing="1"/>
    </w:pPr>
    <w:rPr>
      <w:rFonts w:ascii="Times New Roman" w:hAnsi="Times New Roman"/>
      <w:snapToGrid/>
      <w:szCs w:val="24"/>
    </w:rPr>
  </w:style>
  <w:style w:type="character" w:customStyle="1" w:styleId="FootnoteTextChar">
    <w:name w:val="Footnote Text Char"/>
    <w:aliases w:val="ft Char"/>
    <w:link w:val="FootnoteText"/>
    <w:locked/>
    <w:rsid w:val="008262BC"/>
    <w:rPr>
      <w:rFonts w:ascii="CourierPS" w:hAnsi="CourierPS"/>
      <w:lang w:val="en-US" w:eastAsia="en-US" w:bidi="ar-SA"/>
    </w:rPr>
  </w:style>
  <w:style w:type="character" w:styleId="CommentReference">
    <w:name w:val="annotation reference"/>
    <w:semiHidden/>
    <w:rsid w:val="0041183F"/>
    <w:rPr>
      <w:rFonts w:cs="Times New Roman"/>
      <w:sz w:val="16"/>
      <w:szCs w:val="16"/>
    </w:rPr>
  </w:style>
  <w:style w:type="paragraph" w:styleId="CommentText">
    <w:name w:val="annotation text"/>
    <w:basedOn w:val="Normal"/>
    <w:link w:val="CommentTextChar"/>
    <w:semiHidden/>
    <w:rsid w:val="0041183F"/>
    <w:pPr>
      <w:widowControl/>
    </w:pPr>
    <w:rPr>
      <w:rFonts w:ascii="Times New Roman" w:eastAsia="Calibri" w:hAnsi="Times New Roman"/>
      <w:snapToGrid/>
      <w:sz w:val="20"/>
    </w:rPr>
  </w:style>
  <w:style w:type="character" w:customStyle="1" w:styleId="CommentTextChar">
    <w:name w:val="Comment Text Char"/>
    <w:link w:val="CommentText"/>
    <w:semiHidden/>
    <w:locked/>
    <w:rsid w:val="0041183F"/>
    <w:rPr>
      <w:rFonts w:eastAsia="Calibri"/>
      <w:lang w:val="en-US" w:eastAsia="en-US" w:bidi="ar-SA"/>
    </w:rPr>
  </w:style>
  <w:style w:type="paragraph" w:styleId="BalloonText">
    <w:name w:val="Balloon Text"/>
    <w:basedOn w:val="Normal"/>
    <w:semiHidden/>
    <w:rsid w:val="0041183F"/>
    <w:rPr>
      <w:rFonts w:ascii="Tahoma" w:hAnsi="Tahoma" w:cs="Tahoma"/>
      <w:sz w:val="16"/>
      <w:szCs w:val="16"/>
    </w:rPr>
  </w:style>
  <w:style w:type="table" w:styleId="TableGrid">
    <w:name w:val="Table Grid"/>
    <w:basedOn w:val="TableNormal"/>
    <w:uiPriority w:val="39"/>
    <w:rsid w:val="00EC2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466EEC"/>
    <w:pPr>
      <w:widowControl w:val="0"/>
    </w:pPr>
    <w:rPr>
      <w:rFonts w:ascii="Courier" w:eastAsia="Times New Roman" w:hAnsi="Courier"/>
      <w:b/>
      <w:bCs/>
      <w:snapToGrid w:val="0"/>
    </w:rPr>
  </w:style>
  <w:style w:type="character" w:customStyle="1" w:styleId="CommentSubjectChar">
    <w:name w:val="Comment Subject Char"/>
    <w:link w:val="CommentSubject"/>
    <w:rsid w:val="00466EEC"/>
    <w:rPr>
      <w:rFonts w:ascii="Courier" w:eastAsia="Calibri" w:hAnsi="Courier"/>
      <w:b/>
      <w:bCs/>
      <w:snapToGrid w:val="0"/>
      <w:lang w:val="en-US" w:eastAsia="en-US" w:bidi="ar-SA"/>
    </w:rPr>
  </w:style>
  <w:style w:type="paragraph" w:styleId="Revision">
    <w:name w:val="Revision"/>
    <w:hidden/>
    <w:uiPriority w:val="99"/>
    <w:semiHidden/>
    <w:rsid w:val="00224A97"/>
    <w:rPr>
      <w:rFonts w:ascii="Courier" w:hAnsi="Courier"/>
      <w:snapToGrid w:val="0"/>
      <w:sz w:val="24"/>
    </w:rPr>
  </w:style>
  <w:style w:type="character" w:styleId="Hyperlink">
    <w:name w:val="Hyperlink"/>
    <w:basedOn w:val="DefaultParagraphFont"/>
    <w:uiPriority w:val="99"/>
    <w:unhideWhenUsed/>
    <w:rsid w:val="007D0E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B96C9-2E87-4F03-8DF0-6B4FF16555E3}">
  <ds:schemaRefs>
    <ds:schemaRef ds:uri="http://schemas.openxmlformats.org/officeDocument/2006/bibliography"/>
  </ds:schemaRefs>
</ds:datastoreItem>
</file>

<file path=docMetadata/LabelInfo.xml><?xml version="1.0" encoding="utf-8"?>
<clbl:labelList xmlns:clbl="http://schemas.microsoft.com/office/2020/mipLabelMetadata">
  <clbl:label id="{3be8ab8c-433c-4394-a4fb-cd2d5c4d0a5e}" enabled="1" method="Privileged" siteId="{26c83bc9-31c1-4d77-a523-0816095aba31}"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3464</Words>
  <Characters>19749</Characters>
  <Application>Microsoft Office Word</Application>
  <DocSecurity>0</DocSecurity>
  <Lines>164</Lines>
  <Paragraphs>46</Paragraphs>
  <ScaleCrop>false</ScaleCrop>
  <Company/>
  <LinksUpToDate>false</LinksUpToDate>
  <CharactersWithSpaces>23167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2026-01-24T19:14:00Z</dcterms:created>
  <dcterms:modified xsi:type="dcterms:W3CDTF">2026-01-29T18:02:00Z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9cc4ee1f-b968-4bae-80ca-01fa2c726757</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2024-01-22T17:23:47Z</vt:lpwstr>
  </property>
  <property fmtid="{D5CDD505-2E9C-101B-9397-08002B2CF9AE}" pid="8" name="MSIP_Label_3be8ab8c-433c-4394-a4fb-cd2d5c4d0a5e_SiteId">
    <vt:lpwstr>26c83bc9-31c1-4d77-a523-0816095aba31</vt:lpwstr>
  </property>
</Properties>
</file>