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C27242" w14:paraId="6DC203F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806B29" w:rsidRPr="006922EA" w:rsidP="00EA6C04" w14:paraId="471EEFED" w14:textId="77777777">
      <w:pPr>
        <w:jc w:val="center"/>
        <w:rPr>
          <w:rFonts w:asciiTheme="majorHAnsi" w:hAnsiTheme="majorHAnsi"/>
          <w:sz w:val="24"/>
        </w:rPr>
      </w:pPr>
      <w:bookmarkStart w:id="0" w:name="_Hlk207790594"/>
      <w:r w:rsidRPr="006922EA">
        <w:rPr>
          <w:rFonts w:asciiTheme="majorHAnsi" w:hAnsiTheme="majorHAnsi"/>
          <w:sz w:val="24"/>
        </w:rPr>
        <w:t xml:space="preserve">Sexual Violence Support &amp; Experiences Study (SVSES) </w:t>
      </w:r>
    </w:p>
    <w:p w:rsidR="00340D9B" w:rsidP="006D6B62" w14:paraId="76FB0FC5" w14:textId="6F1A40FF">
      <w:pPr>
        <w:tabs>
          <w:tab w:val="center" w:pos="4680"/>
          <w:tab w:val="left" w:pos="6984"/>
          <w:tab w:val="right" w:pos="9360"/>
        </w:tabs>
        <w:rPr>
          <w:rFonts w:asciiTheme="majorHAnsi" w:hAnsiTheme="majorHAnsi"/>
          <w:sz w:val="24"/>
        </w:rPr>
      </w:pPr>
      <w:r>
        <w:rPr>
          <w:rFonts w:asciiTheme="majorHAnsi" w:hAnsiTheme="majorHAnsi"/>
          <w:sz w:val="24"/>
        </w:rPr>
        <w:tab/>
        <w:t>0704-0647</w:t>
      </w:r>
      <w:bookmarkEnd w:id="0"/>
      <w:r>
        <w:rPr>
          <w:rFonts w:asciiTheme="majorHAnsi" w:hAnsiTheme="majorHAnsi"/>
          <w:sz w:val="24"/>
        </w:rPr>
        <w:tab/>
      </w:r>
      <w:r>
        <w:rPr>
          <w:rFonts w:asciiTheme="majorHAnsi" w:hAnsiTheme="majorHAnsi"/>
          <w:sz w:val="24"/>
        </w:rPr>
        <w:tab/>
      </w:r>
    </w:p>
    <w:p w:rsidR="005C7428" w:rsidRPr="0085688C" w:rsidP="006D6B62" w14:paraId="1898DF39" w14:textId="77777777">
      <w:pPr>
        <w:spacing w:after="0"/>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D7220E" w:rsidP="006D6B62" w14:paraId="3BB83B7D" w14:textId="77777777">
      <w:pPr>
        <w:pStyle w:val="paragraph"/>
        <w:spacing w:before="0" w:beforeAutospacing="0" w:after="0" w:afterAutospacing="0" w:line="276" w:lineRule="auto"/>
        <w:ind w:firstLine="720"/>
        <w:textAlignment w:val="baseline"/>
        <w:rPr>
          <w:rStyle w:val="normaltextrun"/>
          <w:rFonts w:asciiTheme="majorHAnsi" w:eastAsiaTheme="minorHAnsi" w:hAnsiTheme="majorHAnsi" w:cs="Calibri"/>
          <w:color w:val="000000"/>
          <w:sz w:val="22"/>
          <w:szCs w:val="22"/>
        </w:rPr>
      </w:pPr>
      <w:r w:rsidRPr="00C334A7">
        <w:rPr>
          <w:rStyle w:val="normaltextrun"/>
          <w:rFonts w:asciiTheme="majorHAnsi" w:hAnsiTheme="majorHAnsi" w:cs="Calibri"/>
          <w:color w:val="000000"/>
        </w:rPr>
        <w:t xml:space="preserve">In March 2019, Acting Secretary of Defense Patrick Shanahan requested the Department of </w:t>
      </w:r>
      <w:r w:rsidR="00FC2813">
        <w:rPr>
          <w:rStyle w:val="normaltextrun"/>
          <w:rFonts w:asciiTheme="majorHAnsi" w:hAnsiTheme="majorHAnsi" w:cs="Calibri"/>
          <w:color w:val="000000"/>
        </w:rPr>
        <w:t>War</w:t>
      </w:r>
      <w:r w:rsidRPr="00C334A7" w:rsidR="00FC2813">
        <w:rPr>
          <w:rStyle w:val="normaltextrun"/>
          <w:rFonts w:asciiTheme="majorHAnsi" w:hAnsiTheme="majorHAnsi" w:cs="Calibri"/>
          <w:color w:val="000000"/>
        </w:rPr>
        <w:t xml:space="preserve"> </w:t>
      </w:r>
      <w:r w:rsidRPr="00C334A7">
        <w:rPr>
          <w:rStyle w:val="normaltextrun"/>
          <w:rFonts w:asciiTheme="majorHAnsi" w:hAnsiTheme="majorHAnsi" w:cs="Calibri"/>
          <w:color w:val="000000"/>
        </w:rPr>
        <w:t>(</w:t>
      </w:r>
      <w:r w:rsidR="00FC2813">
        <w:rPr>
          <w:rStyle w:val="normaltextrun"/>
          <w:rFonts w:asciiTheme="majorHAnsi" w:hAnsiTheme="majorHAnsi" w:cs="Calibri"/>
          <w:color w:val="000000"/>
        </w:rPr>
        <w:t>the Department</w:t>
      </w:r>
      <w:r w:rsidRPr="00C334A7">
        <w:rPr>
          <w:rStyle w:val="normaltextrun"/>
          <w:rFonts w:asciiTheme="majorHAnsi" w:hAnsiTheme="majorHAnsi" w:cs="Calibri"/>
          <w:color w:val="000000"/>
        </w:rPr>
        <w:t xml:space="preserve">) to form a team of experts to “take a fresh look” at issues involving the sexual assault investigative and accountability process. The </w:t>
      </w:r>
      <w:r w:rsidRPr="00C334A7" w:rsidR="00FC2813">
        <w:rPr>
          <w:rStyle w:val="normaltextrun"/>
          <w:rFonts w:asciiTheme="majorHAnsi" w:hAnsiTheme="majorHAnsi" w:cs="Calibri"/>
          <w:color w:val="000000"/>
        </w:rPr>
        <w:t>D</w:t>
      </w:r>
      <w:r w:rsidR="00FC2813">
        <w:rPr>
          <w:rStyle w:val="normaltextrun"/>
          <w:rFonts w:asciiTheme="majorHAnsi" w:hAnsiTheme="majorHAnsi" w:cs="Calibri"/>
          <w:color w:val="000000"/>
        </w:rPr>
        <w:t>epartment</w:t>
      </w:r>
      <w:r w:rsidRPr="00C334A7" w:rsidR="00FC2813">
        <w:rPr>
          <w:rStyle w:val="normaltextrun"/>
          <w:rFonts w:asciiTheme="majorHAnsi" w:hAnsiTheme="majorHAnsi" w:cs="Calibri"/>
          <w:color w:val="000000"/>
        </w:rPr>
        <w:t xml:space="preserve"> </w:t>
      </w:r>
      <w:r w:rsidRPr="00C334A7">
        <w:rPr>
          <w:rStyle w:val="normaltextrun"/>
          <w:rFonts w:asciiTheme="majorHAnsi" w:hAnsiTheme="majorHAnsi" w:cs="Calibri"/>
          <w:color w:val="000000"/>
        </w:rPr>
        <w:t xml:space="preserve">established the Sexual Assault Accountability and Investigation Task Force (SAAITF) to identify, evaluate, and make recommendations to improve the investigation and accountability process. As part of this effort, the 2019 SAAITF report called for a “standardized survey of victim experiences, attitudes, and satisfaction.” The Sexual Violence Support and Experiences Study (SVSES) meets this requirement and will allow the </w:t>
      </w:r>
      <w:r w:rsidR="00FC2813">
        <w:rPr>
          <w:rStyle w:val="normaltextrun"/>
          <w:rFonts w:asciiTheme="majorHAnsi" w:hAnsiTheme="majorHAnsi" w:cs="Calibri"/>
          <w:color w:val="000000"/>
        </w:rPr>
        <w:t>Department</w:t>
      </w:r>
      <w:r w:rsidRPr="00C334A7" w:rsidR="00FC2813">
        <w:rPr>
          <w:rStyle w:val="normaltextrun"/>
          <w:rFonts w:asciiTheme="majorHAnsi" w:hAnsiTheme="majorHAnsi" w:cs="Calibri"/>
          <w:color w:val="000000"/>
        </w:rPr>
        <w:t xml:space="preserve"> </w:t>
      </w:r>
      <w:r w:rsidRPr="00C334A7">
        <w:rPr>
          <w:rStyle w:val="normaltextrun"/>
          <w:rFonts w:asciiTheme="majorHAnsi" w:hAnsiTheme="majorHAnsi" w:cs="Calibri"/>
          <w:color w:val="000000"/>
        </w:rPr>
        <w:t xml:space="preserve">Sexual Assault Prevention and Response Office (SAPRO), other </w:t>
      </w:r>
      <w:r w:rsidR="00FC2813">
        <w:rPr>
          <w:rStyle w:val="normaltextrun"/>
          <w:rFonts w:asciiTheme="majorHAnsi" w:hAnsiTheme="majorHAnsi" w:cs="Calibri"/>
          <w:color w:val="000000"/>
        </w:rPr>
        <w:t>Department</w:t>
      </w:r>
      <w:r w:rsidRPr="00C334A7" w:rsidR="00FC2813">
        <w:rPr>
          <w:rStyle w:val="normaltextrun"/>
          <w:rFonts w:asciiTheme="majorHAnsi" w:hAnsiTheme="majorHAnsi" w:cs="Calibri"/>
          <w:color w:val="000000"/>
        </w:rPr>
        <w:t xml:space="preserve"> </w:t>
      </w:r>
      <w:r w:rsidRPr="00C334A7">
        <w:rPr>
          <w:rStyle w:val="normaltextrun"/>
          <w:rFonts w:asciiTheme="majorHAnsi" w:hAnsiTheme="majorHAnsi" w:cs="Calibri"/>
          <w:color w:val="000000"/>
        </w:rPr>
        <w:t>policy offices, and the military Services to use the input of military members to inform improvements to the response system and to address challenges military members face during the military investigation and accountability process.</w:t>
      </w:r>
      <w:r>
        <w:rPr>
          <w:rStyle w:val="normaltextrun"/>
          <w:rFonts w:asciiTheme="majorHAnsi" w:hAnsiTheme="majorHAnsi" w:cs="Calibri"/>
          <w:color w:val="000000"/>
        </w:rPr>
        <w:t xml:space="preserve"> The need for this information collection is further supported by the findings of the recent (2021) Independent Review Commission on Sexual Assault in the Military (IRC) which included as a recommendation the need for the </w:t>
      </w:r>
      <w:r w:rsidR="00FC2813">
        <w:rPr>
          <w:rStyle w:val="normaltextrun"/>
          <w:rFonts w:asciiTheme="majorHAnsi" w:hAnsiTheme="majorHAnsi" w:cs="Calibri"/>
          <w:color w:val="000000"/>
        </w:rPr>
        <w:t xml:space="preserve">Department </w:t>
      </w:r>
      <w:r>
        <w:rPr>
          <w:rStyle w:val="normaltextrun"/>
          <w:rFonts w:asciiTheme="majorHAnsi" w:hAnsiTheme="majorHAnsi" w:cs="Calibri"/>
          <w:color w:val="000000"/>
        </w:rPr>
        <w:t xml:space="preserve">to “routinely and methodically” collect feedback from survivors to improve services.  The SVSES supports the implementation of this IRC recommendation.  </w:t>
      </w:r>
    </w:p>
    <w:p w:rsidR="00D7220E" w:rsidP="006D6B62" w14:paraId="25CF0394" w14:textId="77777777">
      <w:pPr>
        <w:pStyle w:val="paragraph"/>
        <w:spacing w:before="0" w:beforeAutospacing="0" w:after="0" w:afterAutospacing="0" w:line="276" w:lineRule="auto"/>
        <w:textAlignment w:val="baseline"/>
        <w:rPr>
          <w:rStyle w:val="normaltextrun"/>
          <w:rFonts w:asciiTheme="majorHAnsi" w:hAnsiTheme="majorHAnsi" w:cs="Calibri"/>
          <w:color w:val="000000"/>
        </w:rPr>
      </w:pPr>
    </w:p>
    <w:p w:rsidR="00CF40B0" w:rsidRPr="00511BD7" w:rsidP="006D6B62" w14:paraId="11C8FE17" w14:textId="77777777">
      <w:pPr>
        <w:spacing w:after="0"/>
        <w:ind w:firstLine="720"/>
        <w:rPr>
          <w:rFonts w:asciiTheme="majorHAnsi" w:hAnsiTheme="majorHAnsi" w:cs="Calibri"/>
          <w:color w:val="000000"/>
          <w:sz w:val="24"/>
          <w:szCs w:val="24"/>
        </w:rPr>
      </w:pPr>
      <w:r w:rsidRPr="00511BD7">
        <w:rPr>
          <w:rStyle w:val="normaltextrun"/>
          <w:rFonts w:asciiTheme="majorHAnsi" w:hAnsiTheme="majorHAnsi" w:cs="Calibri"/>
          <w:color w:val="000000"/>
          <w:sz w:val="24"/>
          <w:szCs w:val="24"/>
        </w:rPr>
        <w:t>The SVSES builds on a history of research focused on sexual assault survivors within the Department.</w:t>
      </w:r>
      <w:r w:rsidRPr="00511BD7">
        <w:rPr>
          <w:rFonts w:asciiTheme="majorHAnsi" w:hAnsiTheme="majorHAnsi"/>
          <w:sz w:val="24"/>
          <w:szCs w:val="24"/>
        </w:rPr>
        <w:t xml:space="preserve"> </w:t>
      </w:r>
      <w:r w:rsidRPr="00511BD7">
        <w:rPr>
          <w:rFonts w:asciiTheme="majorHAnsi" w:hAnsiTheme="majorHAnsi" w:cs="Calibri"/>
          <w:color w:val="000000"/>
          <w:sz w:val="24"/>
          <w:szCs w:val="24"/>
        </w:rPr>
        <w:t xml:space="preserve">In 2013, </w:t>
      </w:r>
      <w:r w:rsidR="00FC2813">
        <w:rPr>
          <w:rFonts w:asciiTheme="majorHAnsi" w:hAnsiTheme="majorHAnsi" w:cs="Calibri"/>
          <w:color w:val="000000"/>
          <w:sz w:val="24"/>
          <w:szCs w:val="24"/>
        </w:rPr>
        <w:t>the Department</w:t>
      </w:r>
      <w:r w:rsidRPr="00511BD7" w:rsidR="00FC2813">
        <w:rPr>
          <w:rFonts w:asciiTheme="majorHAnsi" w:hAnsiTheme="majorHAnsi" w:cs="Calibri"/>
          <w:color w:val="000000"/>
          <w:sz w:val="24"/>
          <w:szCs w:val="24"/>
        </w:rPr>
        <w:t xml:space="preserve"> </w:t>
      </w:r>
      <w:r w:rsidRPr="00511BD7">
        <w:rPr>
          <w:rFonts w:asciiTheme="majorHAnsi" w:hAnsiTheme="majorHAnsi" w:cs="Calibri"/>
          <w:color w:val="000000"/>
          <w:sz w:val="24"/>
          <w:szCs w:val="24"/>
        </w:rPr>
        <w:t>launched the first Survivor Experience Survey (SES)</w:t>
      </w:r>
      <w:r w:rsidR="00FC2813">
        <w:rPr>
          <w:rFonts w:asciiTheme="majorHAnsi" w:hAnsiTheme="majorHAnsi" w:cs="Calibri"/>
          <w:color w:val="000000"/>
          <w:sz w:val="24"/>
          <w:szCs w:val="24"/>
        </w:rPr>
        <w:t xml:space="preserve"> </w:t>
      </w:r>
      <w:r w:rsidRPr="00511BD7">
        <w:rPr>
          <w:rFonts w:asciiTheme="majorHAnsi" w:hAnsiTheme="majorHAnsi" w:cs="Calibri"/>
          <w:color w:val="000000"/>
          <w:sz w:val="24"/>
          <w:szCs w:val="24"/>
        </w:rPr>
        <w:t>to assess the use and effectiveness of the sexual assault services and resources that military survivors of sexual assault receive.</w:t>
      </w:r>
      <w:r>
        <w:rPr>
          <w:rStyle w:val="FootnoteReference"/>
          <w:rFonts w:asciiTheme="majorHAnsi" w:hAnsiTheme="majorHAnsi" w:cs="Calibri"/>
          <w:color w:val="000000"/>
          <w:sz w:val="24"/>
          <w:szCs w:val="24"/>
        </w:rPr>
        <w:footnoteReference w:id="3"/>
      </w:r>
      <w:r w:rsidRPr="00511BD7">
        <w:rPr>
          <w:rFonts w:asciiTheme="majorHAnsi" w:hAnsiTheme="majorHAnsi" w:cs="Calibri"/>
          <w:color w:val="000000"/>
          <w:sz w:val="24"/>
          <w:szCs w:val="24"/>
        </w:rPr>
        <w:t xml:space="preserve">  In 2015, the SES was rebranded as</w:t>
      </w:r>
      <w:r w:rsidRPr="00511BD7">
        <w:rPr>
          <w:rStyle w:val="normaltextrun"/>
          <w:rFonts w:asciiTheme="majorHAnsi" w:hAnsiTheme="majorHAnsi" w:cs="Calibri"/>
          <w:color w:val="000000"/>
          <w:sz w:val="24"/>
          <w:szCs w:val="24"/>
        </w:rPr>
        <w:t xml:space="preserve"> </w:t>
      </w:r>
      <w:r w:rsidRPr="00511BD7">
        <w:rPr>
          <w:rFonts w:asciiTheme="majorHAnsi" w:hAnsiTheme="majorHAnsi" w:cs="Calibri"/>
          <w:color w:val="000000"/>
          <w:sz w:val="24"/>
          <w:szCs w:val="24"/>
        </w:rPr>
        <w:t xml:space="preserve">the Military Investigation and Justice Experiences Survey (MIJES) to assess the investigative and legal processes experienced by military members that have made a report of sexual assault and gone through the military investigation process.  Of note, the target population of the MIJES was survivors of sexual assault in the military who made a report to </w:t>
      </w:r>
      <w:r w:rsidR="00FC2813">
        <w:rPr>
          <w:rFonts w:asciiTheme="majorHAnsi" w:hAnsiTheme="majorHAnsi" w:cs="Calibri"/>
          <w:color w:val="000000"/>
          <w:sz w:val="24"/>
          <w:szCs w:val="24"/>
        </w:rPr>
        <w:t>the Department</w:t>
      </w:r>
      <w:r w:rsidRPr="00511BD7" w:rsidR="00FC2813">
        <w:rPr>
          <w:rFonts w:asciiTheme="majorHAnsi" w:hAnsiTheme="majorHAnsi" w:cs="Calibri"/>
          <w:color w:val="000000"/>
          <w:sz w:val="24"/>
          <w:szCs w:val="24"/>
        </w:rPr>
        <w:t xml:space="preserve"> </w:t>
      </w:r>
      <w:r w:rsidRPr="00511BD7">
        <w:rPr>
          <w:rFonts w:asciiTheme="majorHAnsi" w:hAnsiTheme="majorHAnsi" w:cs="Calibri"/>
          <w:color w:val="000000"/>
          <w:sz w:val="24"/>
          <w:szCs w:val="24"/>
        </w:rPr>
        <w:t>authorities and whose case was closed.</w:t>
      </w:r>
      <w:r>
        <w:rPr>
          <w:rStyle w:val="FootnoteReference"/>
          <w:rFonts w:asciiTheme="majorHAnsi" w:hAnsiTheme="majorHAnsi" w:cs="Calibri"/>
          <w:color w:val="000000"/>
          <w:sz w:val="24"/>
          <w:szCs w:val="24"/>
        </w:rPr>
        <w:footnoteReference w:id="4"/>
      </w:r>
      <w:r w:rsidRPr="00511BD7">
        <w:rPr>
          <w:rFonts w:asciiTheme="majorHAnsi" w:hAnsiTheme="majorHAnsi" w:cs="Calibri"/>
          <w:color w:val="000000"/>
          <w:sz w:val="24"/>
          <w:szCs w:val="24"/>
        </w:rPr>
        <w:t xml:space="preserve">  </w:t>
      </w:r>
      <w:r w:rsidRPr="00511BD7" w:rsidR="007E14F3">
        <w:rPr>
          <w:rFonts w:asciiTheme="majorHAnsi" w:hAnsiTheme="majorHAnsi" w:cs="Calibri"/>
          <w:color w:val="000000"/>
          <w:sz w:val="24"/>
          <w:szCs w:val="24"/>
        </w:rPr>
        <w:t xml:space="preserve">The MIJES was concluded after the 2017 administration due to a low number of responses.  We found that this was partially </w:t>
      </w:r>
      <w:r w:rsidRPr="00511BD7" w:rsidR="007E14F3">
        <w:rPr>
          <w:rFonts w:asciiTheme="majorHAnsi" w:hAnsiTheme="majorHAnsi" w:cs="Calibri"/>
          <w:color w:val="000000"/>
          <w:sz w:val="24"/>
          <w:szCs w:val="24"/>
        </w:rPr>
        <w:t>due to the study design; specifically, members were invited to take the survey after their sexual assault case had closed.  However, at this point many survivors had separated from the military and were no longer able to be readily contacted, nor eligible for participation.  Furthermore, waiting until the case closed to solicit feedback from survivors prevented us from understanding how experiences with the military justice process unfold and impact survivor wellbeing over time.</w:t>
      </w:r>
      <w:r w:rsidRPr="00511BD7" w:rsidR="00C43F81">
        <w:rPr>
          <w:rFonts w:asciiTheme="majorHAnsi" w:hAnsiTheme="majorHAnsi" w:cs="Calibri"/>
          <w:color w:val="000000"/>
          <w:sz w:val="24"/>
          <w:szCs w:val="24"/>
        </w:rPr>
        <w:t xml:space="preserve">  </w:t>
      </w:r>
    </w:p>
    <w:p w:rsidR="00CF40B0" w:rsidRPr="00511BD7" w:rsidP="006D6B62" w14:paraId="66C86A1B" w14:textId="77777777">
      <w:pPr>
        <w:spacing w:after="0"/>
        <w:rPr>
          <w:rFonts w:asciiTheme="majorHAnsi" w:hAnsiTheme="majorHAnsi" w:cs="Calibri"/>
          <w:color w:val="000000"/>
          <w:sz w:val="24"/>
          <w:szCs w:val="24"/>
        </w:rPr>
      </w:pPr>
    </w:p>
    <w:p w:rsidR="00026484" w:rsidRPr="00511BD7" w:rsidP="006D6B62" w14:paraId="319B7F07" w14:textId="77777777">
      <w:pPr>
        <w:spacing w:after="0"/>
        <w:ind w:firstLine="720"/>
        <w:rPr>
          <w:rFonts w:asciiTheme="majorHAnsi" w:hAnsiTheme="majorHAnsi" w:cs="Calibri"/>
          <w:color w:val="000000"/>
          <w:sz w:val="24"/>
          <w:szCs w:val="24"/>
        </w:rPr>
      </w:pPr>
      <w:r w:rsidRPr="00511BD7">
        <w:rPr>
          <w:rFonts w:asciiTheme="majorHAnsi" w:hAnsiTheme="majorHAnsi" w:cs="Calibri"/>
          <w:color w:val="000000"/>
          <w:sz w:val="24"/>
          <w:szCs w:val="24"/>
        </w:rPr>
        <w:t>T</w:t>
      </w:r>
      <w:r w:rsidRPr="00511BD7" w:rsidR="007E14F3">
        <w:rPr>
          <w:rFonts w:asciiTheme="majorHAnsi" w:hAnsiTheme="majorHAnsi" w:cs="Calibri"/>
          <w:color w:val="000000"/>
          <w:sz w:val="24"/>
          <w:szCs w:val="24"/>
        </w:rPr>
        <w:t xml:space="preserve">he SVSES was specifically and intentionally designed to build upon and leverage lessons learned from the SES and MIJES.  Most notably, the target population of the SVSES is broader than prior efforts, and we have included multiple outreach strategies in our design to provide the opportunity to participate in the study to the largest number of eligible individuals.  Furthermore, the SVSES is longitudinal rather than cross-sectional.  The SVSES is designed to survey military members who have experienced a sexual assault while serving in the military, regardless of whether they reported their experience to a military authority.  This will allow us to capture a much broader range of victim’s experiences with the system, including from those victims who choose not to engage directly with the sexual assault response system and/or the justice system, and those victims who may choose to make a report </w:t>
      </w:r>
      <w:r w:rsidRPr="00511BD7" w:rsidR="00511BD7">
        <w:rPr>
          <w:rFonts w:asciiTheme="majorHAnsi" w:hAnsiTheme="majorHAnsi" w:cs="Calibri"/>
          <w:color w:val="000000"/>
          <w:sz w:val="24"/>
          <w:szCs w:val="24"/>
        </w:rPr>
        <w:t>during</w:t>
      </w:r>
      <w:r w:rsidRPr="00511BD7" w:rsidR="007E14F3">
        <w:rPr>
          <w:rFonts w:asciiTheme="majorHAnsi" w:hAnsiTheme="majorHAnsi" w:cs="Calibri"/>
          <w:color w:val="000000"/>
          <w:sz w:val="24"/>
          <w:szCs w:val="24"/>
        </w:rPr>
        <w:t xml:space="preserve"> their study participation.  The longitudinal design will </w:t>
      </w:r>
      <w:r w:rsidRPr="00511BD7" w:rsidR="00F43116">
        <w:rPr>
          <w:rFonts w:asciiTheme="majorHAnsi" w:hAnsiTheme="majorHAnsi" w:cs="Calibri"/>
          <w:color w:val="000000"/>
          <w:sz w:val="24"/>
          <w:szCs w:val="24"/>
        </w:rPr>
        <w:t xml:space="preserve">also </w:t>
      </w:r>
      <w:r w:rsidRPr="00511BD7" w:rsidR="007E14F3">
        <w:rPr>
          <w:rFonts w:asciiTheme="majorHAnsi" w:hAnsiTheme="majorHAnsi" w:cs="Calibri"/>
          <w:color w:val="000000"/>
          <w:sz w:val="24"/>
          <w:szCs w:val="24"/>
        </w:rPr>
        <w:t xml:space="preserve">allow us to understand in much greater depth how experiences with the system relate to victim health, wellbeing and career outcomes.  As one example, we will </w:t>
      </w:r>
      <w:r w:rsidRPr="00511BD7" w:rsidR="00807F9E">
        <w:rPr>
          <w:rFonts w:asciiTheme="majorHAnsi" w:hAnsiTheme="majorHAnsi" w:cs="Calibri"/>
          <w:color w:val="000000"/>
          <w:sz w:val="24"/>
          <w:szCs w:val="24"/>
        </w:rPr>
        <w:t>assess</w:t>
      </w:r>
      <w:r w:rsidRPr="00511BD7" w:rsidR="00902209">
        <w:rPr>
          <w:rFonts w:asciiTheme="majorHAnsi" w:hAnsiTheme="majorHAnsi" w:cs="Calibri"/>
          <w:color w:val="000000"/>
          <w:sz w:val="24"/>
          <w:szCs w:val="24"/>
        </w:rPr>
        <w:t xml:space="preserve"> factors that impact</w:t>
      </w:r>
      <w:r w:rsidRPr="00511BD7" w:rsidR="007E14F3">
        <w:rPr>
          <w:rFonts w:asciiTheme="majorHAnsi" w:hAnsiTheme="majorHAnsi" w:cs="Calibri"/>
          <w:color w:val="000000"/>
          <w:sz w:val="24"/>
          <w:szCs w:val="24"/>
        </w:rPr>
        <w:t xml:space="preserve"> a victim’s wellbeing</w:t>
      </w:r>
      <w:r w:rsidRPr="00511BD7" w:rsidR="00902209">
        <w:rPr>
          <w:rFonts w:asciiTheme="majorHAnsi" w:hAnsiTheme="majorHAnsi" w:cs="Calibri"/>
          <w:color w:val="000000"/>
          <w:sz w:val="24"/>
          <w:szCs w:val="24"/>
        </w:rPr>
        <w:t xml:space="preserve"> trajectory</w:t>
      </w:r>
      <w:r w:rsidRPr="00511BD7" w:rsidR="007E14F3">
        <w:rPr>
          <w:rFonts w:asciiTheme="majorHAnsi" w:hAnsiTheme="majorHAnsi" w:cs="Calibri"/>
          <w:color w:val="000000"/>
          <w:sz w:val="24"/>
          <w:szCs w:val="24"/>
        </w:rPr>
        <w:t xml:space="preserve"> to identify </w:t>
      </w:r>
      <w:r w:rsidRPr="00511BD7" w:rsidR="00902209">
        <w:rPr>
          <w:rFonts w:asciiTheme="majorHAnsi" w:hAnsiTheme="majorHAnsi" w:cs="Calibri"/>
          <w:color w:val="000000"/>
          <w:sz w:val="24"/>
          <w:szCs w:val="24"/>
        </w:rPr>
        <w:t xml:space="preserve">a </w:t>
      </w:r>
      <w:r w:rsidRPr="00511BD7" w:rsidR="007E14F3">
        <w:rPr>
          <w:rFonts w:asciiTheme="majorHAnsi" w:hAnsiTheme="majorHAnsi" w:cs="Calibri"/>
          <w:color w:val="000000"/>
          <w:sz w:val="24"/>
          <w:szCs w:val="24"/>
        </w:rPr>
        <w:t>point</w:t>
      </w:r>
      <w:r w:rsidRPr="00511BD7" w:rsidR="00902209">
        <w:rPr>
          <w:rFonts w:asciiTheme="majorHAnsi" w:hAnsiTheme="majorHAnsi" w:cs="Calibri"/>
          <w:color w:val="000000"/>
          <w:sz w:val="24"/>
          <w:szCs w:val="24"/>
        </w:rPr>
        <w:t>(s)</w:t>
      </w:r>
      <w:r w:rsidRPr="00511BD7" w:rsidR="007E14F3">
        <w:rPr>
          <w:rFonts w:asciiTheme="majorHAnsi" w:hAnsiTheme="majorHAnsi" w:cs="Calibri"/>
          <w:color w:val="000000"/>
          <w:sz w:val="24"/>
          <w:szCs w:val="24"/>
        </w:rPr>
        <w:t xml:space="preserve"> in time during which additional resources for victims </w:t>
      </w:r>
      <w:r w:rsidRPr="00511BD7" w:rsidR="00902209">
        <w:rPr>
          <w:rFonts w:asciiTheme="majorHAnsi" w:hAnsiTheme="majorHAnsi" w:cs="Calibri"/>
          <w:color w:val="000000"/>
          <w:sz w:val="24"/>
          <w:szCs w:val="24"/>
        </w:rPr>
        <w:t xml:space="preserve">may be </w:t>
      </w:r>
      <w:r w:rsidRPr="00511BD7" w:rsidR="007E14F3">
        <w:rPr>
          <w:rFonts w:asciiTheme="majorHAnsi" w:hAnsiTheme="majorHAnsi" w:cs="Calibri"/>
          <w:color w:val="000000"/>
          <w:sz w:val="24"/>
          <w:szCs w:val="24"/>
        </w:rPr>
        <w:t>needed.</w:t>
      </w:r>
      <w:r w:rsidRPr="00511BD7" w:rsidR="005F3266">
        <w:rPr>
          <w:rFonts w:asciiTheme="majorHAnsi" w:hAnsiTheme="majorHAnsi" w:cs="Calibri"/>
          <w:color w:val="000000"/>
          <w:sz w:val="24"/>
          <w:szCs w:val="24"/>
        </w:rPr>
        <w:t xml:space="preserve">  This information will complement the data and insights gleaned from the </w:t>
      </w:r>
      <w:r w:rsidRPr="00511BD7">
        <w:rPr>
          <w:rFonts w:asciiTheme="majorHAnsi" w:hAnsiTheme="majorHAnsi" w:cs="Calibri"/>
          <w:color w:val="000000"/>
          <w:sz w:val="24"/>
          <w:szCs w:val="24"/>
        </w:rPr>
        <w:t>Workplace Experiences Surveys (WES)</w:t>
      </w:r>
      <w:r w:rsidRPr="00511BD7" w:rsidR="00B93174">
        <w:rPr>
          <w:rFonts w:asciiTheme="majorHAnsi" w:hAnsiTheme="majorHAnsi" w:cs="Calibri"/>
          <w:color w:val="000000"/>
          <w:sz w:val="24"/>
          <w:szCs w:val="24"/>
        </w:rPr>
        <w:t>, which provides</w:t>
      </w:r>
      <w:r w:rsidRPr="00511BD7">
        <w:rPr>
          <w:rFonts w:asciiTheme="majorHAnsi" w:hAnsiTheme="majorHAnsi" w:cs="Calibri"/>
          <w:color w:val="000000"/>
          <w:sz w:val="24"/>
          <w:szCs w:val="24"/>
        </w:rPr>
        <w:t xml:space="preserve"> estimate</w:t>
      </w:r>
      <w:r w:rsidRPr="00511BD7" w:rsidR="00B93174">
        <w:rPr>
          <w:rFonts w:asciiTheme="majorHAnsi" w:hAnsiTheme="majorHAnsi" w:cs="Calibri"/>
          <w:color w:val="000000"/>
          <w:sz w:val="24"/>
          <w:szCs w:val="24"/>
        </w:rPr>
        <w:t>s of</w:t>
      </w:r>
      <w:r w:rsidRPr="00511BD7">
        <w:rPr>
          <w:rFonts w:asciiTheme="majorHAnsi" w:hAnsiTheme="majorHAnsi" w:cs="Calibri"/>
          <w:color w:val="000000"/>
          <w:sz w:val="24"/>
          <w:szCs w:val="24"/>
        </w:rPr>
        <w:t xml:space="preserve"> the prevalence of unwanted sexual contact and sexual harassment in the force.  The population of interest is all active duty and Reserve component members.</w:t>
      </w:r>
      <w:r>
        <w:rPr>
          <w:rStyle w:val="FootnoteReference"/>
          <w:rFonts w:asciiTheme="majorHAnsi" w:hAnsiTheme="majorHAnsi" w:cs="Calibri"/>
          <w:color w:val="000000"/>
          <w:sz w:val="24"/>
          <w:szCs w:val="24"/>
        </w:rPr>
        <w:footnoteReference w:id="5"/>
      </w:r>
      <w:r w:rsidRPr="00511BD7">
        <w:rPr>
          <w:rFonts w:asciiTheme="majorHAnsi" w:hAnsiTheme="majorHAnsi" w:cs="Calibri"/>
          <w:color w:val="000000"/>
          <w:sz w:val="24"/>
          <w:szCs w:val="24"/>
          <w:vertAlign w:val="superscript"/>
        </w:rPr>
        <w:t>,</w:t>
      </w:r>
      <w:r>
        <w:rPr>
          <w:rStyle w:val="FootnoteReference"/>
          <w:rFonts w:asciiTheme="majorHAnsi" w:hAnsiTheme="majorHAnsi" w:cs="Calibri"/>
          <w:color w:val="000000"/>
          <w:sz w:val="24"/>
          <w:szCs w:val="24"/>
        </w:rPr>
        <w:footnoteReference w:id="6"/>
      </w:r>
      <w:r w:rsidRPr="00511BD7">
        <w:rPr>
          <w:rFonts w:asciiTheme="majorHAnsi" w:hAnsiTheme="majorHAnsi" w:cs="Calibri"/>
          <w:color w:val="000000"/>
          <w:sz w:val="24"/>
          <w:szCs w:val="24"/>
        </w:rPr>
        <w:t xml:space="preserve">  The SVSES focuse</w:t>
      </w:r>
      <w:r w:rsidRPr="00511BD7" w:rsidR="00B93174">
        <w:rPr>
          <w:rFonts w:asciiTheme="majorHAnsi" w:hAnsiTheme="majorHAnsi" w:cs="Calibri"/>
          <w:color w:val="000000"/>
          <w:sz w:val="24"/>
          <w:szCs w:val="24"/>
        </w:rPr>
        <w:t>s</w:t>
      </w:r>
      <w:r w:rsidRPr="00511BD7">
        <w:rPr>
          <w:rFonts w:asciiTheme="majorHAnsi" w:hAnsiTheme="majorHAnsi" w:cs="Calibri"/>
          <w:color w:val="000000"/>
          <w:sz w:val="24"/>
          <w:szCs w:val="24"/>
        </w:rPr>
        <w:t xml:space="preserve"> on</w:t>
      </w:r>
      <w:r w:rsidRPr="00511BD7" w:rsidR="00B93174">
        <w:rPr>
          <w:rFonts w:asciiTheme="majorHAnsi" w:hAnsiTheme="majorHAnsi" w:cs="Calibri"/>
          <w:color w:val="000000"/>
          <w:sz w:val="24"/>
          <w:szCs w:val="24"/>
        </w:rPr>
        <w:t xml:space="preserve"> those</w:t>
      </w:r>
      <w:r w:rsidRPr="00511BD7">
        <w:rPr>
          <w:rFonts w:asciiTheme="majorHAnsi" w:hAnsiTheme="majorHAnsi" w:cs="Calibri"/>
          <w:color w:val="000000"/>
          <w:sz w:val="24"/>
          <w:szCs w:val="24"/>
        </w:rPr>
        <w:t xml:space="preserve"> military members who have experienced sexual assault and captures nuanced information regarding victim’s experiences </w:t>
      </w:r>
      <w:r w:rsidRPr="00511BD7" w:rsidR="00B93174">
        <w:rPr>
          <w:rFonts w:asciiTheme="majorHAnsi" w:hAnsiTheme="majorHAnsi" w:cs="Calibri"/>
          <w:color w:val="000000"/>
          <w:sz w:val="24"/>
          <w:szCs w:val="24"/>
        </w:rPr>
        <w:t>to</w:t>
      </w:r>
      <w:r w:rsidRPr="00511BD7">
        <w:rPr>
          <w:rFonts w:asciiTheme="majorHAnsi" w:hAnsiTheme="majorHAnsi" w:cs="Calibri"/>
          <w:color w:val="000000"/>
          <w:sz w:val="24"/>
          <w:szCs w:val="24"/>
        </w:rPr>
        <w:t xml:space="preserve"> inform continued efforts to improve the sexual assault response system.  </w:t>
      </w:r>
    </w:p>
    <w:p w:rsidR="00026484" w:rsidP="006D6B62" w14:paraId="3564F4A1" w14:textId="77777777">
      <w:pPr>
        <w:spacing w:after="0"/>
        <w:rPr>
          <w:rFonts w:asciiTheme="majorHAnsi" w:hAnsiTheme="majorHAnsi" w:cs="Calibri"/>
          <w:color w:val="000000"/>
        </w:rPr>
      </w:pPr>
    </w:p>
    <w:p w:rsidR="003F1910" w:rsidP="006D6B62" w14:paraId="7D098A18" w14:textId="1BD1E87D">
      <w:pPr>
        <w:pStyle w:val="paragraph"/>
        <w:spacing w:before="0" w:beforeAutospacing="0" w:after="0" w:afterAutospacing="0" w:line="276" w:lineRule="auto"/>
        <w:ind w:firstLine="720"/>
        <w:textAlignment w:val="baseline"/>
        <w:rPr>
          <w:rFonts w:asciiTheme="majorHAnsi" w:hAnsiTheme="majorHAnsi" w:cs="Calibri"/>
          <w:color w:val="000000"/>
        </w:rPr>
      </w:pPr>
      <w:r>
        <w:rPr>
          <w:rFonts w:asciiTheme="majorHAnsi" w:hAnsiTheme="majorHAnsi" w:cs="Calibri"/>
          <w:color w:val="000000"/>
        </w:rPr>
        <w:t xml:space="preserve">There is one final feature of the SVSES to highlight. </w:t>
      </w:r>
      <w:r w:rsidR="006A4C65">
        <w:rPr>
          <w:rFonts w:asciiTheme="majorHAnsi" w:hAnsiTheme="majorHAnsi" w:cs="Calibri"/>
          <w:color w:val="000000"/>
        </w:rPr>
        <w:t xml:space="preserve">Due to </w:t>
      </w:r>
      <w:r>
        <w:rPr>
          <w:rFonts w:asciiTheme="majorHAnsi" w:hAnsiTheme="majorHAnsi" w:cs="Calibri"/>
          <w:color w:val="000000"/>
        </w:rPr>
        <w:t xml:space="preserve">the target population of the SVSES </w:t>
      </w:r>
      <w:r w:rsidR="006A4C65">
        <w:rPr>
          <w:rFonts w:asciiTheme="majorHAnsi" w:hAnsiTheme="majorHAnsi" w:cs="Calibri"/>
          <w:color w:val="000000"/>
        </w:rPr>
        <w:t xml:space="preserve">being </w:t>
      </w:r>
      <w:r>
        <w:rPr>
          <w:rFonts w:asciiTheme="majorHAnsi" w:hAnsiTheme="majorHAnsi" w:cs="Calibri"/>
          <w:color w:val="000000"/>
        </w:rPr>
        <w:t xml:space="preserve">anyone who has experienced a sexual assault in the military, regardless of whether they have reported their assault to the </w:t>
      </w:r>
      <w:r w:rsidR="00FC2813">
        <w:rPr>
          <w:rFonts w:asciiTheme="majorHAnsi" w:hAnsiTheme="majorHAnsi" w:cs="Calibri"/>
          <w:color w:val="000000"/>
        </w:rPr>
        <w:t>Department</w:t>
      </w:r>
      <w:r>
        <w:rPr>
          <w:rFonts w:asciiTheme="majorHAnsi" w:hAnsiTheme="majorHAnsi" w:cs="Calibri"/>
          <w:color w:val="000000"/>
        </w:rPr>
        <w:t xml:space="preserve">, we do not have a “frame” </w:t>
      </w:r>
      <w:r w:rsidR="00C960B5">
        <w:rPr>
          <w:rFonts w:asciiTheme="majorHAnsi" w:hAnsiTheme="majorHAnsi" w:cs="Calibri"/>
          <w:color w:val="000000"/>
        </w:rPr>
        <w:t xml:space="preserve">or known population </w:t>
      </w:r>
      <w:r>
        <w:rPr>
          <w:rFonts w:asciiTheme="majorHAnsi" w:hAnsiTheme="majorHAnsi" w:cs="Calibri"/>
          <w:color w:val="000000"/>
        </w:rPr>
        <w:t xml:space="preserve"> to sample from nor to</w:t>
      </w:r>
      <w:r w:rsidR="00C960B5">
        <w:rPr>
          <w:rFonts w:asciiTheme="majorHAnsi" w:hAnsiTheme="majorHAnsi" w:cs="Calibri"/>
          <w:color w:val="000000"/>
        </w:rPr>
        <w:t xml:space="preserve"> apply</w:t>
      </w:r>
      <w:r>
        <w:rPr>
          <w:rFonts w:asciiTheme="majorHAnsi" w:hAnsiTheme="majorHAnsi" w:cs="Calibri"/>
          <w:color w:val="000000"/>
        </w:rPr>
        <w:t xml:space="preserve"> weight</w:t>
      </w:r>
      <w:r w:rsidR="00C960B5">
        <w:rPr>
          <w:rFonts w:asciiTheme="majorHAnsi" w:hAnsiTheme="majorHAnsi" w:cs="Calibri"/>
          <w:color w:val="000000"/>
        </w:rPr>
        <w:t>s</w:t>
      </w:r>
      <w:r>
        <w:rPr>
          <w:rFonts w:asciiTheme="majorHAnsi" w:hAnsiTheme="majorHAnsi" w:cs="Calibri"/>
          <w:color w:val="000000"/>
        </w:rPr>
        <w:t xml:space="preserve"> to (by definition, those victims who did not make a report are unknown to the institution and there is no authoritative list of </w:t>
      </w:r>
      <w:r>
        <w:rPr>
          <w:rFonts w:asciiTheme="majorHAnsi" w:hAnsiTheme="majorHAnsi" w:cs="Calibri"/>
          <w:color w:val="000000"/>
        </w:rPr>
        <w:t>these individuals).</w:t>
      </w:r>
      <w:r>
        <w:rPr>
          <w:rStyle w:val="FootnoteReference"/>
          <w:rFonts w:asciiTheme="majorHAnsi" w:hAnsiTheme="majorHAnsi" w:cs="Calibri"/>
          <w:color w:val="000000"/>
        </w:rPr>
        <w:footnoteReference w:id="7"/>
      </w:r>
      <w:r>
        <w:rPr>
          <w:rFonts w:asciiTheme="majorHAnsi" w:hAnsiTheme="majorHAnsi" w:cs="Calibri"/>
          <w:color w:val="000000"/>
        </w:rPr>
        <w:t xml:space="preserve">  This necessitates that the SVSES is a non-probability survey.  We fully endorse the utility of probability surveys and believe a probability approach should be used when possible.  However, we believe the value of including all sexual assault survivors in the SVSES rather than focusing on only those victims who have made a report outweighs the downsides of employing a non-probability based approach.  </w:t>
      </w:r>
      <w:r w:rsidR="00511BD7">
        <w:rPr>
          <w:rFonts w:asciiTheme="majorHAnsi" w:hAnsiTheme="majorHAnsi" w:cs="Calibri"/>
          <w:color w:val="000000"/>
        </w:rPr>
        <w:t>For example</w:t>
      </w:r>
      <w:r>
        <w:rPr>
          <w:rFonts w:asciiTheme="majorHAnsi" w:hAnsiTheme="majorHAnsi" w:cs="Calibri"/>
          <w:color w:val="000000"/>
        </w:rPr>
        <w:t>,</w:t>
      </w:r>
      <w:r w:rsidRPr="00511BD7">
        <w:rPr>
          <w:rFonts w:asciiTheme="majorHAnsi" w:hAnsiTheme="majorHAnsi" w:cs="Calibri"/>
          <w:color w:val="000000"/>
        </w:rPr>
        <w:t xml:space="preserve"> </w:t>
      </w:r>
      <w:r w:rsidR="00D85E28">
        <w:rPr>
          <w:rFonts w:asciiTheme="majorHAnsi" w:hAnsiTheme="majorHAnsi" w:cs="Calibri"/>
          <w:color w:val="000000"/>
        </w:rPr>
        <w:t xml:space="preserve">WES results from 2021 and 2023 show that </w:t>
      </w:r>
      <w:r w:rsidRPr="00511BD7">
        <w:rPr>
          <w:rFonts w:asciiTheme="majorHAnsi" w:hAnsiTheme="majorHAnsi" w:cs="Calibri"/>
          <w:color w:val="000000"/>
        </w:rPr>
        <w:t>less than one-third of</w:t>
      </w:r>
      <w:r>
        <w:rPr>
          <w:rFonts w:asciiTheme="majorHAnsi" w:hAnsiTheme="majorHAnsi" w:cs="Calibri"/>
          <w:color w:val="000000"/>
        </w:rPr>
        <w:t xml:space="preserve"> victims of sexual assault make a report to a </w:t>
      </w:r>
      <w:r w:rsidR="00FC2813">
        <w:rPr>
          <w:rFonts w:asciiTheme="majorHAnsi" w:hAnsiTheme="majorHAnsi" w:cs="Calibri"/>
          <w:color w:val="000000"/>
        </w:rPr>
        <w:t xml:space="preserve">Department </w:t>
      </w:r>
      <w:r>
        <w:rPr>
          <w:rFonts w:asciiTheme="majorHAnsi" w:hAnsiTheme="majorHAnsi" w:cs="Calibri"/>
          <w:color w:val="000000"/>
        </w:rPr>
        <w:t xml:space="preserve">authority.  Thus, focusing only on those victims who made a report would present an incomplete picture of sexual assault survivors’ experiences in the military following their assault.   </w:t>
      </w:r>
    </w:p>
    <w:p w:rsidR="00B24B1E" w:rsidP="006D6B62" w14:paraId="7203B11A" w14:textId="77777777">
      <w:pPr>
        <w:pStyle w:val="paragraph"/>
        <w:spacing w:after="0" w:line="276" w:lineRule="auto"/>
        <w:textAlignment w:val="baseline"/>
        <w:rPr>
          <w:rStyle w:val="normaltextrun"/>
          <w:rFonts w:asciiTheme="majorHAnsi" w:eastAsiaTheme="minorHAnsi" w:hAnsiTheme="majorHAnsi" w:cs="Calibri"/>
          <w:color w:val="000000"/>
          <w:sz w:val="22"/>
          <w:szCs w:val="22"/>
        </w:rPr>
      </w:pPr>
      <w:r>
        <w:rPr>
          <w:rStyle w:val="normaltextrun"/>
          <w:rFonts w:asciiTheme="majorHAnsi" w:hAnsiTheme="majorHAnsi" w:cs="Calibri"/>
          <w:color w:val="000000"/>
        </w:rPr>
        <w:t>The three specific research questions to be addressed are as follows:</w:t>
      </w:r>
    </w:p>
    <w:p w:rsidR="00B24B1E" w:rsidRPr="00906EEC" w:rsidP="006D6B62" w14:paraId="12AE325A" w14:textId="77777777">
      <w:pPr>
        <w:pStyle w:val="paragraph"/>
        <w:numPr>
          <w:ilvl w:val="0"/>
          <w:numId w:val="28"/>
        </w:numPr>
        <w:spacing w:after="0" w:line="276" w:lineRule="auto"/>
        <w:textAlignment w:val="baseline"/>
        <w:rPr>
          <w:rFonts w:asciiTheme="majorHAnsi" w:hAnsiTheme="majorHAnsi" w:cs="Calibri"/>
          <w:color w:val="000000"/>
        </w:rPr>
      </w:pPr>
      <w:r w:rsidRPr="00906EEC">
        <w:rPr>
          <w:rFonts w:asciiTheme="majorHAnsi" w:hAnsiTheme="majorHAnsi" w:cs="Calibri"/>
          <w:color w:val="000000"/>
        </w:rPr>
        <w:t>How satisfied or dissatisfied are survivors with the support resources available to them?</w:t>
      </w:r>
    </w:p>
    <w:p w:rsidR="00B24B1E" w:rsidP="006D6B62" w14:paraId="3FCE5C92" w14:textId="77777777">
      <w:pPr>
        <w:pStyle w:val="paragraph"/>
        <w:numPr>
          <w:ilvl w:val="0"/>
          <w:numId w:val="28"/>
        </w:numPr>
        <w:spacing w:after="0" w:line="276" w:lineRule="auto"/>
        <w:textAlignment w:val="baseline"/>
        <w:rPr>
          <w:rFonts w:asciiTheme="majorHAnsi" w:hAnsiTheme="majorHAnsi" w:cs="Calibri"/>
          <w:color w:val="000000"/>
        </w:rPr>
      </w:pPr>
      <w:r w:rsidRPr="00906EEC">
        <w:rPr>
          <w:rFonts w:asciiTheme="majorHAnsi" w:hAnsiTheme="majorHAnsi" w:cs="Calibri"/>
          <w:color w:val="000000"/>
        </w:rPr>
        <w:t>How do aspects of the military support system and military justice process impact survivors (e.g., their psychological health and well-being)?</w:t>
      </w:r>
    </w:p>
    <w:p w:rsidR="00806B29" w:rsidRPr="00B24B1E" w:rsidP="006D6B62" w14:paraId="6AC21784" w14:textId="77777777">
      <w:pPr>
        <w:pStyle w:val="paragraph"/>
        <w:numPr>
          <w:ilvl w:val="0"/>
          <w:numId w:val="28"/>
        </w:numPr>
        <w:spacing w:after="0" w:line="276" w:lineRule="auto"/>
        <w:textAlignment w:val="baseline"/>
        <w:rPr>
          <w:rFonts w:asciiTheme="majorHAnsi" w:hAnsiTheme="majorHAnsi" w:cs="Calibri"/>
          <w:color w:val="000000"/>
        </w:rPr>
      </w:pPr>
      <w:r w:rsidRPr="00B24B1E">
        <w:rPr>
          <w:rFonts w:asciiTheme="majorHAnsi" w:hAnsiTheme="majorHAnsi" w:cs="Calibri"/>
          <w:color w:val="000000"/>
        </w:rPr>
        <w:t>What aspects of the military support system and the military justice process impact retention intentions, career progression, and separation from military service?</w:t>
      </w:r>
    </w:p>
    <w:p w:rsidR="00510F0C" w:rsidP="006D6B62" w14:paraId="330D11EC" w14:textId="77777777">
      <w:pPr>
        <w:spacing w:after="0"/>
        <w:rPr>
          <w:rFonts w:asciiTheme="majorHAnsi" w:hAnsiTheme="majorHAnsi"/>
          <w:sz w:val="24"/>
        </w:rPr>
      </w:pPr>
    </w:p>
    <w:p w:rsidR="009B3737" w:rsidP="006D6B62" w14:paraId="0DAE8C6E" w14:textId="5ED0D60E">
      <w:pPr>
        <w:spacing w:after="0"/>
        <w:rPr>
          <w:rFonts w:asciiTheme="majorHAnsi" w:hAnsiTheme="majorHAnsi"/>
          <w: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811FF9" w:rsidRPr="00D85E28" w:rsidP="006D6B62" w14:paraId="7C4E1CBE" w14:textId="77777777">
      <w:pPr>
        <w:spacing w:after="0"/>
        <w:ind w:firstLine="720"/>
        <w:rPr>
          <w:rStyle w:val="normaltextrun"/>
          <w:rFonts w:asciiTheme="majorHAnsi" w:hAnsiTheme="majorHAnsi" w:cs="Calibri"/>
          <w:color w:val="000000"/>
          <w:sz w:val="24"/>
          <w:szCs w:val="24"/>
        </w:rPr>
      </w:pPr>
      <w:r w:rsidRPr="00D85E28">
        <w:rPr>
          <w:rStyle w:val="normaltextrun"/>
          <w:rFonts w:asciiTheme="majorHAnsi" w:hAnsiTheme="majorHAnsi" w:cs="Calibri"/>
          <w:color w:val="000000"/>
          <w:sz w:val="24"/>
          <w:szCs w:val="24"/>
        </w:rPr>
        <w:t>This study will provide</w:t>
      </w:r>
      <w:r w:rsidRPr="00D85E28" w:rsidR="00570ADB">
        <w:rPr>
          <w:rStyle w:val="normaltextrun"/>
          <w:rFonts w:asciiTheme="majorHAnsi" w:hAnsiTheme="majorHAnsi" w:cs="Calibri"/>
          <w:color w:val="000000"/>
          <w:sz w:val="24"/>
          <w:szCs w:val="24"/>
        </w:rPr>
        <w:t xml:space="preserve"> current data on 1) Service member satisfaction with sexual assault support resources; 2) the impact that the military support system and military justice process have on Services Members who experience sexual assault during military service (e.g., their psychological health and well-being); and 3) aspects of the military support system and the military justice process that relate to retention intention, career progression, and separation from military service.  </w:t>
      </w:r>
    </w:p>
    <w:p w:rsidR="00E44304" w:rsidP="006D6B62" w14:paraId="5BB19B7C" w14:textId="77777777">
      <w:pPr>
        <w:spacing w:after="0"/>
        <w:rPr>
          <w:rStyle w:val="normaltextrun"/>
          <w:rFonts w:asciiTheme="majorHAnsi" w:hAnsiTheme="majorHAnsi" w:cs="Calibri"/>
          <w:b/>
          <w:bCs/>
          <w:color w:val="000000"/>
          <w:sz w:val="24"/>
          <w:szCs w:val="24"/>
        </w:rPr>
      </w:pPr>
    </w:p>
    <w:p w:rsidR="00A321AC" w:rsidRPr="00D85E28" w:rsidP="00A321AC" w14:paraId="24B55C23" w14:textId="3998D8B3">
      <w:pPr>
        <w:spacing w:after="0"/>
        <w:rPr>
          <w:rStyle w:val="normaltextrun"/>
          <w:rFonts w:asciiTheme="majorHAnsi" w:hAnsiTheme="majorHAnsi" w:cs="Calibri"/>
          <w:color w:val="000000"/>
          <w:sz w:val="24"/>
          <w:szCs w:val="24"/>
        </w:rPr>
      </w:pPr>
      <w:r w:rsidRPr="00E44304">
        <w:rPr>
          <w:rStyle w:val="normaltextrun"/>
          <w:rFonts w:asciiTheme="majorHAnsi" w:hAnsiTheme="majorHAnsi" w:cs="Calibri"/>
          <w:b/>
          <w:bCs/>
          <w:color w:val="000000"/>
          <w:sz w:val="24"/>
          <w:szCs w:val="24"/>
        </w:rPr>
        <w:t>Respondents &amp; Recruitment:</w:t>
      </w:r>
      <w:r w:rsidRPr="00D85E28">
        <w:rPr>
          <w:rStyle w:val="normaltextrun"/>
          <w:rFonts w:asciiTheme="majorHAnsi" w:hAnsiTheme="majorHAnsi" w:cs="Calibri"/>
          <w:color w:val="000000"/>
          <w:sz w:val="24"/>
          <w:szCs w:val="24"/>
        </w:rPr>
        <w:t xml:space="preserve"> Any Service member (Active or Reserve component) who has experienced unwanted sexual contact or sexual assault since joining the military </w:t>
      </w:r>
      <w:r w:rsidRPr="00D85E28" w:rsidR="00D85E28">
        <w:rPr>
          <w:rStyle w:val="normaltextrun"/>
          <w:rFonts w:asciiTheme="majorHAnsi" w:hAnsiTheme="majorHAnsi" w:cs="Calibri"/>
          <w:color w:val="000000"/>
          <w:sz w:val="24"/>
          <w:szCs w:val="24"/>
        </w:rPr>
        <w:t>are</w:t>
      </w:r>
      <w:r w:rsidRPr="00D85E28">
        <w:rPr>
          <w:rStyle w:val="normaltextrun"/>
          <w:rFonts w:asciiTheme="majorHAnsi" w:hAnsiTheme="majorHAnsi" w:cs="Calibri"/>
          <w:color w:val="000000"/>
          <w:sz w:val="24"/>
          <w:szCs w:val="24"/>
        </w:rPr>
        <w:t xml:space="preserve"> eligible to participate in the study</w:t>
      </w:r>
      <w:r w:rsidRPr="00D85E28" w:rsidR="008A287F">
        <w:rPr>
          <w:rStyle w:val="normaltextrun"/>
          <w:rFonts w:asciiTheme="majorHAnsi" w:hAnsiTheme="majorHAnsi" w:cs="Calibri"/>
          <w:color w:val="000000"/>
          <w:sz w:val="24"/>
          <w:szCs w:val="24"/>
        </w:rPr>
        <w:t xml:space="preserve">, </w:t>
      </w:r>
      <w:r w:rsidRPr="00D85E28" w:rsidR="007E4873">
        <w:rPr>
          <w:rStyle w:val="normaltextrun"/>
          <w:rFonts w:asciiTheme="majorHAnsi" w:hAnsiTheme="majorHAnsi" w:cs="Calibri"/>
          <w:color w:val="000000"/>
          <w:sz w:val="24"/>
          <w:szCs w:val="24"/>
        </w:rPr>
        <w:t>whether</w:t>
      </w:r>
      <w:r w:rsidRPr="00D85E28" w:rsidR="008A287F">
        <w:rPr>
          <w:rStyle w:val="normaltextrun"/>
          <w:rFonts w:asciiTheme="majorHAnsi" w:hAnsiTheme="majorHAnsi" w:cs="Calibri"/>
          <w:color w:val="000000"/>
          <w:sz w:val="24"/>
          <w:szCs w:val="24"/>
        </w:rPr>
        <w:t xml:space="preserve"> they reported this experience</w:t>
      </w:r>
      <w:r w:rsidRPr="00D85E28" w:rsidR="007E4873">
        <w:rPr>
          <w:rStyle w:val="normaltextrun"/>
          <w:rFonts w:asciiTheme="majorHAnsi" w:hAnsiTheme="majorHAnsi" w:cs="Calibri"/>
          <w:color w:val="000000"/>
          <w:sz w:val="24"/>
          <w:szCs w:val="24"/>
        </w:rPr>
        <w:t xml:space="preserve"> or not</w:t>
      </w:r>
      <w:r w:rsidRPr="00D85E28">
        <w:rPr>
          <w:rStyle w:val="normaltextrun"/>
          <w:rFonts w:asciiTheme="majorHAnsi" w:hAnsiTheme="majorHAnsi" w:cs="Calibri"/>
          <w:color w:val="000000"/>
          <w:sz w:val="24"/>
          <w:szCs w:val="24"/>
        </w:rPr>
        <w:t>. Recruitment for the SVSES include</w:t>
      </w:r>
      <w:r w:rsidRPr="00D85E28" w:rsidR="00145386">
        <w:rPr>
          <w:rStyle w:val="normaltextrun"/>
          <w:rFonts w:asciiTheme="majorHAnsi" w:hAnsiTheme="majorHAnsi" w:cs="Calibri"/>
          <w:color w:val="000000"/>
          <w:sz w:val="24"/>
          <w:szCs w:val="24"/>
        </w:rPr>
        <w:t>s</w:t>
      </w:r>
      <w:r w:rsidRPr="00D85E28">
        <w:rPr>
          <w:rStyle w:val="normaltextrun"/>
          <w:rFonts w:asciiTheme="majorHAnsi" w:hAnsiTheme="majorHAnsi" w:cs="Calibri"/>
          <w:color w:val="000000"/>
          <w:sz w:val="24"/>
          <w:szCs w:val="24"/>
        </w:rPr>
        <w:t xml:space="preserve"> proactive outreach to Service members who previously filed an unrestricted report for sexual assault and Service members who requested to learn more about the study via a question included on the</w:t>
      </w:r>
      <w:r w:rsidRPr="00D85E28" w:rsidR="00145386">
        <w:rPr>
          <w:rStyle w:val="normaltextrun"/>
          <w:rFonts w:asciiTheme="majorHAnsi" w:hAnsiTheme="majorHAnsi" w:cs="Calibri"/>
          <w:color w:val="000000"/>
          <w:sz w:val="24"/>
          <w:szCs w:val="24"/>
        </w:rPr>
        <w:t xml:space="preserve"> W</w:t>
      </w:r>
      <w:r w:rsidRPr="00D85E28" w:rsidR="00D85E28">
        <w:rPr>
          <w:rStyle w:val="normaltextrun"/>
          <w:rFonts w:asciiTheme="majorHAnsi" w:hAnsiTheme="majorHAnsi" w:cs="Calibri"/>
          <w:color w:val="000000"/>
          <w:sz w:val="24"/>
          <w:szCs w:val="24"/>
        </w:rPr>
        <w:t>ES</w:t>
      </w:r>
      <w:r w:rsidRPr="00D85E28" w:rsidR="00145386">
        <w:rPr>
          <w:rStyle w:val="normaltextrun"/>
          <w:rFonts w:asciiTheme="majorHAnsi" w:hAnsiTheme="majorHAnsi" w:cs="Calibri"/>
          <w:color w:val="000000"/>
          <w:sz w:val="24"/>
          <w:szCs w:val="24"/>
        </w:rPr>
        <w:t xml:space="preserve"> surveys</w:t>
      </w:r>
      <w:r w:rsidRPr="00D85E28" w:rsidR="00D85E28">
        <w:rPr>
          <w:rStyle w:val="normaltextrun"/>
          <w:rFonts w:asciiTheme="majorHAnsi" w:hAnsiTheme="majorHAnsi" w:cs="Calibri"/>
          <w:color w:val="000000"/>
          <w:sz w:val="24"/>
          <w:szCs w:val="24"/>
        </w:rPr>
        <w:t xml:space="preserve">. </w:t>
      </w:r>
      <w:r w:rsidRPr="00D85E28">
        <w:rPr>
          <w:rStyle w:val="normaltextrun"/>
          <w:rFonts w:asciiTheme="majorHAnsi" w:hAnsiTheme="majorHAnsi" w:cs="Calibri"/>
          <w:color w:val="000000"/>
          <w:sz w:val="24"/>
          <w:szCs w:val="24"/>
        </w:rPr>
        <w:t xml:space="preserve"> The Office of People Analytics (OPA) collaborate with the Sexual Assault Prevention and Response Office ( SAPRO) to send up to three emails informing these Service members about the SVSES and providing information about how to join. </w:t>
      </w:r>
      <w:r w:rsidRPr="00D85E28">
        <w:rPr>
          <w:rStyle w:val="normaltextrun"/>
          <w:rFonts w:asciiTheme="majorHAnsi" w:hAnsiTheme="majorHAnsi" w:cs="Calibri"/>
          <w:color w:val="000000"/>
          <w:sz w:val="24"/>
          <w:szCs w:val="24"/>
        </w:rPr>
        <w:t xml:space="preserve">Additionally, OPA </w:t>
      </w:r>
      <w:r>
        <w:rPr>
          <w:rStyle w:val="normaltextrun"/>
          <w:rFonts w:asciiTheme="majorHAnsi" w:hAnsiTheme="majorHAnsi" w:cs="Calibri"/>
          <w:color w:val="000000"/>
          <w:sz w:val="24"/>
          <w:szCs w:val="24"/>
        </w:rPr>
        <w:t>engaged in outreach</w:t>
      </w:r>
      <w:r w:rsidRPr="00D85E28">
        <w:rPr>
          <w:rStyle w:val="normaltextrun"/>
          <w:rFonts w:asciiTheme="majorHAnsi" w:hAnsiTheme="majorHAnsi" w:cs="Calibri"/>
          <w:color w:val="000000"/>
          <w:sz w:val="24"/>
          <w:szCs w:val="24"/>
        </w:rPr>
        <w:t xml:space="preserve"> to Sexual Assault Prevention and Response (SAPR) professionals within the </w:t>
      </w:r>
      <w:r>
        <w:rPr>
          <w:rStyle w:val="normaltextrun"/>
          <w:rFonts w:asciiTheme="majorHAnsi" w:hAnsiTheme="majorHAnsi" w:cs="Calibri"/>
          <w:color w:val="000000"/>
          <w:sz w:val="24"/>
          <w:szCs w:val="24"/>
        </w:rPr>
        <w:t>Department</w:t>
      </w:r>
      <w:r w:rsidRPr="00D85E28">
        <w:rPr>
          <w:rStyle w:val="normaltextrun"/>
          <w:rFonts w:asciiTheme="majorHAnsi" w:hAnsiTheme="majorHAnsi" w:cs="Calibri"/>
          <w:color w:val="000000"/>
          <w:sz w:val="24"/>
          <w:szCs w:val="24"/>
        </w:rPr>
        <w:t xml:space="preserve"> to inform </w:t>
      </w:r>
      <w:r w:rsidRPr="00D85E28">
        <w:rPr>
          <w:rStyle w:val="normaltextrun"/>
          <w:rFonts w:asciiTheme="majorHAnsi" w:hAnsiTheme="majorHAnsi" w:cs="Calibri"/>
          <w:color w:val="000000"/>
          <w:sz w:val="24"/>
          <w:szCs w:val="24"/>
        </w:rPr>
        <w:t>them about the SVSES</w:t>
      </w:r>
      <w:r>
        <w:rPr>
          <w:rStyle w:val="normaltextrun"/>
          <w:rFonts w:asciiTheme="majorHAnsi" w:hAnsiTheme="majorHAnsi" w:cs="Calibri"/>
          <w:color w:val="000000"/>
          <w:sz w:val="24"/>
          <w:szCs w:val="24"/>
        </w:rPr>
        <w:t xml:space="preserve">. This information allows SAPR professionals to inform, answer questions, and  </w:t>
      </w:r>
      <w:r w:rsidRPr="00D85E28">
        <w:rPr>
          <w:rStyle w:val="normaltextrun"/>
          <w:rFonts w:asciiTheme="majorHAnsi" w:hAnsiTheme="majorHAnsi" w:cs="Calibri"/>
          <w:color w:val="000000"/>
          <w:sz w:val="24"/>
          <w:szCs w:val="24"/>
        </w:rPr>
        <w:t xml:space="preserve"> support Service members </w:t>
      </w:r>
      <w:r>
        <w:rPr>
          <w:rStyle w:val="normaltextrun"/>
          <w:rFonts w:asciiTheme="majorHAnsi" w:hAnsiTheme="majorHAnsi" w:cs="Calibri"/>
          <w:color w:val="000000"/>
          <w:sz w:val="24"/>
          <w:szCs w:val="24"/>
        </w:rPr>
        <w:t>in</w:t>
      </w:r>
      <w:r w:rsidRPr="00D85E28">
        <w:rPr>
          <w:rStyle w:val="normaltextrun"/>
          <w:rFonts w:asciiTheme="majorHAnsi" w:hAnsiTheme="majorHAnsi" w:cs="Calibri"/>
          <w:color w:val="000000"/>
          <w:sz w:val="24"/>
          <w:szCs w:val="24"/>
        </w:rPr>
        <w:t xml:space="preserve"> joining the study</w:t>
      </w:r>
      <w:r>
        <w:rPr>
          <w:rStyle w:val="normaltextrun"/>
          <w:rFonts w:asciiTheme="majorHAnsi" w:hAnsiTheme="majorHAnsi" w:cs="Calibri"/>
          <w:color w:val="000000"/>
          <w:sz w:val="24"/>
          <w:szCs w:val="24"/>
        </w:rPr>
        <w:t>.</w:t>
      </w:r>
      <w:r w:rsidRPr="00D85E28">
        <w:rPr>
          <w:rStyle w:val="normaltextrun"/>
          <w:rFonts w:asciiTheme="majorHAnsi" w:hAnsiTheme="majorHAnsi" w:cs="Calibri"/>
          <w:color w:val="000000"/>
          <w:sz w:val="24"/>
          <w:szCs w:val="24"/>
        </w:rPr>
        <w:t xml:space="preserve"> </w:t>
      </w:r>
      <w:r>
        <w:rPr>
          <w:rStyle w:val="normaltextrun"/>
          <w:rFonts w:asciiTheme="majorHAnsi" w:hAnsiTheme="majorHAnsi" w:cs="Calibri"/>
          <w:color w:val="000000"/>
          <w:sz w:val="24"/>
          <w:szCs w:val="24"/>
        </w:rPr>
        <w:t xml:space="preserve">SAPR professionals were also asked to </w:t>
      </w:r>
      <w:r w:rsidRPr="00D85E28">
        <w:rPr>
          <w:rStyle w:val="normaltextrun"/>
          <w:rFonts w:asciiTheme="majorHAnsi" w:hAnsiTheme="majorHAnsi" w:cs="Calibri"/>
          <w:color w:val="000000"/>
          <w:sz w:val="24"/>
          <w:szCs w:val="24"/>
        </w:rPr>
        <w:t>post a study flyer in their organizations</w:t>
      </w:r>
      <w:r>
        <w:rPr>
          <w:rStyle w:val="normaltextrun"/>
          <w:rFonts w:asciiTheme="majorHAnsi" w:hAnsiTheme="majorHAnsi" w:cs="Calibri"/>
          <w:color w:val="000000"/>
          <w:sz w:val="24"/>
          <w:szCs w:val="24"/>
        </w:rPr>
        <w:t xml:space="preserve"> and share with Service members</w:t>
      </w:r>
      <w:r w:rsidRPr="00D85E28">
        <w:rPr>
          <w:rStyle w:val="normaltextrun"/>
          <w:rFonts w:asciiTheme="majorHAnsi" w:hAnsiTheme="majorHAnsi" w:cs="Calibri"/>
          <w:color w:val="000000"/>
          <w:sz w:val="24"/>
          <w:szCs w:val="24"/>
        </w:rPr>
        <w:t xml:space="preserve">. </w:t>
      </w:r>
    </w:p>
    <w:p w:rsidR="00EE4DB6" w:rsidRPr="00D85E28" w:rsidP="006D6B62" w14:paraId="63D2337F" w14:textId="5C9C6FDF">
      <w:pPr>
        <w:spacing w:after="0"/>
        <w:rPr>
          <w:rStyle w:val="normaltextrun"/>
          <w:rFonts w:asciiTheme="majorHAnsi" w:hAnsiTheme="majorHAnsi" w:cs="Calibri"/>
          <w:color w:val="000000"/>
          <w:sz w:val="24"/>
          <w:szCs w:val="24"/>
        </w:rPr>
      </w:pPr>
    </w:p>
    <w:p w:rsidR="00EE4DB6" w:rsidP="006D6B62" w14:paraId="120E7544" w14:textId="77777777">
      <w:pPr>
        <w:spacing w:after="0"/>
        <w:rPr>
          <w:rStyle w:val="normaltextrun"/>
          <w:rFonts w:asciiTheme="majorHAnsi" w:hAnsiTheme="majorHAnsi" w:cs="Calibri"/>
          <w:color w:val="000000"/>
        </w:rPr>
      </w:pPr>
      <w:r w:rsidRPr="00D85E28">
        <w:rPr>
          <w:rStyle w:val="normaltextrun"/>
          <w:rFonts w:asciiTheme="majorHAnsi" w:hAnsiTheme="majorHAnsi" w:cs="Calibri"/>
          <w:b/>
          <w:bCs/>
          <w:color w:val="000000"/>
          <w:sz w:val="24"/>
          <w:szCs w:val="24"/>
        </w:rPr>
        <w:t>Surveys &amp; Procedure:</w:t>
      </w:r>
      <w:r w:rsidRPr="00D85E28">
        <w:rPr>
          <w:rStyle w:val="normaltextrun"/>
          <w:rFonts w:asciiTheme="majorHAnsi" w:hAnsiTheme="majorHAnsi" w:cs="Calibri"/>
          <w:color w:val="000000"/>
          <w:sz w:val="24"/>
          <w:szCs w:val="24"/>
        </w:rPr>
        <w:t xml:space="preserve"> </w:t>
      </w:r>
      <w:r w:rsidRPr="00D85E28" w:rsidR="00487A74">
        <w:rPr>
          <w:rStyle w:val="normaltextrun"/>
          <w:rFonts w:asciiTheme="majorHAnsi" w:hAnsiTheme="majorHAnsi" w:cs="Calibri"/>
          <w:color w:val="000000"/>
          <w:sz w:val="24"/>
          <w:szCs w:val="24"/>
        </w:rPr>
        <w:t xml:space="preserve">The SVSES is a longitudinal study where Service members can participate and report on their experiences and well-being overtime.  Service members </w:t>
      </w:r>
      <w:r w:rsidRPr="00D85E28">
        <w:rPr>
          <w:rStyle w:val="normaltextrun"/>
          <w:rFonts w:asciiTheme="majorHAnsi" w:hAnsiTheme="majorHAnsi" w:cs="Calibri"/>
          <w:color w:val="000000"/>
          <w:sz w:val="24"/>
          <w:szCs w:val="24"/>
        </w:rPr>
        <w:t xml:space="preserve">who join the study will </w:t>
      </w:r>
      <w:r w:rsidRPr="00D85E28" w:rsidR="00464A25">
        <w:rPr>
          <w:rStyle w:val="normaltextrun"/>
          <w:rFonts w:asciiTheme="majorHAnsi" w:hAnsiTheme="majorHAnsi" w:cs="Calibri"/>
          <w:color w:val="000000"/>
          <w:sz w:val="24"/>
          <w:szCs w:val="24"/>
        </w:rPr>
        <w:t xml:space="preserve">first </w:t>
      </w:r>
      <w:r w:rsidRPr="00D85E28">
        <w:rPr>
          <w:rStyle w:val="normaltextrun"/>
          <w:rFonts w:asciiTheme="majorHAnsi" w:hAnsiTheme="majorHAnsi" w:cs="Calibri"/>
          <w:color w:val="000000"/>
          <w:sz w:val="24"/>
          <w:szCs w:val="24"/>
        </w:rPr>
        <w:t xml:space="preserve">complete an initial survey (described </w:t>
      </w:r>
      <w:r w:rsidRPr="00D85E28" w:rsidR="00487A74">
        <w:rPr>
          <w:rStyle w:val="normaltextrun"/>
          <w:rFonts w:asciiTheme="majorHAnsi" w:hAnsiTheme="majorHAnsi" w:cs="Calibri"/>
          <w:color w:val="000000"/>
          <w:sz w:val="24"/>
          <w:szCs w:val="24"/>
        </w:rPr>
        <w:t>below</w:t>
      </w:r>
      <w:r w:rsidRPr="00D85E28">
        <w:rPr>
          <w:rStyle w:val="normaltextrun"/>
          <w:rFonts w:asciiTheme="majorHAnsi" w:hAnsiTheme="majorHAnsi" w:cs="Calibri"/>
          <w:color w:val="000000"/>
          <w:sz w:val="24"/>
          <w:szCs w:val="24"/>
        </w:rPr>
        <w:t xml:space="preserve">) that is expected to take approximately 30 minutes to complete. To reduce respondent burden, these online surveys will use “smart skip” technology to ensure respondents only answer questions that are applicable to them.  After the initial survey, study members will receive reminders (up to three) via email and/or text message (if they opt-in) on a quarterly basis, inviting them to complete a short follow-up survey (also described </w:t>
      </w:r>
      <w:r w:rsidRPr="00D85E28" w:rsidR="006E642A">
        <w:rPr>
          <w:rStyle w:val="normaltextrun"/>
          <w:rFonts w:asciiTheme="majorHAnsi" w:hAnsiTheme="majorHAnsi" w:cs="Calibri"/>
          <w:color w:val="000000"/>
          <w:sz w:val="24"/>
          <w:szCs w:val="24"/>
        </w:rPr>
        <w:t>below</w:t>
      </w:r>
      <w:r w:rsidRPr="00D85E28">
        <w:rPr>
          <w:rStyle w:val="normaltextrun"/>
          <w:rFonts w:asciiTheme="majorHAnsi" w:hAnsiTheme="majorHAnsi" w:cs="Calibri"/>
          <w:color w:val="000000"/>
          <w:sz w:val="24"/>
          <w:szCs w:val="24"/>
        </w:rPr>
        <w:t>) that is expected to take approximately 10 minutes to complete.  Questions from the follow-up survey are derived from content on the initial survey and are intended to help understand how Service member</w:t>
      </w:r>
      <w:r w:rsidRPr="00D85E28" w:rsidR="006E642A">
        <w:rPr>
          <w:rStyle w:val="normaltextrun"/>
          <w:rFonts w:asciiTheme="majorHAnsi" w:hAnsiTheme="majorHAnsi" w:cs="Calibri"/>
          <w:color w:val="000000"/>
          <w:sz w:val="24"/>
          <w:szCs w:val="24"/>
        </w:rPr>
        <w:t>s’</w:t>
      </w:r>
      <w:r w:rsidRPr="00D85E28">
        <w:rPr>
          <w:rStyle w:val="normaltextrun"/>
          <w:rFonts w:asciiTheme="majorHAnsi" w:hAnsiTheme="majorHAnsi" w:cs="Calibri"/>
          <w:color w:val="000000"/>
          <w:sz w:val="24"/>
          <w:szCs w:val="24"/>
        </w:rPr>
        <w:t xml:space="preserve"> health, well-being, and career status changes over time.  The frequency of the follow-up surveys (quarterly) is intended to collect more “real-time” data and data that allows for better analysis of milestones within the reporting and accountability process (for example, before, during, and after the investigation).  Service members will have the option to skip follow-up surveys they do not wish to take.  </w:t>
      </w:r>
    </w:p>
    <w:p w:rsidR="00F964F7" w:rsidRPr="00BE0275" w:rsidP="006D6B62" w14:paraId="4FB57B48" w14:textId="77777777">
      <w:pPr>
        <w:pStyle w:val="paragraph"/>
        <w:spacing w:line="276" w:lineRule="auto"/>
        <w:textAlignment w:val="baseline"/>
        <w:rPr>
          <w:rFonts w:asciiTheme="majorHAnsi" w:hAnsiTheme="majorHAnsi" w:cs="Calibri"/>
          <w:bCs/>
          <w:color w:val="000000"/>
        </w:rPr>
      </w:pPr>
      <w:r w:rsidRPr="00BE0275">
        <w:rPr>
          <w:rFonts w:asciiTheme="majorHAnsi" w:hAnsiTheme="majorHAnsi" w:cs="Calibri"/>
          <w:bCs/>
          <w:color w:val="000000"/>
        </w:rPr>
        <w:t xml:space="preserve">The </w:t>
      </w:r>
      <w:r w:rsidRPr="008B20A1">
        <w:rPr>
          <w:rFonts w:asciiTheme="majorHAnsi" w:hAnsiTheme="majorHAnsi" w:cs="Calibri"/>
          <w:b/>
          <w:color w:val="000000"/>
        </w:rPr>
        <w:t xml:space="preserve">initial survey instrument </w:t>
      </w:r>
      <w:r w:rsidRPr="00BE0275">
        <w:rPr>
          <w:rFonts w:asciiTheme="majorHAnsi" w:hAnsiTheme="majorHAnsi" w:cs="Calibri"/>
          <w:bCs/>
          <w:color w:val="000000"/>
        </w:rPr>
        <w:t>is divided into several sections</w:t>
      </w:r>
      <w:r>
        <w:rPr>
          <w:rFonts w:asciiTheme="majorHAnsi" w:hAnsiTheme="majorHAnsi" w:cs="Calibri"/>
          <w:bCs/>
          <w:color w:val="000000"/>
        </w:rPr>
        <w:t xml:space="preserve">, all </w:t>
      </w:r>
      <w:r w:rsidRPr="00BE0275">
        <w:rPr>
          <w:rFonts w:asciiTheme="majorHAnsi" w:hAnsiTheme="majorHAnsi" w:cs="Calibri"/>
          <w:bCs/>
          <w:color w:val="000000"/>
        </w:rPr>
        <w:t xml:space="preserve">aligned to </w:t>
      </w:r>
      <w:r>
        <w:rPr>
          <w:rFonts w:asciiTheme="majorHAnsi" w:hAnsiTheme="majorHAnsi" w:cs="Calibri"/>
          <w:bCs/>
          <w:color w:val="000000"/>
        </w:rPr>
        <w:t xml:space="preserve">address one or more of </w:t>
      </w:r>
      <w:r w:rsidRPr="00BE0275">
        <w:rPr>
          <w:rFonts w:asciiTheme="majorHAnsi" w:hAnsiTheme="majorHAnsi" w:cs="Calibri"/>
          <w:bCs/>
          <w:color w:val="000000"/>
        </w:rPr>
        <w:t xml:space="preserve">the three overarching research questions </w:t>
      </w:r>
      <w:r>
        <w:rPr>
          <w:rFonts w:asciiTheme="majorHAnsi" w:hAnsiTheme="majorHAnsi" w:cs="Calibri"/>
          <w:bCs/>
          <w:color w:val="000000"/>
        </w:rPr>
        <w:t>as indicated below</w:t>
      </w:r>
      <w:r w:rsidRPr="00BE0275">
        <w:rPr>
          <w:rFonts w:asciiTheme="majorHAnsi" w:hAnsiTheme="majorHAnsi" w:cs="Calibri"/>
          <w:bCs/>
          <w:color w:val="000000"/>
        </w:rPr>
        <w:t xml:space="preserve">: </w:t>
      </w:r>
    </w:p>
    <w:p w:rsidR="00F964F7" w:rsidRPr="00AF7FD1" w:rsidP="006D6B62" w14:paraId="0047613C"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Q1-Q3: </w:t>
      </w:r>
      <w:r w:rsidRPr="00AF7FD1">
        <w:rPr>
          <w:rFonts w:asciiTheme="majorHAnsi" w:hAnsiTheme="majorHAnsi" w:cs="Calibri"/>
          <w:color w:val="000000"/>
        </w:rPr>
        <w:t>Information on demographic characteristics of the respondent (RQ 1, 2, 3)</w:t>
      </w:r>
    </w:p>
    <w:p w:rsidR="00F964F7" w:rsidRPr="00AF7FD1" w:rsidP="006D6B62" w14:paraId="4D69F9BC"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Q4-Q11: </w:t>
      </w:r>
      <w:r w:rsidRPr="00AF7FD1">
        <w:rPr>
          <w:rFonts w:asciiTheme="majorHAnsi" w:hAnsiTheme="majorHAnsi" w:cs="Calibri"/>
          <w:color w:val="000000"/>
        </w:rPr>
        <w:t>Victimization experiences involving sexual assault or unwanted sexual contact (RQ 1, 2, 3</w:t>
      </w:r>
      <w:r>
        <w:rPr>
          <w:rFonts w:asciiTheme="majorHAnsi" w:hAnsiTheme="majorHAnsi" w:cs="Calibri"/>
          <w:color w:val="000000"/>
        </w:rPr>
        <w:t>; Q4 determines study eligibility</w:t>
      </w:r>
      <w:r w:rsidRPr="00AF7FD1">
        <w:rPr>
          <w:rFonts w:asciiTheme="majorHAnsi" w:hAnsiTheme="majorHAnsi" w:cs="Calibri"/>
          <w:color w:val="000000"/>
        </w:rPr>
        <w:t>)</w:t>
      </w:r>
    </w:p>
    <w:p w:rsidR="00F964F7" w:rsidRPr="00AF7FD1" w:rsidP="006D6B62" w14:paraId="759E9150"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Q12-Q17: </w:t>
      </w:r>
      <w:r w:rsidRPr="00AF7FD1">
        <w:rPr>
          <w:rFonts w:asciiTheme="majorHAnsi" w:hAnsiTheme="majorHAnsi" w:cs="Calibri"/>
          <w:color w:val="000000"/>
        </w:rPr>
        <w:t xml:space="preserve">Characteristics of victimization experiences (RQ 1, 2, 3) </w:t>
      </w:r>
    </w:p>
    <w:p w:rsidR="00F964F7" w:rsidRPr="00AF7FD1" w:rsidP="006D6B62" w14:paraId="5F39A77E"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Q18-Q37: </w:t>
      </w:r>
      <w:r w:rsidRPr="00AF7FD1">
        <w:rPr>
          <w:rFonts w:asciiTheme="majorHAnsi" w:hAnsiTheme="majorHAnsi" w:cs="Calibri"/>
          <w:color w:val="000000"/>
        </w:rPr>
        <w:t xml:space="preserve">Experiences with the military justice process (RQ 2, 3) </w:t>
      </w:r>
    </w:p>
    <w:p w:rsidR="00F964F7" w:rsidRPr="00AF7FD1" w:rsidP="006D6B62" w14:paraId="41DB694F"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Q38: </w:t>
      </w:r>
      <w:r w:rsidRPr="00AF7FD1">
        <w:rPr>
          <w:rFonts w:asciiTheme="majorHAnsi" w:hAnsiTheme="majorHAnsi" w:cs="Calibri"/>
          <w:color w:val="000000"/>
        </w:rPr>
        <w:t xml:space="preserve">Barriers to reporting sexual assault (RQ 1) </w:t>
      </w:r>
    </w:p>
    <w:p w:rsidR="00F964F7" w:rsidRPr="00AF7FD1" w:rsidP="006D6B62" w14:paraId="1963E20E"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Q39-Q42: </w:t>
      </w:r>
      <w:r w:rsidRPr="00AF7FD1">
        <w:rPr>
          <w:rFonts w:asciiTheme="majorHAnsi" w:hAnsiTheme="majorHAnsi" w:cs="Calibri"/>
          <w:color w:val="000000"/>
        </w:rPr>
        <w:t xml:space="preserve">Experiences with the sexual assault response system (RQ 1) </w:t>
      </w:r>
    </w:p>
    <w:p w:rsidR="00F964F7" w:rsidRPr="00AF7FD1" w:rsidP="006D6B62" w14:paraId="27E3EB36"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Q43-Q55: </w:t>
      </w:r>
      <w:r w:rsidRPr="00AF7FD1">
        <w:rPr>
          <w:rFonts w:asciiTheme="majorHAnsi" w:hAnsiTheme="majorHAnsi" w:cs="Calibri"/>
          <w:color w:val="000000"/>
        </w:rPr>
        <w:t>Health &amp; well-being (RQ 2)</w:t>
      </w:r>
    </w:p>
    <w:p w:rsidR="00F964F7" w:rsidRPr="00AF7FD1" w:rsidP="006D6B62" w14:paraId="6DC32BF7" w14:textId="77777777">
      <w:pPr>
        <w:pStyle w:val="paragraph"/>
        <w:numPr>
          <w:ilvl w:val="0"/>
          <w:numId w:val="29"/>
        </w:numPr>
        <w:spacing w:line="276" w:lineRule="auto"/>
        <w:textAlignment w:val="baseline"/>
        <w:rPr>
          <w:rFonts w:asciiTheme="majorHAnsi" w:hAnsiTheme="majorHAnsi" w:cs="Calibri"/>
          <w:color w:val="000000"/>
        </w:rPr>
      </w:pPr>
      <w:r>
        <w:rPr>
          <w:rFonts w:asciiTheme="majorHAnsi" w:hAnsiTheme="majorHAnsi" w:cs="Calibri"/>
          <w:color w:val="000000"/>
        </w:rPr>
        <w:t xml:space="preserve">Q56-Q58: </w:t>
      </w:r>
      <w:r w:rsidRPr="00AF7FD1">
        <w:rPr>
          <w:rFonts w:asciiTheme="majorHAnsi" w:hAnsiTheme="majorHAnsi" w:cs="Calibri"/>
          <w:color w:val="000000"/>
        </w:rPr>
        <w:t>Career outcomes (RQ 3)</w:t>
      </w:r>
    </w:p>
    <w:p w:rsidR="00F964F7" w:rsidRPr="00ED0A79" w:rsidP="006D6B62" w14:paraId="737A8928" w14:textId="77777777">
      <w:pPr>
        <w:pStyle w:val="paragraph"/>
        <w:numPr>
          <w:ilvl w:val="0"/>
          <w:numId w:val="29"/>
        </w:numPr>
        <w:spacing w:after="0" w:line="276" w:lineRule="auto"/>
        <w:textAlignment w:val="baseline"/>
        <w:rPr>
          <w:rStyle w:val="normaltextrun"/>
          <w:rFonts w:asciiTheme="majorHAnsi" w:hAnsiTheme="majorHAnsi" w:cs="Calibri"/>
          <w:color w:val="000000"/>
        </w:rPr>
      </w:pPr>
      <w:r>
        <w:rPr>
          <w:rFonts w:asciiTheme="majorHAnsi" w:hAnsiTheme="majorHAnsi" w:cs="Calibri"/>
          <w:color w:val="000000"/>
        </w:rPr>
        <w:t>Q</w:t>
      </w:r>
      <w:r w:rsidR="00511BD7">
        <w:rPr>
          <w:rFonts w:asciiTheme="majorHAnsi" w:hAnsiTheme="majorHAnsi" w:cs="Calibri"/>
          <w:color w:val="000000"/>
        </w:rPr>
        <w:t>59</w:t>
      </w:r>
      <w:r>
        <w:rPr>
          <w:rFonts w:asciiTheme="majorHAnsi" w:hAnsiTheme="majorHAnsi" w:cs="Calibri"/>
          <w:color w:val="000000"/>
        </w:rPr>
        <w:t xml:space="preserve">: </w:t>
      </w:r>
      <w:r w:rsidRPr="00AF7FD1">
        <w:rPr>
          <w:rFonts w:asciiTheme="majorHAnsi" w:hAnsiTheme="majorHAnsi" w:cs="Calibri"/>
          <w:color w:val="000000"/>
        </w:rPr>
        <w:t>“Journal” (RQ 1, 2, 3)</w:t>
      </w:r>
    </w:p>
    <w:p w:rsidR="00F964F7" w:rsidRPr="00935D11" w:rsidP="006D6B62" w14:paraId="3EECA90F" w14:textId="77777777">
      <w:pPr>
        <w:pStyle w:val="paragraph"/>
        <w:spacing w:line="276" w:lineRule="auto"/>
        <w:textAlignment w:val="baseline"/>
        <w:rPr>
          <w:rFonts w:asciiTheme="majorHAnsi" w:hAnsiTheme="majorHAnsi" w:cs="Calibri"/>
          <w:bCs/>
          <w:color w:val="000000"/>
        </w:rPr>
      </w:pPr>
      <w:r w:rsidRPr="008B20A1">
        <w:rPr>
          <w:rFonts w:asciiTheme="majorHAnsi" w:hAnsiTheme="majorHAnsi" w:cs="Calibri"/>
          <w:b/>
          <w:color w:val="000000"/>
        </w:rPr>
        <w:t xml:space="preserve">Follow-up surveys </w:t>
      </w:r>
      <w:r w:rsidRPr="00935D11">
        <w:rPr>
          <w:rFonts w:asciiTheme="majorHAnsi" w:hAnsiTheme="majorHAnsi" w:cs="Calibri"/>
          <w:bCs/>
          <w:color w:val="000000"/>
        </w:rPr>
        <w:t>will occur every 90 days, after the initial survey is completed, and are designed to require about 10 minutes to complete.  The base items for the follow-up survey (i.e., questions on every survey) include the following sections</w:t>
      </w:r>
      <w:r>
        <w:rPr>
          <w:rStyle w:val="FootnoteReference"/>
          <w:rFonts w:asciiTheme="majorHAnsi" w:hAnsiTheme="majorHAnsi" w:cs="Calibri"/>
          <w:bCs/>
          <w:color w:val="000000"/>
        </w:rPr>
        <w:footnoteReference w:id="8"/>
      </w:r>
      <w:r w:rsidRPr="00935D11">
        <w:rPr>
          <w:rFonts w:asciiTheme="majorHAnsi" w:hAnsiTheme="majorHAnsi" w:cs="Calibri"/>
          <w:bCs/>
          <w:color w:val="000000"/>
        </w:rPr>
        <w:t xml:space="preserve">: </w:t>
      </w:r>
    </w:p>
    <w:p w:rsidR="00F964F7" w:rsidRPr="00B5553A" w:rsidP="006D6B62" w14:paraId="181E8316" w14:textId="77777777">
      <w:pPr>
        <w:pStyle w:val="paragraph"/>
        <w:numPr>
          <w:ilvl w:val="0"/>
          <w:numId w:val="29"/>
        </w:numPr>
        <w:spacing w:line="276" w:lineRule="auto"/>
        <w:textAlignment w:val="baseline"/>
        <w:rPr>
          <w:rFonts w:asciiTheme="majorHAnsi" w:hAnsiTheme="majorHAnsi" w:cs="Calibri"/>
          <w:color w:val="000000"/>
        </w:rPr>
      </w:pPr>
      <w:r w:rsidRPr="00B5553A">
        <w:rPr>
          <w:rFonts w:asciiTheme="majorHAnsi" w:hAnsiTheme="majorHAnsi" w:cs="Calibri"/>
          <w:color w:val="000000"/>
        </w:rPr>
        <w:t>Demographics (2 questions)</w:t>
      </w:r>
    </w:p>
    <w:p w:rsidR="00F964F7" w:rsidRPr="00B5553A" w:rsidP="006D6B62" w14:paraId="6597A647" w14:textId="77777777">
      <w:pPr>
        <w:pStyle w:val="paragraph"/>
        <w:numPr>
          <w:ilvl w:val="0"/>
          <w:numId w:val="29"/>
        </w:numPr>
        <w:spacing w:line="276" w:lineRule="auto"/>
        <w:textAlignment w:val="baseline"/>
        <w:rPr>
          <w:rFonts w:asciiTheme="majorHAnsi" w:hAnsiTheme="majorHAnsi" w:cs="Calibri"/>
          <w:color w:val="000000"/>
        </w:rPr>
      </w:pPr>
      <w:r w:rsidRPr="00B5553A">
        <w:rPr>
          <w:rFonts w:asciiTheme="majorHAnsi" w:hAnsiTheme="majorHAnsi" w:cs="Calibri"/>
          <w:color w:val="000000"/>
        </w:rPr>
        <w:t>Status changes (1 question)</w:t>
      </w:r>
    </w:p>
    <w:p w:rsidR="00F964F7" w:rsidRPr="00B5553A" w:rsidP="006D6B62" w14:paraId="05D2CFFB" w14:textId="77777777">
      <w:pPr>
        <w:pStyle w:val="paragraph"/>
        <w:numPr>
          <w:ilvl w:val="0"/>
          <w:numId w:val="29"/>
        </w:numPr>
        <w:spacing w:line="276" w:lineRule="auto"/>
        <w:textAlignment w:val="baseline"/>
        <w:rPr>
          <w:rFonts w:asciiTheme="majorHAnsi" w:hAnsiTheme="majorHAnsi" w:cs="Calibri"/>
          <w:color w:val="000000"/>
        </w:rPr>
      </w:pPr>
      <w:r w:rsidRPr="00B5553A">
        <w:rPr>
          <w:rFonts w:asciiTheme="majorHAnsi" w:hAnsiTheme="majorHAnsi" w:cs="Calibri"/>
          <w:color w:val="000000"/>
        </w:rPr>
        <w:t>Experiences with the military justice process and sexual assault response systems (2 questions)</w:t>
      </w:r>
    </w:p>
    <w:p w:rsidR="00F964F7" w:rsidRPr="00B5553A" w:rsidP="006D6B62" w14:paraId="03819007" w14:textId="77777777">
      <w:pPr>
        <w:pStyle w:val="paragraph"/>
        <w:numPr>
          <w:ilvl w:val="0"/>
          <w:numId w:val="29"/>
        </w:numPr>
        <w:spacing w:line="276" w:lineRule="auto"/>
        <w:textAlignment w:val="baseline"/>
        <w:rPr>
          <w:rFonts w:asciiTheme="majorHAnsi" w:hAnsiTheme="majorHAnsi" w:cs="Calibri"/>
          <w:color w:val="000000"/>
        </w:rPr>
      </w:pPr>
      <w:r w:rsidRPr="00B5553A">
        <w:rPr>
          <w:rFonts w:asciiTheme="majorHAnsi" w:hAnsiTheme="majorHAnsi" w:cs="Calibri"/>
          <w:color w:val="000000"/>
        </w:rPr>
        <w:t>Health and Well-being (5 items)</w:t>
      </w:r>
    </w:p>
    <w:p w:rsidR="00F964F7" w:rsidP="006D6B62" w14:paraId="1C7F06BB" w14:textId="77777777">
      <w:pPr>
        <w:pStyle w:val="paragraph"/>
        <w:numPr>
          <w:ilvl w:val="0"/>
          <w:numId w:val="29"/>
        </w:numPr>
        <w:spacing w:line="276" w:lineRule="auto"/>
        <w:textAlignment w:val="baseline"/>
        <w:rPr>
          <w:rFonts w:asciiTheme="majorHAnsi" w:hAnsiTheme="majorHAnsi" w:cs="Calibri"/>
          <w:color w:val="000000"/>
        </w:rPr>
      </w:pPr>
      <w:r w:rsidRPr="00B5553A">
        <w:rPr>
          <w:rFonts w:asciiTheme="majorHAnsi" w:hAnsiTheme="majorHAnsi" w:cs="Calibri"/>
          <w:color w:val="000000"/>
        </w:rPr>
        <w:t>Career outcomes (3 items)</w:t>
      </w:r>
    </w:p>
    <w:p w:rsidR="00F964F7" w:rsidRPr="00F964F7" w:rsidP="006D6B62" w14:paraId="5031F186" w14:textId="77777777">
      <w:pPr>
        <w:pStyle w:val="paragraph"/>
        <w:numPr>
          <w:ilvl w:val="0"/>
          <w:numId w:val="29"/>
        </w:numPr>
        <w:spacing w:line="276" w:lineRule="auto"/>
        <w:textAlignment w:val="baseline"/>
        <w:rPr>
          <w:rFonts w:asciiTheme="majorHAnsi" w:hAnsiTheme="majorHAnsi" w:cs="Calibri"/>
          <w:color w:val="000000"/>
        </w:rPr>
      </w:pPr>
      <w:r w:rsidRPr="00F964F7">
        <w:rPr>
          <w:rFonts w:asciiTheme="majorHAnsi" w:hAnsiTheme="majorHAnsi" w:cs="Calibri"/>
          <w:color w:val="000000"/>
        </w:rPr>
        <w:t>“Journal” (1 item)</w:t>
      </w:r>
    </w:p>
    <w:p w:rsidR="006E642A" w:rsidRPr="00D85E28" w:rsidP="006D6B62" w14:paraId="270B875C" w14:textId="77777777">
      <w:pPr>
        <w:spacing w:after="0"/>
        <w:rPr>
          <w:rFonts w:asciiTheme="majorHAnsi" w:hAnsiTheme="majorHAnsi" w:cs="Calibri"/>
          <w:color w:val="000000"/>
        </w:rPr>
      </w:pPr>
      <w:r w:rsidRPr="00D85E28">
        <w:rPr>
          <w:rStyle w:val="normaltextrun"/>
          <w:rFonts w:asciiTheme="majorHAnsi" w:hAnsiTheme="majorHAnsi" w:cs="Calibri"/>
          <w:b/>
          <w:bCs/>
          <w:color w:val="000000"/>
          <w:sz w:val="24"/>
          <w:szCs w:val="24"/>
        </w:rPr>
        <w:t>Impact:</w:t>
      </w:r>
      <w:r w:rsidRPr="00D85E28">
        <w:rPr>
          <w:rStyle w:val="normaltextrun"/>
          <w:rFonts w:asciiTheme="majorHAnsi" w:hAnsiTheme="majorHAnsi" w:cs="Calibri"/>
          <w:color w:val="000000"/>
          <w:sz w:val="24"/>
          <w:szCs w:val="24"/>
        </w:rPr>
        <w:t xml:space="preserve"> </w:t>
      </w:r>
      <w:r w:rsidRPr="00D85E28" w:rsidR="00F517DD">
        <w:rPr>
          <w:rStyle w:val="normaltextrun"/>
          <w:rFonts w:asciiTheme="majorHAnsi" w:hAnsiTheme="majorHAnsi" w:cs="Calibri"/>
          <w:color w:val="000000"/>
          <w:sz w:val="24"/>
          <w:szCs w:val="24"/>
        </w:rPr>
        <w:t>Collecting data via multiple short surveys over time provide</w:t>
      </w:r>
      <w:r w:rsidRPr="00D85E28" w:rsidR="00D85E28">
        <w:rPr>
          <w:rStyle w:val="normaltextrun"/>
          <w:rFonts w:asciiTheme="majorHAnsi" w:hAnsiTheme="majorHAnsi" w:cs="Calibri"/>
          <w:color w:val="000000"/>
          <w:sz w:val="24"/>
          <w:szCs w:val="24"/>
        </w:rPr>
        <w:t>s</w:t>
      </w:r>
      <w:r w:rsidRPr="00D85E28" w:rsidR="00F517DD">
        <w:rPr>
          <w:rStyle w:val="normaltextrun"/>
          <w:rFonts w:asciiTheme="majorHAnsi" w:hAnsiTheme="majorHAnsi" w:cs="Calibri"/>
          <w:color w:val="000000"/>
          <w:sz w:val="24"/>
          <w:szCs w:val="24"/>
        </w:rPr>
        <w:t xml:space="preserve"> the ability to improve the Department’s understanding regarding how Service members’ perceptions, attitudes, and experiences change over time and in relation to </w:t>
      </w:r>
      <w:r w:rsidRPr="00D85E28" w:rsidR="006A428D">
        <w:rPr>
          <w:rStyle w:val="normaltextrun"/>
          <w:rFonts w:asciiTheme="majorHAnsi" w:hAnsiTheme="majorHAnsi" w:cs="Calibri"/>
          <w:color w:val="000000"/>
          <w:sz w:val="24"/>
          <w:szCs w:val="24"/>
        </w:rPr>
        <w:t>specific</w:t>
      </w:r>
      <w:r w:rsidRPr="00D85E28" w:rsidR="00F517DD">
        <w:rPr>
          <w:rStyle w:val="normaltextrun"/>
          <w:rFonts w:asciiTheme="majorHAnsi" w:hAnsiTheme="majorHAnsi" w:cs="Calibri"/>
          <w:color w:val="000000"/>
          <w:sz w:val="24"/>
          <w:szCs w:val="24"/>
        </w:rPr>
        <w:t xml:space="preserve"> events. This i</w:t>
      </w:r>
      <w:r w:rsidRPr="00D85E28" w:rsidR="008C5E0B">
        <w:rPr>
          <w:rStyle w:val="normaltextrun"/>
          <w:rFonts w:asciiTheme="majorHAnsi" w:hAnsiTheme="majorHAnsi" w:cs="Calibri"/>
          <w:color w:val="000000"/>
          <w:sz w:val="24"/>
          <w:szCs w:val="24"/>
        </w:rPr>
        <w:t>nformation will be used by OUS</w:t>
      </w:r>
      <w:r w:rsidR="009A61CD">
        <w:rPr>
          <w:rStyle w:val="normaltextrun"/>
          <w:rFonts w:asciiTheme="majorHAnsi" w:hAnsiTheme="majorHAnsi" w:cs="Calibri"/>
          <w:color w:val="000000"/>
          <w:sz w:val="24"/>
          <w:szCs w:val="24"/>
        </w:rPr>
        <w:t>W</w:t>
      </w:r>
      <w:r w:rsidRPr="00D85E28" w:rsidR="008C5E0B">
        <w:rPr>
          <w:rStyle w:val="normaltextrun"/>
          <w:rFonts w:asciiTheme="majorHAnsi" w:hAnsiTheme="majorHAnsi" w:cs="Calibri"/>
          <w:color w:val="000000"/>
          <w:sz w:val="24"/>
          <w:szCs w:val="24"/>
        </w:rPr>
        <w:t xml:space="preserve">(P&amp;R) policy offices, and the Military Departments for program evaluation and to assess and improve personnel policies, programs, practices, and training related to sexual assault in the military. The study will not produce generalizable statistics or findings; rather, it will inform policy and program offices within the </w:t>
      </w:r>
      <w:r w:rsidR="009A61CD">
        <w:rPr>
          <w:rStyle w:val="normaltextrun"/>
          <w:rFonts w:asciiTheme="majorHAnsi" w:hAnsiTheme="majorHAnsi" w:cs="Calibri"/>
          <w:color w:val="000000"/>
          <w:sz w:val="24"/>
          <w:szCs w:val="24"/>
        </w:rPr>
        <w:t>Department</w:t>
      </w:r>
      <w:r w:rsidRPr="00D85E28" w:rsidR="009A61CD">
        <w:rPr>
          <w:rStyle w:val="normaltextrun"/>
          <w:rFonts w:asciiTheme="majorHAnsi" w:hAnsiTheme="majorHAnsi" w:cs="Calibri"/>
          <w:color w:val="000000"/>
          <w:sz w:val="24"/>
          <w:szCs w:val="24"/>
        </w:rPr>
        <w:t xml:space="preserve"> </w:t>
      </w:r>
      <w:r w:rsidRPr="00D85E28" w:rsidR="008C5E0B">
        <w:rPr>
          <w:rStyle w:val="normaltextrun"/>
          <w:rFonts w:asciiTheme="majorHAnsi" w:hAnsiTheme="majorHAnsi" w:cs="Calibri"/>
          <w:color w:val="000000"/>
          <w:sz w:val="24"/>
          <w:szCs w:val="24"/>
        </w:rPr>
        <w:t>about Service member satisfaction with sexual assault response resources and processes and the sexual assault accountability system. OPA provide</w:t>
      </w:r>
      <w:r w:rsidRPr="00D85E28" w:rsidR="00D85E28">
        <w:rPr>
          <w:rStyle w:val="normaltextrun"/>
          <w:rFonts w:asciiTheme="majorHAnsi" w:hAnsiTheme="majorHAnsi" w:cs="Calibri"/>
          <w:color w:val="000000"/>
          <w:sz w:val="24"/>
          <w:szCs w:val="24"/>
        </w:rPr>
        <w:t>s</w:t>
      </w:r>
      <w:r w:rsidRPr="00D85E28" w:rsidR="008C5E0B">
        <w:rPr>
          <w:rStyle w:val="normaltextrun"/>
          <w:rFonts w:asciiTheme="majorHAnsi" w:hAnsiTheme="majorHAnsi" w:cs="Calibri"/>
          <w:color w:val="000000"/>
          <w:sz w:val="24"/>
          <w:szCs w:val="24"/>
        </w:rPr>
        <w:t xml:space="preserve"> </w:t>
      </w:r>
      <w:r w:rsidRPr="00D85E28" w:rsidR="00464A25">
        <w:rPr>
          <w:rStyle w:val="normaltextrun"/>
          <w:rFonts w:asciiTheme="majorHAnsi" w:hAnsiTheme="majorHAnsi" w:cs="Calibri"/>
          <w:color w:val="000000"/>
          <w:sz w:val="24"/>
          <w:szCs w:val="24"/>
        </w:rPr>
        <w:t xml:space="preserve">annual </w:t>
      </w:r>
      <w:r w:rsidRPr="00D85E28" w:rsidR="008C5E0B">
        <w:rPr>
          <w:rStyle w:val="normaltextrun"/>
          <w:rFonts w:asciiTheme="majorHAnsi" w:hAnsiTheme="majorHAnsi" w:cs="Calibri"/>
          <w:color w:val="000000"/>
          <w:sz w:val="24"/>
          <w:szCs w:val="24"/>
        </w:rPr>
        <w:t>reports regarding the findings of the study to OUS</w:t>
      </w:r>
      <w:r w:rsidR="009A61CD">
        <w:rPr>
          <w:rStyle w:val="normaltextrun"/>
          <w:rFonts w:asciiTheme="majorHAnsi" w:hAnsiTheme="majorHAnsi" w:cs="Calibri"/>
          <w:color w:val="000000"/>
          <w:sz w:val="24"/>
          <w:szCs w:val="24"/>
        </w:rPr>
        <w:t>W</w:t>
      </w:r>
      <w:r w:rsidRPr="00D85E28" w:rsidR="008C5E0B">
        <w:rPr>
          <w:rStyle w:val="normaltextrun"/>
          <w:rFonts w:asciiTheme="majorHAnsi" w:hAnsiTheme="majorHAnsi" w:cs="Calibri"/>
          <w:color w:val="000000"/>
          <w:sz w:val="24"/>
          <w:szCs w:val="24"/>
        </w:rPr>
        <w:t xml:space="preserve">(P&amp;R) policy offices.  Data from the SVSES will also be used in future analyses.  For example, data from the SVSES could help to identify barriers in the process of seeking or using behavioral health resources; points in time during which interventions to better support Service members may be needed or more effective; or, promising elements of the military’s response system that might benefit Service members if expanded.  </w:t>
      </w:r>
    </w:p>
    <w:p w:rsidR="002D486C" w:rsidRPr="002D486C" w:rsidP="006D6B62" w14:paraId="00549A8F" w14:textId="77777777">
      <w:pPr>
        <w:spacing w:after="0"/>
        <w:rPr>
          <w:rFonts w:asciiTheme="majorHAnsi" w:hAnsiTheme="majorHAnsi"/>
          <w:sz w:val="24"/>
        </w:rPr>
      </w:pPr>
      <w:r>
        <w:rPr>
          <w:rFonts w:asciiTheme="majorHAnsi" w:hAnsiTheme="majorHAnsi"/>
          <w:i/>
          <w:noProof/>
          <w:sz w:val="24"/>
        </w:rPr>
        <mc:AlternateContent>
          <mc:Choice Requires="wps">
            <w:drawing>
              <wp:anchor distT="0" distB="0" distL="114300" distR="114300" simplePos="0" relativeHeight="251658240" behindDoc="0" locked="0" layoutInCell="1" allowOverlap="1">
                <wp:simplePos x="0" y="0"/>
                <wp:positionH relativeFrom="column">
                  <wp:posOffset>-601335</wp:posOffset>
                </wp:positionH>
                <wp:positionV relativeFrom="paragraph">
                  <wp:posOffset>301947</wp:posOffset>
                </wp:positionV>
                <wp:extent cx="322729" cy="317839"/>
                <wp:effectExtent l="0" t="0" r="2032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22729" cy="3178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25.4pt;height:25.05pt;margin-top:23.8pt;margin-left:-47.35pt;mso-wrap-distance-bottom:0;mso-wrap-distance-left:9pt;mso-wrap-distance-right:9pt;mso-wrap-distance-top:0;mso-wrap-style:square;position:absolute;visibility:visible;v-text-anchor:middle;z-index:251659264" fillcolor="white" strokecolor="white" strokeweight="2pt"/>
            </w:pict>
          </mc:Fallback>
        </mc:AlternateContent>
      </w:r>
    </w:p>
    <w:p w:rsidR="005C7428" w:rsidRPr="0085688C" w:rsidP="006D6B62" w14:paraId="48BA1406" w14:textId="77777777">
      <w:pPr>
        <w:spacing w:after="0"/>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3D56FC" w:rsidRPr="00D85E28" w:rsidP="006D6B62" w14:paraId="259F0D3D" w14:textId="77777777">
      <w:pPr>
        <w:spacing w:after="0"/>
        <w:ind w:firstLine="720"/>
        <w:rPr>
          <w:rFonts w:asciiTheme="majorHAnsi" w:hAnsiTheme="majorHAnsi"/>
          <w:i/>
          <w:sz w:val="28"/>
          <w:szCs w:val="24"/>
        </w:rPr>
      </w:pPr>
      <w:r w:rsidRPr="00D85E28">
        <w:rPr>
          <w:rFonts w:asciiTheme="majorHAnsi" w:hAnsiTheme="majorHAnsi"/>
          <w:iCs/>
          <w:sz w:val="24"/>
          <w:szCs w:val="24"/>
        </w:rPr>
        <w:t>This</w:t>
      </w:r>
      <w:r w:rsidRPr="00D85E28" w:rsidR="00E026EF">
        <w:rPr>
          <w:rFonts w:asciiTheme="majorHAnsi" w:hAnsiTheme="majorHAnsi"/>
          <w:iCs/>
          <w:sz w:val="24"/>
          <w:szCs w:val="24"/>
        </w:rPr>
        <w:t xml:space="preserve"> </w:t>
      </w:r>
      <w:r w:rsidRPr="00D85E28">
        <w:rPr>
          <w:rFonts w:asciiTheme="majorHAnsi" w:hAnsiTheme="majorHAnsi"/>
          <w:iCs/>
          <w:sz w:val="24"/>
          <w:szCs w:val="24"/>
        </w:rPr>
        <w:t>study will be conducted electronically</w:t>
      </w:r>
      <w:r w:rsidR="00D85E28">
        <w:rPr>
          <w:rFonts w:asciiTheme="majorHAnsi" w:hAnsiTheme="majorHAnsi"/>
          <w:iCs/>
          <w:sz w:val="24"/>
          <w:szCs w:val="24"/>
        </w:rPr>
        <w:t xml:space="preserve"> with</w:t>
      </w:r>
      <w:r w:rsidRPr="00D85E28">
        <w:rPr>
          <w:rFonts w:asciiTheme="majorHAnsi" w:hAnsiTheme="majorHAnsi"/>
          <w:iCs/>
          <w:sz w:val="24"/>
          <w:szCs w:val="24"/>
        </w:rPr>
        <w:t xml:space="preserve"> </w:t>
      </w:r>
      <w:r w:rsidR="00D85E28">
        <w:rPr>
          <w:rFonts w:asciiTheme="majorHAnsi" w:hAnsiTheme="majorHAnsi"/>
          <w:iCs/>
          <w:sz w:val="24"/>
          <w:szCs w:val="24"/>
        </w:rPr>
        <w:t>o</w:t>
      </w:r>
      <w:r w:rsidRPr="00D85E28" w:rsidR="003F30EC">
        <w:rPr>
          <w:rFonts w:asciiTheme="majorHAnsi" w:hAnsiTheme="majorHAnsi"/>
          <w:iCs/>
          <w:sz w:val="24"/>
          <w:szCs w:val="24"/>
        </w:rPr>
        <w:t>ne hundred percent of responses</w:t>
      </w:r>
      <w:r w:rsidRPr="00D85E28" w:rsidR="00FE6D47">
        <w:rPr>
          <w:rFonts w:asciiTheme="majorHAnsi" w:hAnsiTheme="majorHAnsi"/>
          <w:iCs/>
          <w:sz w:val="24"/>
          <w:szCs w:val="24"/>
        </w:rPr>
        <w:t xml:space="preserve"> collected electronically, as a</w:t>
      </w:r>
      <w:r w:rsidRPr="00D85E28" w:rsidR="00B6024E">
        <w:rPr>
          <w:rFonts w:asciiTheme="majorHAnsi" w:hAnsiTheme="majorHAnsi"/>
          <w:iCs/>
          <w:sz w:val="24"/>
          <w:szCs w:val="24"/>
        </w:rPr>
        <w:t>ll s</w:t>
      </w:r>
      <w:r w:rsidRPr="00D85E28">
        <w:rPr>
          <w:rFonts w:asciiTheme="majorHAnsi" w:hAnsiTheme="majorHAnsi"/>
          <w:iCs/>
          <w:sz w:val="24"/>
          <w:szCs w:val="24"/>
        </w:rPr>
        <w:t xml:space="preserve">urveys </w:t>
      </w:r>
      <w:r w:rsidR="00D85E28">
        <w:rPr>
          <w:rFonts w:asciiTheme="majorHAnsi" w:hAnsiTheme="majorHAnsi"/>
          <w:iCs/>
          <w:sz w:val="24"/>
          <w:szCs w:val="24"/>
        </w:rPr>
        <w:t>are</w:t>
      </w:r>
      <w:r w:rsidRPr="00D85E28">
        <w:rPr>
          <w:rFonts w:asciiTheme="majorHAnsi" w:hAnsiTheme="majorHAnsi"/>
          <w:iCs/>
          <w:sz w:val="24"/>
          <w:szCs w:val="24"/>
        </w:rPr>
        <w:t xml:space="preserve"> administered online, and </w:t>
      </w:r>
      <w:r w:rsidRPr="00D85E28" w:rsidR="00FE6D47">
        <w:rPr>
          <w:rFonts w:asciiTheme="majorHAnsi" w:hAnsiTheme="majorHAnsi"/>
          <w:iCs/>
          <w:sz w:val="24"/>
          <w:szCs w:val="24"/>
        </w:rPr>
        <w:t xml:space="preserve">all </w:t>
      </w:r>
      <w:r w:rsidRPr="00D85E28">
        <w:rPr>
          <w:rFonts w:asciiTheme="majorHAnsi" w:hAnsiTheme="majorHAnsi"/>
          <w:iCs/>
          <w:sz w:val="24"/>
          <w:szCs w:val="24"/>
        </w:rPr>
        <w:t xml:space="preserve">survey-related communications leverage email and text notifications and reminders (mode dependent on participant preferences). </w:t>
      </w:r>
      <w:r w:rsidRPr="00D85E28">
        <w:rPr>
          <w:rFonts w:eastAsia="Calibri" w:asciiTheme="majorHAnsi" w:hAnsiTheme="majorHAnsi"/>
          <w:color w:val="000000" w:themeColor="text1"/>
          <w:sz w:val="24"/>
          <w:szCs w:val="24"/>
        </w:rPr>
        <w:t xml:space="preserve">We use proprietary software developed by OPA’s operations contractor, Data Recognition Corporation (DRC), to administer the survey.  Digitally signed e-mails, electronic files, and web-based technology </w:t>
      </w:r>
      <w:r w:rsidR="00D85E28">
        <w:rPr>
          <w:rFonts w:eastAsia="Calibri" w:asciiTheme="majorHAnsi" w:hAnsiTheme="majorHAnsi"/>
          <w:color w:val="000000" w:themeColor="text1"/>
          <w:sz w:val="24"/>
          <w:szCs w:val="24"/>
        </w:rPr>
        <w:t>are</w:t>
      </w:r>
      <w:r w:rsidRPr="00D85E28">
        <w:rPr>
          <w:rFonts w:eastAsia="Calibri" w:asciiTheme="majorHAnsi" w:hAnsiTheme="majorHAnsi"/>
          <w:color w:val="000000" w:themeColor="text1"/>
          <w:sz w:val="24"/>
          <w:szCs w:val="24"/>
        </w:rPr>
        <w:t xml:space="preserve"> used for respondent communications</w:t>
      </w:r>
      <w:r w:rsidR="00D85E28">
        <w:rPr>
          <w:rFonts w:eastAsia="Calibri" w:asciiTheme="majorHAnsi" w:hAnsiTheme="majorHAnsi"/>
          <w:color w:val="000000" w:themeColor="text1"/>
          <w:sz w:val="24"/>
          <w:szCs w:val="24"/>
        </w:rPr>
        <w:t>, recruitment,</w:t>
      </w:r>
      <w:r w:rsidRPr="00D85E28">
        <w:rPr>
          <w:rFonts w:eastAsia="Calibri" w:asciiTheme="majorHAnsi" w:hAnsiTheme="majorHAnsi"/>
          <w:color w:val="000000" w:themeColor="text1"/>
          <w:sz w:val="24"/>
          <w:szCs w:val="24"/>
        </w:rPr>
        <w:t xml:space="preserve"> and data collection.  To reduce respondent burden, web-</w:t>
      </w:r>
      <w:r w:rsidRPr="00D85E28">
        <w:rPr>
          <w:rFonts w:eastAsia="Calibri" w:asciiTheme="majorHAnsi" w:hAnsiTheme="majorHAnsi"/>
          <w:color w:val="000000" w:themeColor="text1"/>
          <w:sz w:val="24"/>
          <w:szCs w:val="24"/>
        </w:rPr>
        <w:t xml:space="preserve">based surveys use “smart skip” technology to ensure respondents only answer questions that are applicable to them.  </w:t>
      </w:r>
      <w:r w:rsidRPr="00D85E28">
        <w:rPr>
          <w:rStyle w:val="normaltextrun"/>
          <w:rFonts w:asciiTheme="majorHAnsi" w:hAnsiTheme="majorHAnsi" w:cs="Calibri"/>
          <w:sz w:val="24"/>
          <w:szCs w:val="24"/>
        </w:rPr>
        <w:t> </w:t>
      </w:r>
      <w:r w:rsidRPr="00D85E28">
        <w:rPr>
          <w:rStyle w:val="eop"/>
          <w:rFonts w:asciiTheme="majorHAnsi" w:eastAsiaTheme="majorEastAsia" w:hAnsiTheme="majorHAnsi" w:cs="Calibri"/>
          <w:sz w:val="24"/>
          <w:szCs w:val="24"/>
        </w:rPr>
        <w:t> </w:t>
      </w:r>
    </w:p>
    <w:p w:rsidR="008635C4" w:rsidP="006D6B62" w14:paraId="5C5E2D85" w14:textId="0CB0BE57">
      <w:pPr>
        <w:spacing w:after="0"/>
        <w:rPr>
          <w:rFonts w:asciiTheme="majorHAnsi" w:hAnsiTheme="majorHAnsi"/>
          <w:i/>
          <w:sz w:val="24"/>
        </w:rPr>
      </w:pPr>
    </w:p>
    <w:p w:rsidR="008635C4" w:rsidRPr="0085688C" w:rsidP="006D6B62" w14:paraId="24052BA6" w14:textId="77777777">
      <w:pPr>
        <w:spacing w:after="0"/>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EA1BB7" w:rsidP="006D6B62" w14:paraId="75683B18" w14:textId="77777777">
      <w:pPr>
        <w:spacing w:after="0"/>
        <w:ind w:firstLine="720"/>
        <w:rPr>
          <w:rFonts w:asciiTheme="majorHAnsi" w:hAnsiTheme="majorHAnsi"/>
          <w:i/>
          <w:sz w:val="24"/>
        </w:rPr>
      </w:pPr>
      <w:r w:rsidRPr="00C334A7">
        <w:rPr>
          <w:rFonts w:asciiTheme="majorHAnsi" w:hAnsiTheme="majorHAnsi"/>
          <w:sz w:val="24"/>
          <w:szCs w:val="24"/>
        </w:rPr>
        <w:t xml:space="preserve">The information obtained through this collection is unique and is not already available for use or adaptation from another cleared source. </w:t>
      </w:r>
    </w:p>
    <w:p w:rsidR="00CA15B1" w:rsidP="006D6B62" w14:paraId="0DE1FDD9" w14:textId="77777777">
      <w:pPr>
        <w:spacing w:after="0"/>
        <w:rPr>
          <w:rFonts w:asciiTheme="majorHAnsi" w:hAnsiTheme="majorHAnsi"/>
          <w:i/>
          <w:sz w:val="24"/>
        </w:rPr>
      </w:pPr>
    </w:p>
    <w:p w:rsidR="00CA15B1" w:rsidP="006D6B62" w14:paraId="31D41FE3" w14:textId="77777777">
      <w:pPr>
        <w:spacing w:after="0"/>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D6B62" w14:paraId="31D807D4" w14:textId="77777777">
      <w:pPr>
        <w:spacing w:after="0"/>
        <w:ind w:firstLine="720"/>
        <w:rPr>
          <w:rFonts w:asciiTheme="majorHAnsi" w:hAnsiTheme="majorHAnsi"/>
          <w:i/>
          <w:sz w:val="24"/>
        </w:rPr>
      </w:pPr>
      <w:r w:rsidRPr="002567F9">
        <w:rPr>
          <w:rFonts w:asciiTheme="majorHAnsi" w:hAnsiTheme="majorHAnsi"/>
          <w:i/>
          <w:sz w:val="24"/>
        </w:rPr>
        <w:t xml:space="preserve"> </w:t>
      </w:r>
      <w:r w:rsidRPr="00E4430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D6B62" w14:paraId="47B12AFA" w14:textId="77777777">
      <w:pPr>
        <w:spacing w:after="0"/>
        <w:rPr>
          <w:rFonts w:asciiTheme="majorHAnsi" w:hAnsiTheme="majorHAnsi"/>
          <w:i/>
          <w:sz w:val="24"/>
        </w:rPr>
      </w:pPr>
    </w:p>
    <w:p w:rsidR="002567F9" w:rsidRPr="0085688C" w:rsidP="006D6B62" w14:paraId="72CAA64A" w14:textId="77777777">
      <w:pPr>
        <w:spacing w:after="0"/>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D6B62" w14:paraId="1A4FD7EC" w14:textId="7382CE9E">
      <w:pPr>
        <w:spacing w:after="0"/>
        <w:ind w:firstLine="720"/>
        <w:rPr>
          <w:rFonts w:asciiTheme="majorHAnsi" w:hAnsiTheme="majorHAnsi"/>
          <w:i/>
          <w:sz w:val="24"/>
        </w:rPr>
      </w:pPr>
      <w:r>
        <w:rPr>
          <w:rFonts w:asciiTheme="majorHAnsi" w:hAnsiTheme="majorHAnsi"/>
          <w:sz w:val="24"/>
          <w:szCs w:val="24"/>
        </w:rPr>
        <w:t>The study’s longitudinal</w:t>
      </w:r>
      <w:r w:rsidRPr="00ED0A79">
        <w:rPr>
          <w:rFonts w:asciiTheme="majorHAnsi" w:hAnsiTheme="majorHAnsi"/>
          <w:sz w:val="24"/>
          <w:szCs w:val="24"/>
        </w:rPr>
        <w:t xml:space="preserve"> design</w:t>
      </w:r>
      <w:r w:rsidR="008D5B7A">
        <w:rPr>
          <w:rFonts w:asciiTheme="majorHAnsi" w:hAnsiTheme="majorHAnsi"/>
          <w:sz w:val="24"/>
          <w:szCs w:val="24"/>
        </w:rPr>
        <w:t xml:space="preserve"> using quarterly follow</w:t>
      </w:r>
      <w:r w:rsidR="00D85E28">
        <w:rPr>
          <w:rFonts w:asciiTheme="majorHAnsi" w:hAnsiTheme="majorHAnsi"/>
          <w:sz w:val="24"/>
          <w:szCs w:val="24"/>
        </w:rPr>
        <w:t>-</w:t>
      </w:r>
      <w:r w:rsidR="008D5B7A">
        <w:rPr>
          <w:rFonts w:asciiTheme="majorHAnsi" w:hAnsiTheme="majorHAnsi"/>
          <w:sz w:val="24"/>
          <w:szCs w:val="24"/>
        </w:rPr>
        <w:t>up surveys</w:t>
      </w:r>
      <w:r w:rsidRPr="00ED0A79">
        <w:rPr>
          <w:rFonts w:asciiTheme="majorHAnsi" w:hAnsiTheme="majorHAnsi"/>
          <w:sz w:val="24"/>
          <w:szCs w:val="24"/>
        </w:rPr>
        <w:t xml:space="preserve"> will allow Service members to share their experiences </w:t>
      </w:r>
      <w:r w:rsidR="008D5B7A">
        <w:rPr>
          <w:rFonts w:asciiTheme="majorHAnsi" w:hAnsiTheme="majorHAnsi"/>
          <w:sz w:val="24"/>
          <w:szCs w:val="24"/>
        </w:rPr>
        <w:t xml:space="preserve">interacting </w:t>
      </w:r>
      <w:r w:rsidRPr="00ED0A79">
        <w:rPr>
          <w:rFonts w:asciiTheme="majorHAnsi" w:hAnsiTheme="majorHAnsi"/>
          <w:sz w:val="24"/>
          <w:szCs w:val="24"/>
        </w:rPr>
        <w:t xml:space="preserve">with support and justice processes over time and in </w:t>
      </w:r>
      <w:r w:rsidR="00B73A70">
        <w:rPr>
          <w:rFonts w:asciiTheme="majorHAnsi" w:hAnsiTheme="majorHAnsi"/>
          <w:sz w:val="24"/>
          <w:szCs w:val="24"/>
        </w:rPr>
        <w:t xml:space="preserve">closer </w:t>
      </w:r>
      <w:r w:rsidRPr="00ED0A79">
        <w:rPr>
          <w:rFonts w:asciiTheme="majorHAnsi" w:hAnsiTheme="majorHAnsi"/>
          <w:sz w:val="24"/>
          <w:szCs w:val="24"/>
        </w:rPr>
        <w:t>relation to</w:t>
      </w:r>
      <w:r w:rsidR="00B73A70">
        <w:rPr>
          <w:rFonts w:asciiTheme="majorHAnsi" w:hAnsiTheme="majorHAnsi"/>
          <w:sz w:val="24"/>
          <w:szCs w:val="24"/>
        </w:rPr>
        <w:t xml:space="preserve"> their real-time experience of</w:t>
      </w:r>
      <w:r w:rsidRPr="00ED0A79">
        <w:rPr>
          <w:rFonts w:asciiTheme="majorHAnsi" w:hAnsiTheme="majorHAnsi"/>
          <w:sz w:val="24"/>
          <w:szCs w:val="24"/>
        </w:rPr>
        <w:t xml:space="preserve"> specific circumstances</w:t>
      </w:r>
      <w:r>
        <w:rPr>
          <w:rFonts w:asciiTheme="majorHAnsi" w:hAnsiTheme="majorHAnsi"/>
          <w:sz w:val="24"/>
          <w:szCs w:val="24"/>
        </w:rPr>
        <w:t xml:space="preserve"> or events</w:t>
      </w:r>
      <w:r w:rsidRPr="00ED0A79">
        <w:rPr>
          <w:rFonts w:asciiTheme="majorHAnsi" w:hAnsiTheme="majorHAnsi"/>
          <w:sz w:val="24"/>
          <w:szCs w:val="24"/>
        </w:rPr>
        <w:t>. This</w:t>
      </w:r>
      <w:r>
        <w:rPr>
          <w:rFonts w:asciiTheme="majorHAnsi" w:hAnsiTheme="majorHAnsi"/>
          <w:sz w:val="24"/>
          <w:szCs w:val="24"/>
        </w:rPr>
        <w:t xml:space="preserve"> feedback</w:t>
      </w:r>
      <w:r w:rsidRPr="00ED0A79">
        <w:rPr>
          <w:rFonts w:asciiTheme="majorHAnsi" w:hAnsiTheme="majorHAnsi"/>
          <w:sz w:val="24"/>
          <w:szCs w:val="24"/>
        </w:rPr>
        <w:t xml:space="preserve">, in turn, will allow SAPRO and other </w:t>
      </w:r>
      <w:r w:rsidR="009A61CD">
        <w:rPr>
          <w:rFonts w:asciiTheme="majorHAnsi" w:hAnsiTheme="majorHAnsi"/>
          <w:sz w:val="24"/>
          <w:szCs w:val="24"/>
        </w:rPr>
        <w:t>Department</w:t>
      </w:r>
      <w:r w:rsidRPr="00ED0A79" w:rsidR="009A61CD">
        <w:rPr>
          <w:rFonts w:asciiTheme="majorHAnsi" w:hAnsiTheme="majorHAnsi"/>
          <w:sz w:val="24"/>
          <w:szCs w:val="24"/>
        </w:rPr>
        <w:t xml:space="preserve"> </w:t>
      </w:r>
      <w:r w:rsidRPr="00ED0A79">
        <w:rPr>
          <w:rFonts w:asciiTheme="majorHAnsi" w:hAnsiTheme="majorHAnsi"/>
          <w:sz w:val="24"/>
          <w:szCs w:val="24"/>
        </w:rPr>
        <w:t>offices to identify specific moments in the support or justice process that are challenging for Service members and to develop targeted solutions</w:t>
      </w:r>
      <w:r>
        <w:rPr>
          <w:rFonts w:asciiTheme="majorHAnsi" w:hAnsiTheme="majorHAnsi"/>
          <w:sz w:val="24"/>
          <w:szCs w:val="24"/>
        </w:rPr>
        <w:t xml:space="preserve"> to those concerns</w:t>
      </w:r>
      <w:r w:rsidRPr="00ED0A79">
        <w:rPr>
          <w:rFonts w:asciiTheme="majorHAnsi" w:hAnsiTheme="majorHAnsi"/>
          <w:sz w:val="24"/>
          <w:szCs w:val="24"/>
        </w:rPr>
        <w:t xml:space="preserve">. </w:t>
      </w:r>
    </w:p>
    <w:p w:rsidR="001017A0" w:rsidP="006D6B62" w14:paraId="041B3608" w14:textId="77777777">
      <w:pPr>
        <w:spacing w:after="0"/>
        <w:rPr>
          <w:rFonts w:asciiTheme="majorHAnsi" w:hAnsiTheme="majorHAnsi"/>
          <w:i/>
          <w:sz w:val="24"/>
        </w:rPr>
      </w:pPr>
    </w:p>
    <w:p w:rsidR="00F26C45" w:rsidP="006D6B62" w14:paraId="172050F4" w14:textId="7C3D7A62">
      <w:pPr>
        <w:spacing w:after="0"/>
        <w:rPr>
          <w:rFonts w:asciiTheme="majorHAnsi" w:hAnsiTheme="majorHAnsi"/>
          <w:i/>
          <w:sz w:val="24"/>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 xml:space="preserve">Paperwork Reduction Act </w:t>
      </w:r>
      <w:r w:rsidR="00741462">
        <w:rPr>
          <w:rFonts w:asciiTheme="majorHAnsi" w:hAnsiTheme="majorHAnsi"/>
          <w:sz w:val="24"/>
          <w:u w:val="single"/>
        </w:rPr>
        <w:t xml:space="preserve">and Other </w:t>
      </w:r>
      <w:r w:rsidRPr="00F86C35">
        <w:rPr>
          <w:rFonts w:asciiTheme="majorHAnsi" w:hAnsiTheme="majorHAnsi"/>
          <w:sz w:val="24"/>
          <w:u w:val="single"/>
        </w:rPr>
        <w:t>Guidelines</w:t>
      </w:r>
      <w:bookmarkStart w:id="1" w:name="_Hlk179462978"/>
    </w:p>
    <w:p w:rsidR="00E76617" w:rsidRPr="00511BD7" w:rsidP="006D6B62" w14:paraId="4DCE5337" w14:textId="77777777">
      <w:pPr>
        <w:spacing w:after="0"/>
        <w:ind w:firstLine="720"/>
        <w:rPr>
          <w:rFonts w:asciiTheme="majorHAnsi" w:hAnsiTheme="majorHAnsi"/>
        </w:rPr>
      </w:pPr>
      <w:r w:rsidRPr="00D85E28">
        <w:rPr>
          <w:rFonts w:asciiTheme="majorHAnsi" w:hAnsiTheme="majorHAnsi"/>
          <w:sz w:val="24"/>
          <w:szCs w:val="24"/>
        </w:rPr>
        <w:t xml:space="preserve">The SVSES will not produce statistically generalizable results as required by 5 CFR 1320.5(d)(2); however, there is a substantial need for the collection (as noted by the 2019 </w:t>
      </w:r>
      <w:r w:rsidRPr="00D85E28">
        <w:rPr>
          <w:rStyle w:val="normaltextrun"/>
          <w:rFonts w:asciiTheme="majorHAnsi" w:hAnsiTheme="majorHAnsi" w:cs="Calibri"/>
          <w:color w:val="000000"/>
          <w:sz w:val="24"/>
          <w:szCs w:val="24"/>
        </w:rPr>
        <w:t xml:space="preserve">Sexual Assault Accountability and Investigation Task Force and 2021 Independent Review Commission on Sexual Assault in the Military) </w:t>
      </w:r>
      <w:r w:rsidRPr="00D85E28">
        <w:rPr>
          <w:rFonts w:asciiTheme="majorHAnsi" w:hAnsiTheme="majorHAnsi"/>
          <w:sz w:val="24"/>
          <w:szCs w:val="24"/>
        </w:rPr>
        <w:t xml:space="preserve">to provide Service members the ability to provide feedback on their experiences with the military sexual assault response and justice system and to inform action by the </w:t>
      </w:r>
      <w:r w:rsidR="009A61CD">
        <w:rPr>
          <w:rFonts w:asciiTheme="majorHAnsi" w:hAnsiTheme="majorHAnsi"/>
          <w:sz w:val="24"/>
          <w:szCs w:val="24"/>
        </w:rPr>
        <w:t>Department</w:t>
      </w:r>
      <w:r w:rsidRPr="00D85E28" w:rsidR="009A61CD">
        <w:rPr>
          <w:rFonts w:asciiTheme="majorHAnsi" w:hAnsiTheme="majorHAnsi"/>
          <w:sz w:val="24"/>
          <w:szCs w:val="24"/>
        </w:rPr>
        <w:t xml:space="preserve"> </w:t>
      </w:r>
      <w:r w:rsidRPr="00D85E28">
        <w:rPr>
          <w:rFonts w:asciiTheme="majorHAnsi" w:hAnsiTheme="majorHAnsi"/>
          <w:sz w:val="24"/>
          <w:szCs w:val="24"/>
        </w:rPr>
        <w:t xml:space="preserve">to improve those systems.  </w:t>
      </w:r>
      <w:bookmarkEnd w:id="1"/>
    </w:p>
    <w:p w:rsidR="00200261" w:rsidP="006D6B62" w14:paraId="7F5B561E" w14:textId="77777777">
      <w:pPr>
        <w:pStyle w:val="NormalWeb"/>
        <w:spacing w:line="276" w:lineRule="auto"/>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6D6B62" w14:paraId="6E03C7BD" w14:textId="77777777">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A06F3A" w:rsidP="006D6B62" w14:paraId="22128DD4" w14:textId="77777777">
      <w:pPr>
        <w:pStyle w:val="NormalWeb"/>
        <w:spacing w:line="276" w:lineRule="auto"/>
        <w:rPr>
          <w:rFonts w:asciiTheme="majorHAnsi" w:hAnsiTheme="majorHAnsi"/>
          <w:highlight w:val="yellow"/>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A06F3A">
        <w:rPr>
          <w:rFonts w:asciiTheme="majorHAnsi" w:eastAsiaTheme="minorHAnsi" w:hAnsiTheme="majorHAnsi" w:cstheme="minorBidi"/>
          <w:szCs w:val="22"/>
        </w:rPr>
        <w:t xml:space="preserve">December 09, 2025. </w:t>
      </w:r>
      <w:r>
        <w:rPr>
          <w:rFonts w:asciiTheme="majorHAnsi" w:eastAsiaTheme="minorHAnsi" w:hAnsiTheme="majorHAnsi" w:cstheme="minorBidi"/>
          <w:szCs w:val="22"/>
        </w:rPr>
        <w:t xml:space="preserve"> The 60-Day FRN citation is </w:t>
      </w:r>
      <w:r w:rsidRPr="00A06F3A" w:rsidR="00A06F3A">
        <w:rPr>
          <w:rFonts w:asciiTheme="majorHAnsi" w:eastAsiaTheme="minorHAnsi" w:hAnsiTheme="majorHAnsi" w:cstheme="minorBidi"/>
          <w:szCs w:val="22"/>
        </w:rPr>
        <w:t xml:space="preserve">90 </w:t>
      </w:r>
      <w:r>
        <w:rPr>
          <w:rFonts w:asciiTheme="majorHAnsi" w:eastAsiaTheme="minorHAnsi" w:hAnsiTheme="majorHAnsi" w:cstheme="minorBidi"/>
          <w:szCs w:val="22"/>
        </w:rPr>
        <w:t xml:space="preserve">FRN </w:t>
      </w:r>
      <w:r w:rsidRPr="00A06F3A" w:rsidR="00A06F3A">
        <w:rPr>
          <w:rFonts w:asciiTheme="majorHAnsi" w:hAnsiTheme="majorHAnsi"/>
        </w:rPr>
        <w:t>57039-57040</w:t>
      </w:r>
      <w:r w:rsidRPr="00A06F3A">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6D6B62" w14:paraId="3CD7D4B5" w14:textId="77777777">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 xml:space="preserve">One </w:t>
      </w:r>
      <w:r w:rsidRPr="00FC2813">
        <w:rPr>
          <w:rFonts w:asciiTheme="majorHAnsi" w:eastAsiaTheme="minorHAnsi" w:hAnsiTheme="majorHAnsi" w:cstheme="minorBidi"/>
          <w:szCs w:val="22"/>
        </w:rPr>
        <w:t>comment was received during the 60-Day Comment Period. It is included below, as well as our Agency’s response to the comment.</w:t>
      </w:r>
      <w:r>
        <w:rPr>
          <w:rFonts w:asciiTheme="majorHAnsi" w:eastAsiaTheme="minorHAnsi" w:hAnsiTheme="majorHAnsi" w:cstheme="minorBidi"/>
          <w:szCs w:val="22"/>
        </w:rPr>
        <w:t xml:space="preserve"> </w:t>
      </w:r>
    </w:p>
    <w:p w:rsidR="00A06F3A" w:rsidRPr="00A06F3A" w:rsidP="006D6B62" w14:paraId="3F0803AA" w14:textId="77777777">
      <w:pPr>
        <w:pStyle w:val="NormalWeb"/>
        <w:spacing w:line="276" w:lineRule="auto"/>
        <w:rPr>
          <w:rFonts w:asciiTheme="majorHAnsi" w:hAnsiTheme="majorHAnsi"/>
        </w:rPr>
      </w:pPr>
      <w:r w:rsidRPr="00A06F3A">
        <w:rPr>
          <w:rFonts w:asciiTheme="majorHAnsi" w:hAnsiTheme="majorHAnsi"/>
        </w:rPr>
        <w:t xml:space="preserve">COMMENT: “Consider ensuring the survey respondent may give the point of contact for a person that can corroborate the facts about the experience being described. Then in use, </w:t>
      </w:r>
      <w:r w:rsidRPr="00A06F3A">
        <w:rPr>
          <w:rFonts w:asciiTheme="majorHAnsi" w:hAnsiTheme="majorHAnsi"/>
        </w:rPr>
        <w:t>the Department should give greater credence (or weighting) to those surveys that are corroborated.”</w:t>
      </w:r>
    </w:p>
    <w:p w:rsidR="00A06F3A" w:rsidP="006D6B62" w14:paraId="4A03625C" w14:textId="7073A4A6">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RESPONSE:  Thank you for the comment. The survey focuses on people who are already going through the reporting process and have points of contact already in place.</w:t>
      </w:r>
      <w:r w:rsidR="00DE76BA">
        <w:rPr>
          <w:rFonts w:asciiTheme="majorHAnsi" w:eastAsiaTheme="minorHAnsi" w:hAnsiTheme="majorHAnsi" w:cstheme="minorBidi"/>
          <w:szCs w:val="22"/>
        </w:rPr>
        <w:t xml:space="preserve"> That is a separate process from this survey, however.</w:t>
      </w:r>
      <w:r>
        <w:rPr>
          <w:rFonts w:asciiTheme="majorHAnsi" w:eastAsiaTheme="minorHAnsi" w:hAnsiTheme="majorHAnsi" w:cstheme="minorBidi"/>
          <w:szCs w:val="22"/>
        </w:rPr>
        <w:t xml:space="preserve">  The focus of the survey is more about how respondents perceive the resources they interact with and the stages of the military justice process. </w:t>
      </w:r>
    </w:p>
    <w:p w:rsidR="00502FF3" w:rsidP="006D6B62" w14:paraId="7EE14FFD" w14:textId="03A65C48">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C74B88">
        <w:rPr>
          <w:rFonts w:asciiTheme="majorHAnsi" w:eastAsiaTheme="minorHAnsi" w:hAnsiTheme="majorHAnsi" w:cstheme="minorBidi"/>
          <w:szCs w:val="22"/>
        </w:rPr>
        <w:t>Wednesday, February 2</w:t>
      </w:r>
      <w:r w:rsidR="00145F36">
        <w:rPr>
          <w:rFonts w:asciiTheme="majorHAnsi" w:eastAsiaTheme="minorHAnsi" w:hAnsiTheme="majorHAnsi" w:cstheme="minorBidi"/>
          <w:szCs w:val="22"/>
        </w:rPr>
        <w:t>5</w:t>
      </w:r>
      <w:r w:rsidR="00C74B88">
        <w:rPr>
          <w:rFonts w:asciiTheme="majorHAnsi" w:eastAsiaTheme="minorHAnsi" w:hAnsiTheme="majorHAnsi" w:cstheme="minorBidi"/>
          <w:szCs w:val="22"/>
        </w:rPr>
        <w:t>, 2026</w:t>
      </w:r>
      <w:r>
        <w:rPr>
          <w:rFonts w:asciiTheme="majorHAnsi" w:eastAsiaTheme="minorHAnsi" w:hAnsiTheme="majorHAnsi" w:cstheme="minorBidi"/>
          <w:szCs w:val="22"/>
        </w:rPr>
        <w:t xml:space="preserve">.  The 30-Day FRN citation is </w:t>
      </w:r>
      <w:r w:rsidR="00C74B88">
        <w:rPr>
          <w:rFonts w:asciiTheme="majorHAnsi" w:eastAsiaTheme="minorHAnsi" w:hAnsiTheme="majorHAnsi" w:cstheme="minorBidi"/>
          <w:szCs w:val="22"/>
        </w:rPr>
        <w:t>91</w:t>
      </w:r>
      <w:r>
        <w:rPr>
          <w:rFonts w:asciiTheme="majorHAnsi" w:eastAsiaTheme="minorHAnsi" w:hAnsiTheme="majorHAnsi" w:cstheme="minorBidi"/>
          <w:szCs w:val="22"/>
        </w:rPr>
        <w:t xml:space="preserve"> FRN </w:t>
      </w:r>
      <w:r w:rsidRPr="00C74B88" w:rsidR="00C74B88">
        <w:rPr>
          <w:rFonts w:asciiTheme="majorHAnsi" w:eastAsiaTheme="minorHAnsi" w:hAnsiTheme="majorHAnsi" w:cstheme="minorBidi"/>
          <w:szCs w:val="22"/>
        </w:rPr>
        <w:t>9240</w:t>
      </w:r>
      <w:r w:rsidR="00C74B88">
        <w:rPr>
          <w:rFonts w:asciiTheme="majorHAnsi" w:eastAsiaTheme="minorHAnsi" w:hAnsiTheme="majorHAnsi" w:cstheme="minorBidi"/>
          <w:szCs w:val="22"/>
        </w:rPr>
        <w:t>.</w:t>
      </w:r>
      <w:r w:rsidRPr="00C74B88" w:rsidR="00C74B88">
        <w:rPr>
          <w:rFonts w:asciiTheme="majorHAnsi" w:eastAsiaTheme="minorHAnsi" w:hAnsiTheme="majorHAnsi" w:cstheme="minorBidi"/>
          <w:szCs w:val="22"/>
        </w:rPr>
        <w:t xml:space="preserve"> </w:t>
      </w:r>
    </w:p>
    <w:p w:rsidR="00D61AA9" w:rsidP="006D6B62" w14:paraId="480D4110" w14:textId="3DA2C3F3">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 xml:space="preserve">One comment was received </w:t>
      </w:r>
      <w:r w:rsidR="000D79E4">
        <w:rPr>
          <w:rFonts w:asciiTheme="majorHAnsi" w:eastAsiaTheme="minorHAnsi" w:hAnsiTheme="majorHAnsi" w:cstheme="minorBidi"/>
          <w:szCs w:val="22"/>
        </w:rPr>
        <w:t>during the 30Day comment period, endorsing th</w:t>
      </w:r>
      <w:r w:rsidR="00741BB5">
        <w:rPr>
          <w:rFonts w:asciiTheme="majorHAnsi" w:eastAsiaTheme="minorHAnsi" w:hAnsiTheme="majorHAnsi" w:cstheme="minorBidi"/>
          <w:szCs w:val="22"/>
        </w:rPr>
        <w:t>is project. The comment and our response can be found be</w:t>
      </w:r>
      <w:r w:rsidR="00FB5689">
        <w:rPr>
          <w:rFonts w:asciiTheme="majorHAnsi" w:eastAsiaTheme="minorHAnsi" w:hAnsiTheme="majorHAnsi" w:cstheme="minorBidi"/>
          <w:szCs w:val="22"/>
        </w:rPr>
        <w:t xml:space="preserve">low. </w:t>
      </w:r>
    </w:p>
    <w:p w:rsidR="001108F5" w:rsidRPr="001108F5" w:rsidP="001108F5" w14:paraId="31F347B2" w14:textId="439CE5FA">
      <w:pPr>
        <w:pStyle w:val="NormalWeb"/>
        <w:rPr>
          <w:rFonts w:asciiTheme="majorHAnsi" w:hAnsiTheme="majorHAnsi"/>
          <w:b/>
          <w:bCs/>
          <w:i/>
          <w:iCs/>
        </w:rPr>
      </w:pPr>
      <w:r>
        <w:rPr>
          <w:rFonts w:asciiTheme="majorHAnsi" w:eastAsiaTheme="minorHAnsi" w:hAnsiTheme="majorHAnsi" w:cstheme="minorBidi"/>
          <w:szCs w:val="22"/>
        </w:rPr>
        <w:t xml:space="preserve">Comment: </w:t>
      </w:r>
      <w:r w:rsidRPr="001108F5">
        <w:rPr>
          <w:rFonts w:asciiTheme="majorHAnsi" w:hAnsiTheme="majorHAnsi"/>
        </w:rPr>
        <w:t xml:space="preserve">I fully support this study and its </w:t>
      </w:r>
      <w:r w:rsidRPr="001108F5">
        <w:rPr>
          <w:rFonts w:asciiTheme="majorHAnsi" w:hAnsiTheme="majorHAnsi"/>
        </w:rPr>
        <w:t>implementation,</w:t>
      </w:r>
      <w:r w:rsidRPr="001108F5">
        <w:rPr>
          <w:rFonts w:asciiTheme="majorHAnsi" w:hAnsiTheme="majorHAnsi"/>
        </w:rPr>
        <w:t xml:space="preserve"> especially since the Defense Advisory Committee on the Prevention of Sexual Misconduct was disbanded last year.</w:t>
      </w:r>
      <w:r w:rsidRPr="001108F5">
        <w:rPr>
          <w:rFonts w:asciiTheme="majorHAnsi" w:hAnsiTheme="majorHAnsi"/>
          <w:b/>
          <w:bCs/>
          <w:i/>
          <w:iCs/>
        </w:rPr>
        <w:t xml:space="preserve"> </w:t>
      </w:r>
    </w:p>
    <w:p w:rsidR="00811B14" w:rsidP="006D6B62" w14:paraId="2CE43E23" w14:textId="2B8CC633">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Respon</w:t>
      </w:r>
      <w:r w:rsidR="00C67541">
        <w:rPr>
          <w:rFonts w:asciiTheme="majorHAnsi" w:eastAsiaTheme="minorHAnsi" w:hAnsiTheme="majorHAnsi" w:cstheme="minorBidi"/>
          <w:szCs w:val="22"/>
        </w:rPr>
        <w:t>se</w:t>
      </w:r>
      <w:r w:rsidR="002C7537">
        <w:rPr>
          <w:rFonts w:asciiTheme="majorHAnsi" w:eastAsiaTheme="minorHAnsi" w:hAnsiTheme="majorHAnsi" w:cstheme="minorBidi"/>
          <w:szCs w:val="22"/>
        </w:rPr>
        <w:t xml:space="preserve">: </w:t>
      </w:r>
      <w:r w:rsidRPr="009C670A" w:rsidR="009C670A">
        <w:rPr>
          <w:rFonts w:asciiTheme="majorHAnsi" w:eastAsiaTheme="minorHAnsi" w:hAnsiTheme="majorHAnsi" w:cstheme="minorBidi"/>
          <w:szCs w:val="22"/>
        </w:rPr>
        <w:t>Thank you for your interest in the implementation of this study.</w:t>
      </w:r>
    </w:p>
    <w:p w:rsidR="00200261" w:rsidP="006D6B62" w14:paraId="24C6A4AF" w14:textId="77777777">
      <w:pPr>
        <w:pStyle w:val="NormalWeb"/>
        <w:spacing w:line="276" w:lineRule="auto"/>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8D3933" w:rsidP="006D6B62" w14:paraId="73A88624" w14:textId="77777777">
      <w:pPr>
        <w:pStyle w:val="NormalWeb"/>
        <w:spacing w:before="0" w:beforeAutospacing="0" w:after="0" w:afterAutospacing="0" w:line="276" w:lineRule="auto"/>
        <w:rPr>
          <w:rFonts w:asciiTheme="majorHAnsi" w:eastAsiaTheme="minorHAnsi" w:hAnsiTheme="majorHAnsi" w:cstheme="minorBidi"/>
          <w:szCs w:val="22"/>
        </w:rPr>
      </w:pPr>
      <w:r>
        <w:rPr>
          <w:rFonts w:eastAsia="Calibri" w:asciiTheme="majorHAnsi" w:hAnsiTheme="majorHAnsi"/>
        </w:rPr>
        <w:t xml:space="preserve">Subject matter experts within the </w:t>
      </w:r>
      <w:r w:rsidR="009A61CD">
        <w:rPr>
          <w:rFonts w:eastAsia="Calibri" w:asciiTheme="majorHAnsi" w:hAnsiTheme="majorHAnsi"/>
        </w:rPr>
        <w:t>Department</w:t>
      </w:r>
      <w:r>
        <w:rPr>
          <w:rFonts w:eastAsia="Calibri" w:asciiTheme="majorHAnsi" w:hAnsiTheme="majorHAnsi"/>
        </w:rPr>
        <w:t xml:space="preserve">, the Defense Health Agency (DHA), and the military Departments consulted on the study design and survey content.  </w:t>
      </w:r>
      <w:r w:rsidR="000C15D8">
        <w:rPr>
          <w:rFonts w:eastAsia="Calibri" w:asciiTheme="majorHAnsi" w:hAnsiTheme="majorHAnsi"/>
        </w:rPr>
        <w:t>Department</w:t>
      </w:r>
      <w:r w:rsidRPr="00C334A7" w:rsidR="000C15D8">
        <w:rPr>
          <w:rFonts w:eastAsia="Calibri" w:asciiTheme="majorHAnsi" w:hAnsiTheme="majorHAnsi"/>
        </w:rPr>
        <w:t xml:space="preserve"> </w:t>
      </w:r>
      <w:r w:rsidRPr="00C334A7">
        <w:rPr>
          <w:rFonts w:eastAsia="Calibri" w:asciiTheme="majorHAnsi" w:hAnsiTheme="majorHAnsi"/>
        </w:rPr>
        <w:t>policy offices including the Sexual Assault Prevention and Response Office (SAPRO)</w:t>
      </w:r>
      <w:r>
        <w:rPr>
          <w:rFonts w:eastAsia="Calibri" w:asciiTheme="majorHAnsi" w:hAnsiTheme="majorHAnsi"/>
        </w:rPr>
        <w:t xml:space="preserve">, </w:t>
      </w:r>
      <w:r w:rsidRPr="00C334A7">
        <w:rPr>
          <w:rFonts w:eastAsia="Calibri" w:asciiTheme="majorHAnsi" w:hAnsiTheme="majorHAnsi"/>
        </w:rPr>
        <w:t>the Office</w:t>
      </w:r>
      <w:r>
        <w:rPr>
          <w:rFonts w:eastAsia="Calibri" w:asciiTheme="majorHAnsi" w:hAnsiTheme="majorHAnsi"/>
        </w:rPr>
        <w:t xml:space="preserve"> of Force Resiliency (OFR), and </w:t>
      </w:r>
      <w:r w:rsidRPr="00C334A7">
        <w:rPr>
          <w:rFonts w:eastAsia="Calibri" w:asciiTheme="majorHAnsi" w:hAnsiTheme="majorHAnsi"/>
        </w:rPr>
        <w:t xml:space="preserve">the Office of General Counsel (OGC) were </w:t>
      </w:r>
      <w:r>
        <w:rPr>
          <w:rFonts w:eastAsia="Calibri" w:asciiTheme="majorHAnsi" w:hAnsiTheme="majorHAnsi"/>
        </w:rPr>
        <w:t xml:space="preserve">also </w:t>
      </w:r>
      <w:r w:rsidRPr="00C334A7">
        <w:rPr>
          <w:rFonts w:eastAsia="Calibri" w:asciiTheme="majorHAnsi" w:hAnsiTheme="majorHAnsi"/>
        </w:rPr>
        <w:t xml:space="preserve">consulted in developing survey content for the SVSES.  </w:t>
      </w:r>
      <w:r>
        <w:rPr>
          <w:rFonts w:eastAsia="Calibri" w:asciiTheme="majorHAnsi" w:hAnsiTheme="majorHAnsi"/>
        </w:rPr>
        <w:t>Sexual Assault Prevention and Response (SAPR) professionals and</w:t>
      </w:r>
      <w:r w:rsidRPr="00C334A7">
        <w:rPr>
          <w:rFonts w:eastAsia="Calibri" w:asciiTheme="majorHAnsi" w:hAnsiTheme="majorHAnsi"/>
        </w:rPr>
        <w:t xml:space="preserve"> Service members who </w:t>
      </w:r>
      <w:r>
        <w:rPr>
          <w:rFonts w:eastAsia="Calibri" w:asciiTheme="majorHAnsi" w:hAnsiTheme="majorHAnsi"/>
        </w:rPr>
        <w:t xml:space="preserve">are survivors of military </w:t>
      </w:r>
      <w:r w:rsidRPr="00C334A7">
        <w:rPr>
          <w:rFonts w:eastAsia="Calibri" w:asciiTheme="majorHAnsi" w:hAnsiTheme="majorHAnsi"/>
        </w:rPr>
        <w:t>sexual assault p</w:t>
      </w:r>
      <w:r>
        <w:rPr>
          <w:rFonts w:eastAsia="Calibri" w:asciiTheme="majorHAnsi" w:hAnsiTheme="majorHAnsi"/>
        </w:rPr>
        <w:t>articipated in interviews to</w:t>
      </w:r>
      <w:r w:rsidRPr="00C334A7">
        <w:rPr>
          <w:rFonts w:eastAsia="Calibri" w:asciiTheme="majorHAnsi" w:hAnsiTheme="majorHAnsi"/>
        </w:rPr>
        <w:t xml:space="preserve"> </w:t>
      </w:r>
      <w:r>
        <w:rPr>
          <w:rFonts w:eastAsia="Calibri" w:asciiTheme="majorHAnsi" w:hAnsiTheme="majorHAnsi"/>
        </w:rPr>
        <w:t xml:space="preserve">provide </w:t>
      </w:r>
      <w:r w:rsidRPr="00C334A7">
        <w:rPr>
          <w:rFonts w:eastAsia="Calibri" w:asciiTheme="majorHAnsi" w:hAnsiTheme="majorHAnsi"/>
        </w:rPr>
        <w:t>feedback on draft versions of the questionnaire and outreach materials</w:t>
      </w:r>
      <w:r>
        <w:rPr>
          <w:rFonts w:eastAsia="Calibri" w:asciiTheme="majorHAnsi" w:hAnsiTheme="majorHAnsi"/>
        </w:rPr>
        <w:t xml:space="preserve"> to improve the</w:t>
      </w:r>
      <w:r w:rsidRPr="00C334A7">
        <w:rPr>
          <w:rFonts w:eastAsia="Calibri" w:asciiTheme="majorHAnsi" w:hAnsiTheme="majorHAnsi"/>
        </w:rPr>
        <w:t xml:space="preserve"> clarity and accuracy of materials.</w:t>
      </w:r>
    </w:p>
    <w:p w:rsidR="00571698" w:rsidP="006D6B62" w14:paraId="232F189A" w14:textId="77777777">
      <w:pPr>
        <w:pStyle w:val="NormalWeb"/>
        <w:spacing w:before="0" w:beforeAutospacing="0" w:after="0" w:afterAutospacing="0" w:line="276" w:lineRule="auto"/>
        <w:rPr>
          <w:rFonts w:asciiTheme="majorHAnsi" w:hAnsiTheme="majorHAnsi"/>
          <w:i/>
        </w:rPr>
      </w:pPr>
    </w:p>
    <w:p w:rsidR="00571698" w:rsidRPr="00E44304" w:rsidP="006D6B62" w14:paraId="60CF99CB" w14:textId="77777777">
      <w:pPr>
        <w:spacing w:after="0"/>
        <w:rPr>
          <w:rFonts w:asciiTheme="majorHAnsi" w:hAnsiTheme="majorHAnsi"/>
          <w:sz w:val="24"/>
        </w:rPr>
      </w:pPr>
      <w:r w:rsidRPr="00E44304">
        <w:rPr>
          <w:rFonts w:asciiTheme="majorHAnsi" w:hAnsiTheme="majorHAnsi"/>
          <w:sz w:val="24"/>
        </w:rPr>
        <w:t xml:space="preserve">9. </w:t>
      </w:r>
      <w:r w:rsidRPr="00E44304">
        <w:rPr>
          <w:rFonts w:asciiTheme="majorHAnsi" w:hAnsiTheme="majorHAnsi"/>
          <w:sz w:val="24"/>
        </w:rPr>
        <w:tab/>
      </w:r>
      <w:r w:rsidRPr="00E44304">
        <w:rPr>
          <w:rFonts w:asciiTheme="majorHAnsi" w:hAnsiTheme="majorHAnsi"/>
          <w:sz w:val="24"/>
          <w:u w:val="single"/>
        </w:rPr>
        <w:t>Gifts or Payment</w:t>
      </w:r>
    </w:p>
    <w:p w:rsidR="006A13FA" w:rsidP="006D6B62" w14:paraId="174BF663" w14:textId="77777777">
      <w:pPr>
        <w:spacing w:after="0"/>
        <w:ind w:firstLine="720"/>
        <w:rPr>
          <w:rFonts w:asciiTheme="majorHAnsi" w:hAnsiTheme="majorHAnsi"/>
          <w:i/>
          <w:sz w:val="24"/>
        </w:rPr>
      </w:pPr>
      <w:r w:rsidRPr="00E44304">
        <w:rPr>
          <w:rFonts w:asciiTheme="majorHAnsi" w:hAnsiTheme="majorHAnsi"/>
          <w:i/>
          <w:sz w:val="24"/>
        </w:rPr>
        <w:t xml:space="preserve"> </w:t>
      </w:r>
      <w:r w:rsidRPr="00E4430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D6B62" w14:paraId="5837EE2F" w14:textId="77777777">
      <w:pPr>
        <w:spacing w:after="0"/>
        <w:rPr>
          <w:rFonts w:asciiTheme="majorHAnsi" w:hAnsiTheme="majorHAnsi"/>
          <w:i/>
          <w:sz w:val="24"/>
        </w:rPr>
      </w:pPr>
    </w:p>
    <w:p w:rsidR="001A41D8" w:rsidP="006D6B62" w14:paraId="06A7EBC3" w14:textId="6BAA435F">
      <w:pPr>
        <w:spacing w:after="0"/>
        <w:rPr>
          <w:rFonts w:asciiTheme="majorHAnsi" w:hAnsiTheme="majorHAnsi"/>
          <w:i/>
          <w:sz w:val="24"/>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A41D8" w:rsidP="006D6B62" w14:paraId="730C3B21" w14:textId="77777777">
      <w:pPr>
        <w:spacing w:after="0"/>
        <w:rPr>
          <w:rFonts w:eastAsia="Calibri" w:asciiTheme="majorHAnsi" w:hAnsiTheme="majorHAnsi" w:cs="Times New Roman"/>
          <w:sz w:val="24"/>
          <w:szCs w:val="24"/>
        </w:rPr>
      </w:pPr>
      <w:r w:rsidRPr="00ED0A79">
        <w:rPr>
          <w:rFonts w:eastAsia="Calibri" w:asciiTheme="majorHAnsi" w:hAnsiTheme="majorHAnsi" w:cs="Times New Roman"/>
          <w:sz w:val="24"/>
          <w:szCs w:val="24"/>
        </w:rPr>
        <w:t>Pri</w:t>
      </w:r>
      <w:r>
        <w:rPr>
          <w:rFonts w:eastAsia="Calibri" w:asciiTheme="majorHAnsi" w:hAnsiTheme="majorHAnsi" w:cs="Times New Roman"/>
          <w:sz w:val="24"/>
          <w:szCs w:val="24"/>
        </w:rPr>
        <w:t xml:space="preserve">or to beginning each survey, participants will be shown a privacy advisory, consent statement, </w:t>
      </w:r>
      <w:r w:rsidRPr="00ED0A79">
        <w:rPr>
          <w:rFonts w:eastAsia="Calibri" w:asciiTheme="majorHAnsi" w:hAnsiTheme="majorHAnsi" w:cs="Times New Roman"/>
          <w:sz w:val="24"/>
          <w:szCs w:val="24"/>
        </w:rPr>
        <w:t xml:space="preserve">and additional information </w:t>
      </w:r>
      <w:r>
        <w:rPr>
          <w:rFonts w:eastAsia="Calibri" w:asciiTheme="majorHAnsi" w:hAnsiTheme="majorHAnsi" w:cs="Times New Roman"/>
          <w:sz w:val="24"/>
          <w:szCs w:val="24"/>
        </w:rPr>
        <w:t>regarding the study</w:t>
      </w:r>
      <w:r w:rsidRPr="00ED0A79">
        <w:rPr>
          <w:rFonts w:eastAsia="Calibri" w:asciiTheme="majorHAnsi" w:hAnsiTheme="majorHAnsi" w:cs="Times New Roman"/>
          <w:sz w:val="24"/>
          <w:szCs w:val="24"/>
        </w:rPr>
        <w:t>.</w:t>
      </w:r>
    </w:p>
    <w:p w:rsidR="009D01E4" w:rsidP="006D6B62" w14:paraId="37455008" w14:textId="77777777">
      <w:pPr>
        <w:spacing w:after="0"/>
        <w:rPr>
          <w:rFonts w:eastAsia="Calibri" w:asciiTheme="majorHAnsi" w:hAnsiTheme="majorHAnsi" w:cs="Times New Roman"/>
          <w:sz w:val="24"/>
          <w:szCs w:val="24"/>
        </w:rPr>
      </w:pPr>
    </w:p>
    <w:p w:rsidR="009D01E4" w:rsidRPr="00C334A7" w:rsidP="006D6B62" w14:paraId="791C243C" w14:textId="77777777">
      <w:pPr>
        <w:spacing w:after="0"/>
        <w:rPr>
          <w:rFonts w:eastAsia="Calibri" w:asciiTheme="majorHAnsi" w:hAnsiTheme="majorHAnsi" w:cs="Times New Roman"/>
          <w:sz w:val="24"/>
          <w:szCs w:val="24"/>
        </w:rPr>
      </w:pPr>
      <w:r w:rsidRPr="00C334A7">
        <w:rPr>
          <w:rFonts w:eastAsia="Calibri" w:asciiTheme="majorHAnsi" w:hAnsiTheme="majorHAnsi" w:cs="Times New Roman"/>
          <w:sz w:val="24"/>
          <w:szCs w:val="24"/>
        </w:rPr>
        <w:t>The System of Record Notice (SORN) for this collection is DHRA 03 (Survey Data and Assessment [July 28, 2021, 86 FR 40498])</w:t>
      </w:r>
      <w:r>
        <w:rPr>
          <w:rFonts w:eastAsia="Calibri" w:asciiTheme="majorHAnsi" w:hAnsiTheme="majorHAnsi" w:cs="Times New Roman"/>
          <w:sz w:val="24"/>
          <w:szCs w:val="24"/>
        </w:rPr>
        <w:t>,</w:t>
      </w:r>
      <w:r w:rsidRPr="007924A3">
        <w:t xml:space="preserve"> </w:t>
      </w:r>
      <w:hyperlink r:id="rId6" w:history="1">
        <w:r w:rsidRPr="00EC0F1A">
          <w:rPr>
            <w:rStyle w:val="Hyperlink"/>
            <w:rFonts w:eastAsia="Calibri" w:asciiTheme="majorHAnsi" w:hAnsiTheme="majorHAnsi" w:cs="Times New Roman"/>
            <w:sz w:val="24"/>
            <w:szCs w:val="24"/>
          </w:rPr>
          <w:t>https://www.federalregister.gov/documents/2021/07/28/2021-16054/privacy-act-of-1974-system-of-records</w:t>
        </w:r>
      </w:hyperlink>
      <w:r w:rsidRPr="00C334A7">
        <w:rPr>
          <w:rFonts w:eastAsia="Calibri" w:asciiTheme="majorHAnsi" w:hAnsiTheme="majorHAnsi" w:cs="Times New Roman"/>
          <w:sz w:val="24"/>
          <w:szCs w:val="24"/>
        </w:rPr>
        <w:t>.</w:t>
      </w:r>
      <w:r>
        <w:rPr>
          <w:rFonts w:eastAsia="Calibri" w:asciiTheme="majorHAnsi" w:hAnsiTheme="majorHAnsi" w:cs="Times New Roman"/>
          <w:sz w:val="24"/>
          <w:szCs w:val="24"/>
        </w:rPr>
        <w:t xml:space="preserve"> </w:t>
      </w:r>
    </w:p>
    <w:p w:rsidR="009D01E4" w:rsidRPr="00C334A7" w:rsidP="006D6B62" w14:paraId="47A71020" w14:textId="77777777">
      <w:pPr>
        <w:spacing w:after="0"/>
        <w:rPr>
          <w:rFonts w:eastAsia="Calibri" w:asciiTheme="majorHAnsi" w:hAnsiTheme="majorHAnsi" w:cs="Times New Roman"/>
          <w:sz w:val="24"/>
          <w:szCs w:val="24"/>
        </w:rPr>
      </w:pPr>
    </w:p>
    <w:p w:rsidR="009D01E4" w:rsidRPr="00C334A7" w:rsidP="006D6B62" w14:paraId="6F227F0D" w14:textId="77777777">
      <w:pPr>
        <w:spacing w:after="0"/>
        <w:rPr>
          <w:rFonts w:eastAsia="Calibri" w:asciiTheme="majorHAnsi" w:hAnsiTheme="majorHAnsi" w:cs="Times New Roman"/>
          <w:sz w:val="24"/>
          <w:szCs w:val="24"/>
        </w:rPr>
      </w:pPr>
      <w:r>
        <w:rPr>
          <w:rFonts w:eastAsia="Calibri" w:asciiTheme="majorHAnsi" w:hAnsiTheme="majorHAnsi" w:cs="Times New Roman"/>
          <w:sz w:val="24"/>
          <w:szCs w:val="24"/>
        </w:rPr>
        <w:t>The data collection is</w:t>
      </w:r>
      <w:r w:rsidRPr="00C334A7">
        <w:rPr>
          <w:rFonts w:eastAsia="Calibri" w:asciiTheme="majorHAnsi" w:hAnsiTheme="majorHAnsi" w:cs="Times New Roman"/>
          <w:sz w:val="24"/>
          <w:szCs w:val="24"/>
        </w:rPr>
        <w:t xml:space="preserve"> covered by a PIA (Survey Database, [December 18, 2020], DHRA/OPA)</w:t>
      </w:r>
      <w:r>
        <w:rPr>
          <w:rFonts w:eastAsia="Calibri" w:asciiTheme="majorHAnsi" w:hAnsiTheme="majorHAnsi" w:cs="Times New Roman"/>
          <w:sz w:val="24"/>
          <w:szCs w:val="24"/>
        </w:rPr>
        <w:t xml:space="preserve">, available at </w:t>
      </w:r>
      <w:hyperlink r:id="rId7" w:history="1">
        <w:r w:rsidRPr="0047653C">
          <w:rPr>
            <w:rStyle w:val="Hyperlink"/>
            <w:rFonts w:eastAsia="Calibri" w:asciiTheme="majorHAnsi" w:hAnsiTheme="majorHAnsi" w:cs="Times New Roman"/>
            <w:sz w:val="24"/>
            <w:szCs w:val="24"/>
          </w:rPr>
          <w:t>https://www.dhra.mil/Portals/52/Documents/Privacy/PIA/OPA%20-%20Survey%20Database.pdf</w:t>
        </w:r>
      </w:hyperlink>
      <w:r>
        <w:rPr>
          <w:rFonts w:eastAsia="Calibri" w:asciiTheme="majorHAnsi" w:hAnsiTheme="majorHAnsi" w:cs="Times New Roman"/>
          <w:sz w:val="24"/>
          <w:szCs w:val="24"/>
        </w:rPr>
        <w:t xml:space="preserve"> </w:t>
      </w:r>
    </w:p>
    <w:p w:rsidR="009D01E4" w:rsidRPr="00C334A7" w:rsidP="006D6B62" w14:paraId="1971175A" w14:textId="77777777">
      <w:pPr>
        <w:spacing w:after="0"/>
        <w:rPr>
          <w:rFonts w:eastAsia="Calibri" w:asciiTheme="majorHAnsi" w:hAnsiTheme="majorHAnsi" w:cs="Times New Roman"/>
          <w:sz w:val="24"/>
          <w:szCs w:val="24"/>
        </w:rPr>
      </w:pPr>
    </w:p>
    <w:p w:rsidR="00E95FFB" w:rsidRPr="00E44304" w:rsidP="006D6B62" w14:paraId="22999477" w14:textId="77777777">
      <w:pPr>
        <w:spacing w:after="0"/>
        <w:rPr>
          <w:rFonts w:eastAsia="Calibri" w:asciiTheme="majorHAnsi" w:hAnsiTheme="majorHAnsi" w:cs="Times New Roman"/>
          <w:sz w:val="24"/>
          <w:szCs w:val="24"/>
        </w:rPr>
      </w:pPr>
      <w:r w:rsidRPr="00C334A7">
        <w:rPr>
          <w:rFonts w:asciiTheme="majorHAnsi" w:hAnsiTheme="majorHAnsi"/>
          <w:sz w:val="24"/>
          <w:szCs w:val="24"/>
        </w:rPr>
        <w:t>DISPOSITION: Permanent. Retire to the WNRC when superseded or obsolete. Transfer to NARA 25 years after cutoff. AUTHORITY: N1-330-93-001, item 2 PRIVACY ACT: Not applicable</w:t>
      </w:r>
    </w:p>
    <w:p w:rsidR="00996894" w:rsidP="006D6B62" w14:paraId="781198DC" w14:textId="77777777">
      <w:pPr>
        <w:spacing w:after="0"/>
        <w:rPr>
          <w:rFonts w:asciiTheme="majorHAnsi" w:hAnsiTheme="majorHAnsi"/>
          <w:i/>
          <w:sz w:val="24"/>
        </w:rPr>
      </w:pPr>
    </w:p>
    <w:p w:rsidR="00996894" w:rsidP="006D6B62" w14:paraId="56222CAD" w14:textId="77777777">
      <w:pPr>
        <w:spacing w:after="0"/>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RPr="006A428D" w:rsidP="006D6B62" w14:paraId="7818D351" w14:textId="77777777">
      <w:pPr>
        <w:spacing w:after="0"/>
        <w:ind w:firstLine="720"/>
        <w:rPr>
          <w:rFonts w:asciiTheme="majorHAnsi" w:hAnsiTheme="majorHAnsi"/>
          <w:i/>
          <w:sz w:val="24"/>
        </w:rPr>
      </w:pPr>
      <w:r w:rsidRPr="00C334A7">
        <w:rPr>
          <w:rFonts w:asciiTheme="majorHAnsi" w:hAnsiTheme="majorHAnsi" w:cstheme="minorHAnsi"/>
          <w:sz w:val="24"/>
          <w:szCs w:val="24"/>
        </w:rPr>
        <w:t xml:space="preserve">The purpose of the SVSES is to learn about the experiences of Service members who experience </w:t>
      </w:r>
      <w:r>
        <w:rPr>
          <w:rFonts w:asciiTheme="majorHAnsi" w:hAnsiTheme="majorHAnsi" w:cstheme="minorHAnsi"/>
          <w:sz w:val="24"/>
          <w:szCs w:val="24"/>
        </w:rPr>
        <w:t xml:space="preserve">unwanted sexual contact or </w:t>
      </w:r>
      <w:r w:rsidRPr="00C334A7">
        <w:rPr>
          <w:rFonts w:asciiTheme="majorHAnsi" w:hAnsiTheme="majorHAnsi" w:cstheme="minorHAnsi"/>
          <w:sz w:val="24"/>
          <w:szCs w:val="24"/>
        </w:rPr>
        <w:t>sexual assault while in the military</w:t>
      </w:r>
      <w:r>
        <w:rPr>
          <w:rFonts w:asciiTheme="majorHAnsi" w:hAnsiTheme="majorHAnsi" w:cstheme="minorHAnsi"/>
          <w:sz w:val="24"/>
          <w:szCs w:val="24"/>
        </w:rPr>
        <w:t xml:space="preserve"> with the response system and military justice process</w:t>
      </w:r>
      <w:r w:rsidRPr="00C334A7">
        <w:rPr>
          <w:rFonts w:asciiTheme="majorHAnsi" w:hAnsiTheme="majorHAnsi" w:cstheme="minorHAnsi"/>
          <w:sz w:val="24"/>
          <w:szCs w:val="24"/>
        </w:rPr>
        <w:t xml:space="preserve">.  As such, some of the questions may be upsetting </w:t>
      </w:r>
      <w:r>
        <w:rPr>
          <w:rFonts w:asciiTheme="majorHAnsi" w:hAnsiTheme="majorHAnsi" w:cstheme="minorHAnsi"/>
          <w:sz w:val="24"/>
          <w:szCs w:val="24"/>
        </w:rPr>
        <w:t xml:space="preserve">in nature because they ask participants about their experience with </w:t>
      </w:r>
      <w:r w:rsidRPr="00C334A7">
        <w:rPr>
          <w:rFonts w:asciiTheme="majorHAnsi" w:hAnsiTheme="majorHAnsi" w:cstheme="minorHAnsi"/>
          <w:sz w:val="24"/>
          <w:szCs w:val="24"/>
        </w:rPr>
        <w:t xml:space="preserve">sexual assault </w:t>
      </w:r>
      <w:r>
        <w:rPr>
          <w:rFonts w:asciiTheme="majorHAnsi" w:hAnsiTheme="majorHAnsi" w:cstheme="minorHAnsi"/>
          <w:sz w:val="24"/>
          <w:szCs w:val="24"/>
        </w:rPr>
        <w:t>or unwanted sexual contact</w:t>
      </w:r>
      <w:r w:rsidRPr="00C334A7">
        <w:rPr>
          <w:rFonts w:asciiTheme="majorHAnsi" w:hAnsiTheme="majorHAnsi" w:cstheme="minorHAnsi"/>
          <w:sz w:val="24"/>
          <w:szCs w:val="24"/>
        </w:rPr>
        <w:t>.</w:t>
      </w:r>
      <w:r>
        <w:rPr>
          <w:rFonts w:asciiTheme="majorHAnsi" w:hAnsiTheme="majorHAnsi" w:cstheme="minorHAnsi"/>
          <w:sz w:val="24"/>
          <w:szCs w:val="24"/>
        </w:rPr>
        <w:t xml:space="preserve"> </w:t>
      </w:r>
      <w:r w:rsidRPr="00C334A7">
        <w:rPr>
          <w:rFonts w:asciiTheme="majorHAnsi" w:hAnsiTheme="majorHAnsi" w:cstheme="minorHAnsi"/>
          <w:sz w:val="24"/>
          <w:szCs w:val="24"/>
        </w:rPr>
        <w:t xml:space="preserve"> These questions are necessary given that the sole focus and purpose of the study is to inform and improve military policy, procedures, and practices r</w:t>
      </w:r>
      <w:r>
        <w:rPr>
          <w:rFonts w:asciiTheme="majorHAnsi" w:hAnsiTheme="majorHAnsi" w:cstheme="minorHAnsi"/>
          <w:sz w:val="24"/>
          <w:szCs w:val="24"/>
        </w:rPr>
        <w:t xml:space="preserve">elated to the </w:t>
      </w:r>
      <w:r w:rsidRPr="00C334A7">
        <w:rPr>
          <w:rFonts w:asciiTheme="majorHAnsi" w:hAnsiTheme="majorHAnsi" w:cstheme="minorHAnsi"/>
          <w:sz w:val="24"/>
          <w:szCs w:val="24"/>
        </w:rPr>
        <w:t>sexual assault response</w:t>
      </w:r>
      <w:r>
        <w:rPr>
          <w:rFonts w:asciiTheme="majorHAnsi" w:hAnsiTheme="majorHAnsi" w:cstheme="minorHAnsi"/>
          <w:sz w:val="24"/>
          <w:szCs w:val="24"/>
        </w:rPr>
        <w:t xml:space="preserve"> and </w:t>
      </w:r>
      <w:r w:rsidRPr="00C334A7">
        <w:rPr>
          <w:rFonts w:asciiTheme="majorHAnsi" w:hAnsiTheme="majorHAnsi" w:cstheme="minorHAnsi"/>
          <w:sz w:val="24"/>
          <w:szCs w:val="24"/>
        </w:rPr>
        <w:t>accountability</w:t>
      </w:r>
      <w:r>
        <w:rPr>
          <w:rFonts w:asciiTheme="majorHAnsi" w:hAnsiTheme="majorHAnsi" w:cstheme="minorHAnsi"/>
          <w:sz w:val="24"/>
          <w:szCs w:val="24"/>
        </w:rPr>
        <w:t xml:space="preserve"> systems</w:t>
      </w:r>
      <w:r w:rsidRPr="00C334A7">
        <w:rPr>
          <w:rFonts w:asciiTheme="majorHAnsi" w:hAnsiTheme="majorHAnsi" w:cstheme="minorHAnsi"/>
          <w:sz w:val="24"/>
          <w:szCs w:val="24"/>
        </w:rPr>
        <w:t xml:space="preserve">. </w:t>
      </w:r>
      <w:r>
        <w:rPr>
          <w:rFonts w:asciiTheme="majorHAnsi" w:hAnsiTheme="majorHAnsi" w:cstheme="minorHAnsi"/>
          <w:sz w:val="24"/>
          <w:szCs w:val="24"/>
        </w:rPr>
        <w:t xml:space="preserve"> Obtaining some level of detail regarding Service member’s experiences will be necessary to better inform improvements.  Resources to obtain support, namely the Safe HelpLine, will be presented at the start of the survey and in various locations within the survey.  </w:t>
      </w:r>
    </w:p>
    <w:p w:rsidR="009A6246" w:rsidP="006D6B62" w14:paraId="6B6FCEE6" w14:textId="77777777">
      <w:pPr>
        <w:spacing w:after="0"/>
        <w:rPr>
          <w:rFonts w:asciiTheme="majorHAnsi" w:hAnsiTheme="majorHAnsi"/>
          <w:sz w:val="24"/>
        </w:rPr>
      </w:pPr>
    </w:p>
    <w:p w:rsidR="00D21AA6" w:rsidP="006D6B62" w14:paraId="3B612CCA" w14:textId="77777777">
      <w:pPr>
        <w:spacing w:after="0"/>
        <w:rPr>
          <w:rFonts w:asciiTheme="majorHAnsi" w:hAnsiTheme="majorHAnsi"/>
          <w:sz w:val="24"/>
        </w:rPr>
      </w:pPr>
    </w:p>
    <w:p w:rsidR="00D21AA6" w:rsidP="006D6B62" w14:paraId="1A001621" w14:textId="77777777">
      <w:pPr>
        <w:spacing w:after="0"/>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6D6B62" w14:paraId="105DB42D" w14:textId="77777777">
      <w:pPr>
        <w:pStyle w:val="NormalWeb"/>
        <w:spacing w:after="0" w:afterAutospacing="0" w:line="276" w:lineRule="auto"/>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66002B" w:rsidRPr="00C334A7" w:rsidP="006D6B62" w14:paraId="75D5E10F" w14:textId="77777777">
      <w:pPr>
        <w:pStyle w:val="ListParagraph"/>
        <w:numPr>
          <w:ilvl w:val="0"/>
          <w:numId w:val="14"/>
        </w:numPr>
        <w:spacing w:after="0"/>
        <w:rPr>
          <w:rFonts w:asciiTheme="majorHAnsi" w:hAnsiTheme="majorHAnsi"/>
          <w:sz w:val="24"/>
          <w:szCs w:val="24"/>
        </w:rPr>
      </w:pPr>
      <w:r w:rsidRPr="00C334A7">
        <w:rPr>
          <w:rFonts w:asciiTheme="majorHAnsi" w:hAnsiTheme="majorHAnsi"/>
          <w:sz w:val="24"/>
          <w:szCs w:val="24"/>
        </w:rPr>
        <w:t>Collection Instrument(s)</w:t>
      </w:r>
    </w:p>
    <w:p w:rsidR="0066002B" w:rsidRPr="00C334A7" w:rsidP="006D6B62" w14:paraId="2927FDED" w14:textId="77777777">
      <w:pPr>
        <w:pStyle w:val="ListParagraph"/>
        <w:spacing w:after="0"/>
        <w:rPr>
          <w:rFonts w:asciiTheme="majorHAnsi" w:hAnsiTheme="majorHAnsi"/>
          <w:sz w:val="24"/>
          <w:szCs w:val="24"/>
        </w:rPr>
      </w:pPr>
      <w:r w:rsidRPr="00C334A7">
        <w:rPr>
          <w:rFonts w:asciiTheme="majorHAnsi" w:hAnsiTheme="majorHAnsi"/>
          <w:sz w:val="24"/>
          <w:szCs w:val="24"/>
        </w:rPr>
        <w:t xml:space="preserve">Sexual Violence Support &amp; Experience Survey: Initial Survey </w:t>
      </w:r>
    </w:p>
    <w:p w:rsidR="0066002B" w:rsidRPr="00C334A7" w:rsidP="006D6B62" w14:paraId="7E454223" w14:textId="77777777">
      <w:pPr>
        <w:pStyle w:val="ListParagraph"/>
        <w:numPr>
          <w:ilvl w:val="0"/>
          <w:numId w:val="15"/>
        </w:numPr>
        <w:spacing w:after="0"/>
        <w:rPr>
          <w:rFonts w:asciiTheme="majorHAnsi" w:hAnsiTheme="majorHAnsi"/>
          <w:sz w:val="24"/>
          <w:szCs w:val="24"/>
        </w:rPr>
      </w:pPr>
      <w:r w:rsidRPr="00C334A7">
        <w:rPr>
          <w:rFonts w:asciiTheme="majorHAnsi" w:hAnsiTheme="majorHAnsi"/>
          <w:sz w:val="24"/>
          <w:szCs w:val="24"/>
        </w:rPr>
        <w:t>Number of Respondents: 300</w:t>
      </w:r>
    </w:p>
    <w:p w:rsidR="0066002B" w:rsidRPr="00C334A7" w:rsidP="006D6B62" w14:paraId="42073F23" w14:textId="77777777">
      <w:pPr>
        <w:pStyle w:val="ListParagraph"/>
        <w:numPr>
          <w:ilvl w:val="0"/>
          <w:numId w:val="15"/>
        </w:numPr>
        <w:spacing w:after="0"/>
        <w:rPr>
          <w:rFonts w:asciiTheme="majorHAnsi" w:hAnsiTheme="majorHAnsi"/>
          <w:sz w:val="24"/>
          <w:szCs w:val="24"/>
        </w:rPr>
      </w:pPr>
      <w:r w:rsidRPr="00C334A7">
        <w:rPr>
          <w:rFonts w:asciiTheme="majorHAnsi" w:hAnsiTheme="majorHAnsi"/>
          <w:sz w:val="24"/>
          <w:szCs w:val="24"/>
        </w:rPr>
        <w:t>Number of Responses Per Respondent: 1</w:t>
      </w:r>
    </w:p>
    <w:p w:rsidR="0066002B" w:rsidRPr="00C334A7" w:rsidP="006D6B62" w14:paraId="2B0DF676" w14:textId="77777777">
      <w:pPr>
        <w:pStyle w:val="ListParagraph"/>
        <w:numPr>
          <w:ilvl w:val="0"/>
          <w:numId w:val="15"/>
        </w:numPr>
        <w:spacing w:after="0"/>
        <w:rPr>
          <w:rFonts w:asciiTheme="majorHAnsi" w:hAnsiTheme="majorHAnsi"/>
          <w:sz w:val="24"/>
          <w:szCs w:val="24"/>
        </w:rPr>
      </w:pPr>
      <w:r w:rsidRPr="00C334A7">
        <w:rPr>
          <w:rFonts w:asciiTheme="majorHAnsi" w:hAnsiTheme="majorHAnsi"/>
          <w:sz w:val="24"/>
          <w:szCs w:val="24"/>
        </w:rPr>
        <w:t xml:space="preserve">Number of Total Annual Responses: </w:t>
      </w:r>
      <w:r>
        <w:rPr>
          <w:rFonts w:asciiTheme="majorHAnsi" w:hAnsiTheme="majorHAnsi"/>
          <w:sz w:val="24"/>
          <w:szCs w:val="24"/>
        </w:rPr>
        <w:t>300</w:t>
      </w:r>
    </w:p>
    <w:p w:rsidR="0066002B" w:rsidRPr="00C334A7" w:rsidP="006D6B62" w14:paraId="51B4D10D" w14:textId="77777777">
      <w:pPr>
        <w:pStyle w:val="ListParagraph"/>
        <w:numPr>
          <w:ilvl w:val="0"/>
          <w:numId w:val="15"/>
        </w:numPr>
        <w:spacing w:after="0"/>
        <w:rPr>
          <w:rFonts w:asciiTheme="majorHAnsi" w:hAnsiTheme="majorHAnsi"/>
          <w:sz w:val="24"/>
          <w:szCs w:val="24"/>
        </w:rPr>
      </w:pPr>
      <w:r w:rsidRPr="00C334A7">
        <w:rPr>
          <w:rFonts w:asciiTheme="majorHAnsi" w:hAnsiTheme="majorHAnsi"/>
          <w:sz w:val="24"/>
          <w:szCs w:val="24"/>
        </w:rPr>
        <w:t xml:space="preserve">Response Time: </w:t>
      </w:r>
      <w:r>
        <w:rPr>
          <w:rFonts w:asciiTheme="majorHAnsi" w:hAnsiTheme="majorHAnsi"/>
          <w:sz w:val="24"/>
          <w:szCs w:val="24"/>
        </w:rPr>
        <w:t>0.5 hours</w:t>
      </w:r>
    </w:p>
    <w:p w:rsidR="0066002B" w:rsidRPr="00C334A7" w:rsidP="006D6B62" w14:paraId="20C4C4CE" w14:textId="77777777">
      <w:pPr>
        <w:pStyle w:val="ListParagraph"/>
        <w:numPr>
          <w:ilvl w:val="0"/>
          <w:numId w:val="15"/>
        </w:numPr>
        <w:spacing w:after="0"/>
        <w:rPr>
          <w:rFonts w:asciiTheme="majorHAnsi" w:hAnsiTheme="majorHAnsi"/>
          <w:sz w:val="24"/>
          <w:szCs w:val="24"/>
        </w:rPr>
      </w:pPr>
      <w:r w:rsidRPr="00C334A7">
        <w:rPr>
          <w:rFonts w:asciiTheme="majorHAnsi" w:hAnsiTheme="majorHAnsi"/>
          <w:sz w:val="24"/>
          <w:szCs w:val="24"/>
        </w:rPr>
        <w:t xml:space="preserve">Respondent Burden Hours: </w:t>
      </w:r>
      <w:r>
        <w:rPr>
          <w:rFonts w:asciiTheme="majorHAnsi" w:hAnsiTheme="majorHAnsi"/>
          <w:sz w:val="24"/>
          <w:szCs w:val="24"/>
        </w:rPr>
        <w:t>150</w:t>
      </w:r>
      <w:r w:rsidRPr="00C334A7">
        <w:rPr>
          <w:rFonts w:asciiTheme="majorHAnsi" w:hAnsiTheme="majorHAnsi"/>
          <w:sz w:val="24"/>
          <w:szCs w:val="24"/>
        </w:rPr>
        <w:t xml:space="preserve"> hours </w:t>
      </w:r>
    </w:p>
    <w:p w:rsidR="0066002B" w:rsidRPr="00C334A7" w:rsidP="006D6B62" w14:paraId="37BEC796" w14:textId="77777777">
      <w:pPr>
        <w:pStyle w:val="ListParagraph"/>
        <w:spacing w:after="0"/>
        <w:ind w:left="1440"/>
        <w:rPr>
          <w:rFonts w:asciiTheme="majorHAnsi" w:hAnsiTheme="majorHAnsi"/>
          <w:sz w:val="24"/>
          <w:szCs w:val="24"/>
        </w:rPr>
      </w:pPr>
    </w:p>
    <w:p w:rsidR="0066002B" w:rsidRPr="00C334A7" w:rsidP="006D6B62" w14:paraId="2CFB9A8A" w14:textId="77777777">
      <w:pPr>
        <w:pStyle w:val="ListParagraph"/>
        <w:numPr>
          <w:ilvl w:val="0"/>
          <w:numId w:val="14"/>
        </w:numPr>
        <w:spacing w:after="0"/>
        <w:rPr>
          <w:rFonts w:asciiTheme="majorHAnsi" w:hAnsiTheme="majorHAnsi"/>
          <w:sz w:val="24"/>
          <w:szCs w:val="24"/>
        </w:rPr>
      </w:pPr>
      <w:r w:rsidRPr="00C334A7">
        <w:rPr>
          <w:rFonts w:asciiTheme="majorHAnsi" w:hAnsiTheme="majorHAnsi"/>
          <w:sz w:val="24"/>
          <w:szCs w:val="24"/>
        </w:rPr>
        <w:t>Collection Instrument(s)</w:t>
      </w:r>
    </w:p>
    <w:p w:rsidR="0066002B" w:rsidRPr="00C334A7" w:rsidP="006D6B62" w14:paraId="4B6459D4" w14:textId="77777777">
      <w:pPr>
        <w:pStyle w:val="ListParagraph"/>
        <w:spacing w:after="0"/>
        <w:rPr>
          <w:rFonts w:asciiTheme="majorHAnsi" w:hAnsiTheme="majorHAnsi"/>
          <w:sz w:val="24"/>
          <w:szCs w:val="24"/>
        </w:rPr>
      </w:pPr>
      <w:r w:rsidRPr="00C334A7">
        <w:rPr>
          <w:rFonts w:asciiTheme="majorHAnsi" w:hAnsiTheme="majorHAnsi"/>
          <w:sz w:val="24"/>
          <w:szCs w:val="24"/>
        </w:rPr>
        <w:t>Sexual Violence Support &amp; Experience Survey: Follow Up Survey(s)</w:t>
      </w:r>
    </w:p>
    <w:p w:rsidR="0066002B" w:rsidRPr="00C334A7" w:rsidP="006D6B62" w14:paraId="63D6EE9C"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Number of Respondents: 300</w:t>
      </w:r>
    </w:p>
    <w:p w:rsidR="0066002B" w:rsidRPr="00C334A7" w:rsidP="006D6B62" w14:paraId="478CB348"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 xml:space="preserve">Number of Responses Per Respondent: </w:t>
      </w:r>
      <w:r>
        <w:rPr>
          <w:rFonts w:asciiTheme="majorHAnsi" w:hAnsiTheme="majorHAnsi"/>
          <w:sz w:val="24"/>
          <w:szCs w:val="24"/>
        </w:rPr>
        <w:t>3</w:t>
      </w:r>
    </w:p>
    <w:p w:rsidR="0066002B" w:rsidRPr="00C334A7" w:rsidP="006D6B62" w14:paraId="7BC6BE79"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 xml:space="preserve">Number of Total Annual Responses: </w:t>
      </w:r>
      <w:r>
        <w:rPr>
          <w:rFonts w:asciiTheme="majorHAnsi" w:hAnsiTheme="majorHAnsi"/>
          <w:sz w:val="24"/>
          <w:szCs w:val="24"/>
        </w:rPr>
        <w:t>900</w:t>
      </w:r>
    </w:p>
    <w:p w:rsidR="0066002B" w:rsidRPr="00C334A7" w:rsidP="006D6B62" w14:paraId="128628B0"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 xml:space="preserve">Response Time: </w:t>
      </w:r>
      <w:r>
        <w:rPr>
          <w:rFonts w:asciiTheme="majorHAnsi" w:hAnsiTheme="majorHAnsi"/>
          <w:sz w:val="24"/>
          <w:szCs w:val="24"/>
        </w:rPr>
        <w:t>0.17 hours</w:t>
      </w:r>
    </w:p>
    <w:p w:rsidR="0066002B" w:rsidRPr="00C334A7" w:rsidP="006D6B62" w14:paraId="3FD39DD0"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 xml:space="preserve">Respondent Burden Hours: </w:t>
      </w:r>
      <w:r>
        <w:rPr>
          <w:rFonts w:asciiTheme="majorHAnsi" w:hAnsiTheme="majorHAnsi"/>
          <w:sz w:val="24"/>
          <w:szCs w:val="24"/>
        </w:rPr>
        <w:t>153</w:t>
      </w:r>
      <w:r w:rsidRPr="00C334A7">
        <w:rPr>
          <w:rFonts w:asciiTheme="majorHAnsi" w:hAnsiTheme="majorHAnsi"/>
          <w:sz w:val="24"/>
          <w:szCs w:val="24"/>
        </w:rPr>
        <w:t xml:space="preserve"> hours</w:t>
      </w:r>
    </w:p>
    <w:p w:rsidR="0066002B" w:rsidRPr="00C334A7" w:rsidP="006D6B62" w14:paraId="3459FF0B" w14:textId="77777777">
      <w:pPr>
        <w:pStyle w:val="ListParagraph"/>
        <w:spacing w:after="0"/>
        <w:ind w:left="1440"/>
        <w:rPr>
          <w:rFonts w:asciiTheme="majorHAnsi" w:hAnsiTheme="majorHAnsi"/>
          <w:sz w:val="24"/>
          <w:szCs w:val="24"/>
        </w:rPr>
      </w:pPr>
    </w:p>
    <w:p w:rsidR="0066002B" w:rsidRPr="00C334A7" w:rsidP="006D6B62" w14:paraId="7B9A1199" w14:textId="77777777">
      <w:pPr>
        <w:pStyle w:val="ListParagraph"/>
        <w:numPr>
          <w:ilvl w:val="0"/>
          <w:numId w:val="14"/>
        </w:numPr>
        <w:spacing w:after="0"/>
        <w:rPr>
          <w:rFonts w:asciiTheme="majorHAnsi" w:hAnsiTheme="majorHAnsi"/>
          <w:sz w:val="24"/>
          <w:szCs w:val="24"/>
        </w:rPr>
      </w:pPr>
      <w:r>
        <w:rPr>
          <w:rFonts w:asciiTheme="majorHAnsi" w:hAnsiTheme="majorHAnsi"/>
          <w:sz w:val="24"/>
          <w:szCs w:val="24"/>
        </w:rPr>
        <w:t xml:space="preserve">Total Submission Burden </w:t>
      </w:r>
    </w:p>
    <w:p w:rsidR="0066002B" w:rsidRPr="00C334A7" w:rsidP="006D6B62" w14:paraId="60A21B28"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Total Number of Respondents: 300</w:t>
      </w:r>
      <w:r>
        <w:rPr>
          <w:rFonts w:asciiTheme="majorHAnsi" w:hAnsiTheme="majorHAnsi"/>
          <w:sz w:val="24"/>
          <w:szCs w:val="24"/>
        </w:rPr>
        <w:t xml:space="preserve"> </w:t>
      </w:r>
    </w:p>
    <w:p w:rsidR="007500A4" w:rsidP="006D6B62" w14:paraId="45F8C20B" w14:textId="77777777">
      <w:pPr>
        <w:pStyle w:val="ListParagraph"/>
        <w:numPr>
          <w:ilvl w:val="1"/>
          <w:numId w:val="14"/>
        </w:numPr>
        <w:spacing w:after="0"/>
        <w:rPr>
          <w:rFonts w:asciiTheme="majorHAnsi" w:hAnsiTheme="majorHAnsi"/>
          <w:sz w:val="24"/>
          <w:szCs w:val="24"/>
        </w:rPr>
      </w:pPr>
      <w:r w:rsidRPr="00C334A7">
        <w:rPr>
          <w:rFonts w:asciiTheme="majorHAnsi" w:hAnsiTheme="majorHAnsi"/>
          <w:sz w:val="24"/>
          <w:szCs w:val="24"/>
        </w:rPr>
        <w:t>Total Number of Annual Responses: 1200</w:t>
      </w:r>
      <w:r>
        <w:rPr>
          <w:rFonts w:asciiTheme="majorHAnsi" w:hAnsiTheme="majorHAnsi"/>
          <w:sz w:val="24"/>
          <w:szCs w:val="24"/>
        </w:rPr>
        <w:t xml:space="preserve"> </w:t>
      </w:r>
    </w:p>
    <w:p w:rsidR="0066002B" w:rsidRPr="006D6B62" w:rsidP="006D6B62" w14:paraId="6E6D5A8A" w14:textId="7DE789D2">
      <w:pPr>
        <w:pStyle w:val="ListParagraph"/>
        <w:numPr>
          <w:ilvl w:val="1"/>
          <w:numId w:val="14"/>
        </w:numPr>
        <w:spacing w:after="0"/>
        <w:rPr>
          <w:rFonts w:asciiTheme="majorHAnsi" w:hAnsiTheme="majorHAnsi"/>
          <w:i/>
          <w:sz w:val="24"/>
        </w:rPr>
      </w:pPr>
      <w:r w:rsidRPr="007500A4">
        <w:rPr>
          <w:rFonts w:asciiTheme="majorHAnsi" w:hAnsiTheme="majorHAnsi"/>
          <w:sz w:val="24"/>
          <w:szCs w:val="24"/>
        </w:rPr>
        <w:t xml:space="preserve">Total Respondent Burden Hours: 303 hours </w:t>
      </w:r>
    </w:p>
    <w:p w:rsidR="00520B36" w:rsidP="006D6B62" w14:paraId="743740B6" w14:textId="77777777">
      <w:pPr>
        <w:spacing w:after="0"/>
        <w:rPr>
          <w:rFonts w:asciiTheme="majorHAnsi" w:hAnsiTheme="majorHAnsi"/>
          <w:sz w:val="24"/>
        </w:rPr>
      </w:pPr>
    </w:p>
    <w:p w:rsidR="00235D71" w:rsidRPr="006D6B62" w:rsidP="006D6B62" w14:paraId="3D89007C" w14:textId="369F364D">
      <w:pPr>
        <w:spacing w:after="0"/>
        <w:rPr>
          <w:rFonts w:asciiTheme="majorHAnsi" w:hAnsiTheme="majorHAnsi"/>
          <w:sz w:val="24"/>
        </w:rPr>
      </w:pPr>
      <w:r>
        <w:rPr>
          <w:rFonts w:asciiTheme="majorHAnsi" w:hAnsiTheme="majorHAnsi"/>
          <w:sz w:val="24"/>
        </w:rPr>
        <w:t>Part B: LABOR COST OF RESPONDENT BURDEN</w:t>
      </w:r>
    </w:p>
    <w:p w:rsidR="00E304C8" w:rsidRPr="00C334A7" w:rsidP="006D6B62" w14:paraId="4BE46179" w14:textId="77777777">
      <w:pPr>
        <w:pStyle w:val="ListParagraph"/>
        <w:numPr>
          <w:ilvl w:val="0"/>
          <w:numId w:val="16"/>
        </w:numPr>
        <w:spacing w:after="0"/>
        <w:rPr>
          <w:rFonts w:asciiTheme="majorHAnsi" w:hAnsiTheme="majorHAnsi"/>
          <w:sz w:val="24"/>
          <w:szCs w:val="24"/>
        </w:rPr>
      </w:pPr>
      <w:r w:rsidRPr="00C334A7">
        <w:rPr>
          <w:rFonts w:asciiTheme="majorHAnsi" w:hAnsiTheme="majorHAnsi"/>
          <w:sz w:val="24"/>
          <w:szCs w:val="24"/>
        </w:rPr>
        <w:t>Collection Instrument(s)</w:t>
      </w:r>
    </w:p>
    <w:p w:rsidR="00E304C8" w:rsidRPr="00C334A7" w:rsidP="006D6B62" w14:paraId="137C434A" w14:textId="77777777">
      <w:pPr>
        <w:pStyle w:val="ListParagraph"/>
        <w:spacing w:after="0"/>
        <w:rPr>
          <w:rFonts w:asciiTheme="majorHAnsi" w:hAnsiTheme="majorHAnsi"/>
          <w:sz w:val="24"/>
          <w:szCs w:val="24"/>
        </w:rPr>
      </w:pPr>
      <w:r w:rsidRPr="00C334A7">
        <w:rPr>
          <w:rFonts w:asciiTheme="majorHAnsi" w:hAnsiTheme="majorHAnsi"/>
          <w:sz w:val="24"/>
          <w:szCs w:val="24"/>
        </w:rPr>
        <w:t xml:space="preserve">Sexual Violence Support &amp; Experience Survey </w:t>
      </w:r>
      <w:r>
        <w:rPr>
          <w:rFonts w:asciiTheme="majorHAnsi" w:hAnsiTheme="majorHAnsi"/>
          <w:sz w:val="24"/>
          <w:szCs w:val="24"/>
        </w:rPr>
        <w:t>Initial Survey</w:t>
      </w:r>
    </w:p>
    <w:p w:rsidR="00E304C8" w:rsidRPr="00C334A7" w:rsidP="006D6B62" w14:paraId="212E29AE"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 xml:space="preserve">Number of Total Annual Responses: </w:t>
      </w:r>
      <w:r>
        <w:rPr>
          <w:rFonts w:asciiTheme="majorHAnsi" w:hAnsiTheme="majorHAnsi"/>
          <w:sz w:val="24"/>
          <w:szCs w:val="24"/>
        </w:rPr>
        <w:t>300</w:t>
      </w:r>
    </w:p>
    <w:p w:rsidR="00E304C8" w:rsidRPr="00C334A7" w:rsidP="006D6B62" w14:paraId="0301A9BE"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Response Time</w:t>
      </w:r>
      <w:r>
        <w:rPr>
          <w:rFonts w:asciiTheme="majorHAnsi" w:hAnsiTheme="majorHAnsi"/>
          <w:sz w:val="24"/>
          <w:szCs w:val="24"/>
        </w:rPr>
        <w:t xml:space="preserve">: 0.5 hours </w:t>
      </w:r>
    </w:p>
    <w:p w:rsidR="00E304C8" w:rsidRPr="00C334A7" w:rsidP="006D6B62" w14:paraId="71D993F8"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 xml:space="preserve">Respondent Hourly Wage: </w:t>
      </w:r>
      <w:r>
        <w:rPr>
          <w:rFonts w:asciiTheme="majorHAnsi" w:hAnsiTheme="majorHAnsi"/>
          <w:sz w:val="24"/>
          <w:szCs w:val="24"/>
        </w:rPr>
        <w:t>$53.33</w:t>
      </w:r>
    </w:p>
    <w:p w:rsidR="00E304C8" w:rsidRPr="00C334A7" w:rsidP="006D6B62" w14:paraId="430E88E8"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Labor Burden per Response: $</w:t>
      </w:r>
      <w:r>
        <w:rPr>
          <w:rFonts w:asciiTheme="majorHAnsi" w:hAnsiTheme="majorHAnsi"/>
          <w:sz w:val="24"/>
          <w:szCs w:val="24"/>
        </w:rPr>
        <w:t>26.67</w:t>
      </w:r>
    </w:p>
    <w:p w:rsidR="00E304C8" w:rsidP="006D6B62" w14:paraId="1FA707C5" w14:textId="14F2E8F0">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Total Labor Burden: $</w:t>
      </w:r>
      <w:r w:rsidR="006D6B62">
        <w:rPr>
          <w:rFonts w:asciiTheme="majorHAnsi" w:hAnsiTheme="majorHAnsi"/>
          <w:sz w:val="24"/>
          <w:szCs w:val="24"/>
        </w:rPr>
        <w:t>8,001</w:t>
      </w:r>
    </w:p>
    <w:p w:rsidR="00E304C8" w:rsidRPr="00C334A7" w:rsidP="006D6B62" w14:paraId="65E1E216" w14:textId="77777777">
      <w:pPr>
        <w:pStyle w:val="ListParagraph"/>
        <w:spacing w:after="0"/>
        <w:ind w:left="1440"/>
        <w:rPr>
          <w:rFonts w:asciiTheme="majorHAnsi" w:hAnsiTheme="majorHAnsi"/>
          <w:sz w:val="24"/>
          <w:szCs w:val="24"/>
        </w:rPr>
      </w:pPr>
    </w:p>
    <w:p w:rsidR="00E304C8" w:rsidRPr="00C334A7" w:rsidP="006D6B62" w14:paraId="25AB57CF" w14:textId="77777777">
      <w:pPr>
        <w:pStyle w:val="ListParagraph"/>
        <w:numPr>
          <w:ilvl w:val="0"/>
          <w:numId w:val="16"/>
        </w:numPr>
        <w:spacing w:after="0"/>
        <w:rPr>
          <w:rFonts w:asciiTheme="majorHAnsi" w:hAnsiTheme="majorHAnsi"/>
          <w:sz w:val="24"/>
          <w:szCs w:val="24"/>
        </w:rPr>
      </w:pPr>
      <w:r w:rsidRPr="00C334A7">
        <w:rPr>
          <w:rFonts w:asciiTheme="majorHAnsi" w:hAnsiTheme="majorHAnsi"/>
          <w:sz w:val="24"/>
          <w:szCs w:val="24"/>
        </w:rPr>
        <w:t>Collection Instrument(s)</w:t>
      </w:r>
    </w:p>
    <w:p w:rsidR="00E304C8" w:rsidRPr="00C334A7" w:rsidP="006D6B62" w14:paraId="395476AB" w14:textId="77777777">
      <w:pPr>
        <w:pStyle w:val="ListParagraph"/>
        <w:spacing w:after="0"/>
        <w:rPr>
          <w:rFonts w:asciiTheme="majorHAnsi" w:hAnsiTheme="majorHAnsi"/>
          <w:sz w:val="24"/>
          <w:szCs w:val="24"/>
        </w:rPr>
      </w:pPr>
      <w:r w:rsidRPr="00C334A7">
        <w:rPr>
          <w:rFonts w:asciiTheme="majorHAnsi" w:hAnsiTheme="majorHAnsi"/>
          <w:sz w:val="24"/>
          <w:szCs w:val="24"/>
        </w:rPr>
        <w:t xml:space="preserve">Sexual Violence </w:t>
      </w:r>
      <w:r>
        <w:rPr>
          <w:rFonts w:asciiTheme="majorHAnsi" w:hAnsiTheme="majorHAnsi"/>
          <w:sz w:val="24"/>
          <w:szCs w:val="24"/>
        </w:rPr>
        <w:t>Support &amp; Experience Survey Follow-up Survey</w:t>
      </w:r>
    </w:p>
    <w:p w:rsidR="00E304C8" w:rsidRPr="00C334A7" w:rsidP="006D6B62" w14:paraId="7859491F"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 xml:space="preserve">Number of Total Annual Responses: </w:t>
      </w:r>
      <w:r>
        <w:rPr>
          <w:rFonts w:asciiTheme="majorHAnsi" w:hAnsiTheme="majorHAnsi"/>
          <w:sz w:val="24"/>
          <w:szCs w:val="24"/>
        </w:rPr>
        <w:t>900</w:t>
      </w:r>
    </w:p>
    <w:p w:rsidR="00E304C8" w:rsidRPr="00C334A7" w:rsidP="006D6B62" w14:paraId="145723A6"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 xml:space="preserve">Response Time:  </w:t>
      </w:r>
      <w:r>
        <w:rPr>
          <w:rFonts w:asciiTheme="majorHAnsi" w:hAnsiTheme="majorHAnsi"/>
          <w:sz w:val="24"/>
          <w:szCs w:val="24"/>
        </w:rPr>
        <w:t xml:space="preserve">0.17 hours </w:t>
      </w:r>
    </w:p>
    <w:p w:rsidR="00E304C8" w:rsidRPr="00C334A7" w:rsidP="006D6B62" w14:paraId="6DFF54AB" w14:textId="77777777">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 xml:space="preserve">Respondent Hourly Wage: </w:t>
      </w:r>
      <w:r>
        <w:rPr>
          <w:rFonts w:asciiTheme="majorHAnsi" w:hAnsiTheme="majorHAnsi"/>
          <w:sz w:val="24"/>
          <w:szCs w:val="24"/>
        </w:rPr>
        <w:t>$53.33</w:t>
      </w:r>
    </w:p>
    <w:p w:rsidR="00E304C8" w:rsidRPr="00C334A7" w:rsidP="006D6B62" w14:paraId="77601B41" w14:textId="45DF052C">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Labor Burden per Response: $</w:t>
      </w:r>
      <w:r w:rsidR="006D6B62">
        <w:rPr>
          <w:rFonts w:asciiTheme="majorHAnsi" w:hAnsiTheme="majorHAnsi"/>
          <w:sz w:val="24"/>
          <w:szCs w:val="24"/>
        </w:rPr>
        <w:t>8.89</w:t>
      </w:r>
    </w:p>
    <w:p w:rsidR="00E304C8" w:rsidRPr="006A428D" w:rsidP="006D6B62" w14:paraId="3D02859F" w14:textId="17D6357D">
      <w:pPr>
        <w:pStyle w:val="ListParagraph"/>
        <w:numPr>
          <w:ilvl w:val="0"/>
          <w:numId w:val="17"/>
        </w:numPr>
        <w:spacing w:after="0"/>
        <w:rPr>
          <w:rFonts w:asciiTheme="majorHAnsi" w:hAnsiTheme="majorHAnsi"/>
          <w:sz w:val="24"/>
          <w:szCs w:val="24"/>
        </w:rPr>
      </w:pPr>
      <w:r w:rsidRPr="00C334A7">
        <w:rPr>
          <w:rFonts w:asciiTheme="majorHAnsi" w:hAnsiTheme="majorHAnsi"/>
          <w:sz w:val="24"/>
          <w:szCs w:val="24"/>
        </w:rPr>
        <w:t>Total Labor Burden: $</w:t>
      </w:r>
      <w:r w:rsidR="006D6B62">
        <w:rPr>
          <w:rFonts w:asciiTheme="majorHAnsi" w:hAnsiTheme="majorHAnsi"/>
          <w:sz w:val="24"/>
          <w:szCs w:val="24"/>
        </w:rPr>
        <w:t>8,001</w:t>
      </w:r>
    </w:p>
    <w:p w:rsidR="00E304C8" w:rsidRPr="00C334A7" w:rsidP="006D6B62" w14:paraId="24CD0C17" w14:textId="77777777">
      <w:pPr>
        <w:pStyle w:val="ListParagraph"/>
        <w:spacing w:after="0"/>
        <w:ind w:left="1440"/>
        <w:rPr>
          <w:rFonts w:asciiTheme="majorHAnsi" w:hAnsiTheme="majorHAnsi"/>
          <w:sz w:val="24"/>
          <w:szCs w:val="24"/>
        </w:rPr>
      </w:pPr>
    </w:p>
    <w:p w:rsidR="00E304C8" w:rsidRPr="00C334A7" w:rsidP="006D6B62" w14:paraId="69559456" w14:textId="77777777">
      <w:pPr>
        <w:pStyle w:val="ListParagraph"/>
        <w:numPr>
          <w:ilvl w:val="0"/>
          <w:numId w:val="16"/>
        </w:numPr>
        <w:spacing w:after="0"/>
        <w:rPr>
          <w:rFonts w:asciiTheme="majorHAnsi" w:hAnsiTheme="majorHAnsi"/>
          <w:sz w:val="24"/>
          <w:szCs w:val="24"/>
        </w:rPr>
      </w:pPr>
      <w:r w:rsidRPr="00C334A7">
        <w:rPr>
          <w:rFonts w:asciiTheme="majorHAnsi" w:hAnsiTheme="majorHAnsi"/>
          <w:sz w:val="24"/>
          <w:szCs w:val="24"/>
        </w:rPr>
        <w:t xml:space="preserve">Overall Labor Burden </w:t>
      </w:r>
    </w:p>
    <w:p w:rsidR="00E304C8" w:rsidRPr="00C334A7" w:rsidP="006D6B62" w14:paraId="13289A1C" w14:textId="77777777">
      <w:pPr>
        <w:pStyle w:val="ListParagraph"/>
        <w:numPr>
          <w:ilvl w:val="1"/>
          <w:numId w:val="16"/>
        </w:numPr>
        <w:spacing w:after="0"/>
        <w:rPr>
          <w:rFonts w:asciiTheme="majorHAnsi" w:hAnsiTheme="majorHAnsi"/>
          <w:sz w:val="24"/>
          <w:szCs w:val="24"/>
        </w:rPr>
      </w:pPr>
      <w:r w:rsidRPr="00C334A7">
        <w:rPr>
          <w:rFonts w:asciiTheme="majorHAnsi" w:hAnsiTheme="majorHAnsi"/>
          <w:sz w:val="24"/>
          <w:szCs w:val="24"/>
        </w:rPr>
        <w:t>Total Number of Annual Responses: 1200</w:t>
      </w:r>
    </w:p>
    <w:p w:rsidR="00E304C8" w:rsidRPr="00C334A7" w:rsidP="006D6B62" w14:paraId="17ACE91C" w14:textId="0FCEC159">
      <w:pPr>
        <w:pStyle w:val="ListParagraph"/>
        <w:numPr>
          <w:ilvl w:val="1"/>
          <w:numId w:val="16"/>
        </w:numPr>
        <w:spacing w:after="0"/>
        <w:rPr>
          <w:rFonts w:asciiTheme="majorHAnsi" w:hAnsiTheme="majorHAnsi"/>
          <w:sz w:val="24"/>
          <w:szCs w:val="24"/>
        </w:rPr>
      </w:pPr>
      <w:r w:rsidRPr="00C334A7">
        <w:rPr>
          <w:rFonts w:asciiTheme="majorHAnsi" w:hAnsiTheme="majorHAnsi"/>
          <w:sz w:val="24"/>
          <w:szCs w:val="24"/>
        </w:rPr>
        <w:t>Total Labor Burden: $</w:t>
      </w:r>
      <w:r>
        <w:rPr>
          <w:rFonts w:asciiTheme="majorHAnsi" w:hAnsiTheme="majorHAnsi"/>
          <w:sz w:val="24"/>
          <w:szCs w:val="24"/>
        </w:rPr>
        <w:t>16,</w:t>
      </w:r>
      <w:r w:rsidR="00C74B88">
        <w:rPr>
          <w:rFonts w:asciiTheme="majorHAnsi" w:hAnsiTheme="majorHAnsi"/>
          <w:sz w:val="24"/>
          <w:szCs w:val="24"/>
        </w:rPr>
        <w:t>002</w:t>
      </w:r>
    </w:p>
    <w:p w:rsidR="00E304C8" w:rsidRPr="00C334A7" w:rsidP="006D6B62" w14:paraId="5F778ED8" w14:textId="77777777">
      <w:pPr>
        <w:pStyle w:val="ListParagraph"/>
        <w:spacing w:after="0"/>
        <w:ind w:left="1440"/>
        <w:rPr>
          <w:rFonts w:asciiTheme="majorHAnsi" w:hAnsiTheme="majorHAnsi"/>
          <w:sz w:val="24"/>
          <w:szCs w:val="24"/>
        </w:rPr>
      </w:pPr>
    </w:p>
    <w:p w:rsidR="002368AD" w:rsidP="00397102" w14:paraId="276DA0AC" w14:textId="77777777">
      <w:pPr>
        <w:spacing w:after="0"/>
        <w:rPr>
          <w:rFonts w:asciiTheme="majorHAnsi" w:hAnsiTheme="majorHAnsi"/>
          <w:sz w:val="24"/>
        </w:rPr>
      </w:pPr>
      <w:r w:rsidRPr="00C334A7">
        <w:rPr>
          <w:rStyle w:val="normaltextrun"/>
          <w:rFonts w:asciiTheme="majorHAnsi" w:hAnsiTheme="majorHAnsi"/>
          <w:i/>
          <w:iCs/>
          <w:color w:val="000000"/>
          <w:sz w:val="24"/>
          <w:szCs w:val="24"/>
          <w:shd w:val="clear" w:color="auto" w:fill="FFFFFF"/>
        </w:rPr>
        <w:t xml:space="preserve">Source for average military wage: </w:t>
      </w:r>
      <w:r>
        <w:rPr>
          <w:rFonts w:asciiTheme="majorHAnsi" w:hAnsiTheme="majorHAnsi"/>
          <w:sz w:val="24"/>
        </w:rPr>
        <w:t>The r</w:t>
      </w:r>
      <w:r w:rsidRPr="005C2FFB">
        <w:rPr>
          <w:rFonts w:asciiTheme="majorHAnsi" w:hAnsiTheme="majorHAnsi"/>
          <w:sz w:val="24"/>
        </w:rPr>
        <w:t xml:space="preserve">espondent hourly wage was determined by using the </w:t>
      </w:r>
      <w:r w:rsidRPr="009D06C5">
        <w:rPr>
          <w:rFonts w:asciiTheme="majorHAnsi" w:hAnsiTheme="majorHAnsi"/>
          <w:sz w:val="24"/>
        </w:rPr>
        <w:t>Military Personnel Composite Standard Pay and Reimbursement Rates found on the Under Secretary of Defense (Comptroller)'s website: </w:t>
      </w:r>
      <w:hyperlink r:id="rId8" w:tgtFrame="_blank" w:tooltip="https://comptroller.war.gov/Financial-Management/Reports/" w:history="1">
        <w:r w:rsidRPr="009D06C5">
          <w:rPr>
            <w:rStyle w:val="Hyperlink"/>
            <w:rFonts w:asciiTheme="majorHAnsi" w:hAnsiTheme="majorHAnsi"/>
            <w:sz w:val="24"/>
          </w:rPr>
          <w:t>https://comptroller.war.gov/Financial-Management/Reports/</w:t>
        </w:r>
      </w:hyperlink>
      <w:r w:rsidRPr="009D06C5">
        <w:rPr>
          <w:rFonts w:asciiTheme="majorHAnsi" w:hAnsiTheme="majorHAnsi"/>
          <w:sz w:val="24"/>
        </w:rPr>
        <w:t>"</w:t>
      </w:r>
      <w:r w:rsidRPr="005C2FFB">
        <w:rPr>
          <w:rFonts w:asciiTheme="majorHAnsi" w:hAnsiTheme="majorHAnsi"/>
          <w:sz w:val="24"/>
        </w:rPr>
        <w:t>)</w:t>
      </w:r>
      <w:r>
        <w:rPr>
          <w:rFonts w:asciiTheme="majorHAnsi" w:hAnsiTheme="majorHAnsi"/>
          <w:sz w:val="24"/>
        </w:rPr>
        <w:t xml:space="preserve"> </w:t>
      </w:r>
    </w:p>
    <w:p w:rsidR="00313409" w:rsidP="006D6B62" w14:paraId="53B3C394" w14:textId="77777777">
      <w:pPr>
        <w:spacing w:after="0"/>
        <w:rPr>
          <w:rFonts w:asciiTheme="majorHAnsi" w:hAnsiTheme="majorHAnsi"/>
          <w:sz w:val="24"/>
        </w:rPr>
      </w:pPr>
    </w:p>
    <w:p w:rsidR="0019309D" w:rsidP="006D6B62" w14:paraId="5F582C32" w14:textId="77777777">
      <w:pPr>
        <w:spacing w:after="0"/>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6D6B62" w14:paraId="54A466E2" w14:textId="77777777">
      <w:pPr>
        <w:spacing w:after="0"/>
        <w:rPr>
          <w:rFonts w:asciiTheme="majorHAnsi" w:hAnsiTheme="majorHAnsi"/>
          <w:sz w:val="24"/>
        </w:rPr>
      </w:pPr>
      <w:r w:rsidRPr="00E4430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6D6B62" w14:paraId="420BDB72" w14:textId="77777777">
      <w:pPr>
        <w:spacing w:after="0"/>
        <w:rPr>
          <w:rFonts w:asciiTheme="majorHAnsi" w:hAnsiTheme="majorHAnsi"/>
          <w:sz w:val="24"/>
        </w:rPr>
      </w:pPr>
    </w:p>
    <w:p w:rsidR="00F25499" w:rsidP="006D6B62" w14:paraId="5BEE7B1B" w14:textId="77777777">
      <w:pPr>
        <w:spacing w:after="0"/>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6D6B62" w14:paraId="66F59AB7" w14:textId="77777777">
      <w:pPr>
        <w:spacing w:after="0"/>
        <w:rPr>
          <w:rFonts w:asciiTheme="majorHAnsi" w:hAnsiTheme="majorHAnsi"/>
          <w:sz w:val="24"/>
        </w:rPr>
      </w:pPr>
    </w:p>
    <w:p w:rsidR="00235D71" w:rsidP="006D6B62" w14:paraId="773D4B80" w14:textId="77777777">
      <w:pPr>
        <w:spacing w:after="0"/>
        <w:rPr>
          <w:rFonts w:asciiTheme="majorHAnsi" w:hAnsiTheme="majorHAnsi"/>
          <w:sz w:val="24"/>
        </w:rPr>
      </w:pPr>
      <w:r>
        <w:rPr>
          <w:rFonts w:asciiTheme="majorHAnsi" w:hAnsiTheme="majorHAnsi"/>
          <w:sz w:val="24"/>
        </w:rPr>
        <w:t>Part A: LABOR COST TO THE FEDERAL GOVERNMENT</w:t>
      </w:r>
    </w:p>
    <w:p w:rsidR="00235D71" w:rsidP="006D6B62" w14:paraId="0586525B" w14:textId="77777777">
      <w:pPr>
        <w:pStyle w:val="ListParagraph"/>
        <w:spacing w:after="0"/>
        <w:rPr>
          <w:rFonts w:asciiTheme="majorHAnsi" w:hAnsiTheme="majorHAnsi"/>
          <w:sz w:val="24"/>
        </w:rPr>
      </w:pPr>
    </w:p>
    <w:p w:rsidR="0063220F" w:rsidRPr="00C334A7" w:rsidP="006D6B62" w14:paraId="0D12336B" w14:textId="77777777">
      <w:pPr>
        <w:pStyle w:val="ListParagraph"/>
        <w:numPr>
          <w:ilvl w:val="0"/>
          <w:numId w:val="18"/>
        </w:numPr>
        <w:spacing w:after="0"/>
        <w:rPr>
          <w:rFonts w:asciiTheme="majorHAnsi" w:hAnsiTheme="majorHAnsi"/>
          <w:sz w:val="24"/>
          <w:szCs w:val="24"/>
        </w:rPr>
      </w:pPr>
      <w:r w:rsidRPr="00C334A7">
        <w:rPr>
          <w:rFonts w:asciiTheme="majorHAnsi" w:hAnsiTheme="majorHAnsi"/>
          <w:sz w:val="24"/>
          <w:szCs w:val="24"/>
        </w:rPr>
        <w:t>Collection Instrument(s)</w:t>
      </w:r>
    </w:p>
    <w:p w:rsidR="0063220F" w:rsidRPr="005B0C72" w:rsidP="006D6B62" w14:paraId="0E4B58DB" w14:textId="77777777">
      <w:pPr>
        <w:pStyle w:val="ListParagraph"/>
        <w:spacing w:after="0"/>
        <w:rPr>
          <w:rFonts w:asciiTheme="majorHAnsi" w:hAnsiTheme="majorHAnsi"/>
          <w:sz w:val="24"/>
          <w:szCs w:val="24"/>
        </w:rPr>
      </w:pPr>
      <w:r>
        <w:rPr>
          <w:rFonts w:asciiTheme="majorHAnsi" w:hAnsiTheme="majorHAnsi"/>
          <w:sz w:val="24"/>
          <w:szCs w:val="24"/>
        </w:rPr>
        <w:t>Sexual Violence Support and Experience Study Initial Survey</w:t>
      </w:r>
    </w:p>
    <w:p w:rsidR="0063220F" w:rsidRPr="00564A1A" w:rsidP="006D6B62" w14:paraId="7B9C79E2" w14:textId="77777777">
      <w:pPr>
        <w:pStyle w:val="ListParagraph"/>
        <w:numPr>
          <w:ilvl w:val="0"/>
          <w:numId w:val="19"/>
        </w:numPr>
        <w:spacing w:after="0"/>
        <w:rPr>
          <w:rFonts w:asciiTheme="majorHAnsi" w:hAnsiTheme="majorHAnsi"/>
          <w:sz w:val="24"/>
          <w:szCs w:val="24"/>
        </w:rPr>
      </w:pPr>
      <w:r w:rsidRPr="00C334A7">
        <w:rPr>
          <w:rFonts w:asciiTheme="majorHAnsi" w:hAnsiTheme="majorHAnsi"/>
          <w:sz w:val="24"/>
          <w:szCs w:val="24"/>
        </w:rPr>
        <w:t>Number of Tota</w:t>
      </w:r>
      <w:r w:rsidRPr="00564A1A">
        <w:rPr>
          <w:rFonts w:asciiTheme="majorHAnsi" w:hAnsiTheme="majorHAnsi"/>
          <w:sz w:val="24"/>
          <w:szCs w:val="24"/>
        </w:rPr>
        <w:t>l Annual Responses: 300</w:t>
      </w:r>
    </w:p>
    <w:p w:rsidR="0063220F" w:rsidRPr="00564A1A" w:rsidP="006D6B62" w14:paraId="3CFCD960" w14:textId="77777777">
      <w:pPr>
        <w:pStyle w:val="ListParagraph"/>
        <w:numPr>
          <w:ilvl w:val="0"/>
          <w:numId w:val="19"/>
        </w:numPr>
        <w:spacing w:after="0"/>
        <w:rPr>
          <w:rFonts w:asciiTheme="majorHAnsi" w:hAnsiTheme="majorHAnsi"/>
          <w:sz w:val="24"/>
          <w:szCs w:val="24"/>
        </w:rPr>
      </w:pPr>
      <w:r w:rsidRPr="00564A1A">
        <w:rPr>
          <w:rFonts w:asciiTheme="majorHAnsi" w:hAnsiTheme="majorHAnsi"/>
          <w:sz w:val="24"/>
          <w:szCs w:val="24"/>
        </w:rPr>
        <w:t>Processing Time per Response: .15 hours</w:t>
      </w:r>
    </w:p>
    <w:p w:rsidR="0063220F" w:rsidRPr="00564A1A" w:rsidP="006D6B62" w14:paraId="4B2BFE88" w14:textId="77777777">
      <w:pPr>
        <w:pStyle w:val="ListParagraph"/>
        <w:numPr>
          <w:ilvl w:val="0"/>
          <w:numId w:val="19"/>
        </w:numPr>
        <w:spacing w:after="0"/>
        <w:rPr>
          <w:rFonts w:asciiTheme="majorHAnsi" w:hAnsiTheme="majorHAnsi"/>
          <w:sz w:val="24"/>
          <w:szCs w:val="24"/>
        </w:rPr>
      </w:pPr>
      <w:r w:rsidRPr="00564A1A">
        <w:rPr>
          <w:rFonts w:asciiTheme="majorHAnsi" w:hAnsiTheme="majorHAnsi"/>
          <w:sz w:val="24"/>
          <w:szCs w:val="24"/>
        </w:rPr>
        <w:t xml:space="preserve">Hourly Wage of Worker(s) </w:t>
      </w:r>
      <w:r>
        <w:rPr>
          <w:rFonts w:asciiTheme="majorHAnsi" w:hAnsiTheme="majorHAnsi"/>
          <w:sz w:val="24"/>
          <w:szCs w:val="24"/>
        </w:rPr>
        <w:t>Processing Responses</w:t>
      </w:r>
      <w:r w:rsidRPr="00564A1A">
        <w:rPr>
          <w:rFonts w:asciiTheme="majorHAnsi" w:hAnsiTheme="majorHAnsi"/>
          <w:sz w:val="24"/>
          <w:szCs w:val="24"/>
        </w:rPr>
        <w:t>: $72.14</w:t>
      </w:r>
    </w:p>
    <w:p w:rsidR="0063220F" w:rsidRPr="00564A1A" w:rsidP="006D6B62" w14:paraId="71D08C42" w14:textId="77777777">
      <w:pPr>
        <w:pStyle w:val="ListParagraph"/>
        <w:numPr>
          <w:ilvl w:val="0"/>
          <w:numId w:val="19"/>
        </w:numPr>
        <w:spacing w:after="0"/>
        <w:rPr>
          <w:rFonts w:asciiTheme="majorHAnsi" w:hAnsiTheme="majorHAnsi"/>
          <w:sz w:val="24"/>
          <w:szCs w:val="24"/>
        </w:rPr>
      </w:pPr>
      <w:r w:rsidRPr="00564A1A">
        <w:rPr>
          <w:rFonts w:asciiTheme="majorHAnsi" w:hAnsiTheme="majorHAnsi"/>
          <w:sz w:val="24"/>
          <w:szCs w:val="24"/>
        </w:rPr>
        <w:t>Cost to Process Each Response: $10.82</w:t>
      </w:r>
    </w:p>
    <w:p w:rsidR="0063220F" w:rsidRPr="00564A1A" w:rsidP="006D6B62" w14:paraId="68A1AC8C" w14:textId="77777777">
      <w:pPr>
        <w:pStyle w:val="ListParagraph"/>
        <w:numPr>
          <w:ilvl w:val="0"/>
          <w:numId w:val="19"/>
        </w:numPr>
        <w:spacing w:after="0"/>
        <w:rPr>
          <w:rFonts w:asciiTheme="majorHAnsi" w:hAnsiTheme="majorHAnsi"/>
          <w:sz w:val="24"/>
          <w:szCs w:val="24"/>
        </w:rPr>
      </w:pPr>
      <w:r w:rsidRPr="00564A1A">
        <w:rPr>
          <w:rFonts w:asciiTheme="majorHAnsi" w:hAnsiTheme="majorHAnsi"/>
          <w:sz w:val="24"/>
          <w:szCs w:val="24"/>
        </w:rPr>
        <w:t>Total Cost to Process Responses: $3,246</w:t>
      </w:r>
    </w:p>
    <w:p w:rsidR="0063220F" w:rsidRPr="00564A1A" w:rsidP="006D6B62" w14:paraId="1D655858" w14:textId="77777777">
      <w:pPr>
        <w:pStyle w:val="ListParagraph"/>
        <w:spacing w:after="0"/>
        <w:ind w:left="1440"/>
        <w:rPr>
          <w:rFonts w:asciiTheme="majorHAnsi" w:hAnsiTheme="majorHAnsi"/>
          <w:sz w:val="24"/>
          <w:szCs w:val="24"/>
        </w:rPr>
      </w:pPr>
    </w:p>
    <w:p w:rsidR="0063220F" w:rsidRPr="00564A1A" w:rsidP="006D6B62" w14:paraId="53FAE782" w14:textId="77777777">
      <w:pPr>
        <w:pStyle w:val="ListParagraph"/>
        <w:numPr>
          <w:ilvl w:val="0"/>
          <w:numId w:val="18"/>
        </w:numPr>
        <w:spacing w:after="0"/>
        <w:rPr>
          <w:rFonts w:asciiTheme="majorHAnsi" w:hAnsiTheme="majorHAnsi"/>
          <w:sz w:val="24"/>
          <w:szCs w:val="24"/>
        </w:rPr>
      </w:pPr>
      <w:r w:rsidRPr="00564A1A">
        <w:rPr>
          <w:rFonts w:asciiTheme="majorHAnsi" w:hAnsiTheme="majorHAnsi"/>
          <w:sz w:val="24"/>
          <w:szCs w:val="24"/>
        </w:rPr>
        <w:t>Collection Instrument(s)</w:t>
      </w:r>
    </w:p>
    <w:p w:rsidR="0063220F" w:rsidRPr="00564A1A" w:rsidP="006D6B62" w14:paraId="5B904143" w14:textId="77777777">
      <w:pPr>
        <w:pStyle w:val="ListParagraph"/>
        <w:spacing w:after="0"/>
        <w:rPr>
          <w:rFonts w:asciiTheme="majorHAnsi" w:hAnsiTheme="majorHAnsi"/>
          <w:sz w:val="24"/>
          <w:szCs w:val="24"/>
        </w:rPr>
      </w:pPr>
      <w:r w:rsidRPr="00564A1A">
        <w:rPr>
          <w:rFonts w:asciiTheme="majorHAnsi" w:hAnsiTheme="majorHAnsi"/>
          <w:sz w:val="24"/>
          <w:szCs w:val="24"/>
        </w:rPr>
        <w:t>Sexual Violence Support and Experience Study Follow-up Survey</w:t>
      </w:r>
    </w:p>
    <w:p w:rsidR="0063220F" w:rsidRPr="00564A1A" w:rsidP="006D6B62" w14:paraId="48249BC7" w14:textId="77777777">
      <w:pPr>
        <w:pStyle w:val="ListParagraph"/>
        <w:numPr>
          <w:ilvl w:val="0"/>
          <w:numId w:val="30"/>
        </w:numPr>
        <w:spacing w:after="0"/>
        <w:rPr>
          <w:rFonts w:asciiTheme="majorHAnsi" w:hAnsiTheme="majorHAnsi"/>
          <w:sz w:val="24"/>
          <w:szCs w:val="24"/>
        </w:rPr>
      </w:pPr>
      <w:r w:rsidRPr="00564A1A">
        <w:rPr>
          <w:rFonts w:asciiTheme="majorHAnsi" w:hAnsiTheme="majorHAnsi"/>
          <w:sz w:val="24"/>
          <w:szCs w:val="24"/>
        </w:rPr>
        <w:t>Number of Total Annual Responses: 900</w:t>
      </w:r>
    </w:p>
    <w:p w:rsidR="0063220F" w:rsidRPr="00564A1A" w:rsidP="006D6B62" w14:paraId="3F790579" w14:textId="77777777">
      <w:pPr>
        <w:pStyle w:val="ListParagraph"/>
        <w:numPr>
          <w:ilvl w:val="0"/>
          <w:numId w:val="30"/>
        </w:numPr>
        <w:spacing w:after="0"/>
        <w:rPr>
          <w:rFonts w:asciiTheme="majorHAnsi" w:hAnsiTheme="majorHAnsi"/>
          <w:sz w:val="24"/>
          <w:szCs w:val="24"/>
        </w:rPr>
      </w:pPr>
      <w:r w:rsidRPr="00564A1A">
        <w:rPr>
          <w:rFonts w:asciiTheme="majorHAnsi" w:hAnsiTheme="majorHAnsi"/>
          <w:sz w:val="24"/>
          <w:szCs w:val="24"/>
        </w:rPr>
        <w:t>Processing Time per Response: .15 hours</w:t>
      </w:r>
    </w:p>
    <w:p w:rsidR="0063220F" w:rsidRPr="00564A1A" w:rsidP="006D6B62" w14:paraId="20D3C72E" w14:textId="77777777">
      <w:pPr>
        <w:pStyle w:val="ListParagraph"/>
        <w:numPr>
          <w:ilvl w:val="0"/>
          <w:numId w:val="30"/>
        </w:numPr>
        <w:spacing w:after="0"/>
        <w:rPr>
          <w:rFonts w:asciiTheme="majorHAnsi" w:hAnsiTheme="majorHAnsi"/>
          <w:sz w:val="24"/>
          <w:szCs w:val="24"/>
        </w:rPr>
      </w:pPr>
      <w:r w:rsidRPr="00564A1A">
        <w:rPr>
          <w:rFonts w:asciiTheme="majorHAnsi" w:hAnsiTheme="majorHAnsi"/>
          <w:sz w:val="24"/>
          <w:szCs w:val="24"/>
        </w:rPr>
        <w:t>Hourly Wage o</w:t>
      </w:r>
      <w:r>
        <w:rPr>
          <w:rFonts w:asciiTheme="majorHAnsi" w:hAnsiTheme="majorHAnsi"/>
          <w:sz w:val="24"/>
          <w:szCs w:val="24"/>
        </w:rPr>
        <w:t>f Worker(s) Processing Response</w:t>
      </w:r>
      <w:r w:rsidRPr="00564A1A">
        <w:rPr>
          <w:rFonts w:asciiTheme="majorHAnsi" w:hAnsiTheme="majorHAnsi"/>
          <w:sz w:val="24"/>
          <w:szCs w:val="24"/>
        </w:rPr>
        <w:t>: $72.14</w:t>
      </w:r>
    </w:p>
    <w:p w:rsidR="0063220F" w:rsidRPr="00564A1A" w:rsidP="006D6B62" w14:paraId="778CE97A" w14:textId="77777777">
      <w:pPr>
        <w:pStyle w:val="ListParagraph"/>
        <w:numPr>
          <w:ilvl w:val="0"/>
          <w:numId w:val="30"/>
        </w:numPr>
        <w:spacing w:after="0"/>
        <w:rPr>
          <w:rFonts w:asciiTheme="majorHAnsi" w:hAnsiTheme="majorHAnsi"/>
          <w:sz w:val="24"/>
          <w:szCs w:val="24"/>
        </w:rPr>
      </w:pPr>
      <w:r w:rsidRPr="00564A1A">
        <w:rPr>
          <w:rFonts w:asciiTheme="majorHAnsi" w:hAnsiTheme="majorHAnsi"/>
          <w:sz w:val="24"/>
          <w:szCs w:val="24"/>
        </w:rPr>
        <w:t>Cost to Process Each Response: $10.82</w:t>
      </w:r>
    </w:p>
    <w:p w:rsidR="0063220F" w:rsidRPr="00564A1A" w:rsidP="006D6B62" w14:paraId="73E5EF3E" w14:textId="77777777">
      <w:pPr>
        <w:pStyle w:val="ListParagraph"/>
        <w:numPr>
          <w:ilvl w:val="0"/>
          <w:numId w:val="30"/>
        </w:numPr>
        <w:spacing w:after="0"/>
        <w:rPr>
          <w:rFonts w:asciiTheme="majorHAnsi" w:hAnsiTheme="majorHAnsi"/>
          <w:sz w:val="24"/>
          <w:szCs w:val="24"/>
        </w:rPr>
      </w:pPr>
      <w:r w:rsidRPr="00564A1A">
        <w:rPr>
          <w:rFonts w:asciiTheme="majorHAnsi" w:hAnsiTheme="majorHAnsi"/>
          <w:sz w:val="24"/>
          <w:szCs w:val="24"/>
        </w:rPr>
        <w:t>Total Cost to Process Responses: $9,738</w:t>
      </w:r>
    </w:p>
    <w:p w:rsidR="0063220F" w:rsidRPr="00564A1A" w:rsidP="006D6B62" w14:paraId="57181C87" w14:textId="77777777">
      <w:pPr>
        <w:pStyle w:val="ListParagraph"/>
        <w:spacing w:after="0"/>
        <w:ind w:left="1440"/>
        <w:rPr>
          <w:rFonts w:asciiTheme="majorHAnsi" w:hAnsiTheme="majorHAnsi"/>
          <w:sz w:val="24"/>
          <w:szCs w:val="24"/>
        </w:rPr>
      </w:pPr>
    </w:p>
    <w:p w:rsidR="0063220F" w:rsidRPr="00564A1A" w:rsidP="006D6B62" w14:paraId="530B3C63" w14:textId="77777777">
      <w:pPr>
        <w:pStyle w:val="ListParagraph"/>
        <w:numPr>
          <w:ilvl w:val="0"/>
          <w:numId w:val="18"/>
        </w:numPr>
        <w:spacing w:after="0"/>
        <w:rPr>
          <w:rFonts w:asciiTheme="majorHAnsi" w:hAnsiTheme="majorHAnsi"/>
          <w:sz w:val="24"/>
          <w:szCs w:val="24"/>
        </w:rPr>
      </w:pPr>
      <w:r w:rsidRPr="00564A1A">
        <w:rPr>
          <w:rFonts w:asciiTheme="majorHAnsi" w:hAnsiTheme="majorHAnsi"/>
          <w:sz w:val="24"/>
          <w:szCs w:val="24"/>
        </w:rPr>
        <w:t>Overall Labor Burden to the Federal Government</w:t>
      </w:r>
    </w:p>
    <w:p w:rsidR="0063220F" w:rsidRPr="00564A1A" w:rsidP="006D6B62" w14:paraId="71187788" w14:textId="77777777">
      <w:pPr>
        <w:pStyle w:val="ListParagraph"/>
        <w:numPr>
          <w:ilvl w:val="1"/>
          <w:numId w:val="18"/>
        </w:numPr>
        <w:spacing w:after="0"/>
        <w:rPr>
          <w:rFonts w:asciiTheme="majorHAnsi" w:hAnsiTheme="majorHAnsi"/>
          <w:sz w:val="24"/>
          <w:szCs w:val="24"/>
        </w:rPr>
      </w:pPr>
      <w:r w:rsidRPr="00564A1A">
        <w:rPr>
          <w:rFonts w:asciiTheme="majorHAnsi" w:hAnsiTheme="majorHAnsi"/>
          <w:sz w:val="24"/>
          <w:szCs w:val="24"/>
        </w:rPr>
        <w:t>T</w:t>
      </w:r>
      <w:r>
        <w:rPr>
          <w:rFonts w:asciiTheme="majorHAnsi" w:hAnsiTheme="majorHAnsi"/>
          <w:sz w:val="24"/>
          <w:szCs w:val="24"/>
        </w:rPr>
        <w:t>otal Number of Annual Responses:</w:t>
      </w:r>
      <w:r w:rsidRPr="00564A1A">
        <w:rPr>
          <w:rFonts w:asciiTheme="majorHAnsi" w:hAnsiTheme="majorHAnsi"/>
          <w:sz w:val="24"/>
          <w:szCs w:val="24"/>
        </w:rPr>
        <w:t xml:space="preserve"> 1200</w:t>
      </w:r>
    </w:p>
    <w:p w:rsidR="00B55E9F" w:rsidP="006D6B62" w14:paraId="52AE86E1" w14:textId="09DC2B02">
      <w:pPr>
        <w:pStyle w:val="ListParagraph"/>
        <w:numPr>
          <w:ilvl w:val="1"/>
          <w:numId w:val="18"/>
        </w:numPr>
        <w:spacing w:after="0"/>
        <w:rPr>
          <w:rFonts w:asciiTheme="majorHAnsi" w:hAnsiTheme="majorHAnsi"/>
          <w:sz w:val="24"/>
        </w:rPr>
      </w:pPr>
      <w:r>
        <w:rPr>
          <w:rFonts w:asciiTheme="majorHAnsi" w:hAnsiTheme="majorHAnsi"/>
          <w:sz w:val="24"/>
          <w:szCs w:val="24"/>
        </w:rPr>
        <w:t>Total Labor Burden</w:t>
      </w:r>
      <w:r w:rsidRPr="00564A1A">
        <w:rPr>
          <w:rFonts w:asciiTheme="majorHAnsi" w:hAnsiTheme="majorHAnsi"/>
          <w:i/>
          <w:sz w:val="24"/>
          <w:szCs w:val="24"/>
        </w:rPr>
        <w:t xml:space="preserve">: </w:t>
      </w:r>
      <w:r w:rsidRPr="00564A1A">
        <w:rPr>
          <w:rFonts w:asciiTheme="majorHAnsi" w:hAnsiTheme="majorHAnsi"/>
          <w:sz w:val="24"/>
          <w:szCs w:val="24"/>
        </w:rPr>
        <w:t>$12,98</w:t>
      </w:r>
      <w:r w:rsidR="004659CC">
        <w:rPr>
          <w:rFonts w:asciiTheme="majorHAnsi" w:hAnsiTheme="majorHAnsi"/>
          <w:sz w:val="24"/>
          <w:szCs w:val="24"/>
        </w:rPr>
        <w:t>5</w:t>
      </w:r>
    </w:p>
    <w:p w:rsidR="00B55E9F" w:rsidP="006D6B62" w14:paraId="0C7943ED" w14:textId="77777777">
      <w:pPr>
        <w:spacing w:after="0"/>
        <w:rPr>
          <w:rFonts w:asciiTheme="majorHAnsi" w:hAnsiTheme="majorHAnsi"/>
          <w:sz w:val="24"/>
        </w:rPr>
      </w:pPr>
    </w:p>
    <w:p w:rsidR="00722FDB" w:rsidRPr="00B55E9F" w:rsidP="006D6B62" w14:paraId="232F9AF0" w14:textId="77777777">
      <w:pPr>
        <w:spacing w:after="0"/>
        <w:rPr>
          <w:rFonts w:asciiTheme="majorHAnsi" w:hAnsiTheme="majorHAnsi"/>
          <w:sz w:val="24"/>
        </w:rPr>
      </w:pPr>
      <w:r w:rsidRPr="00B55E9F">
        <w:rPr>
          <w:rFonts w:asciiTheme="majorHAnsi" w:hAnsiTheme="majorHAnsi"/>
          <w:sz w:val="24"/>
        </w:rPr>
        <w:t>Part B: OPERATIONAL AND MAINTENANCE COSTS</w:t>
      </w:r>
    </w:p>
    <w:p w:rsidR="00BF45AB" w:rsidRPr="00BF45AB" w:rsidP="006D6B62" w14:paraId="7457B9BC" w14:textId="77777777">
      <w:pPr>
        <w:pStyle w:val="ListParagraph"/>
        <w:numPr>
          <w:ilvl w:val="0"/>
          <w:numId w:val="20"/>
        </w:numPr>
        <w:spacing w:after="0"/>
        <w:rPr>
          <w:rFonts w:asciiTheme="majorHAnsi" w:hAnsiTheme="majorHAnsi"/>
          <w:i/>
          <w:sz w:val="24"/>
          <w:szCs w:val="24"/>
        </w:rPr>
      </w:pPr>
      <w:r w:rsidRPr="00C334A7">
        <w:rPr>
          <w:rFonts w:asciiTheme="majorHAnsi" w:hAnsiTheme="majorHAnsi"/>
          <w:sz w:val="24"/>
          <w:szCs w:val="24"/>
        </w:rPr>
        <w:t>Cost Categories</w:t>
      </w:r>
    </w:p>
    <w:p w:rsidR="00BF45AB" w:rsidRPr="00C334A7" w:rsidP="006D6B62" w14:paraId="647D4540" w14:textId="77777777">
      <w:pPr>
        <w:pStyle w:val="ListParagraph"/>
        <w:numPr>
          <w:ilvl w:val="1"/>
          <w:numId w:val="20"/>
        </w:numPr>
        <w:spacing w:after="0"/>
        <w:rPr>
          <w:rFonts w:asciiTheme="majorHAnsi" w:hAnsiTheme="majorHAnsi"/>
          <w:i/>
          <w:sz w:val="24"/>
          <w:szCs w:val="24"/>
        </w:rPr>
      </w:pPr>
      <w:r w:rsidRPr="00C334A7">
        <w:rPr>
          <w:rFonts w:asciiTheme="majorHAnsi" w:hAnsiTheme="majorHAnsi"/>
          <w:sz w:val="24"/>
          <w:szCs w:val="24"/>
        </w:rPr>
        <w:t>Equipment: $</w:t>
      </w:r>
      <w:r>
        <w:rPr>
          <w:rFonts w:asciiTheme="majorHAnsi" w:hAnsiTheme="majorHAnsi"/>
          <w:sz w:val="24"/>
          <w:szCs w:val="24"/>
        </w:rPr>
        <w:t>0</w:t>
      </w:r>
    </w:p>
    <w:p w:rsidR="00BF45AB" w:rsidRPr="00C334A7" w:rsidP="006D6B62" w14:paraId="34D68E14" w14:textId="77777777">
      <w:pPr>
        <w:pStyle w:val="ListParagraph"/>
        <w:numPr>
          <w:ilvl w:val="1"/>
          <w:numId w:val="20"/>
        </w:numPr>
        <w:spacing w:after="0"/>
        <w:rPr>
          <w:rFonts w:asciiTheme="majorHAnsi" w:hAnsiTheme="majorHAnsi"/>
          <w:i/>
          <w:sz w:val="24"/>
          <w:szCs w:val="24"/>
        </w:rPr>
      </w:pPr>
      <w:r w:rsidRPr="00C334A7">
        <w:rPr>
          <w:rFonts w:asciiTheme="majorHAnsi" w:hAnsiTheme="majorHAnsi"/>
          <w:sz w:val="24"/>
          <w:szCs w:val="24"/>
        </w:rPr>
        <w:t>Printing: $</w:t>
      </w:r>
      <w:r>
        <w:rPr>
          <w:rFonts w:asciiTheme="majorHAnsi" w:hAnsiTheme="majorHAnsi"/>
          <w:sz w:val="24"/>
          <w:szCs w:val="24"/>
        </w:rPr>
        <w:t>0</w:t>
      </w:r>
    </w:p>
    <w:p w:rsidR="00BF45AB" w:rsidRPr="00C334A7" w:rsidP="006D6B62" w14:paraId="26156956" w14:textId="77777777">
      <w:pPr>
        <w:pStyle w:val="ListParagraph"/>
        <w:numPr>
          <w:ilvl w:val="1"/>
          <w:numId w:val="20"/>
        </w:numPr>
        <w:spacing w:after="0"/>
        <w:rPr>
          <w:rFonts w:asciiTheme="majorHAnsi" w:hAnsiTheme="majorHAnsi"/>
          <w:i/>
          <w:sz w:val="24"/>
          <w:szCs w:val="24"/>
        </w:rPr>
      </w:pPr>
      <w:r w:rsidRPr="00C334A7">
        <w:rPr>
          <w:rFonts w:asciiTheme="majorHAnsi" w:hAnsiTheme="majorHAnsi"/>
          <w:sz w:val="24"/>
          <w:szCs w:val="24"/>
        </w:rPr>
        <w:t>Postage: $</w:t>
      </w:r>
      <w:r>
        <w:rPr>
          <w:rFonts w:asciiTheme="majorHAnsi" w:hAnsiTheme="majorHAnsi"/>
          <w:sz w:val="24"/>
          <w:szCs w:val="24"/>
        </w:rPr>
        <w:t>0</w:t>
      </w:r>
    </w:p>
    <w:p w:rsidR="00BF45AB" w:rsidRPr="00C334A7" w:rsidP="006D6B62" w14:paraId="1E76DA71" w14:textId="77777777">
      <w:pPr>
        <w:pStyle w:val="ListParagraph"/>
        <w:numPr>
          <w:ilvl w:val="1"/>
          <w:numId w:val="20"/>
        </w:numPr>
        <w:spacing w:after="0"/>
        <w:rPr>
          <w:rFonts w:asciiTheme="majorHAnsi" w:hAnsiTheme="majorHAnsi"/>
          <w:i/>
          <w:sz w:val="24"/>
          <w:szCs w:val="24"/>
        </w:rPr>
      </w:pPr>
      <w:r w:rsidRPr="00C334A7">
        <w:rPr>
          <w:rFonts w:asciiTheme="majorHAnsi" w:hAnsiTheme="majorHAnsi"/>
          <w:sz w:val="24"/>
          <w:szCs w:val="24"/>
        </w:rPr>
        <w:t>Software Purchases: $</w:t>
      </w:r>
      <w:r>
        <w:rPr>
          <w:rFonts w:asciiTheme="majorHAnsi" w:hAnsiTheme="majorHAnsi"/>
          <w:sz w:val="24"/>
          <w:szCs w:val="24"/>
        </w:rPr>
        <w:t>0</w:t>
      </w:r>
    </w:p>
    <w:p w:rsidR="00BF45AB" w:rsidRPr="00C334A7" w:rsidP="006D6B62" w14:paraId="50A6DE7E" w14:textId="77777777">
      <w:pPr>
        <w:pStyle w:val="ListParagraph"/>
        <w:numPr>
          <w:ilvl w:val="1"/>
          <w:numId w:val="20"/>
        </w:numPr>
        <w:spacing w:after="0"/>
        <w:rPr>
          <w:rFonts w:asciiTheme="majorHAnsi" w:hAnsiTheme="majorHAnsi"/>
          <w:i/>
          <w:sz w:val="24"/>
          <w:szCs w:val="24"/>
        </w:rPr>
      </w:pPr>
      <w:r w:rsidRPr="00C334A7">
        <w:rPr>
          <w:rFonts w:asciiTheme="majorHAnsi" w:hAnsiTheme="majorHAnsi"/>
          <w:sz w:val="24"/>
          <w:szCs w:val="24"/>
        </w:rPr>
        <w:t>Licensing Costs: $</w:t>
      </w:r>
      <w:r>
        <w:rPr>
          <w:rFonts w:asciiTheme="majorHAnsi" w:hAnsiTheme="majorHAnsi"/>
          <w:sz w:val="24"/>
          <w:szCs w:val="24"/>
        </w:rPr>
        <w:t>0</w:t>
      </w:r>
    </w:p>
    <w:p w:rsidR="00BF45AB" w:rsidRPr="00BF45AB" w:rsidP="006D6B62" w14:paraId="2CB25F84" w14:textId="77777777">
      <w:pPr>
        <w:pStyle w:val="ListParagraph"/>
        <w:numPr>
          <w:ilvl w:val="1"/>
          <w:numId w:val="20"/>
        </w:numPr>
        <w:spacing w:after="0"/>
        <w:rPr>
          <w:rFonts w:asciiTheme="majorHAnsi" w:hAnsiTheme="majorHAnsi"/>
          <w:i/>
          <w:sz w:val="24"/>
          <w:szCs w:val="24"/>
        </w:rPr>
      </w:pPr>
      <w:r w:rsidRPr="00C334A7">
        <w:rPr>
          <w:rFonts w:asciiTheme="majorHAnsi" w:hAnsiTheme="majorHAnsi"/>
          <w:sz w:val="24"/>
          <w:szCs w:val="24"/>
        </w:rPr>
        <w:t>Other: $</w:t>
      </w:r>
      <w:r>
        <w:rPr>
          <w:rFonts w:asciiTheme="majorHAnsi" w:hAnsiTheme="majorHAnsi"/>
          <w:sz w:val="24"/>
          <w:szCs w:val="24"/>
        </w:rPr>
        <w:t>394,000</w:t>
      </w:r>
    </w:p>
    <w:p w:rsidR="00BF45AB" w:rsidRPr="00BF45AB" w:rsidP="006D6B62" w14:paraId="52071954" w14:textId="77777777">
      <w:pPr>
        <w:pStyle w:val="ListParagraph"/>
        <w:spacing w:after="0"/>
        <w:ind w:left="1440"/>
        <w:rPr>
          <w:rFonts w:asciiTheme="majorHAnsi" w:hAnsiTheme="majorHAnsi"/>
          <w:i/>
          <w:sz w:val="24"/>
          <w:szCs w:val="24"/>
        </w:rPr>
      </w:pPr>
    </w:p>
    <w:p w:rsidR="00BF45AB" w:rsidRPr="00BF45AB" w:rsidP="00050511" w14:paraId="75638534" w14:textId="77777777">
      <w:pPr>
        <w:pStyle w:val="ListParagraph"/>
        <w:numPr>
          <w:ilvl w:val="0"/>
          <w:numId w:val="20"/>
        </w:numPr>
        <w:spacing w:after="0" w:line="240" w:lineRule="auto"/>
        <w:rPr>
          <w:rFonts w:asciiTheme="majorHAnsi" w:hAnsiTheme="majorHAnsi"/>
          <w:i/>
          <w:sz w:val="24"/>
          <w:szCs w:val="24"/>
        </w:rPr>
      </w:pPr>
      <w:r w:rsidRPr="00BF45AB">
        <w:rPr>
          <w:rFonts w:asciiTheme="majorHAnsi" w:hAnsiTheme="majorHAnsi"/>
          <w:sz w:val="24"/>
          <w:szCs w:val="24"/>
        </w:rPr>
        <w:t>Total Operational and Maintenance Cost: $394,000</w:t>
      </w:r>
    </w:p>
    <w:p w:rsidR="00BF45AB" w:rsidRPr="00C334A7" w:rsidP="00050511" w14:paraId="05FA05FE" w14:textId="77777777">
      <w:pPr>
        <w:pStyle w:val="ListParagraph"/>
        <w:spacing w:after="0" w:line="240" w:lineRule="auto"/>
        <w:rPr>
          <w:rFonts w:asciiTheme="majorHAnsi" w:hAnsiTheme="majorHAnsi"/>
          <w:i/>
          <w:sz w:val="24"/>
          <w:szCs w:val="24"/>
        </w:rPr>
      </w:pPr>
    </w:p>
    <w:p w:rsidR="00B55E9F" w:rsidP="00050511" w14:paraId="63C49C8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050511" w14:paraId="08B64DFA" w14:textId="77777777">
      <w:pPr>
        <w:spacing w:after="0" w:line="240" w:lineRule="auto"/>
        <w:rPr>
          <w:rFonts w:asciiTheme="majorHAnsi" w:hAnsiTheme="majorHAnsi"/>
          <w:sz w:val="24"/>
        </w:rPr>
      </w:pPr>
    </w:p>
    <w:p w:rsidR="00F57873" w:rsidRPr="00C334A7" w:rsidP="00050511" w14:paraId="54DA1C40" w14:textId="5E6A9DA1">
      <w:pPr>
        <w:pStyle w:val="ListParagraph"/>
        <w:numPr>
          <w:ilvl w:val="0"/>
          <w:numId w:val="22"/>
        </w:numPr>
        <w:spacing w:after="0" w:line="240" w:lineRule="auto"/>
        <w:rPr>
          <w:rFonts w:asciiTheme="majorHAnsi" w:hAnsiTheme="majorHAnsi"/>
          <w:sz w:val="24"/>
          <w:szCs w:val="24"/>
        </w:rPr>
      </w:pPr>
      <w:r w:rsidRPr="00C334A7">
        <w:rPr>
          <w:rFonts w:asciiTheme="majorHAnsi" w:hAnsiTheme="majorHAnsi"/>
          <w:sz w:val="24"/>
          <w:szCs w:val="24"/>
        </w:rPr>
        <w:t>Total Labor Cost to the Federal Government: $</w:t>
      </w:r>
      <w:r>
        <w:rPr>
          <w:rFonts w:asciiTheme="majorHAnsi" w:hAnsiTheme="majorHAnsi"/>
          <w:sz w:val="24"/>
          <w:szCs w:val="24"/>
        </w:rPr>
        <w:t>12,98</w:t>
      </w:r>
      <w:r w:rsidR="00C74B88">
        <w:rPr>
          <w:rFonts w:asciiTheme="majorHAnsi" w:hAnsiTheme="majorHAnsi"/>
          <w:sz w:val="24"/>
          <w:szCs w:val="24"/>
        </w:rPr>
        <w:t>4</w:t>
      </w:r>
    </w:p>
    <w:p w:rsidR="00F57873" w:rsidRPr="00C334A7" w:rsidP="00050511" w14:paraId="4E7AB870" w14:textId="77777777">
      <w:pPr>
        <w:pStyle w:val="ListParagraph"/>
        <w:spacing w:after="0" w:line="240" w:lineRule="auto"/>
        <w:rPr>
          <w:rFonts w:asciiTheme="majorHAnsi" w:hAnsiTheme="majorHAnsi"/>
          <w:sz w:val="24"/>
          <w:szCs w:val="24"/>
        </w:rPr>
      </w:pPr>
    </w:p>
    <w:p w:rsidR="00F57873" w:rsidRPr="00C334A7" w:rsidP="00050511" w14:paraId="55027DD3" w14:textId="77777777">
      <w:pPr>
        <w:pStyle w:val="ListParagraph"/>
        <w:numPr>
          <w:ilvl w:val="0"/>
          <w:numId w:val="22"/>
        </w:numPr>
        <w:spacing w:after="0" w:line="240" w:lineRule="auto"/>
        <w:rPr>
          <w:rFonts w:asciiTheme="majorHAnsi" w:hAnsiTheme="majorHAnsi"/>
          <w:sz w:val="24"/>
          <w:szCs w:val="24"/>
        </w:rPr>
      </w:pPr>
      <w:r w:rsidRPr="00C334A7">
        <w:rPr>
          <w:rFonts w:asciiTheme="majorHAnsi" w:hAnsiTheme="majorHAnsi"/>
          <w:sz w:val="24"/>
          <w:szCs w:val="24"/>
        </w:rPr>
        <w:t>Total Operational and Maintenance Costs: $</w:t>
      </w:r>
      <w:r>
        <w:rPr>
          <w:rFonts w:asciiTheme="majorHAnsi" w:hAnsiTheme="majorHAnsi"/>
          <w:sz w:val="24"/>
          <w:szCs w:val="24"/>
        </w:rPr>
        <w:t>394,000</w:t>
      </w:r>
    </w:p>
    <w:p w:rsidR="00F57873" w:rsidRPr="00C334A7" w:rsidP="00050511" w14:paraId="5BA1D906" w14:textId="77777777">
      <w:pPr>
        <w:spacing w:after="0" w:line="240" w:lineRule="auto"/>
        <w:rPr>
          <w:rFonts w:asciiTheme="majorHAnsi" w:hAnsiTheme="majorHAnsi"/>
          <w:sz w:val="24"/>
          <w:szCs w:val="24"/>
        </w:rPr>
      </w:pPr>
    </w:p>
    <w:p w:rsidR="00B55E9F" w:rsidRPr="00B55E9F" w:rsidP="00050511" w14:paraId="6B0F9F0F" w14:textId="3B2E0247">
      <w:pPr>
        <w:pStyle w:val="ListParagraph"/>
        <w:numPr>
          <w:ilvl w:val="0"/>
          <w:numId w:val="22"/>
        </w:numPr>
        <w:spacing w:after="0" w:line="240" w:lineRule="auto"/>
        <w:rPr>
          <w:rFonts w:asciiTheme="majorHAnsi" w:hAnsiTheme="majorHAnsi"/>
          <w:sz w:val="24"/>
        </w:rPr>
      </w:pPr>
      <w:r w:rsidRPr="00C334A7">
        <w:rPr>
          <w:rFonts w:asciiTheme="majorHAnsi" w:hAnsiTheme="majorHAnsi"/>
          <w:sz w:val="24"/>
          <w:szCs w:val="24"/>
        </w:rPr>
        <w:t xml:space="preserve">Total </w:t>
      </w:r>
      <w:r>
        <w:rPr>
          <w:rFonts w:asciiTheme="majorHAnsi" w:hAnsiTheme="majorHAnsi"/>
          <w:sz w:val="24"/>
          <w:szCs w:val="24"/>
        </w:rPr>
        <w:t>Cost to the Federal Government:</w:t>
      </w:r>
      <w:r w:rsidRPr="00C334A7">
        <w:rPr>
          <w:rFonts w:asciiTheme="majorHAnsi" w:hAnsiTheme="majorHAnsi"/>
          <w:sz w:val="24"/>
          <w:szCs w:val="24"/>
        </w:rPr>
        <w:t xml:space="preserve"> $</w:t>
      </w:r>
      <w:r>
        <w:rPr>
          <w:rFonts w:asciiTheme="majorHAnsi" w:hAnsiTheme="majorHAnsi"/>
          <w:sz w:val="24"/>
          <w:szCs w:val="24"/>
        </w:rPr>
        <w:t>406,98</w:t>
      </w:r>
      <w:r w:rsidR="006D6B62">
        <w:rPr>
          <w:rFonts w:asciiTheme="majorHAnsi" w:hAnsiTheme="majorHAnsi"/>
          <w:sz w:val="24"/>
          <w:szCs w:val="24"/>
        </w:rPr>
        <w:t>4</w:t>
      </w:r>
    </w:p>
    <w:p w:rsidR="00486235" w:rsidP="00050511" w14:paraId="5155E128" w14:textId="77777777">
      <w:pPr>
        <w:spacing w:after="0" w:line="240" w:lineRule="auto"/>
        <w:rPr>
          <w:rFonts w:asciiTheme="majorHAnsi" w:hAnsiTheme="majorHAnsi"/>
          <w:sz w:val="24"/>
        </w:rPr>
      </w:pPr>
    </w:p>
    <w:p w:rsidR="00DA2B37" w:rsidP="00050511" w14:paraId="66ABAC25"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050511" w14:paraId="62F807DE" w14:textId="77777777">
      <w:pPr>
        <w:spacing w:after="0" w:line="240" w:lineRule="auto"/>
        <w:rPr>
          <w:rFonts w:asciiTheme="majorHAnsi" w:hAnsiTheme="majorHAnsi"/>
          <w:sz w:val="24"/>
        </w:rPr>
      </w:pPr>
    </w:p>
    <w:p w:rsidR="00DA2B37" w:rsidP="00050511" w14:paraId="6052B639" w14:textId="77777777">
      <w:pPr>
        <w:spacing w:after="0" w:line="240" w:lineRule="auto"/>
        <w:rPr>
          <w:rFonts w:asciiTheme="majorHAnsi" w:hAnsiTheme="majorHAnsi"/>
          <w:sz w:val="24"/>
        </w:rPr>
      </w:pPr>
      <w:r w:rsidRPr="00E44304">
        <w:rPr>
          <w:rFonts w:asciiTheme="majorHAnsi" w:hAnsiTheme="majorHAnsi"/>
          <w:sz w:val="24"/>
        </w:rPr>
        <w:t>There has been no change in burden since the last approval.</w:t>
      </w:r>
      <w:r>
        <w:rPr>
          <w:rFonts w:asciiTheme="majorHAnsi" w:hAnsiTheme="majorHAnsi"/>
          <w:sz w:val="24"/>
        </w:rPr>
        <w:t xml:space="preserve"> </w:t>
      </w:r>
    </w:p>
    <w:p w:rsidR="00DA2B37" w:rsidP="00050511" w14:paraId="1DE23A6F" w14:textId="77777777">
      <w:pPr>
        <w:spacing w:after="0" w:line="240" w:lineRule="auto"/>
        <w:rPr>
          <w:rFonts w:asciiTheme="majorHAnsi" w:hAnsiTheme="majorHAnsi"/>
          <w:sz w:val="24"/>
        </w:rPr>
      </w:pPr>
    </w:p>
    <w:p w:rsidR="00DA2B37" w:rsidP="00050511" w14:paraId="0AE87584"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E95716" w:rsidP="006D6B62" w14:paraId="12F0FD7B" w14:textId="77777777">
      <w:pPr>
        <w:spacing w:after="0"/>
        <w:rPr>
          <w:rFonts w:asciiTheme="majorHAnsi" w:hAnsiTheme="majorHAnsi"/>
          <w:i/>
          <w:sz w:val="24"/>
        </w:rPr>
      </w:pPr>
    </w:p>
    <w:p w:rsidR="00E95716" w:rsidRPr="00E95716" w:rsidP="006D6B62" w14:paraId="423917D3" w14:textId="77777777">
      <w:pPr>
        <w:spacing w:after="0"/>
        <w:rPr>
          <w:rFonts w:asciiTheme="majorHAnsi" w:hAnsiTheme="majorHAnsi"/>
          <w:iCs/>
          <w:sz w:val="24"/>
        </w:rPr>
      </w:pPr>
      <w:r>
        <w:rPr>
          <w:rFonts w:asciiTheme="majorHAnsi" w:hAnsiTheme="majorHAnsi"/>
          <w:iCs/>
          <w:sz w:val="24"/>
        </w:rPr>
        <w:t>This is a</w:t>
      </w:r>
      <w:r w:rsidR="006A428D">
        <w:rPr>
          <w:rFonts w:asciiTheme="majorHAnsi" w:hAnsiTheme="majorHAnsi"/>
          <w:iCs/>
          <w:sz w:val="24"/>
        </w:rPr>
        <w:t xml:space="preserve">n ongoing </w:t>
      </w:r>
      <w:r>
        <w:rPr>
          <w:rFonts w:asciiTheme="majorHAnsi" w:hAnsiTheme="majorHAnsi"/>
          <w:iCs/>
          <w:sz w:val="24"/>
        </w:rPr>
        <w:t>project</w:t>
      </w:r>
      <w:r w:rsidR="00907AC0">
        <w:rPr>
          <w:rFonts w:asciiTheme="majorHAnsi" w:hAnsiTheme="majorHAnsi"/>
          <w:iCs/>
          <w:sz w:val="24"/>
        </w:rPr>
        <w:t>, and so t</w:t>
      </w:r>
      <w:r>
        <w:rPr>
          <w:rFonts w:asciiTheme="majorHAnsi" w:hAnsiTheme="majorHAnsi"/>
          <w:iCs/>
          <w:sz w:val="24"/>
        </w:rPr>
        <w:t>abulations of responses</w:t>
      </w:r>
      <w:r w:rsidR="00C243B5">
        <w:rPr>
          <w:rFonts w:asciiTheme="majorHAnsi" w:hAnsiTheme="majorHAnsi"/>
          <w:iCs/>
          <w:sz w:val="24"/>
        </w:rPr>
        <w:t xml:space="preserve"> are</w:t>
      </w:r>
      <w:r>
        <w:rPr>
          <w:rFonts w:asciiTheme="majorHAnsi" w:hAnsiTheme="majorHAnsi"/>
          <w:iCs/>
          <w:sz w:val="24"/>
        </w:rPr>
        <w:t xml:space="preserve"> provided to SAPRO and other </w:t>
      </w:r>
      <w:r w:rsidR="000C15D8">
        <w:rPr>
          <w:rFonts w:asciiTheme="majorHAnsi" w:hAnsiTheme="majorHAnsi"/>
          <w:iCs/>
          <w:sz w:val="24"/>
        </w:rPr>
        <w:t>O</w:t>
      </w:r>
      <w:r>
        <w:rPr>
          <w:rFonts w:asciiTheme="majorHAnsi" w:hAnsiTheme="majorHAnsi"/>
          <w:iCs/>
          <w:sz w:val="24"/>
        </w:rPr>
        <w:t>US</w:t>
      </w:r>
      <w:r w:rsidR="000C15D8">
        <w:rPr>
          <w:rFonts w:asciiTheme="majorHAnsi" w:hAnsiTheme="majorHAnsi"/>
          <w:iCs/>
          <w:sz w:val="24"/>
        </w:rPr>
        <w:t>W</w:t>
      </w:r>
      <w:r>
        <w:rPr>
          <w:rFonts w:asciiTheme="majorHAnsi" w:hAnsiTheme="majorHAnsi"/>
          <w:iCs/>
          <w:sz w:val="24"/>
        </w:rPr>
        <w:t xml:space="preserve"> (P&amp;R) policy offices</w:t>
      </w:r>
      <w:r w:rsidR="00907AC0">
        <w:rPr>
          <w:rFonts w:asciiTheme="majorHAnsi" w:hAnsiTheme="majorHAnsi"/>
          <w:iCs/>
          <w:sz w:val="24"/>
        </w:rPr>
        <w:t xml:space="preserve"> via</w:t>
      </w:r>
      <w:r w:rsidR="007A244A">
        <w:rPr>
          <w:rFonts w:asciiTheme="majorHAnsi" w:hAnsiTheme="majorHAnsi"/>
          <w:iCs/>
          <w:sz w:val="24"/>
        </w:rPr>
        <w:t xml:space="preserve"> </w:t>
      </w:r>
      <w:r w:rsidR="00D85E28">
        <w:rPr>
          <w:rFonts w:asciiTheme="majorHAnsi" w:hAnsiTheme="majorHAnsi"/>
          <w:iCs/>
          <w:sz w:val="24"/>
        </w:rPr>
        <w:t>annual</w:t>
      </w:r>
      <w:r w:rsidR="007A244A">
        <w:rPr>
          <w:rFonts w:asciiTheme="majorHAnsi" w:hAnsiTheme="majorHAnsi"/>
          <w:iCs/>
          <w:sz w:val="24"/>
        </w:rPr>
        <w:t xml:space="preserve"> reports. </w:t>
      </w:r>
      <w:r w:rsidR="00D85E28">
        <w:rPr>
          <w:rFonts w:asciiTheme="majorHAnsi" w:hAnsiTheme="majorHAnsi"/>
          <w:iCs/>
          <w:sz w:val="24"/>
        </w:rPr>
        <w:t>Annual</w:t>
      </w:r>
      <w:r w:rsidR="007A244A">
        <w:rPr>
          <w:rFonts w:asciiTheme="majorHAnsi" w:hAnsiTheme="majorHAnsi"/>
          <w:iCs/>
          <w:sz w:val="24"/>
        </w:rPr>
        <w:t xml:space="preserve"> reports provide SAPRO and other </w:t>
      </w:r>
      <w:r w:rsidR="000C15D8">
        <w:rPr>
          <w:rFonts w:asciiTheme="majorHAnsi" w:hAnsiTheme="majorHAnsi"/>
          <w:iCs/>
          <w:sz w:val="24"/>
        </w:rPr>
        <w:t xml:space="preserve">Department </w:t>
      </w:r>
      <w:r w:rsidR="007A244A">
        <w:rPr>
          <w:rFonts w:asciiTheme="majorHAnsi" w:hAnsiTheme="majorHAnsi"/>
          <w:iCs/>
          <w:sz w:val="24"/>
        </w:rPr>
        <w:t xml:space="preserve">policy offices with information from the study in a timely fashion to assist with identifying </w:t>
      </w:r>
      <w:r w:rsidR="002029B2">
        <w:rPr>
          <w:rFonts w:asciiTheme="majorHAnsi" w:hAnsiTheme="majorHAnsi"/>
          <w:iCs/>
          <w:sz w:val="24"/>
        </w:rPr>
        <w:t xml:space="preserve">pain points and challenges in sexual assault support and accountability services. </w:t>
      </w:r>
      <w:r w:rsidR="00D85E28">
        <w:rPr>
          <w:rFonts w:asciiTheme="majorHAnsi" w:hAnsiTheme="majorHAnsi"/>
          <w:iCs/>
          <w:sz w:val="24"/>
        </w:rPr>
        <w:t>A</w:t>
      </w:r>
      <w:r w:rsidR="002029B2">
        <w:rPr>
          <w:rFonts w:asciiTheme="majorHAnsi" w:hAnsiTheme="majorHAnsi"/>
          <w:iCs/>
          <w:sz w:val="24"/>
        </w:rPr>
        <w:t xml:space="preserve"> biennial report</w:t>
      </w:r>
      <w:r w:rsidR="00200774">
        <w:rPr>
          <w:rFonts w:asciiTheme="majorHAnsi" w:hAnsiTheme="majorHAnsi"/>
          <w:iCs/>
          <w:sz w:val="24"/>
        </w:rPr>
        <w:t xml:space="preserve"> presents more robust and detailed analyses and discussion of findings </w:t>
      </w:r>
      <w:r w:rsidR="00C243B5">
        <w:rPr>
          <w:rFonts w:asciiTheme="majorHAnsi" w:hAnsiTheme="majorHAnsi"/>
          <w:iCs/>
          <w:sz w:val="24"/>
        </w:rPr>
        <w:t xml:space="preserve">to further assist policy offices and decision makers. </w:t>
      </w:r>
      <w:r w:rsidR="008D48C4">
        <w:rPr>
          <w:rFonts w:asciiTheme="majorHAnsi" w:hAnsiTheme="majorHAnsi"/>
          <w:iCs/>
          <w:sz w:val="24"/>
        </w:rPr>
        <w:t xml:space="preserve"> </w:t>
      </w:r>
      <w:r w:rsidR="00571153">
        <w:rPr>
          <w:rFonts w:asciiTheme="majorHAnsi" w:hAnsiTheme="majorHAnsi"/>
          <w:iCs/>
          <w:sz w:val="24"/>
        </w:rPr>
        <w:t xml:space="preserve">Following scientific reporting standards, readings will </w:t>
      </w:r>
      <w:r w:rsidR="005B715F">
        <w:rPr>
          <w:rFonts w:asciiTheme="majorHAnsi" w:hAnsiTheme="majorHAnsi"/>
          <w:iCs/>
          <w:sz w:val="24"/>
        </w:rPr>
        <w:t>be presented with information on the overall study design, methodology, and any limitations on data or findings presented</w:t>
      </w:r>
      <w:r w:rsidR="00872515">
        <w:rPr>
          <w:rFonts w:asciiTheme="majorHAnsi" w:hAnsiTheme="majorHAnsi"/>
          <w:iCs/>
          <w:sz w:val="24"/>
        </w:rPr>
        <w:t xml:space="preserve"> (e.g., necessity of non-probability sampling, drawing inferences from self-report</w:t>
      </w:r>
      <w:r w:rsidR="00A87880">
        <w:rPr>
          <w:rFonts w:asciiTheme="majorHAnsi" w:hAnsiTheme="majorHAnsi"/>
          <w:iCs/>
          <w:sz w:val="24"/>
        </w:rPr>
        <w:t>ed</w:t>
      </w:r>
      <w:r w:rsidR="00872515">
        <w:rPr>
          <w:rFonts w:asciiTheme="majorHAnsi" w:hAnsiTheme="majorHAnsi"/>
          <w:iCs/>
          <w:sz w:val="24"/>
        </w:rPr>
        <w:t xml:space="preserve"> data). </w:t>
      </w:r>
      <w:r w:rsidR="00A87880">
        <w:rPr>
          <w:rFonts w:asciiTheme="majorHAnsi" w:hAnsiTheme="majorHAnsi"/>
          <w:iCs/>
          <w:sz w:val="24"/>
        </w:rPr>
        <w:t xml:space="preserve"> Scientific literature will be cited where relevant to support the research </w:t>
      </w:r>
      <w:r w:rsidR="007000F4">
        <w:rPr>
          <w:rFonts w:asciiTheme="majorHAnsi" w:hAnsiTheme="majorHAnsi"/>
          <w:iCs/>
          <w:sz w:val="24"/>
        </w:rPr>
        <w:t xml:space="preserve">methods and </w:t>
      </w:r>
      <w:r w:rsidR="00A87880">
        <w:rPr>
          <w:rFonts w:asciiTheme="majorHAnsi" w:hAnsiTheme="majorHAnsi"/>
          <w:iCs/>
          <w:sz w:val="24"/>
        </w:rPr>
        <w:t xml:space="preserve">design, </w:t>
      </w:r>
      <w:r w:rsidR="007000F4">
        <w:rPr>
          <w:rFonts w:asciiTheme="majorHAnsi" w:hAnsiTheme="majorHAnsi"/>
          <w:iCs/>
          <w:sz w:val="24"/>
        </w:rPr>
        <w:t xml:space="preserve">analyses, and interpretation of findings. </w:t>
      </w:r>
    </w:p>
    <w:p w:rsidR="005C3A95" w:rsidP="006D6B62" w14:paraId="5EEE7C96" w14:textId="6A5531DF">
      <w:pPr>
        <w:spacing w:after="0"/>
        <w:rPr>
          <w:rFonts w:asciiTheme="majorHAnsi" w:hAnsiTheme="majorHAnsi"/>
          <w:sz w:val="24"/>
        </w:rPr>
      </w:pPr>
    </w:p>
    <w:p w:rsidR="005C3A95" w:rsidRPr="00E44304" w:rsidP="006D6B62" w14:paraId="7E2E6DAA" w14:textId="77777777">
      <w:pPr>
        <w:spacing w:after="0"/>
        <w:rPr>
          <w:rFonts w:asciiTheme="majorHAnsi" w:hAnsiTheme="majorHAnsi"/>
          <w:sz w:val="24"/>
        </w:rPr>
      </w:pPr>
      <w:r w:rsidRPr="00E44304">
        <w:rPr>
          <w:rFonts w:asciiTheme="majorHAnsi" w:hAnsiTheme="majorHAnsi"/>
          <w:sz w:val="24"/>
        </w:rPr>
        <w:t xml:space="preserve">17. </w:t>
      </w:r>
      <w:r w:rsidRPr="00E44304" w:rsidR="00C62D17">
        <w:rPr>
          <w:rFonts w:asciiTheme="majorHAnsi" w:hAnsiTheme="majorHAnsi"/>
          <w:sz w:val="24"/>
        </w:rPr>
        <w:tab/>
      </w:r>
      <w:r w:rsidRPr="00E44304" w:rsidR="00C62D17">
        <w:rPr>
          <w:rFonts w:asciiTheme="majorHAnsi" w:hAnsiTheme="majorHAnsi"/>
          <w:sz w:val="24"/>
          <w:u w:val="single"/>
        </w:rPr>
        <w:t>Non-Display of OMB Expiration Date</w:t>
      </w:r>
    </w:p>
    <w:p w:rsidR="00C62D17" w:rsidRPr="00E44304" w:rsidP="006D6B62" w14:paraId="56321788" w14:textId="77777777">
      <w:pPr>
        <w:spacing w:after="0"/>
        <w:rPr>
          <w:rFonts w:asciiTheme="majorHAnsi" w:hAnsiTheme="majorHAnsi"/>
          <w:sz w:val="24"/>
        </w:rPr>
      </w:pPr>
      <w:r w:rsidRPr="00E44304">
        <w:rPr>
          <w:rFonts w:asciiTheme="majorHAnsi" w:hAnsiTheme="majorHAnsi"/>
          <w:sz w:val="24"/>
        </w:rPr>
        <w:t xml:space="preserve">We are not seeking approval to omit the display of the expiration date of the OMB approval on the collection instrument. </w:t>
      </w:r>
    </w:p>
    <w:p w:rsidR="00C62D17" w:rsidRPr="00E44304" w:rsidP="006D6B62" w14:paraId="5ABD9126" w14:textId="77777777">
      <w:pPr>
        <w:spacing w:after="0"/>
        <w:rPr>
          <w:rFonts w:asciiTheme="majorHAnsi" w:hAnsiTheme="majorHAnsi"/>
          <w:sz w:val="24"/>
        </w:rPr>
      </w:pPr>
    </w:p>
    <w:p w:rsidR="00C62D17" w:rsidRPr="00E44304" w:rsidP="006D6B62" w14:paraId="3576495B" w14:textId="77777777">
      <w:pPr>
        <w:spacing w:after="0"/>
        <w:rPr>
          <w:rFonts w:asciiTheme="majorHAnsi" w:hAnsiTheme="majorHAnsi"/>
          <w:sz w:val="24"/>
        </w:rPr>
      </w:pPr>
      <w:r w:rsidRPr="00E44304">
        <w:rPr>
          <w:rFonts w:asciiTheme="majorHAnsi" w:hAnsiTheme="majorHAnsi"/>
          <w:sz w:val="24"/>
        </w:rPr>
        <w:t xml:space="preserve">18. </w:t>
      </w:r>
      <w:r w:rsidRPr="00E44304">
        <w:rPr>
          <w:rFonts w:asciiTheme="majorHAnsi" w:hAnsiTheme="majorHAnsi"/>
          <w:sz w:val="24"/>
        </w:rPr>
        <w:tab/>
      </w:r>
      <w:r w:rsidRPr="00E44304">
        <w:rPr>
          <w:rFonts w:asciiTheme="majorHAnsi" w:hAnsiTheme="majorHAnsi"/>
          <w:sz w:val="24"/>
          <w:u w:val="single"/>
        </w:rPr>
        <w:t>Exceptions to “Certification for Paperwork Reduction Submissions”</w:t>
      </w:r>
    </w:p>
    <w:p w:rsidR="00A50A0F" w:rsidRPr="00C62D17" w:rsidP="006D6B62" w14:paraId="15E8E6C7" w14:textId="77777777">
      <w:pPr>
        <w:spacing w:after="0"/>
        <w:rPr>
          <w:rFonts w:asciiTheme="majorHAnsi" w:hAnsiTheme="majorHAnsi"/>
          <w:i/>
          <w:sz w:val="24"/>
        </w:rPr>
      </w:pPr>
      <w:r w:rsidRPr="00E44304">
        <w:rPr>
          <w:rFonts w:asciiTheme="majorHAnsi" w:hAnsiTheme="majorHAnsi"/>
          <w:i/>
          <w:sz w:val="24"/>
        </w:rPr>
        <w:t xml:space="preserve"> </w:t>
      </w:r>
      <w:r w:rsidRPr="00E44304">
        <w:rPr>
          <w:rFonts w:asciiTheme="majorHAnsi" w:hAnsiTheme="majorHAnsi"/>
          <w:sz w:val="24"/>
        </w:rPr>
        <w:t>We are not requesting an</w:t>
      </w:r>
      <w:r w:rsidRPr="00E44304" w:rsidR="00420AE9">
        <w:rPr>
          <w:rFonts w:asciiTheme="majorHAnsi" w:hAnsiTheme="majorHAnsi"/>
          <w:sz w:val="24"/>
        </w:rPr>
        <w:t>y</w:t>
      </w:r>
      <w:r w:rsidRPr="00E44304">
        <w:rPr>
          <w:rFonts w:asciiTheme="majorHAnsi" w:hAnsiTheme="majorHAnsi"/>
          <w:sz w:val="24"/>
        </w:rPr>
        <w:t xml:space="preserve"> exemption</w:t>
      </w:r>
      <w:r w:rsidRPr="00E44304" w:rsidR="00420AE9">
        <w:rPr>
          <w:rFonts w:asciiTheme="majorHAnsi" w:hAnsiTheme="majorHAnsi"/>
          <w:sz w:val="24"/>
        </w:rPr>
        <w:t>s</w:t>
      </w:r>
      <w:r w:rsidRPr="00E44304">
        <w:rPr>
          <w:rFonts w:asciiTheme="majorHAnsi" w:hAnsiTheme="majorHAnsi"/>
          <w:sz w:val="24"/>
        </w:rPr>
        <w:t xml:space="preserve"> to the provisions </w:t>
      </w:r>
      <w:r w:rsidRPr="00E44304" w:rsidR="00420AE9">
        <w:rPr>
          <w:rFonts w:asciiTheme="majorHAnsi" w:hAnsiTheme="majorHAnsi"/>
          <w:sz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454CC8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789E" w:rsidP="00FB569C" w14:paraId="1AE0FA83" w14:textId="77777777">
      <w:pPr>
        <w:spacing w:after="0" w:line="240" w:lineRule="auto"/>
      </w:pPr>
      <w:r>
        <w:separator/>
      </w:r>
    </w:p>
  </w:footnote>
  <w:footnote w:type="continuationSeparator" w:id="1">
    <w:p w:rsidR="0048789E" w:rsidP="00FB569C" w14:paraId="7DECEE76" w14:textId="77777777">
      <w:pPr>
        <w:spacing w:after="0" w:line="240" w:lineRule="auto"/>
      </w:pPr>
      <w:r>
        <w:continuationSeparator/>
      </w:r>
    </w:p>
  </w:footnote>
  <w:footnote w:type="continuationNotice" w:id="2">
    <w:p w:rsidR="0048789E" w14:paraId="6059305F" w14:textId="77777777">
      <w:pPr>
        <w:spacing w:after="0" w:line="240" w:lineRule="auto"/>
      </w:pPr>
    </w:p>
  </w:footnote>
  <w:footnote w:id="3">
    <w:p w:rsidR="00D7220E" w:rsidRPr="006D6B62" w:rsidP="00D7220E" w14:paraId="6A5F4FCD" w14:textId="77777777">
      <w:pPr>
        <w:pStyle w:val="FootnoteText"/>
        <w:rPr>
          <w:rFonts w:asciiTheme="majorHAnsi" w:hAnsiTheme="majorHAnsi" w:cs="Times New Roman"/>
        </w:rPr>
      </w:pPr>
      <w:r w:rsidRPr="006D6B62">
        <w:rPr>
          <w:rStyle w:val="FootnoteReference"/>
          <w:rFonts w:asciiTheme="majorHAnsi" w:hAnsiTheme="majorHAnsi" w:cs="Times New Roman"/>
        </w:rPr>
        <w:footnoteRef/>
      </w:r>
      <w:r w:rsidRPr="006D6B62">
        <w:rPr>
          <w:rFonts w:asciiTheme="majorHAnsi" w:hAnsiTheme="majorHAnsi" w:cs="Times New Roman"/>
        </w:rPr>
        <w:t xml:space="preserve"> Report is publicly available here: </w:t>
      </w:r>
      <w:hyperlink r:id="rId1" w:history="1">
        <w:r w:rsidRPr="006D6B62">
          <w:rPr>
            <w:rStyle w:val="Hyperlink"/>
            <w:rFonts w:asciiTheme="majorHAnsi" w:hAnsiTheme="majorHAnsi" w:cs="Times New Roman"/>
          </w:rPr>
          <w:t>https://www.opa.mil/research-analysis/health-well-being/sexual-assault-prevention-and-response/2014-survivor-experience-survey-overview-report</w:t>
        </w:r>
      </w:hyperlink>
    </w:p>
  </w:footnote>
  <w:footnote w:id="4">
    <w:p w:rsidR="00D7220E" w:rsidP="00D7220E" w14:paraId="65856C0C" w14:textId="77777777">
      <w:pPr>
        <w:pStyle w:val="FootnoteText"/>
      </w:pPr>
      <w:r w:rsidRPr="006D6B62">
        <w:rPr>
          <w:rStyle w:val="FootnoteReference"/>
          <w:rFonts w:asciiTheme="majorHAnsi" w:hAnsiTheme="majorHAnsi" w:cs="Times New Roman"/>
        </w:rPr>
        <w:footnoteRef/>
      </w:r>
      <w:r w:rsidRPr="006D6B62">
        <w:rPr>
          <w:rFonts w:asciiTheme="majorHAnsi" w:hAnsiTheme="majorHAnsi" w:cs="Times New Roman"/>
        </w:rPr>
        <w:t xml:space="preserve"> Reports from the MIJES are publicly available here: </w:t>
      </w:r>
      <w:hyperlink r:id="rId2" w:history="1">
        <w:r w:rsidRPr="006D6B62">
          <w:rPr>
            <w:rStyle w:val="Hyperlink"/>
            <w:rFonts w:asciiTheme="majorHAnsi" w:hAnsiTheme="majorHAnsi" w:cs="Times New Roman"/>
          </w:rPr>
          <w:t>https://www.opa.mil/research-analysis/health-well-being/sexual-assault-prevention-and-response/2015-military-investigation-and-justice-experience-survey-overview-report/</w:t>
        </w:r>
      </w:hyperlink>
      <w:r w:rsidRPr="006D6B62">
        <w:rPr>
          <w:rFonts w:asciiTheme="majorHAnsi" w:hAnsiTheme="majorHAnsi" w:cs="Times New Roman"/>
        </w:rPr>
        <w:t>; https://www.opa.mil/research-analysis/health-well-being/sexual-assault-prevention-and-responses/2017-military-justice-and-experience-survey-overview-report/</w:t>
      </w:r>
    </w:p>
  </w:footnote>
  <w:footnote w:id="5">
    <w:p w:rsidR="00026484" w:rsidP="00026484" w14:paraId="4A8EFCDF" w14:textId="77777777">
      <w:pPr>
        <w:pStyle w:val="FootnoteText"/>
      </w:pPr>
      <w:r>
        <w:rPr>
          <w:rStyle w:val="FootnoteReference"/>
        </w:rPr>
        <w:footnoteRef/>
      </w:r>
      <w:r>
        <w:t xml:space="preserve"> When the MIJES was stopped, questions about victim’s experiences were added to the WES to ensure this information was still being captured.  However, given the focus of the WES on estimating population-level prevalence, these questions were necessarily limited.  The SVSES was designed so as not to duplicate the WES and to focus specifically on victims experiences.</w:t>
      </w:r>
    </w:p>
  </w:footnote>
  <w:footnote w:id="6">
    <w:p w:rsidR="00026484" w:rsidP="00026484" w14:paraId="6A87E228" w14:textId="77777777">
      <w:pPr>
        <w:pStyle w:val="FootnoteText"/>
      </w:pPr>
      <w:r>
        <w:rPr>
          <w:rStyle w:val="FootnoteReference"/>
        </w:rPr>
        <w:footnoteRef/>
      </w:r>
      <w:r>
        <w:t xml:space="preserve"> Results from the </w:t>
      </w:r>
      <w:r w:rsidR="00511BD7">
        <w:t>2023 Workplace and Gender Relations Survey of Military Members</w:t>
      </w:r>
      <w:r>
        <w:t xml:space="preserve"> are publicly available here: </w:t>
      </w:r>
      <w:r w:rsidRPr="00511BD7" w:rsidR="00511BD7">
        <w:t>https://www.opa.mil/research-analysis/health-well-being/sexual-assault-prevention-and-response/2023-workplace-and-gender-relations-survey-of-military-members-c5211883-43a0-44b1-8ef4-7ec3984ed199/</w:t>
      </w:r>
    </w:p>
  </w:footnote>
  <w:footnote w:id="7">
    <w:p w:rsidR="003F1910" w:rsidP="003F1910" w14:paraId="79FC0EFD" w14:textId="77777777">
      <w:pPr>
        <w:pStyle w:val="FootnoteText"/>
      </w:pPr>
      <w:r>
        <w:rPr>
          <w:rStyle w:val="FootnoteReference"/>
        </w:rPr>
        <w:footnoteRef/>
      </w:r>
      <w:r>
        <w:t xml:space="preserve"> Because we lack an authoritative list of our target population, we are employing a multi-pronged outreach strategy to ensure victims have the opportunity to learn about the study and opt-in if they are interested.</w:t>
      </w:r>
    </w:p>
  </w:footnote>
  <w:footnote w:id="8">
    <w:p w:rsidR="00F964F7" w:rsidP="00F964F7" w14:paraId="55D806C8" w14:textId="77777777">
      <w:pPr>
        <w:pStyle w:val="FootnoteText"/>
      </w:pPr>
      <w:r>
        <w:rPr>
          <w:rStyle w:val="FootnoteReference"/>
        </w:rPr>
        <w:footnoteRef/>
      </w:r>
      <w:r>
        <w:t xml:space="preserve"> </w:t>
      </w:r>
      <w:r w:rsidRPr="00BB5B33">
        <w:t>Follow-up surveys also include respondent-specific items.  Respondent-specific items are determined based on responses to the initial or previous surveys and responses to the follow-up survey.  For example, for each follow-up survey, individuals who previously indicated they have never reported a sexual assault will see the base questions and additional questions regarding their current reporting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460872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E6A6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45C49F6"/>
    <w:multiLevelType w:val="hybridMultilevel"/>
    <w:tmpl w:val="3DD6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4E702A"/>
    <w:multiLevelType w:val="hybridMultilevel"/>
    <w:tmpl w:val="A5D2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145DE3"/>
    <w:multiLevelType w:val="hybridMultilevel"/>
    <w:tmpl w:val="B69E82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9"/>
  </w:num>
  <w:num w:numId="2" w16cid:durableId="1329671643">
    <w:abstractNumId w:val="0"/>
  </w:num>
  <w:num w:numId="3" w16cid:durableId="1243028649">
    <w:abstractNumId w:val="16"/>
  </w:num>
  <w:num w:numId="4" w16cid:durableId="194126693">
    <w:abstractNumId w:val="14"/>
  </w:num>
  <w:num w:numId="5" w16cid:durableId="1623462459">
    <w:abstractNumId w:val="23"/>
  </w:num>
  <w:num w:numId="6" w16cid:durableId="11614670">
    <w:abstractNumId w:val="1"/>
  </w:num>
  <w:num w:numId="7" w16cid:durableId="319581287">
    <w:abstractNumId w:val="24"/>
  </w:num>
  <w:num w:numId="8" w16cid:durableId="1258366017">
    <w:abstractNumId w:val="21"/>
  </w:num>
  <w:num w:numId="9" w16cid:durableId="2076396530">
    <w:abstractNumId w:val="25"/>
  </w:num>
  <w:num w:numId="10" w16cid:durableId="1928997411">
    <w:abstractNumId w:val="5"/>
  </w:num>
  <w:num w:numId="11" w16cid:durableId="1388920059">
    <w:abstractNumId w:val="20"/>
  </w:num>
  <w:num w:numId="12" w16cid:durableId="1947540841">
    <w:abstractNumId w:val="22"/>
  </w:num>
  <w:num w:numId="13" w16cid:durableId="93476901">
    <w:abstractNumId w:val="28"/>
  </w:num>
  <w:num w:numId="14" w16cid:durableId="620300974">
    <w:abstractNumId w:val="29"/>
  </w:num>
  <w:num w:numId="15" w16cid:durableId="1735197618">
    <w:abstractNumId w:val="13"/>
  </w:num>
  <w:num w:numId="16" w16cid:durableId="671300988">
    <w:abstractNumId w:val="12"/>
  </w:num>
  <w:num w:numId="17" w16cid:durableId="1179195024">
    <w:abstractNumId w:val="17"/>
  </w:num>
  <w:num w:numId="18" w16cid:durableId="525561989">
    <w:abstractNumId w:val="11"/>
  </w:num>
  <w:num w:numId="19" w16cid:durableId="390463667">
    <w:abstractNumId w:val="10"/>
  </w:num>
  <w:num w:numId="20" w16cid:durableId="1771468152">
    <w:abstractNumId w:val="8"/>
  </w:num>
  <w:num w:numId="21" w16cid:durableId="1321736009">
    <w:abstractNumId w:val="18"/>
  </w:num>
  <w:num w:numId="22" w16cid:durableId="1838224474">
    <w:abstractNumId w:val="2"/>
  </w:num>
  <w:num w:numId="23" w16cid:durableId="1509439953">
    <w:abstractNumId w:val="6"/>
  </w:num>
  <w:num w:numId="24" w16cid:durableId="1928079602">
    <w:abstractNumId w:val="26"/>
  </w:num>
  <w:num w:numId="25" w16cid:durableId="537277486">
    <w:abstractNumId w:val="4"/>
  </w:num>
  <w:num w:numId="26" w16cid:durableId="1917858111">
    <w:abstractNumId w:val="27"/>
  </w:num>
  <w:num w:numId="27" w16cid:durableId="1132286669">
    <w:abstractNumId w:val="15"/>
  </w:num>
  <w:num w:numId="28" w16cid:durableId="1856722182">
    <w:abstractNumId w:val="9"/>
  </w:num>
  <w:num w:numId="29" w16cid:durableId="1590626048">
    <w:abstractNumId w:val="7"/>
  </w:num>
  <w:num w:numId="30" w16cid:durableId="299768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2A7"/>
    <w:rsid w:val="00026484"/>
    <w:rsid w:val="000475DF"/>
    <w:rsid w:val="00050511"/>
    <w:rsid w:val="00081712"/>
    <w:rsid w:val="00086CDE"/>
    <w:rsid w:val="000931A5"/>
    <w:rsid w:val="000B075A"/>
    <w:rsid w:val="000B0E70"/>
    <w:rsid w:val="000B6012"/>
    <w:rsid w:val="000C15D8"/>
    <w:rsid w:val="000D79E4"/>
    <w:rsid w:val="001017A0"/>
    <w:rsid w:val="00105F45"/>
    <w:rsid w:val="001074CE"/>
    <w:rsid w:val="001108F5"/>
    <w:rsid w:val="0011110E"/>
    <w:rsid w:val="00127B46"/>
    <w:rsid w:val="00145386"/>
    <w:rsid w:val="00145F36"/>
    <w:rsid w:val="001623EF"/>
    <w:rsid w:val="0018151B"/>
    <w:rsid w:val="0019309D"/>
    <w:rsid w:val="001A03CC"/>
    <w:rsid w:val="001A41D8"/>
    <w:rsid w:val="001B656D"/>
    <w:rsid w:val="001C4AEC"/>
    <w:rsid w:val="001D048F"/>
    <w:rsid w:val="001F526C"/>
    <w:rsid w:val="00200261"/>
    <w:rsid w:val="00200774"/>
    <w:rsid w:val="002029B2"/>
    <w:rsid w:val="00203BC2"/>
    <w:rsid w:val="00211832"/>
    <w:rsid w:val="00222D1B"/>
    <w:rsid w:val="002239EB"/>
    <w:rsid w:val="00225FC1"/>
    <w:rsid w:val="00235D71"/>
    <w:rsid w:val="002368AD"/>
    <w:rsid w:val="0024335E"/>
    <w:rsid w:val="00254DCF"/>
    <w:rsid w:val="002567F9"/>
    <w:rsid w:val="002719BD"/>
    <w:rsid w:val="0027743E"/>
    <w:rsid w:val="00294E92"/>
    <w:rsid w:val="002A23AD"/>
    <w:rsid w:val="002A75BE"/>
    <w:rsid w:val="002B107F"/>
    <w:rsid w:val="002C170C"/>
    <w:rsid w:val="002C2266"/>
    <w:rsid w:val="002C34C0"/>
    <w:rsid w:val="002C4F50"/>
    <w:rsid w:val="002C7537"/>
    <w:rsid w:val="002D1144"/>
    <w:rsid w:val="002D486C"/>
    <w:rsid w:val="002D7713"/>
    <w:rsid w:val="003077C2"/>
    <w:rsid w:val="003132E7"/>
    <w:rsid w:val="00313409"/>
    <w:rsid w:val="0032566C"/>
    <w:rsid w:val="00331D7E"/>
    <w:rsid w:val="00337EF1"/>
    <w:rsid w:val="00340D9B"/>
    <w:rsid w:val="00383220"/>
    <w:rsid w:val="003860DA"/>
    <w:rsid w:val="00394A8A"/>
    <w:rsid w:val="00397102"/>
    <w:rsid w:val="003A5810"/>
    <w:rsid w:val="003C0540"/>
    <w:rsid w:val="003C1F33"/>
    <w:rsid w:val="003C4528"/>
    <w:rsid w:val="003C6706"/>
    <w:rsid w:val="003D56FC"/>
    <w:rsid w:val="003E1364"/>
    <w:rsid w:val="003F1910"/>
    <w:rsid w:val="003F30EC"/>
    <w:rsid w:val="003F52EE"/>
    <w:rsid w:val="00401E10"/>
    <w:rsid w:val="00412F13"/>
    <w:rsid w:val="00416DDE"/>
    <w:rsid w:val="00420AE9"/>
    <w:rsid w:val="004259B9"/>
    <w:rsid w:val="00464A25"/>
    <w:rsid w:val="004659CC"/>
    <w:rsid w:val="00472FD6"/>
    <w:rsid w:val="0047653C"/>
    <w:rsid w:val="00480AFF"/>
    <w:rsid w:val="00486235"/>
    <w:rsid w:val="00487513"/>
    <w:rsid w:val="0048789E"/>
    <w:rsid w:val="00487A74"/>
    <w:rsid w:val="00490797"/>
    <w:rsid w:val="004C0184"/>
    <w:rsid w:val="004C74D6"/>
    <w:rsid w:val="004E3940"/>
    <w:rsid w:val="004E7C4C"/>
    <w:rsid w:val="004F4F5D"/>
    <w:rsid w:val="00502FF3"/>
    <w:rsid w:val="00510F0C"/>
    <w:rsid w:val="00511BD7"/>
    <w:rsid w:val="00520B36"/>
    <w:rsid w:val="005270F3"/>
    <w:rsid w:val="00537964"/>
    <w:rsid w:val="00543943"/>
    <w:rsid w:val="00564A1A"/>
    <w:rsid w:val="00570ADB"/>
    <w:rsid w:val="00571153"/>
    <w:rsid w:val="00571698"/>
    <w:rsid w:val="00576EDB"/>
    <w:rsid w:val="00594B6B"/>
    <w:rsid w:val="00596BBA"/>
    <w:rsid w:val="005B0C72"/>
    <w:rsid w:val="005B715F"/>
    <w:rsid w:val="005C2FFB"/>
    <w:rsid w:val="005C3A95"/>
    <w:rsid w:val="005C7428"/>
    <w:rsid w:val="005D5C81"/>
    <w:rsid w:val="005D640B"/>
    <w:rsid w:val="005E357D"/>
    <w:rsid w:val="005E4B6D"/>
    <w:rsid w:val="005F3266"/>
    <w:rsid w:val="006306D5"/>
    <w:rsid w:val="00631D63"/>
    <w:rsid w:val="0063220F"/>
    <w:rsid w:val="00642741"/>
    <w:rsid w:val="00643A78"/>
    <w:rsid w:val="0065530D"/>
    <w:rsid w:val="0066002B"/>
    <w:rsid w:val="00670CC6"/>
    <w:rsid w:val="00685987"/>
    <w:rsid w:val="00691AFF"/>
    <w:rsid w:val="006922EA"/>
    <w:rsid w:val="006A13FA"/>
    <w:rsid w:val="006A428D"/>
    <w:rsid w:val="006A4C65"/>
    <w:rsid w:val="006C37DC"/>
    <w:rsid w:val="006D6B62"/>
    <w:rsid w:val="006E563D"/>
    <w:rsid w:val="006E642A"/>
    <w:rsid w:val="006F2DF8"/>
    <w:rsid w:val="007000F4"/>
    <w:rsid w:val="0070454C"/>
    <w:rsid w:val="00710E4A"/>
    <w:rsid w:val="007121D0"/>
    <w:rsid w:val="00722FDB"/>
    <w:rsid w:val="00741462"/>
    <w:rsid w:val="00741BB5"/>
    <w:rsid w:val="007500A4"/>
    <w:rsid w:val="00765031"/>
    <w:rsid w:val="0077261C"/>
    <w:rsid w:val="007924A3"/>
    <w:rsid w:val="007A244A"/>
    <w:rsid w:val="007A379A"/>
    <w:rsid w:val="007D7AA1"/>
    <w:rsid w:val="007E14F3"/>
    <w:rsid w:val="007E466D"/>
    <w:rsid w:val="007E4873"/>
    <w:rsid w:val="00806B29"/>
    <w:rsid w:val="00807F9E"/>
    <w:rsid w:val="00811B14"/>
    <w:rsid w:val="00811FF9"/>
    <w:rsid w:val="00813026"/>
    <w:rsid w:val="008156DF"/>
    <w:rsid w:val="008166C1"/>
    <w:rsid w:val="008370B6"/>
    <w:rsid w:val="0085688C"/>
    <w:rsid w:val="008635C4"/>
    <w:rsid w:val="00872515"/>
    <w:rsid w:val="00885AB6"/>
    <w:rsid w:val="00890DD9"/>
    <w:rsid w:val="008A06EF"/>
    <w:rsid w:val="008A287F"/>
    <w:rsid w:val="008A40BD"/>
    <w:rsid w:val="008B20A1"/>
    <w:rsid w:val="008B4CA0"/>
    <w:rsid w:val="008B64B0"/>
    <w:rsid w:val="008B776E"/>
    <w:rsid w:val="008C5E0B"/>
    <w:rsid w:val="008D1294"/>
    <w:rsid w:val="008D3933"/>
    <w:rsid w:val="008D48C4"/>
    <w:rsid w:val="008D5B7A"/>
    <w:rsid w:val="008E3029"/>
    <w:rsid w:val="008F26EB"/>
    <w:rsid w:val="00902209"/>
    <w:rsid w:val="00906EEC"/>
    <w:rsid w:val="00907AC0"/>
    <w:rsid w:val="00910579"/>
    <w:rsid w:val="00932858"/>
    <w:rsid w:val="009352DB"/>
    <w:rsid w:val="00935D11"/>
    <w:rsid w:val="00966648"/>
    <w:rsid w:val="00970528"/>
    <w:rsid w:val="0098628F"/>
    <w:rsid w:val="0098643B"/>
    <w:rsid w:val="00994F2B"/>
    <w:rsid w:val="00996894"/>
    <w:rsid w:val="009A61CD"/>
    <w:rsid w:val="009A6246"/>
    <w:rsid w:val="009B3737"/>
    <w:rsid w:val="009C670A"/>
    <w:rsid w:val="009D01BC"/>
    <w:rsid w:val="009D01E4"/>
    <w:rsid w:val="009D06C5"/>
    <w:rsid w:val="009F2544"/>
    <w:rsid w:val="009F4C4C"/>
    <w:rsid w:val="00A015AF"/>
    <w:rsid w:val="00A030ED"/>
    <w:rsid w:val="00A06F3A"/>
    <w:rsid w:val="00A126CA"/>
    <w:rsid w:val="00A321AC"/>
    <w:rsid w:val="00A32FC0"/>
    <w:rsid w:val="00A47F0A"/>
    <w:rsid w:val="00A50A0F"/>
    <w:rsid w:val="00A76F7E"/>
    <w:rsid w:val="00A77157"/>
    <w:rsid w:val="00A87880"/>
    <w:rsid w:val="00AB0811"/>
    <w:rsid w:val="00AC53CA"/>
    <w:rsid w:val="00AF2F71"/>
    <w:rsid w:val="00AF7FD1"/>
    <w:rsid w:val="00B24B1E"/>
    <w:rsid w:val="00B429D9"/>
    <w:rsid w:val="00B4377D"/>
    <w:rsid w:val="00B52855"/>
    <w:rsid w:val="00B52F4E"/>
    <w:rsid w:val="00B5553A"/>
    <w:rsid w:val="00B55E9F"/>
    <w:rsid w:val="00B6024E"/>
    <w:rsid w:val="00B73A70"/>
    <w:rsid w:val="00B93174"/>
    <w:rsid w:val="00B933B0"/>
    <w:rsid w:val="00BB3020"/>
    <w:rsid w:val="00BB5B33"/>
    <w:rsid w:val="00BC2FE9"/>
    <w:rsid w:val="00BC5865"/>
    <w:rsid w:val="00BC7F31"/>
    <w:rsid w:val="00BD7755"/>
    <w:rsid w:val="00BE0275"/>
    <w:rsid w:val="00BF45AB"/>
    <w:rsid w:val="00C07477"/>
    <w:rsid w:val="00C2283C"/>
    <w:rsid w:val="00C243B5"/>
    <w:rsid w:val="00C27242"/>
    <w:rsid w:val="00C334A7"/>
    <w:rsid w:val="00C33684"/>
    <w:rsid w:val="00C3532B"/>
    <w:rsid w:val="00C43F81"/>
    <w:rsid w:val="00C612A2"/>
    <w:rsid w:val="00C62D17"/>
    <w:rsid w:val="00C67541"/>
    <w:rsid w:val="00C74B88"/>
    <w:rsid w:val="00C808F4"/>
    <w:rsid w:val="00C92C51"/>
    <w:rsid w:val="00C960B5"/>
    <w:rsid w:val="00CA15B1"/>
    <w:rsid w:val="00CB2312"/>
    <w:rsid w:val="00CC24D5"/>
    <w:rsid w:val="00CC2835"/>
    <w:rsid w:val="00CD4B69"/>
    <w:rsid w:val="00CE5EA4"/>
    <w:rsid w:val="00CF40B0"/>
    <w:rsid w:val="00D21AA6"/>
    <w:rsid w:val="00D31459"/>
    <w:rsid w:val="00D461FB"/>
    <w:rsid w:val="00D462F7"/>
    <w:rsid w:val="00D61AA9"/>
    <w:rsid w:val="00D7220E"/>
    <w:rsid w:val="00D734A2"/>
    <w:rsid w:val="00D85E28"/>
    <w:rsid w:val="00D9659E"/>
    <w:rsid w:val="00DA2B37"/>
    <w:rsid w:val="00DA3174"/>
    <w:rsid w:val="00DC75F7"/>
    <w:rsid w:val="00DD3A48"/>
    <w:rsid w:val="00DE76BA"/>
    <w:rsid w:val="00E026EF"/>
    <w:rsid w:val="00E04664"/>
    <w:rsid w:val="00E14C56"/>
    <w:rsid w:val="00E1608C"/>
    <w:rsid w:val="00E304C8"/>
    <w:rsid w:val="00E44304"/>
    <w:rsid w:val="00E5409A"/>
    <w:rsid w:val="00E65D41"/>
    <w:rsid w:val="00E76617"/>
    <w:rsid w:val="00E95716"/>
    <w:rsid w:val="00E95FFB"/>
    <w:rsid w:val="00EA1BB7"/>
    <w:rsid w:val="00EA41D5"/>
    <w:rsid w:val="00EA6C04"/>
    <w:rsid w:val="00EC0F1A"/>
    <w:rsid w:val="00ED0A79"/>
    <w:rsid w:val="00EE4DB6"/>
    <w:rsid w:val="00F056F0"/>
    <w:rsid w:val="00F101DD"/>
    <w:rsid w:val="00F218C6"/>
    <w:rsid w:val="00F25499"/>
    <w:rsid w:val="00F26C45"/>
    <w:rsid w:val="00F43116"/>
    <w:rsid w:val="00F462F8"/>
    <w:rsid w:val="00F517DD"/>
    <w:rsid w:val="00F57873"/>
    <w:rsid w:val="00F777C7"/>
    <w:rsid w:val="00F86C35"/>
    <w:rsid w:val="00F964F7"/>
    <w:rsid w:val="00F97482"/>
    <w:rsid w:val="00FB5689"/>
    <w:rsid w:val="00FB569C"/>
    <w:rsid w:val="00FC16BF"/>
    <w:rsid w:val="00FC2813"/>
    <w:rsid w:val="00FC6F66"/>
    <w:rsid w:val="00FE6D47"/>
    <w:rsid w:val="00FF12E5"/>
    <w:rsid w:val="00FF75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AC63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 w:type="paragraph" w:customStyle="1" w:styleId="paragraph">
    <w:name w:val="paragraph"/>
    <w:basedOn w:val="Normal"/>
    <w:rsid w:val="00D72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220E"/>
  </w:style>
  <w:style w:type="paragraph" w:styleId="FootnoteText">
    <w:name w:val="footnote text"/>
    <w:basedOn w:val="Normal"/>
    <w:link w:val="FootnoteTextChar"/>
    <w:uiPriority w:val="99"/>
    <w:semiHidden/>
    <w:unhideWhenUsed/>
    <w:rsid w:val="00D722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20E"/>
    <w:rPr>
      <w:sz w:val="20"/>
      <w:szCs w:val="20"/>
    </w:rPr>
  </w:style>
  <w:style w:type="character" w:styleId="FootnoteReference">
    <w:name w:val="footnote reference"/>
    <w:basedOn w:val="DefaultParagraphFont"/>
    <w:uiPriority w:val="99"/>
    <w:semiHidden/>
    <w:unhideWhenUsed/>
    <w:rsid w:val="00D7220E"/>
    <w:rPr>
      <w:vertAlign w:val="superscript"/>
    </w:rPr>
  </w:style>
  <w:style w:type="character" w:customStyle="1" w:styleId="eop">
    <w:name w:val="eop"/>
    <w:basedOn w:val="DefaultParagraphFont"/>
    <w:rsid w:val="00B2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1/07/28/2021-16054/privacy-act-of-1974-system-of-records" TargetMode="External" /><Relationship Id="rId7" Type="http://schemas.openxmlformats.org/officeDocument/2006/relationships/hyperlink" Target="https://www.dhra.mil/Portals/52/Documents/Privacy/PIA/OPA%20-%20Survey%20Database.pdf" TargetMode="External" /><Relationship Id="rId8" Type="http://schemas.openxmlformats.org/officeDocument/2006/relationships/hyperlink" Target="https://www.google.com/url?q=https%3A%2F%2Fcomptroller.war.gov%2FFinancial-Management%2FReports%2F"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a.mil/research-analysis/health-well-being/gender-relations/2014-survivor-experience-survey-overview-report/" TargetMode="External" /><Relationship Id="rId2" Type="http://schemas.openxmlformats.org/officeDocument/2006/relationships/hyperlink" Target="https://www.opa.mil/research-analysis/health-well-being/gender-relations/2015-military-investigation-and-justice-experience-survey-overview-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4C3F-C4C0-44D7-B145-9C61879C18CB}">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87</TotalTime>
  <Pages>11</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29</cp:revision>
  <cp:lastPrinted>2016-09-20T19:55:00Z</cp:lastPrinted>
  <dcterms:created xsi:type="dcterms:W3CDTF">2026-02-26T19:23:00Z</dcterms:created>
  <dcterms:modified xsi:type="dcterms:W3CDTF">2026-04-15T13:11:00Z</dcterms:modified>
</cp:coreProperties>
</file>