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465A" w:rsidP="00357C8A" w14:paraId="11E43A7A" w14:textId="77777777">
      <w:pPr>
        <w:jc w:val="center"/>
      </w:pPr>
    </w:p>
    <w:p w:rsidR="006A465A" w:rsidP="006A465A" w14:paraId="7BA42505" w14:textId="77777777">
      <w:pPr>
        <w:ind w:left="720"/>
        <w:rPr>
          <w:sz w:val="48"/>
          <w:szCs w:val="48"/>
        </w:rPr>
      </w:pPr>
    </w:p>
    <w:p w:rsidR="00357C8A" w:rsidP="00357C8A" w14:paraId="22442DDC" w14:textId="561DB010">
      <w:pPr>
        <w:jc w:val="center"/>
        <w:rPr>
          <w:rFonts w:eastAsia="Calibri"/>
        </w:rPr>
      </w:pPr>
      <w:r w:rsidRPr="00357C8A">
        <w:rPr>
          <w:rFonts w:eastAsia="Calibri"/>
        </w:rPr>
        <w:t>United States Food and Drug Administration</w:t>
      </w:r>
    </w:p>
    <w:p w:rsidR="00357C8A" w:rsidP="00357C8A" w14:paraId="2CA01CD3" w14:textId="77777777">
      <w:pPr>
        <w:jc w:val="center"/>
        <w:rPr>
          <w:rFonts w:eastAsia="Calibri"/>
        </w:rPr>
      </w:pPr>
    </w:p>
    <w:p w:rsidR="00357C8A" w:rsidP="00357C8A" w14:paraId="157EA492" w14:textId="100F659C">
      <w:pPr>
        <w:jc w:val="center"/>
        <w:rPr>
          <w:rFonts w:eastAsia="Calibri"/>
        </w:rPr>
      </w:pPr>
      <w:r>
        <w:rPr>
          <w:rFonts w:eastAsia="Calibri"/>
        </w:rPr>
        <w:t>Emerging Drug Safety T</w:t>
      </w:r>
      <w:r w:rsidR="00C9479D">
        <w:rPr>
          <w:rFonts w:eastAsia="Calibri"/>
        </w:rPr>
        <w:t>e</w:t>
      </w:r>
      <w:r>
        <w:rPr>
          <w:rFonts w:eastAsia="Calibri"/>
        </w:rPr>
        <w:t>chnology Program</w:t>
      </w:r>
    </w:p>
    <w:p w:rsidR="00357C8A" w:rsidP="00357C8A" w14:paraId="367C2751" w14:textId="77777777">
      <w:pPr>
        <w:jc w:val="center"/>
        <w:rPr>
          <w:rFonts w:eastAsia="Calibri"/>
        </w:rPr>
      </w:pPr>
    </w:p>
    <w:p w:rsidR="00357C8A" w:rsidP="00357C8A" w14:paraId="53FD23B1" w14:textId="7C13E268">
      <w:pPr>
        <w:jc w:val="center"/>
        <w:rPr>
          <w:rFonts w:eastAsia="Calibri"/>
        </w:rPr>
      </w:pPr>
      <w:r w:rsidRPr="00357C8A">
        <w:rPr>
          <w:rFonts w:eastAsia="Calibri"/>
        </w:rPr>
        <w:t>OMB Control No. 0910-</w:t>
      </w:r>
      <w:r w:rsidR="00890502">
        <w:rPr>
          <w:rFonts w:eastAsia="Calibri"/>
        </w:rPr>
        <w:t>NEW</w:t>
      </w:r>
      <w:r w:rsidR="00727CDF">
        <w:rPr>
          <w:rFonts w:eastAsia="Calibri"/>
        </w:rPr>
        <w:t xml:space="preserve"> </w:t>
      </w:r>
    </w:p>
    <w:p w:rsidR="00357C8A" w:rsidP="00357C8A" w14:paraId="314F3244" w14:textId="77777777">
      <w:pPr>
        <w:jc w:val="center"/>
        <w:rPr>
          <w:rFonts w:eastAsia="Calibri"/>
        </w:rPr>
      </w:pPr>
    </w:p>
    <w:p w:rsidR="00357C8A" w:rsidP="00357C8A" w14:paraId="464822EF" w14:textId="77777777">
      <w:pPr>
        <w:jc w:val="center"/>
        <w:rPr>
          <w:rFonts w:eastAsia="Calibri"/>
        </w:rPr>
      </w:pPr>
      <w:r w:rsidRPr="00357C8A">
        <w:rPr>
          <w:rFonts w:eastAsia="Calibri"/>
        </w:rPr>
        <w:t>SUPPORTING STATEMENT</w:t>
      </w:r>
    </w:p>
    <w:p w:rsidR="009B4DF2" w:rsidP="00357C8A" w14:paraId="5871088F" w14:textId="77777777">
      <w:pPr>
        <w:jc w:val="center"/>
        <w:rPr>
          <w:rFonts w:eastAsia="Calibri"/>
        </w:rPr>
      </w:pPr>
    </w:p>
    <w:p w:rsidR="00C71649" w:rsidP="009B4DF2" w14:paraId="6A263AAA" w14:textId="77777777"/>
    <w:p w:rsidR="00357C8A" w:rsidP="00212B0B" w14:paraId="57A56D77" w14:textId="645BE974">
      <w:pPr>
        <w:tabs>
          <w:tab w:val="left" w:pos="6348"/>
        </w:tabs>
        <w:rPr>
          <w:rFonts w:eastAsia="Calibri"/>
        </w:rPr>
      </w:pPr>
      <w:r w:rsidRPr="00357C8A">
        <w:rPr>
          <w:rFonts w:eastAsia="Calibri"/>
          <w:b/>
        </w:rPr>
        <w:t>Part A:  Justification</w:t>
      </w:r>
      <w:r w:rsidRPr="00357C8A">
        <w:rPr>
          <w:rFonts w:eastAsia="Calibri"/>
        </w:rPr>
        <w:t>:</w:t>
      </w:r>
      <w:r w:rsidR="00212B0B">
        <w:rPr>
          <w:rFonts w:eastAsia="Calibri"/>
        </w:rPr>
        <w:tab/>
      </w:r>
    </w:p>
    <w:p w:rsidR="000D79CC" w:rsidRPr="00357C8A" w:rsidP="000D79CC" w14:paraId="006542AE" w14:textId="77777777">
      <w:pPr>
        <w:rPr>
          <w:rFonts w:eastAsia="Calibri"/>
        </w:rPr>
      </w:pPr>
    </w:p>
    <w:p w:rsidR="00357C8A" w:rsidRPr="003F5E1E" w:rsidP="006705EA" w14:paraId="47BBB586" w14:textId="77777777">
      <w:pPr>
        <w:numPr>
          <w:ilvl w:val="0"/>
          <w:numId w:val="6"/>
        </w:numPr>
        <w:spacing w:after="200" w:line="276" w:lineRule="auto"/>
        <w:rPr>
          <w:rFonts w:eastAsia="Calibri"/>
        </w:rPr>
      </w:pPr>
      <w:r w:rsidRPr="003F5E1E">
        <w:rPr>
          <w:rFonts w:eastAsia="Calibri"/>
          <w:u w:val="single"/>
        </w:rPr>
        <w:t>Circumstances Making the Collection of Information Necessary</w:t>
      </w:r>
    </w:p>
    <w:p w:rsidR="001B7F4C" w:rsidP="001B6E48" w14:paraId="00665FB6" w14:textId="17AF15FF">
      <w:pPr>
        <w:rPr>
          <w:rFonts w:eastAsia="Calibri"/>
        </w:rPr>
      </w:pPr>
      <w:r>
        <w:t xml:space="preserve">This information collection supports implementation of section 505 of the Federal Food, Drug, and Cosmetic Act (FFDCA) (21 U.S.C. 355) and section 351 of the Public Health Service Act (PHS Act) (42 U.S.C. 262).  </w:t>
      </w:r>
      <w:r w:rsidRPr="00B05672">
        <w:t>FDA has a longstanding commitment to ensure medicines marketed in the United States are safe through continued surveillance and research following approval.</w:t>
      </w:r>
      <w:r w:rsidRPr="66EC14E9">
        <w:t xml:space="preserve"> </w:t>
      </w:r>
      <w:r>
        <w:t xml:space="preserve"> In</w:t>
      </w:r>
      <w:r w:rsidRPr="66EC14E9">
        <w:t xml:space="preserve"> the postmarket setting, regulated industry</w:t>
      </w:r>
      <w:r>
        <w:t xml:space="preserve"> </w:t>
      </w:r>
      <w:r w:rsidRPr="002D0C90">
        <w:t>(per 21 CFR 314.80, 314.98, and 600.80</w:t>
      </w:r>
      <w:r w:rsidRPr="002D0C90" w:rsidR="005C27F1">
        <w:t xml:space="preserve">) </w:t>
      </w:r>
      <w:r w:rsidRPr="66EC14E9" w:rsidR="005C27F1">
        <w:t>is</w:t>
      </w:r>
      <w:r w:rsidRPr="66EC14E9">
        <w:t xml:space="preserve"> obligated to review all adverse drug experience information received or otherwise obtained and submit reports to FDA. </w:t>
      </w:r>
      <w:r>
        <w:t xml:space="preserve"> </w:t>
      </w:r>
      <w:r w:rsidRPr="66EC14E9">
        <w:t xml:space="preserve">Both industry and regulatory authorities face challenges with timely and efficient collection, processing, and evaluation </w:t>
      </w:r>
      <w:r>
        <w:t xml:space="preserve">of single and aggregate patient safety data compounded </w:t>
      </w:r>
      <w:r w:rsidR="00B8607D">
        <w:t xml:space="preserve">by </w:t>
      </w:r>
      <w:r w:rsidRPr="66EC14E9" w:rsidR="00B8607D">
        <w:t>ever</w:t>
      </w:r>
      <w:r w:rsidRPr="66EC14E9">
        <w:t>-increasing case volumes.</w:t>
      </w:r>
      <w:r>
        <w:t xml:space="preserve"> </w:t>
      </w:r>
      <w:r w:rsidR="00A1278C">
        <w:t xml:space="preserve"> </w:t>
      </w:r>
      <w:r w:rsidRPr="66EC14E9">
        <w:t xml:space="preserve">Advances in emerging technology have the potential to address some of these challenges by creating more efficiencies within a </w:t>
      </w:r>
      <w:r w:rsidR="00B8607D">
        <w:t>pharmacovigilance (</w:t>
      </w:r>
      <w:r w:rsidRPr="66EC14E9">
        <w:t>PV</w:t>
      </w:r>
      <w:r w:rsidR="00B8607D">
        <w:t>)</w:t>
      </w:r>
      <w:r>
        <w:t xml:space="preserve"> surveillance</w:t>
      </w:r>
      <w:r w:rsidRPr="66EC14E9">
        <w:t xml:space="preserve"> system.</w:t>
      </w:r>
      <w:r>
        <w:t xml:space="preserve"> </w:t>
      </w:r>
      <w:r w:rsidRPr="001B6E48" w:rsidR="001B6E48">
        <w:rPr>
          <w:rFonts w:eastAsia="Calibri"/>
        </w:rPr>
        <w:t xml:space="preserve">The pharmaceutical industry is expanding its use of </w:t>
      </w:r>
      <w:r w:rsidR="009E0EFB">
        <w:rPr>
          <w:rFonts w:eastAsia="Calibri"/>
        </w:rPr>
        <w:t>artificial intelligence (</w:t>
      </w:r>
      <w:r w:rsidRPr="001B6E48" w:rsidR="001B6E48">
        <w:rPr>
          <w:rFonts w:eastAsia="Calibri"/>
        </w:rPr>
        <w:t>AI</w:t>
      </w:r>
      <w:r w:rsidR="009E0EFB">
        <w:rPr>
          <w:rFonts w:eastAsia="Calibri"/>
        </w:rPr>
        <w:t>)</w:t>
      </w:r>
      <w:r w:rsidRPr="001B6E48" w:rsidR="001B6E48">
        <w:rPr>
          <w:rFonts w:eastAsia="Calibri"/>
        </w:rPr>
        <w:t xml:space="preserve"> and other emerging </w:t>
      </w:r>
      <w:r w:rsidRPr="001B6E48" w:rsidR="004E4D73">
        <w:rPr>
          <w:rFonts w:eastAsia="Calibri"/>
        </w:rPr>
        <w:t>technolog</w:t>
      </w:r>
      <w:r w:rsidR="004E4D73">
        <w:rPr>
          <w:rFonts w:eastAsia="Calibri"/>
        </w:rPr>
        <w:t>ies</w:t>
      </w:r>
      <w:r w:rsidRPr="001B6E48" w:rsidR="004E4D73">
        <w:rPr>
          <w:rFonts w:eastAsia="Calibri"/>
        </w:rPr>
        <w:t xml:space="preserve"> </w:t>
      </w:r>
      <w:r w:rsidRPr="001B6E48" w:rsidR="001B6E48">
        <w:rPr>
          <w:rFonts w:eastAsia="Calibri"/>
        </w:rPr>
        <w:t>across the drug product lifecycle</w:t>
      </w:r>
      <w:r>
        <w:rPr>
          <w:rFonts w:eastAsia="Calibri"/>
        </w:rPr>
        <w:t>, including PV</w:t>
      </w:r>
      <w:r w:rsidRPr="001B6E48" w:rsidR="001B6E48">
        <w:rPr>
          <w:rFonts w:eastAsia="Calibri"/>
        </w:rPr>
        <w:t xml:space="preserve">. </w:t>
      </w:r>
      <w:r w:rsidR="006A37E5">
        <w:rPr>
          <w:rFonts w:eastAsia="Calibri"/>
        </w:rPr>
        <w:t xml:space="preserve"> </w:t>
      </w:r>
    </w:p>
    <w:p w:rsidR="001B7F4C" w:rsidP="001B6E48" w14:paraId="0888486E" w14:textId="77777777">
      <w:pPr>
        <w:rPr>
          <w:rFonts w:eastAsia="Calibri"/>
        </w:rPr>
      </w:pPr>
    </w:p>
    <w:p w:rsidR="001B6E48" w:rsidP="001B6E48" w14:paraId="5170C7BF" w14:textId="7EF16999">
      <w:pPr>
        <w:rPr>
          <w:rFonts w:eastAsia="Calibri"/>
        </w:rPr>
      </w:pPr>
      <w:r w:rsidRPr="001B6E48">
        <w:rPr>
          <w:rFonts w:eastAsia="Calibri"/>
        </w:rPr>
        <w:t xml:space="preserve">FDA is interested in accelerating its understanding of </w:t>
      </w:r>
      <w:r w:rsidR="00086E72">
        <w:rPr>
          <w:rFonts w:eastAsia="Calibri"/>
        </w:rPr>
        <w:t>how AI</w:t>
      </w:r>
      <w:r w:rsidR="00861611">
        <w:rPr>
          <w:rFonts w:eastAsia="Calibri"/>
        </w:rPr>
        <w:t>-</w:t>
      </w:r>
      <w:r w:rsidR="00086E72">
        <w:rPr>
          <w:rFonts w:eastAsia="Calibri"/>
        </w:rPr>
        <w:t>enabled tools and other emergin</w:t>
      </w:r>
      <w:r w:rsidR="004804C8">
        <w:rPr>
          <w:rFonts w:eastAsia="Calibri"/>
        </w:rPr>
        <w:t>g</w:t>
      </w:r>
      <w:r w:rsidR="00086E72">
        <w:rPr>
          <w:rFonts w:eastAsia="Calibri"/>
        </w:rPr>
        <w:t xml:space="preserve"> technologies are being used for PV, their associated risks and benefits, model evaluation processes (including performance characteristics), and barriers to implementation.</w:t>
      </w:r>
      <w:r w:rsidRPr="001B6E48">
        <w:rPr>
          <w:rFonts w:eastAsia="Calibri"/>
        </w:rPr>
        <w:t xml:space="preserve"> </w:t>
      </w:r>
      <w:r w:rsidR="006A37E5">
        <w:rPr>
          <w:rFonts w:eastAsia="Calibri"/>
        </w:rPr>
        <w:t xml:space="preserve"> </w:t>
      </w:r>
      <w:r w:rsidRPr="001B6E48">
        <w:rPr>
          <w:rFonts w:eastAsia="Calibri"/>
        </w:rPr>
        <w:t xml:space="preserve">The </w:t>
      </w:r>
      <w:r w:rsidR="00AA57FC">
        <w:rPr>
          <w:rFonts w:eastAsia="Calibri"/>
        </w:rPr>
        <w:t xml:space="preserve">Emerging Drug Safety Technology </w:t>
      </w:r>
      <w:r w:rsidR="00876FB0">
        <w:rPr>
          <w:rFonts w:eastAsia="Calibri"/>
        </w:rPr>
        <w:t>P</w:t>
      </w:r>
      <w:r w:rsidR="00FC560C">
        <w:rPr>
          <w:rFonts w:eastAsia="Calibri"/>
        </w:rPr>
        <w:t>rogram</w:t>
      </w:r>
      <w:r w:rsidRPr="14C2645B" w:rsidR="00FC560C">
        <w:rPr>
          <w:rFonts w:eastAsia="Calibri"/>
        </w:rPr>
        <w:t xml:space="preserve"> </w:t>
      </w:r>
      <w:r w:rsidRPr="14C2645B" w:rsidR="43DFF954">
        <w:rPr>
          <w:rFonts w:eastAsia="Calibri"/>
        </w:rPr>
        <w:t>(EDSTP)</w:t>
      </w:r>
      <w:r w:rsidRPr="14C2645B" w:rsidR="00FC560C">
        <w:rPr>
          <w:rFonts w:eastAsia="Calibri"/>
          <w:b/>
          <w:bCs/>
        </w:rPr>
        <w:t xml:space="preserve"> </w:t>
      </w:r>
      <w:r w:rsidRPr="001B6E48">
        <w:rPr>
          <w:rFonts w:eastAsia="Calibri"/>
        </w:rPr>
        <w:t>is a means by which applicants and</w:t>
      </w:r>
      <w:r w:rsidR="00D85E1F">
        <w:rPr>
          <w:rFonts w:eastAsia="Calibri"/>
        </w:rPr>
        <w:t>/or</w:t>
      </w:r>
      <w:r w:rsidRPr="001B6E48">
        <w:rPr>
          <w:rFonts w:eastAsia="Calibri"/>
        </w:rPr>
        <w:t xml:space="preserve"> other relevant parties who meet the eligibility and selection criteria for participation can meet with </w:t>
      </w:r>
      <w:r w:rsidR="002C084B">
        <w:rPr>
          <w:rFonts w:eastAsia="Calibri"/>
        </w:rPr>
        <w:t xml:space="preserve">the </w:t>
      </w:r>
      <w:r w:rsidRPr="001B6E48">
        <w:rPr>
          <w:rFonts w:eastAsia="Calibri"/>
        </w:rPr>
        <w:t>C</w:t>
      </w:r>
      <w:r w:rsidR="002C084B">
        <w:rPr>
          <w:rFonts w:eastAsia="Calibri"/>
        </w:rPr>
        <w:t>enter for Drug Evaluation and Research (C</w:t>
      </w:r>
      <w:r w:rsidRPr="001B6E48">
        <w:rPr>
          <w:rFonts w:eastAsia="Calibri"/>
        </w:rPr>
        <w:t>DER</w:t>
      </w:r>
      <w:r w:rsidR="002C084B">
        <w:rPr>
          <w:rFonts w:eastAsia="Calibri"/>
        </w:rPr>
        <w:t>)</w:t>
      </w:r>
      <w:r w:rsidR="0058598A">
        <w:rPr>
          <w:rFonts w:eastAsia="Calibri"/>
        </w:rPr>
        <w:t>,</w:t>
      </w:r>
      <w:r w:rsidRPr="14C2645B" w:rsidR="00413C4F">
        <w:rPr>
          <w:rFonts w:eastAsia="Calibri"/>
        </w:rPr>
        <w:t xml:space="preserve"> through Emerging Drug Safety Technology Meetings (EDSTMs</w:t>
      </w:r>
      <w:r w:rsidR="00413C4F">
        <w:rPr>
          <w:rFonts w:eastAsia="Calibri"/>
        </w:rPr>
        <w:t>)</w:t>
      </w:r>
      <w:r w:rsidR="0058598A">
        <w:rPr>
          <w:rFonts w:eastAsia="Calibri"/>
        </w:rPr>
        <w:t>,</w:t>
      </w:r>
      <w:r w:rsidRPr="001B6E48">
        <w:rPr>
          <w:rFonts w:eastAsia="Calibri"/>
        </w:rPr>
        <w:t xml:space="preserve"> to share information about their use of AI and other emerging technolog</w:t>
      </w:r>
      <w:r w:rsidR="00F80968">
        <w:rPr>
          <w:rFonts w:eastAsia="Calibri"/>
        </w:rPr>
        <w:t>ies</w:t>
      </w:r>
      <w:r w:rsidRPr="001B6E48">
        <w:rPr>
          <w:rFonts w:eastAsia="Calibri"/>
        </w:rPr>
        <w:t xml:space="preserve">, and </w:t>
      </w:r>
      <w:r w:rsidR="00086E72">
        <w:rPr>
          <w:rFonts w:eastAsia="Calibri"/>
        </w:rPr>
        <w:t>their</w:t>
      </w:r>
      <w:r w:rsidRPr="001B6E48" w:rsidR="00086E72">
        <w:rPr>
          <w:rFonts w:eastAsia="Calibri"/>
        </w:rPr>
        <w:t xml:space="preserve"> </w:t>
      </w:r>
      <w:r w:rsidRPr="001B6E48">
        <w:rPr>
          <w:rFonts w:eastAsia="Calibri"/>
        </w:rPr>
        <w:t>potential application</w:t>
      </w:r>
      <w:r w:rsidR="000906A1">
        <w:rPr>
          <w:rFonts w:eastAsia="Calibri"/>
        </w:rPr>
        <w:t>s</w:t>
      </w:r>
      <w:r w:rsidRPr="001B6E48">
        <w:rPr>
          <w:rFonts w:eastAsia="Calibri"/>
        </w:rPr>
        <w:t xml:space="preserve"> in </w:t>
      </w:r>
      <w:r w:rsidR="00245761">
        <w:rPr>
          <w:rFonts w:eastAsia="Calibri"/>
        </w:rPr>
        <w:t xml:space="preserve">post-market </w:t>
      </w:r>
      <w:r w:rsidR="00C47B52">
        <w:rPr>
          <w:rFonts w:eastAsia="Calibri"/>
        </w:rPr>
        <w:t>PV</w:t>
      </w:r>
      <w:r w:rsidR="00413C4F">
        <w:rPr>
          <w:rFonts w:eastAsia="Calibri"/>
        </w:rPr>
        <w:t>.</w:t>
      </w:r>
    </w:p>
    <w:p w:rsidR="00A515CE" w:rsidP="001B6E48" w14:paraId="0331C357" w14:textId="77777777">
      <w:pPr>
        <w:rPr>
          <w:rFonts w:eastAsia="Calibri"/>
        </w:rPr>
      </w:pPr>
    </w:p>
    <w:p w:rsidR="00A60584" w:rsidRPr="00A60584" w:rsidP="00A60584" w14:paraId="4CB7114C" w14:textId="5E1150E8">
      <w:pPr>
        <w:rPr>
          <w:rFonts w:eastAsia="Calibri"/>
        </w:rPr>
      </w:pPr>
      <w:r w:rsidRPr="00A60584">
        <w:rPr>
          <w:rFonts w:eastAsia="Calibri"/>
        </w:rPr>
        <w:t xml:space="preserve">The initial phase of the EDSTP was announced in the </w:t>
      </w:r>
      <w:r w:rsidRPr="00A60584">
        <w:rPr>
          <w:rFonts w:eastAsia="Calibri"/>
          <w:i/>
          <w:iCs/>
        </w:rPr>
        <w:t>Federal Register</w:t>
      </w:r>
      <w:r w:rsidRPr="00A60584">
        <w:rPr>
          <w:rFonts w:eastAsia="Calibri"/>
        </w:rPr>
        <w:t xml:space="preserve"> on June 11, 2024 (89 FR 49179). Since then, CDER has received numerous meeting requests and inquiries from the pharmaceutical industry and other relevant parties, seeking to discuss their latest applications of emerging technologies in PV. The requests represent a diverse set of use cases that are of interest to the Agency. </w:t>
      </w:r>
      <w:r w:rsidR="00A1278C">
        <w:rPr>
          <w:rFonts w:eastAsia="Calibri"/>
        </w:rPr>
        <w:t xml:space="preserve"> </w:t>
      </w:r>
      <w:r w:rsidRPr="00A60584">
        <w:rPr>
          <w:rFonts w:eastAsia="Calibri"/>
        </w:rPr>
        <w:t xml:space="preserve">Given the current level of interest in the program expressed by respondents, FDA anticipates an increase in the number of meetings granted to expand the Agency’s understanding of how AI-enabled tools and other emerging technologies are being used in PV. </w:t>
      </w:r>
    </w:p>
    <w:p w:rsidR="00A515CE" w:rsidP="001B6E48" w14:paraId="151D6D0D" w14:textId="77777777">
      <w:pPr>
        <w:rPr>
          <w:rFonts w:eastAsia="Calibri"/>
        </w:rPr>
      </w:pPr>
    </w:p>
    <w:p w:rsidR="006B666C" w:rsidP="00423272" w14:paraId="72B58841" w14:textId="62B2D353">
      <w:r w:rsidRPr="001B6E48">
        <w:rPr>
          <w:rFonts w:eastAsia="Calibri"/>
        </w:rPr>
        <w:t xml:space="preserve">The </w:t>
      </w:r>
      <w:r w:rsidRPr="14C2645B" w:rsidR="769970E4">
        <w:rPr>
          <w:rFonts w:eastAsia="Calibri"/>
        </w:rPr>
        <w:t xml:space="preserve">purpose </w:t>
      </w:r>
      <w:r w:rsidRPr="001B6E48">
        <w:rPr>
          <w:rFonts w:eastAsia="Calibri"/>
        </w:rPr>
        <w:t xml:space="preserve">of the </w:t>
      </w:r>
      <w:r w:rsidRPr="14C2645B">
        <w:rPr>
          <w:rFonts w:eastAsia="Calibri"/>
        </w:rPr>
        <w:t>EDST</w:t>
      </w:r>
      <w:r w:rsidR="00DC131A">
        <w:rPr>
          <w:rFonts w:eastAsia="Calibri"/>
        </w:rPr>
        <w:t>M</w:t>
      </w:r>
      <w:r w:rsidR="008B5B0C">
        <w:rPr>
          <w:rFonts w:eastAsia="Calibri"/>
        </w:rPr>
        <w:t>s</w:t>
      </w:r>
      <w:r w:rsidRPr="001B6E48">
        <w:rPr>
          <w:rFonts w:eastAsia="Calibri"/>
        </w:rPr>
        <w:t xml:space="preserve"> is to facilitate </w:t>
      </w:r>
      <w:r w:rsidR="009075C1">
        <w:rPr>
          <w:rFonts w:eastAsia="Calibri"/>
        </w:rPr>
        <w:t xml:space="preserve">discussion and </w:t>
      </w:r>
      <w:r w:rsidRPr="001B6E48">
        <w:rPr>
          <w:rFonts w:eastAsia="Calibri"/>
        </w:rPr>
        <w:t xml:space="preserve">mutual learning </w:t>
      </w:r>
      <w:r w:rsidR="009075C1">
        <w:rPr>
          <w:rFonts w:eastAsia="Calibri"/>
        </w:rPr>
        <w:t>of the pharmaceutical industry’s application of these</w:t>
      </w:r>
      <w:r w:rsidRPr="001B6E48" w:rsidR="00232B76">
        <w:rPr>
          <w:rFonts w:eastAsia="Calibri"/>
        </w:rPr>
        <w:t xml:space="preserve"> </w:t>
      </w:r>
      <w:r w:rsidRPr="001B6E48">
        <w:rPr>
          <w:rFonts w:eastAsia="Calibri"/>
        </w:rPr>
        <w:t xml:space="preserve">technologies </w:t>
      </w:r>
      <w:r w:rsidR="00472531">
        <w:rPr>
          <w:rFonts w:eastAsia="Calibri"/>
        </w:rPr>
        <w:t>in</w:t>
      </w:r>
      <w:r w:rsidRPr="001B6E48" w:rsidR="007D0DEF">
        <w:rPr>
          <w:rFonts w:eastAsia="Calibri"/>
        </w:rPr>
        <w:t xml:space="preserve"> </w:t>
      </w:r>
      <w:r w:rsidRPr="001B6E48">
        <w:rPr>
          <w:rFonts w:eastAsia="Calibri"/>
        </w:rPr>
        <w:t>PV.</w:t>
      </w:r>
      <w:r w:rsidR="006A37E5">
        <w:rPr>
          <w:rFonts w:eastAsia="Calibri"/>
        </w:rPr>
        <w:t xml:space="preserve"> </w:t>
      </w:r>
      <w:r w:rsidR="00A1278C">
        <w:rPr>
          <w:rFonts w:eastAsia="Calibri"/>
        </w:rPr>
        <w:t xml:space="preserve"> </w:t>
      </w:r>
      <w:r w:rsidRPr="00027AC4">
        <w:t xml:space="preserve">EDSTMs </w:t>
      </w:r>
      <w:r w:rsidR="00CE7A26">
        <w:t>can</w:t>
      </w:r>
      <w:r w:rsidRPr="00027AC4" w:rsidR="00CE7A26">
        <w:t xml:space="preserve"> </w:t>
      </w:r>
      <w:r w:rsidRPr="00027AC4">
        <w:t>be requested by applicants with at least one approved application regulated by CDER</w:t>
      </w:r>
      <w:r w:rsidR="00A152EF">
        <w:t xml:space="preserve"> </w:t>
      </w:r>
      <w:r w:rsidRPr="00027AC4">
        <w:t xml:space="preserve">and/or other </w:t>
      </w:r>
      <w:r w:rsidRPr="34644F9C">
        <w:t xml:space="preserve">relevant parties </w:t>
      </w:r>
      <w:r w:rsidRPr="00027AC4">
        <w:t xml:space="preserve">supporting industry’s PV activities (e.g., academia, </w:t>
      </w:r>
      <w:r w:rsidR="00281D09">
        <w:t>contract research organizations (</w:t>
      </w:r>
      <w:r w:rsidRPr="00027AC4">
        <w:t>CROs</w:t>
      </w:r>
      <w:r w:rsidR="00281D09">
        <w:t xml:space="preserve">), </w:t>
      </w:r>
      <w:r w:rsidRPr="34644F9C">
        <w:t xml:space="preserve">PV </w:t>
      </w:r>
      <w:r w:rsidRPr="00027AC4">
        <w:t xml:space="preserve">vendors, </w:t>
      </w:r>
      <w:r w:rsidRPr="00027AC4">
        <w:t xml:space="preserve">software developers) who develop, leverage, or intend to leverage </w:t>
      </w:r>
      <w:r>
        <w:t>AI or</w:t>
      </w:r>
      <w:r w:rsidRPr="00027AC4">
        <w:t xml:space="preserve"> </w:t>
      </w:r>
      <w:r>
        <w:t xml:space="preserve">other </w:t>
      </w:r>
      <w:r w:rsidRPr="00027AC4">
        <w:t>emerging technolog</w:t>
      </w:r>
      <w:r w:rsidR="00E62445">
        <w:t>ies</w:t>
      </w:r>
      <w:r w:rsidRPr="00027AC4">
        <w:t xml:space="preserve"> </w:t>
      </w:r>
      <w:r>
        <w:t>that can be used</w:t>
      </w:r>
      <w:r w:rsidRPr="00027AC4">
        <w:t xml:space="preserve"> to satisfy the </w:t>
      </w:r>
      <w:r>
        <w:t>postmarket</w:t>
      </w:r>
      <w:r w:rsidR="00EE04B9">
        <w:t>ing</w:t>
      </w:r>
      <w:r>
        <w:t xml:space="preserve"> reporting </w:t>
      </w:r>
      <w:r w:rsidRPr="00027AC4">
        <w:t xml:space="preserve">requirements </w:t>
      </w:r>
      <w:r>
        <w:t>in</w:t>
      </w:r>
      <w:r w:rsidRPr="00027AC4">
        <w:t xml:space="preserve"> 21 CFR 314.80</w:t>
      </w:r>
      <w:r w:rsidRPr="34644F9C">
        <w:t>, 314.98,</w:t>
      </w:r>
      <w:r w:rsidRPr="00027AC4">
        <w:t xml:space="preserve"> and 600.80.</w:t>
      </w:r>
      <w:r w:rsidR="00A1278C">
        <w:t xml:space="preserve"> </w:t>
      </w:r>
      <w:r w:rsidRPr="00027AC4">
        <w:t xml:space="preserve"> </w:t>
      </w:r>
      <w:r w:rsidRPr="001B6E48" w:rsidR="00225EA7">
        <w:rPr>
          <w:rFonts w:eastAsia="Calibri"/>
        </w:rPr>
        <w:t xml:space="preserve">If selected for a meeting, </w:t>
      </w:r>
      <w:r w:rsidR="00225EA7">
        <w:rPr>
          <w:rFonts w:eastAsia="Calibri"/>
        </w:rPr>
        <w:t xml:space="preserve">participants </w:t>
      </w:r>
      <w:r w:rsidRPr="001B6E48" w:rsidR="00225EA7">
        <w:rPr>
          <w:rFonts w:eastAsia="Calibri"/>
        </w:rPr>
        <w:t>will meet with CDER staff to discuss their research, development, and/or use of AI and other emerging technologies in PV. FDA plans to leverage these learnings to help inform potential regulatory and policy approaches</w:t>
      </w:r>
      <w:r w:rsidR="00225EA7">
        <w:rPr>
          <w:rFonts w:eastAsia="Calibri"/>
        </w:rPr>
        <w:t xml:space="preserve"> around the</w:t>
      </w:r>
      <w:r w:rsidRPr="001B6E48" w:rsidR="00225EA7">
        <w:rPr>
          <w:rFonts w:eastAsia="Calibri"/>
        </w:rPr>
        <w:t xml:space="preserve"> use of </w:t>
      </w:r>
      <w:r w:rsidR="00225EA7">
        <w:rPr>
          <w:rFonts w:eastAsia="Calibri"/>
        </w:rPr>
        <w:t>AI and other</w:t>
      </w:r>
      <w:r w:rsidRPr="001B6E48" w:rsidR="00225EA7">
        <w:rPr>
          <w:rFonts w:eastAsia="Calibri"/>
        </w:rPr>
        <w:t xml:space="preserve"> emerging technolog</w:t>
      </w:r>
      <w:r w:rsidR="00225EA7">
        <w:rPr>
          <w:rFonts w:eastAsia="Calibri"/>
        </w:rPr>
        <w:t>ies</w:t>
      </w:r>
      <w:r w:rsidRPr="001B6E48" w:rsidR="00225EA7">
        <w:rPr>
          <w:rFonts w:eastAsia="Calibri"/>
        </w:rPr>
        <w:t xml:space="preserve"> in PV.</w:t>
      </w:r>
    </w:p>
    <w:p w:rsidR="00890502" w:rsidP="00423272" w14:paraId="02EB4489" w14:textId="77777777"/>
    <w:p w:rsidR="00357C8A" w:rsidRPr="00B16AE5" w:rsidP="006705EA" w14:paraId="6AB58944" w14:textId="77777777">
      <w:pPr>
        <w:numPr>
          <w:ilvl w:val="0"/>
          <w:numId w:val="6"/>
        </w:numPr>
        <w:spacing w:after="200" w:line="276" w:lineRule="auto"/>
        <w:rPr>
          <w:rFonts w:eastAsia="Calibri"/>
          <w:u w:val="single"/>
        </w:rPr>
      </w:pPr>
      <w:r w:rsidRPr="00B16AE5">
        <w:rPr>
          <w:rFonts w:eastAsia="Calibri"/>
          <w:u w:val="single"/>
        </w:rPr>
        <w:t xml:space="preserve">Purpose and Use of the Information Collection </w:t>
      </w:r>
    </w:p>
    <w:p w:rsidR="000A73E5" w:rsidP="00E97C8C" w14:paraId="57932F74" w14:textId="4FCD899C">
      <w:pPr>
        <w:rPr>
          <w:color w:val="000000"/>
        </w:rPr>
      </w:pPr>
      <w:r w:rsidRPr="0F1C5B06">
        <w:rPr>
          <w:color w:val="000000" w:themeColor="text1"/>
        </w:rPr>
        <w:t xml:space="preserve">The </w:t>
      </w:r>
      <w:r w:rsidRPr="0F1C5B06" w:rsidR="002D559F">
        <w:rPr>
          <w:color w:val="000000" w:themeColor="text1"/>
        </w:rPr>
        <w:t>EDST</w:t>
      </w:r>
      <w:r w:rsidRPr="0F1C5B06" w:rsidR="31C77CEF">
        <w:rPr>
          <w:color w:val="000000" w:themeColor="text1"/>
        </w:rPr>
        <w:t>P</w:t>
      </w:r>
      <w:r w:rsidRPr="14C2645B" w:rsidR="002D559F">
        <w:rPr>
          <w:color w:val="000000" w:themeColor="text1"/>
        </w:rPr>
        <w:t xml:space="preserve"> will </w:t>
      </w:r>
      <w:r w:rsidRPr="14C2645B" w:rsidR="00213A99">
        <w:rPr>
          <w:color w:val="000000" w:themeColor="text1"/>
        </w:rPr>
        <w:t xml:space="preserve">collect </w:t>
      </w:r>
      <w:r w:rsidRPr="14C2645B" w:rsidR="007921D3">
        <w:rPr>
          <w:color w:val="000000" w:themeColor="text1"/>
        </w:rPr>
        <w:t xml:space="preserve">information for the following purposes: </w:t>
      </w:r>
      <w:r w:rsidR="00472531">
        <w:rPr>
          <w:color w:val="000000" w:themeColor="text1"/>
        </w:rPr>
        <w:t xml:space="preserve">(1) </w:t>
      </w:r>
      <w:r w:rsidRPr="14C2645B" w:rsidR="002D559F">
        <w:rPr>
          <w:color w:val="000000" w:themeColor="text1"/>
        </w:rPr>
        <w:t>s</w:t>
      </w:r>
      <w:r w:rsidRPr="14C2645B" w:rsidR="00E97C8C">
        <w:rPr>
          <w:color w:val="000000" w:themeColor="text1"/>
        </w:rPr>
        <w:t>erve as the central point of contact for dialogue between industry and CDER on</w:t>
      </w:r>
      <w:r w:rsidRPr="14C2645B" w:rsidR="002302A3">
        <w:rPr>
          <w:color w:val="000000" w:themeColor="text1"/>
        </w:rPr>
        <w:t xml:space="preserve"> the use of</w:t>
      </w:r>
      <w:r w:rsidRPr="14C2645B" w:rsidR="00E97C8C">
        <w:rPr>
          <w:color w:val="000000" w:themeColor="text1"/>
        </w:rPr>
        <w:t xml:space="preserve"> AI </w:t>
      </w:r>
      <w:r w:rsidRPr="14C2645B" w:rsidR="002302A3">
        <w:rPr>
          <w:color w:val="000000" w:themeColor="text1"/>
        </w:rPr>
        <w:t xml:space="preserve">and other emerging technologies </w:t>
      </w:r>
      <w:r w:rsidRPr="14C2645B" w:rsidR="00E97C8C">
        <w:rPr>
          <w:color w:val="000000" w:themeColor="text1"/>
        </w:rPr>
        <w:t>in PV</w:t>
      </w:r>
      <w:r w:rsidRPr="14C2645B" w:rsidR="007921D3">
        <w:rPr>
          <w:color w:val="000000" w:themeColor="text1"/>
        </w:rPr>
        <w:t>;</w:t>
      </w:r>
      <w:r w:rsidRPr="14C2645B" w:rsidR="002D559F">
        <w:rPr>
          <w:color w:val="000000" w:themeColor="text1"/>
        </w:rPr>
        <w:t xml:space="preserve"> </w:t>
      </w:r>
      <w:r w:rsidR="00472531">
        <w:rPr>
          <w:color w:val="000000" w:themeColor="text1"/>
        </w:rPr>
        <w:t xml:space="preserve">(2) </w:t>
      </w:r>
      <w:r w:rsidRPr="14C2645B" w:rsidR="002D559F">
        <w:rPr>
          <w:color w:val="000000" w:themeColor="text1"/>
        </w:rPr>
        <w:t>e</w:t>
      </w:r>
      <w:r w:rsidRPr="14C2645B" w:rsidR="00E97C8C">
        <w:rPr>
          <w:color w:val="000000" w:themeColor="text1"/>
        </w:rPr>
        <w:t>nable knowledge management and transfer within FDA specific to the context of</w:t>
      </w:r>
      <w:r w:rsidRPr="14C2645B" w:rsidR="00E237D3">
        <w:rPr>
          <w:color w:val="000000" w:themeColor="text1"/>
        </w:rPr>
        <w:t xml:space="preserve"> use for</w:t>
      </w:r>
      <w:r w:rsidRPr="14C2645B" w:rsidR="00E97C8C">
        <w:rPr>
          <w:color w:val="000000" w:themeColor="text1"/>
        </w:rPr>
        <w:t xml:space="preserve"> AI </w:t>
      </w:r>
      <w:r w:rsidRPr="14C2645B" w:rsidR="00983F7C">
        <w:rPr>
          <w:color w:val="000000" w:themeColor="text1"/>
        </w:rPr>
        <w:t xml:space="preserve">and other emerging technologies </w:t>
      </w:r>
      <w:r w:rsidRPr="14C2645B" w:rsidR="00E97C8C">
        <w:rPr>
          <w:color w:val="000000" w:themeColor="text1"/>
        </w:rPr>
        <w:t>in PV</w:t>
      </w:r>
      <w:r w:rsidRPr="14C2645B" w:rsidR="007921D3">
        <w:rPr>
          <w:color w:val="000000" w:themeColor="text1"/>
        </w:rPr>
        <w:t xml:space="preserve">; </w:t>
      </w:r>
      <w:r w:rsidRPr="14C2645B" w:rsidR="002D559F">
        <w:rPr>
          <w:color w:val="000000" w:themeColor="text1"/>
        </w:rPr>
        <w:t xml:space="preserve">and </w:t>
      </w:r>
      <w:r w:rsidR="00472531">
        <w:rPr>
          <w:color w:val="000000" w:themeColor="text1"/>
        </w:rPr>
        <w:t xml:space="preserve">(3) </w:t>
      </w:r>
      <w:r w:rsidRPr="14C2645B" w:rsidR="002D559F">
        <w:rPr>
          <w:color w:val="000000" w:themeColor="text1"/>
        </w:rPr>
        <w:t>f</w:t>
      </w:r>
      <w:r w:rsidRPr="14C2645B" w:rsidR="00E97C8C">
        <w:rPr>
          <w:color w:val="000000" w:themeColor="text1"/>
        </w:rPr>
        <w:t>urther thinking about policy and application of potential regulatory approaches within the landscape of AI</w:t>
      </w:r>
      <w:r w:rsidRPr="14C2645B" w:rsidR="00983F7C">
        <w:rPr>
          <w:color w:val="000000" w:themeColor="text1"/>
        </w:rPr>
        <w:t xml:space="preserve"> and other emerging technologies</w:t>
      </w:r>
      <w:r w:rsidRPr="14C2645B" w:rsidR="005200FC">
        <w:rPr>
          <w:color w:val="000000" w:themeColor="text1"/>
        </w:rPr>
        <w:t>.</w:t>
      </w:r>
    </w:p>
    <w:p w:rsidR="00FE08FA" w:rsidRPr="00266671" w:rsidP="00FE08FA" w14:paraId="1C2AD45E" w14:textId="77777777">
      <w:pPr>
        <w:rPr>
          <w:color w:val="000000"/>
        </w:rPr>
      </w:pPr>
    </w:p>
    <w:p w:rsidR="00357C8A" w:rsidRPr="00B16AE5" w:rsidP="006705EA" w14:paraId="56089572" w14:textId="77777777">
      <w:pPr>
        <w:numPr>
          <w:ilvl w:val="0"/>
          <w:numId w:val="6"/>
        </w:numPr>
        <w:spacing w:after="200" w:line="276" w:lineRule="auto"/>
        <w:rPr>
          <w:rFonts w:eastAsia="Calibri"/>
          <w:u w:val="single"/>
        </w:rPr>
      </w:pPr>
      <w:r w:rsidRPr="00B16AE5">
        <w:rPr>
          <w:rFonts w:eastAsia="Calibri"/>
          <w:u w:val="single"/>
        </w:rPr>
        <w:t>Use of Improved Information Technology and Burden Reduction</w:t>
      </w:r>
    </w:p>
    <w:p w:rsidR="00211EAA" w:rsidRPr="00266671" w:rsidP="0022425B" w14:paraId="03D98411" w14:textId="3B8099F1">
      <w:pPr>
        <w:spacing w:after="200"/>
        <w:rPr>
          <w:rFonts w:eastAsia="Calibri"/>
        </w:rPr>
      </w:pPr>
      <w:r>
        <w:rPr>
          <w:rFonts w:eastAsia="Calibri"/>
        </w:rPr>
        <w:t>S</w:t>
      </w:r>
      <w:r w:rsidR="00B312BF">
        <w:rPr>
          <w:rFonts w:eastAsia="Calibri"/>
        </w:rPr>
        <w:t xml:space="preserve">ponsors will access information concerning </w:t>
      </w:r>
      <w:r w:rsidR="0047753E">
        <w:rPr>
          <w:rFonts w:eastAsia="Calibri"/>
        </w:rPr>
        <w:t xml:space="preserve">the </w:t>
      </w:r>
      <w:r w:rsidRPr="14C2645B" w:rsidR="00B312BF">
        <w:rPr>
          <w:rFonts w:eastAsia="Calibri"/>
        </w:rPr>
        <w:t>EDST</w:t>
      </w:r>
      <w:r w:rsidRPr="14C2645B" w:rsidR="08C98D14">
        <w:rPr>
          <w:rFonts w:eastAsia="Calibri"/>
        </w:rPr>
        <w:t>P</w:t>
      </w:r>
      <w:r w:rsidR="00B312BF">
        <w:rPr>
          <w:rFonts w:eastAsia="Calibri"/>
        </w:rPr>
        <w:t xml:space="preserve"> through the official website</w:t>
      </w:r>
      <w:r w:rsidR="00406CA5">
        <w:rPr>
          <w:rFonts w:eastAsia="Calibri"/>
        </w:rPr>
        <w:t xml:space="preserve">, </w:t>
      </w:r>
      <w:hyperlink r:id="rId8">
        <w:r w:rsidRPr="14C2645B" w:rsidR="006A37E5">
          <w:rPr>
            <w:rStyle w:val="Hyperlink"/>
            <w:rFonts w:eastAsia="Calibri"/>
          </w:rPr>
          <w:t>www.fda.gov/drugs/science-and-research-drugs/cder-emerging-drug-safety-technology-program-edstp</w:t>
        </w:r>
      </w:hyperlink>
      <w:r w:rsidRPr="14C2645B" w:rsidR="00B312BF">
        <w:rPr>
          <w:rFonts w:eastAsia="Calibri"/>
        </w:rPr>
        <w:t>.</w:t>
      </w:r>
      <w:r w:rsidR="00B312BF">
        <w:rPr>
          <w:rFonts w:eastAsia="Calibri"/>
        </w:rPr>
        <w:t xml:space="preserve"> </w:t>
      </w:r>
      <w:r w:rsidR="006A37E5">
        <w:rPr>
          <w:rFonts w:eastAsia="Calibri"/>
        </w:rPr>
        <w:t xml:space="preserve"> </w:t>
      </w:r>
      <w:r w:rsidR="00B312BF">
        <w:rPr>
          <w:rFonts w:eastAsia="Calibri"/>
        </w:rPr>
        <w:t xml:space="preserve">Submissions will be </w:t>
      </w:r>
      <w:r w:rsidR="00F4746D">
        <w:rPr>
          <w:rFonts w:eastAsia="Calibri"/>
        </w:rPr>
        <w:t xml:space="preserve">made and communication with industry will be conducted through email. </w:t>
      </w:r>
      <w:r w:rsidR="006A37E5">
        <w:rPr>
          <w:rFonts w:eastAsia="Calibri"/>
        </w:rPr>
        <w:t xml:space="preserve"> </w:t>
      </w:r>
      <w:r w:rsidR="009B0703">
        <w:rPr>
          <w:rFonts w:eastAsia="Calibri"/>
        </w:rPr>
        <w:t xml:space="preserve">Collected information </w:t>
      </w:r>
      <w:r w:rsidR="00F4746D">
        <w:rPr>
          <w:rFonts w:eastAsia="Calibri"/>
        </w:rPr>
        <w:t xml:space="preserve">will be stored in </w:t>
      </w:r>
      <w:r w:rsidR="001B2566">
        <w:rPr>
          <w:rFonts w:eastAsia="Calibri"/>
        </w:rPr>
        <w:t xml:space="preserve">an internal FDA SharePoint </w:t>
      </w:r>
      <w:r w:rsidR="009B0703">
        <w:rPr>
          <w:rFonts w:eastAsia="Calibri"/>
        </w:rPr>
        <w:t>l</w:t>
      </w:r>
      <w:r w:rsidR="001B2566">
        <w:rPr>
          <w:rFonts w:eastAsia="Calibri"/>
        </w:rPr>
        <w:t xml:space="preserve">ibrary. </w:t>
      </w:r>
    </w:p>
    <w:p w:rsidR="00357C8A" w:rsidRPr="00266671" w:rsidP="006705EA" w14:paraId="572622FA" w14:textId="77777777">
      <w:pPr>
        <w:numPr>
          <w:ilvl w:val="0"/>
          <w:numId w:val="6"/>
        </w:numPr>
        <w:spacing w:after="200" w:line="276" w:lineRule="auto"/>
        <w:rPr>
          <w:rFonts w:eastAsia="Calibri"/>
        </w:rPr>
      </w:pPr>
      <w:r w:rsidRPr="00266671">
        <w:rPr>
          <w:rFonts w:eastAsia="Calibri"/>
          <w:u w:val="single"/>
        </w:rPr>
        <w:t xml:space="preserve">Efforts to Identify Duplication and Use of Similar Information </w:t>
      </w:r>
    </w:p>
    <w:p w:rsidR="007F6629" w:rsidRPr="00266671" w:rsidP="0053380B" w14:paraId="57335151" w14:textId="3C3888C2">
      <w:pPr>
        <w:spacing w:after="200"/>
      </w:pPr>
      <w:r>
        <w:rPr>
          <w:color w:val="000000"/>
        </w:rPr>
        <w:t>There is no</w:t>
      </w:r>
      <w:r w:rsidRPr="00266671">
        <w:rPr>
          <w:color w:val="000000"/>
        </w:rPr>
        <w:t xml:space="preserve"> duplicative information collection.</w:t>
      </w:r>
    </w:p>
    <w:p w:rsidR="00357C8A" w:rsidRPr="00266671" w:rsidP="006705EA" w14:paraId="2BA403BB" w14:textId="77777777">
      <w:pPr>
        <w:numPr>
          <w:ilvl w:val="0"/>
          <w:numId w:val="6"/>
        </w:numPr>
        <w:spacing w:after="200" w:line="276" w:lineRule="auto"/>
        <w:rPr>
          <w:rFonts w:eastAsia="Calibri"/>
        </w:rPr>
      </w:pPr>
      <w:r w:rsidRPr="00266671">
        <w:rPr>
          <w:rFonts w:eastAsia="Calibri"/>
          <w:u w:val="single"/>
        </w:rPr>
        <w:t>Impact on Small Businesses or Other Small Entities</w:t>
      </w:r>
    </w:p>
    <w:p w:rsidR="00B60109" w:rsidP="00B60109" w14:paraId="31EF50C7" w14:textId="6D51DD5B">
      <w:pPr>
        <w:rPr>
          <w:color w:val="000000"/>
        </w:rPr>
      </w:pPr>
      <w:r w:rsidRPr="00266671">
        <w:rPr>
          <w:color w:val="000000"/>
        </w:rPr>
        <w:t xml:space="preserve">The information collection poses no undue burden on small entities. </w:t>
      </w:r>
      <w:r w:rsidR="006A37E5">
        <w:rPr>
          <w:color w:val="000000"/>
        </w:rPr>
        <w:t xml:space="preserve"> </w:t>
      </w:r>
      <w:r w:rsidRPr="00266671">
        <w:rPr>
          <w:color w:val="000000"/>
        </w:rPr>
        <w:t>We assist small business</w:t>
      </w:r>
      <w:r w:rsidR="00B221B2">
        <w:rPr>
          <w:color w:val="000000"/>
        </w:rPr>
        <w:t>es</w:t>
      </w:r>
      <w:r w:rsidRPr="00266671">
        <w:rPr>
          <w:color w:val="000000"/>
        </w:rPr>
        <w:t xml:space="preserve"> through resources available on our website at </w:t>
      </w:r>
      <w:hyperlink r:id="rId9" w:history="1">
        <w:r w:rsidRPr="00050164" w:rsidR="007D7C22">
          <w:rPr>
            <w:rStyle w:val="Hyperlink"/>
          </w:rPr>
          <w:t>https://www.fda.gov/industry/small-business-assistance</w:t>
        </w:r>
      </w:hyperlink>
      <w:r w:rsidRPr="00266671">
        <w:rPr>
          <w:color w:val="000000"/>
        </w:rPr>
        <w:t xml:space="preserve">. </w:t>
      </w:r>
    </w:p>
    <w:p w:rsidR="0056308B" w:rsidRPr="00266671" w:rsidP="00B60109" w14:paraId="2F4429F3" w14:textId="77777777">
      <w:pPr>
        <w:rPr>
          <w:color w:val="000000"/>
        </w:rPr>
      </w:pPr>
    </w:p>
    <w:p w:rsidR="00357C8A" w:rsidRPr="00266671" w:rsidP="006705EA" w14:paraId="6FE84F0D" w14:textId="77777777">
      <w:pPr>
        <w:numPr>
          <w:ilvl w:val="0"/>
          <w:numId w:val="6"/>
        </w:numPr>
        <w:spacing w:after="200" w:line="276" w:lineRule="auto"/>
        <w:rPr>
          <w:rFonts w:eastAsia="Calibri"/>
          <w:u w:val="single"/>
        </w:rPr>
      </w:pPr>
      <w:r w:rsidRPr="00266671">
        <w:rPr>
          <w:rFonts w:eastAsia="Calibri"/>
          <w:u w:val="single"/>
        </w:rPr>
        <w:t>Consequences of Collecting the Information Less Frequently</w:t>
      </w:r>
    </w:p>
    <w:p w:rsidR="00357C8A" w:rsidRPr="00357C8A" w:rsidP="0022425B" w14:paraId="3E2D9A89" w14:textId="2CA4D9B3">
      <w:pPr>
        <w:spacing w:after="200"/>
        <w:rPr>
          <w:rFonts w:eastAsia="Calibri"/>
        </w:rPr>
      </w:pPr>
      <w:r>
        <w:rPr>
          <w:rFonts w:eastAsia="Calibri"/>
        </w:rPr>
        <w:t xml:space="preserve">There is no set schedule for </w:t>
      </w:r>
      <w:r w:rsidR="00CB71D1">
        <w:rPr>
          <w:rFonts w:eastAsia="Calibri"/>
        </w:rPr>
        <w:t>participation or collection of information.</w:t>
      </w:r>
    </w:p>
    <w:p w:rsidR="00357C8A" w:rsidRPr="00357C8A" w:rsidP="006705EA" w14:paraId="4E32CD7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E006C74" w14:textId="3BDE0A09">
      <w:pPr>
        <w:spacing w:after="200"/>
        <w:rPr>
          <w:rFonts w:eastAsia="Calibri"/>
        </w:rPr>
      </w:pPr>
      <w:r>
        <w:rPr>
          <w:rFonts w:eastAsia="Calibri"/>
        </w:rPr>
        <w:t>No exemption is being sought.</w:t>
      </w:r>
    </w:p>
    <w:p w:rsidR="00357C8A" w:rsidRPr="00357C8A" w:rsidP="006705EA" w14:paraId="414D500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357C8A" w:rsidP="00357C8A" w14:paraId="6C6AAF6D" w14:textId="6318250F">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890502">
        <w:rPr>
          <w:rFonts w:eastAsia="Calibri"/>
        </w:rPr>
        <w:t xml:space="preserve">July 3, 2025 </w:t>
      </w:r>
      <w:r w:rsidR="009009E7">
        <w:rPr>
          <w:rFonts w:eastAsia="Calibri"/>
        </w:rPr>
        <w:t>[</w:t>
      </w:r>
      <w:r w:rsidR="00890502">
        <w:rPr>
          <w:rFonts w:eastAsia="Calibri"/>
        </w:rPr>
        <w:t>90 FR 29561</w:t>
      </w:r>
      <w:r w:rsidR="009009E7">
        <w:rPr>
          <w:rFonts w:eastAsia="Calibri"/>
        </w:rPr>
        <w:t>]</w:t>
      </w:r>
      <w:r w:rsidR="0042742E">
        <w:rPr>
          <w:rFonts w:eastAsia="Calibri"/>
        </w:rPr>
        <w:t>.</w:t>
      </w:r>
      <w:r w:rsidR="00890502">
        <w:rPr>
          <w:rFonts w:eastAsia="Calibri"/>
        </w:rPr>
        <w:t xml:space="preserve">  </w:t>
      </w:r>
      <w:r w:rsidRPr="000F720B" w:rsidR="00890502">
        <w:t xml:space="preserve">FDA received one comment. </w:t>
      </w:r>
      <w:r w:rsidR="00890502">
        <w:t xml:space="preserve"> </w:t>
      </w:r>
      <w:r w:rsidRPr="000F720B" w:rsidR="00890502">
        <w:t xml:space="preserve">The submitter provided supportive </w:t>
      </w:r>
      <w:r w:rsidRPr="000F720B" w:rsidR="007341B9">
        <w:t>comments</w:t>
      </w:r>
      <w:r w:rsidRPr="000F720B" w:rsidR="00890502">
        <w:t xml:space="preserve"> </w:t>
      </w:r>
      <w:r w:rsidR="00063134">
        <w:t xml:space="preserve">of </w:t>
      </w:r>
      <w:r w:rsidRPr="000F720B" w:rsidR="00890502">
        <w:t>the FDA</w:t>
      </w:r>
      <w:r w:rsidR="00063134">
        <w:t>’s</w:t>
      </w:r>
      <w:r w:rsidRPr="000F720B" w:rsidR="00890502">
        <w:t xml:space="preserve"> </w:t>
      </w:r>
      <w:r w:rsidR="00890502">
        <w:t>EDST</w:t>
      </w:r>
      <w:r w:rsidR="48139B5B">
        <w:t>P</w:t>
      </w:r>
      <w:r w:rsidRPr="000F720B" w:rsidR="00890502">
        <w:t xml:space="preserve">. </w:t>
      </w:r>
      <w:r w:rsidR="00890502">
        <w:t xml:space="preserve"> </w:t>
      </w:r>
      <w:r w:rsidRPr="000F720B" w:rsidR="00890502">
        <w:t>However, the one comment was not responsive to the four collection of information topics solicited and therefore will not be discussed in this document.</w:t>
      </w:r>
    </w:p>
    <w:p w:rsidR="00357C8A" w:rsidRPr="00E37C35" w:rsidP="006705EA" w14:paraId="40E10F65" w14:textId="77777777">
      <w:pPr>
        <w:numPr>
          <w:ilvl w:val="0"/>
          <w:numId w:val="6"/>
        </w:numPr>
        <w:spacing w:after="200" w:line="276" w:lineRule="auto"/>
        <w:rPr>
          <w:rFonts w:eastAsia="Calibri"/>
          <w:color w:val="000000" w:themeColor="text1"/>
        </w:rPr>
      </w:pPr>
      <w:r w:rsidRPr="00E37C35">
        <w:rPr>
          <w:rFonts w:eastAsia="Calibri"/>
          <w:color w:val="000000" w:themeColor="text1"/>
          <w:u w:val="single"/>
        </w:rPr>
        <w:t>Explanation of Any Payment or Gift to Respondents</w:t>
      </w:r>
    </w:p>
    <w:p w:rsidR="00792947" w:rsidRPr="00E37C35" w:rsidP="00DD0E02" w14:paraId="15185D2D" w14:textId="34515574">
      <w:pPr>
        <w:spacing w:after="200"/>
        <w:rPr>
          <w:rFonts w:eastAsia="Calibri"/>
          <w:i/>
          <w:color w:val="000000" w:themeColor="text1"/>
        </w:rPr>
      </w:pPr>
      <w:r w:rsidRPr="00E37C35">
        <w:rPr>
          <w:rFonts w:eastAsia="Calibri"/>
          <w:color w:val="000000" w:themeColor="text1"/>
        </w:rPr>
        <w:t xml:space="preserve">There </w:t>
      </w:r>
      <w:r w:rsidRPr="00E37C35">
        <w:rPr>
          <w:rFonts w:eastAsia="Calibri"/>
          <w:color w:val="000000" w:themeColor="text1"/>
        </w:rPr>
        <w:t>are no incentives, payments or gifts associated with this information collection.</w:t>
      </w:r>
    </w:p>
    <w:p w:rsidR="00357C8A" w:rsidRPr="00E37C35" w:rsidP="006705EA" w14:paraId="45702F71" w14:textId="77777777">
      <w:pPr>
        <w:numPr>
          <w:ilvl w:val="0"/>
          <w:numId w:val="6"/>
        </w:numPr>
        <w:spacing w:after="200" w:line="276" w:lineRule="auto"/>
        <w:rPr>
          <w:rFonts w:eastAsia="Calibri"/>
          <w:color w:val="000000" w:themeColor="text1"/>
        </w:rPr>
      </w:pPr>
      <w:r w:rsidRPr="00E37C35">
        <w:rPr>
          <w:rFonts w:eastAsia="Calibri"/>
          <w:color w:val="000000" w:themeColor="text1"/>
          <w:u w:val="single"/>
        </w:rPr>
        <w:t>Assurance of Confidentiality Provided to Respondents</w:t>
      </w:r>
    </w:p>
    <w:p w:rsidR="008C0380" w:rsidRPr="00E37C35" w:rsidP="008C0380" w14:paraId="1506A745" w14:textId="337F1697">
      <w:pPr>
        <w:rPr>
          <w:color w:val="000000" w:themeColor="text1"/>
        </w:rPr>
      </w:pPr>
      <w:r w:rsidRPr="00E37C35">
        <w:rPr>
          <w:color w:val="000000" w:themeColor="text1"/>
        </w:rPr>
        <w:t>In preparing this Supporting Statement, we consulted our Privacy Office to ensure appropriate identification and handling of information collected.</w:t>
      </w:r>
    </w:p>
    <w:p w:rsidR="008C0380" w:rsidRPr="00E37C35" w:rsidP="008C0380" w14:paraId="3B4BC6ED" w14:textId="77777777">
      <w:pPr>
        <w:rPr>
          <w:color w:val="000000" w:themeColor="text1"/>
        </w:rPr>
      </w:pPr>
    </w:p>
    <w:p w:rsidR="008C0380" w:rsidRPr="00E37C35" w:rsidP="008C0380" w14:paraId="651B492A" w14:textId="3FFB02E0">
      <w:pPr>
        <w:rPr>
          <w:color w:val="000000" w:themeColor="text1"/>
        </w:rPr>
      </w:pPr>
      <w:r w:rsidRPr="00E37C35">
        <w:rPr>
          <w:color w:val="000000" w:themeColor="text1"/>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program email is applicant/requester attendees name, email address, and position/title. </w:t>
      </w:r>
      <w:r w:rsidR="006A37E5">
        <w:rPr>
          <w:color w:val="000000" w:themeColor="text1"/>
        </w:rPr>
        <w:t xml:space="preserve"> </w:t>
      </w:r>
      <w:r w:rsidRPr="00E37C35">
        <w:rPr>
          <w:color w:val="000000" w:themeColor="text1"/>
        </w:rPr>
        <w:t xml:space="preserve">FDA determined that although PII is collected, the collection is not subject to the Privacy Act of 1974 and the particular notice and other requirements of the Act do not apply. </w:t>
      </w:r>
      <w:r w:rsidR="006A37E5">
        <w:rPr>
          <w:color w:val="000000" w:themeColor="text1"/>
        </w:rPr>
        <w:t xml:space="preserve"> </w:t>
      </w:r>
      <w:r w:rsidRPr="00E37C35">
        <w:rPr>
          <w:color w:val="000000" w:themeColor="text1"/>
        </w:rPr>
        <w:t xml:space="preserve">Specifically, FDA does not use name or any other personal identifier to retrieve records from the information collected. </w:t>
      </w:r>
      <w:r w:rsidR="006A37E5">
        <w:rPr>
          <w:color w:val="000000" w:themeColor="text1"/>
        </w:rPr>
        <w:t xml:space="preserve"> </w:t>
      </w:r>
      <w:r w:rsidRPr="00E37C35">
        <w:rPr>
          <w:color w:val="000000" w:themeColor="text1"/>
        </w:rPr>
        <w:t>FDA limited the PII collected to protect the privacy of the individuals.</w:t>
      </w:r>
    </w:p>
    <w:p w:rsidR="008C0380" w:rsidRPr="00E37C35" w:rsidP="008C0380" w14:paraId="62D2ACA5" w14:textId="77777777">
      <w:pPr>
        <w:rPr>
          <w:color w:val="000000" w:themeColor="text1"/>
        </w:rPr>
      </w:pPr>
    </w:p>
    <w:p w:rsidR="008C0380" w:rsidRPr="00E37C35" w:rsidP="00890502" w14:paraId="7FD19FC8" w14:textId="1BAA2764">
      <w:pPr>
        <w:rPr>
          <w:color w:val="000000" w:themeColor="text1"/>
        </w:rPr>
      </w:pPr>
      <w:r w:rsidRPr="00E37C35">
        <w:rPr>
          <w:color w:val="000000" w:themeColor="text1"/>
        </w:rPr>
        <w:t xml:space="preserve">Under the Freedom of Information Act (FOIA) (5 U.S.C. 552), the public has broad access to government documents. </w:t>
      </w:r>
      <w:r w:rsidR="006A37E5">
        <w:rPr>
          <w:color w:val="000000" w:themeColor="text1"/>
        </w:rPr>
        <w:t xml:space="preserve"> </w:t>
      </w:r>
      <w:r w:rsidRPr="00E37C35">
        <w:rPr>
          <w:color w:val="000000" w:themeColor="text1"/>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3364E" w:rsidRPr="00E37C35" w:rsidP="001075D3" w14:paraId="26C403D8" w14:textId="77777777">
      <w:pPr>
        <w:ind w:left="720"/>
        <w:rPr>
          <w:color w:val="000000" w:themeColor="text1"/>
        </w:rPr>
      </w:pPr>
    </w:p>
    <w:p w:rsidR="00357C8A" w:rsidRPr="00E37C35" w:rsidP="006705EA" w14:paraId="31E8A12F" w14:textId="77777777">
      <w:pPr>
        <w:numPr>
          <w:ilvl w:val="0"/>
          <w:numId w:val="6"/>
        </w:numPr>
        <w:spacing w:after="200" w:line="276" w:lineRule="auto"/>
        <w:rPr>
          <w:rFonts w:eastAsia="Calibri"/>
          <w:color w:val="000000" w:themeColor="text1"/>
        </w:rPr>
      </w:pPr>
      <w:r w:rsidRPr="00E37C35">
        <w:rPr>
          <w:rFonts w:eastAsia="Calibri"/>
          <w:color w:val="000000" w:themeColor="text1"/>
          <w:u w:val="single"/>
        </w:rPr>
        <w:t>Justification for Sensitive Questions</w:t>
      </w:r>
    </w:p>
    <w:p w:rsidR="00357C8A" w:rsidRPr="00E37C35" w:rsidP="00DD0E02" w14:paraId="447C5CE5" w14:textId="0F0D1700">
      <w:pPr>
        <w:spacing w:after="200"/>
        <w:rPr>
          <w:rFonts w:eastAsia="Calibri"/>
          <w:iCs/>
          <w:color w:val="000000" w:themeColor="text1"/>
        </w:rPr>
      </w:pPr>
      <w:r w:rsidRPr="00E37C35">
        <w:rPr>
          <w:rFonts w:eastAsia="Calibri"/>
          <w:iCs/>
          <w:color w:val="000000" w:themeColor="text1"/>
        </w:rPr>
        <w:t>The collection of information does not involve sensitive questions.</w:t>
      </w:r>
    </w:p>
    <w:p w:rsidR="00357C8A" w:rsidRPr="00E37C35" w:rsidP="006705EA" w14:paraId="32EF78ED" w14:textId="77777777">
      <w:pPr>
        <w:numPr>
          <w:ilvl w:val="0"/>
          <w:numId w:val="6"/>
        </w:numPr>
        <w:spacing w:after="200" w:line="276" w:lineRule="auto"/>
        <w:rPr>
          <w:rFonts w:eastAsia="Calibri"/>
          <w:color w:val="000000" w:themeColor="text1"/>
          <w:u w:val="single"/>
        </w:rPr>
      </w:pPr>
      <w:r w:rsidRPr="00E37C35">
        <w:rPr>
          <w:rFonts w:eastAsia="Calibri"/>
          <w:color w:val="000000" w:themeColor="text1"/>
          <w:u w:val="single"/>
        </w:rPr>
        <w:t>Estimates of Annualized Burden Hours and Cost</w:t>
      </w:r>
    </w:p>
    <w:p w:rsidR="00357C8A" w:rsidRPr="00E37C35" w:rsidP="0022425B" w14:paraId="27FEF7BD" w14:textId="77777777">
      <w:pPr>
        <w:spacing w:after="200"/>
        <w:ind w:left="360"/>
        <w:rPr>
          <w:rFonts w:eastAsia="Calibri"/>
          <w:color w:val="000000" w:themeColor="text1"/>
        </w:rPr>
      </w:pPr>
      <w:r w:rsidRPr="00E37C35">
        <w:rPr>
          <w:rFonts w:eastAsia="Calibri"/>
          <w:color w:val="000000" w:themeColor="text1"/>
        </w:rPr>
        <w:t>12a.  Annualized Hour Burden Estimate</w:t>
      </w:r>
    </w:p>
    <w:p w:rsidR="002C10DA" w:rsidRPr="00E37C35" w:rsidP="00973D30" w14:paraId="227368BF" w14:textId="6DFC9799">
      <w:pPr>
        <w:spacing w:after="200"/>
        <w:ind w:left="360"/>
        <w:rPr>
          <w:rFonts w:eastAsia="Calibri"/>
          <w:color w:val="000000" w:themeColor="text1"/>
        </w:rPr>
      </w:pPr>
      <w:r w:rsidRPr="00E37C35">
        <w:rPr>
          <w:rFonts w:eastAsia="Calibri"/>
          <w:color w:val="000000" w:themeColor="text1"/>
        </w:rPr>
        <w:t xml:space="preserve">Respondents will provide an initial submission </w:t>
      </w:r>
      <w:r w:rsidRPr="00E37C35" w:rsidR="0042742E">
        <w:rPr>
          <w:rFonts w:eastAsia="Calibri"/>
          <w:color w:val="000000" w:themeColor="text1"/>
        </w:rPr>
        <w:t xml:space="preserve">to FDA </w:t>
      </w:r>
      <w:r w:rsidRPr="00E37C35" w:rsidR="00E1754F">
        <w:rPr>
          <w:rFonts w:eastAsia="Calibri"/>
          <w:color w:val="000000" w:themeColor="text1"/>
        </w:rPr>
        <w:t xml:space="preserve">detailing their </w:t>
      </w:r>
      <w:r w:rsidRPr="00E37C35" w:rsidR="00175D9F">
        <w:rPr>
          <w:rFonts w:eastAsia="Calibri"/>
          <w:color w:val="000000" w:themeColor="text1"/>
        </w:rPr>
        <w:t>meeting proposal</w:t>
      </w:r>
      <w:r w:rsidRPr="00E37C35" w:rsidR="00E1754F">
        <w:rPr>
          <w:rFonts w:eastAsia="Calibri"/>
          <w:color w:val="000000" w:themeColor="text1"/>
        </w:rPr>
        <w:t xml:space="preserve">. </w:t>
      </w:r>
      <w:r w:rsidRPr="00E37C35" w:rsidR="00A31C57">
        <w:rPr>
          <w:rFonts w:eastAsia="Calibri"/>
          <w:color w:val="000000" w:themeColor="text1"/>
        </w:rPr>
        <w:t>We estimate t</w:t>
      </w:r>
      <w:r w:rsidRPr="00E37C35" w:rsidR="00E1754F">
        <w:rPr>
          <w:rFonts w:eastAsia="Calibri"/>
          <w:color w:val="000000" w:themeColor="text1"/>
        </w:rPr>
        <w:t xml:space="preserve">his will require </w:t>
      </w:r>
      <w:r w:rsidRPr="00E37C35" w:rsidR="00274316">
        <w:rPr>
          <w:rFonts w:eastAsia="Calibri"/>
          <w:color w:val="000000" w:themeColor="text1"/>
        </w:rPr>
        <w:t xml:space="preserve">10 </w:t>
      </w:r>
      <w:r w:rsidRPr="00E37C35" w:rsidR="00E1754F">
        <w:rPr>
          <w:rFonts w:eastAsia="Calibri"/>
          <w:color w:val="000000" w:themeColor="text1"/>
        </w:rPr>
        <w:t xml:space="preserve">hours to prepare. </w:t>
      </w:r>
      <w:r w:rsidR="006A37E5">
        <w:rPr>
          <w:rFonts w:eastAsia="Calibri"/>
          <w:color w:val="000000" w:themeColor="text1"/>
        </w:rPr>
        <w:t xml:space="preserve"> </w:t>
      </w:r>
      <w:r w:rsidRPr="00E37C35" w:rsidR="00E1754F">
        <w:rPr>
          <w:rFonts w:eastAsia="Calibri"/>
          <w:color w:val="000000" w:themeColor="text1"/>
        </w:rPr>
        <w:t>If selected for</w:t>
      </w:r>
      <w:r w:rsidRPr="00E37C35" w:rsidR="00873C8F">
        <w:rPr>
          <w:rFonts w:eastAsia="Calibri"/>
          <w:color w:val="000000" w:themeColor="text1"/>
        </w:rPr>
        <w:t xml:space="preserve"> participation in </w:t>
      </w:r>
      <w:r w:rsidRPr="0462B2C9" w:rsidR="23C73165">
        <w:rPr>
          <w:rFonts w:eastAsia="Calibri"/>
          <w:color w:val="000000" w:themeColor="text1"/>
        </w:rPr>
        <w:t xml:space="preserve">an </w:t>
      </w:r>
      <w:r w:rsidRPr="0462B2C9" w:rsidR="00873C8F">
        <w:rPr>
          <w:rFonts w:eastAsia="Calibri"/>
          <w:color w:val="000000" w:themeColor="text1"/>
        </w:rPr>
        <w:t>EDSTM</w:t>
      </w:r>
      <w:r w:rsidRPr="00E37C35" w:rsidR="00E1754F">
        <w:rPr>
          <w:rFonts w:eastAsia="Calibri"/>
          <w:color w:val="000000" w:themeColor="text1"/>
        </w:rPr>
        <w:t xml:space="preserve">, the respondent will then need to </w:t>
      </w:r>
      <w:r w:rsidRPr="00E37C35" w:rsidR="00873C8F">
        <w:rPr>
          <w:rFonts w:eastAsia="Calibri"/>
          <w:color w:val="000000" w:themeColor="text1"/>
        </w:rPr>
        <w:t>prepare and deliver</w:t>
      </w:r>
      <w:r w:rsidRPr="00E37C35" w:rsidR="00A31C57">
        <w:rPr>
          <w:rFonts w:eastAsia="Calibri"/>
          <w:color w:val="000000" w:themeColor="text1"/>
        </w:rPr>
        <w:t xml:space="preserve"> a</w:t>
      </w:r>
      <w:r w:rsidRPr="00E37C35" w:rsidR="00873C8F">
        <w:rPr>
          <w:rFonts w:eastAsia="Calibri"/>
          <w:color w:val="000000" w:themeColor="text1"/>
        </w:rPr>
        <w:t xml:space="preserve"> </w:t>
      </w:r>
      <w:r w:rsidRPr="00E37C35" w:rsidR="00274316">
        <w:rPr>
          <w:rFonts w:eastAsia="Calibri"/>
          <w:color w:val="000000" w:themeColor="text1"/>
        </w:rPr>
        <w:t>20-50</w:t>
      </w:r>
      <w:r w:rsidRPr="00E37C35" w:rsidR="00873C8F">
        <w:rPr>
          <w:rFonts w:eastAsia="Calibri"/>
          <w:color w:val="000000" w:themeColor="text1"/>
        </w:rPr>
        <w:t xml:space="preserve"> minute presentation, which will re</w:t>
      </w:r>
      <w:r w:rsidRPr="00E37C35" w:rsidR="00CA396E">
        <w:rPr>
          <w:rFonts w:eastAsia="Calibri"/>
          <w:color w:val="000000" w:themeColor="text1"/>
        </w:rPr>
        <w:t xml:space="preserve">quire an additional burden of </w:t>
      </w:r>
      <w:r w:rsidRPr="00E37C35" w:rsidR="00274316">
        <w:rPr>
          <w:rFonts w:eastAsia="Calibri"/>
          <w:color w:val="000000" w:themeColor="text1"/>
        </w:rPr>
        <w:t>30</w:t>
      </w:r>
      <w:r w:rsidRPr="00E37C35" w:rsidR="00CA396E">
        <w:rPr>
          <w:rFonts w:eastAsia="Calibri"/>
          <w:color w:val="000000" w:themeColor="text1"/>
        </w:rPr>
        <w:t xml:space="preserve"> hours. </w:t>
      </w:r>
      <w:r w:rsidR="006A37E5">
        <w:rPr>
          <w:rFonts w:eastAsia="Calibri"/>
          <w:color w:val="000000" w:themeColor="text1"/>
        </w:rPr>
        <w:t xml:space="preserve"> </w:t>
      </w:r>
      <w:r w:rsidRPr="00E37C35" w:rsidR="00D93A6B">
        <w:rPr>
          <w:rFonts w:eastAsia="Calibri"/>
          <w:color w:val="000000" w:themeColor="text1"/>
        </w:rPr>
        <w:t xml:space="preserve">FDA estimates 25 </w:t>
      </w:r>
      <w:r w:rsidRPr="00E37C35" w:rsidR="008300EF">
        <w:rPr>
          <w:rFonts w:eastAsia="Calibri"/>
          <w:color w:val="000000" w:themeColor="text1"/>
        </w:rPr>
        <w:t>organizations will submit requests to present at EDSTMs per year</w:t>
      </w:r>
      <w:r w:rsidRPr="00E37C35" w:rsidR="009A526C">
        <w:rPr>
          <w:rFonts w:eastAsia="Calibri"/>
          <w:color w:val="000000" w:themeColor="text1"/>
        </w:rPr>
        <w:t>, and 12 meetings will be held per year.</w:t>
      </w:r>
    </w:p>
    <w:p w:rsidR="00C40A0D" w:rsidRPr="00890502" w:rsidP="00890502" w14:paraId="12430E3B" w14:textId="4255DF96">
      <w:pPr>
        <w:jc w:val="center"/>
        <w:rPr>
          <w:rFonts w:eastAsia="Calibri"/>
          <w:i/>
          <w:color w:val="000000" w:themeColor="text1"/>
          <w:sz w:val="20"/>
          <w:szCs w:val="20"/>
        </w:rPr>
      </w:pPr>
      <w:r w:rsidRPr="00890502">
        <w:rPr>
          <w:rFonts w:eastAsia="Calibri"/>
          <w:color w:val="000000" w:themeColor="text1"/>
          <w:sz w:val="20"/>
          <w:szCs w:val="20"/>
        </w:rPr>
        <w:t xml:space="preserve">Table 1 </w:t>
      </w:r>
      <w:r w:rsidRPr="00890502" w:rsidR="002C10DA">
        <w:rPr>
          <w:rFonts w:eastAsia="Calibri"/>
          <w:color w:val="000000" w:themeColor="text1"/>
          <w:sz w:val="20"/>
          <w:szCs w:val="20"/>
        </w:rPr>
        <w:t>–</w:t>
      </w:r>
      <w:r w:rsidRPr="00890502">
        <w:rPr>
          <w:rFonts w:eastAsia="Calibri"/>
          <w:color w:val="000000" w:themeColor="text1"/>
          <w:sz w:val="20"/>
          <w:szCs w:val="20"/>
        </w:rPr>
        <w:t xml:space="preserve"> </w:t>
      </w:r>
      <w:r w:rsidRPr="00890502" w:rsidR="00005B8D">
        <w:rPr>
          <w:rFonts w:eastAsia="Calibri"/>
          <w:color w:val="000000" w:themeColor="text1"/>
          <w:sz w:val="20"/>
          <w:szCs w:val="20"/>
        </w:rPr>
        <w:t>Estimated Annual Reporting Burden</w:t>
      </w:r>
    </w:p>
    <w:tbl>
      <w:tblPr>
        <w:tblpPr w:leftFromText="180" w:rightFromText="180" w:vertAnchor="text"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0"/>
        <w:gridCol w:w="1403"/>
        <w:gridCol w:w="1369"/>
        <w:gridCol w:w="1061"/>
        <w:gridCol w:w="1207"/>
        <w:gridCol w:w="1294"/>
      </w:tblGrid>
      <w:tr w14:paraId="70D0F372" w14:textId="77777777" w:rsidTr="00FE3CB2">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642" w:type="pct"/>
          </w:tcPr>
          <w:p w:rsidR="0001240C" w:rsidRPr="00E37C35" w:rsidP="00A37B1D" w14:paraId="3CC0CA7C" w14:textId="7C0390E4">
            <w:pPr>
              <w:jc w:val="center"/>
              <w:rPr>
                <w:color w:val="000000" w:themeColor="text1"/>
                <w:sz w:val="20"/>
                <w:szCs w:val="20"/>
              </w:rPr>
            </w:pPr>
            <w:r w:rsidRPr="00E37C35">
              <w:rPr>
                <w:color w:val="000000" w:themeColor="text1"/>
                <w:sz w:val="20"/>
                <w:szCs w:val="20"/>
              </w:rPr>
              <w:t xml:space="preserve">Activity </w:t>
            </w:r>
          </w:p>
          <w:p w:rsidR="0001240C" w:rsidRPr="00E37C35" w:rsidP="00A37B1D" w14:paraId="4B24C7E5" w14:textId="512E677B">
            <w:pPr>
              <w:rPr>
                <w:color w:val="000000" w:themeColor="text1"/>
                <w:sz w:val="20"/>
                <w:szCs w:val="20"/>
              </w:rPr>
            </w:pPr>
          </w:p>
        </w:tc>
        <w:tc>
          <w:tcPr>
            <w:tcW w:w="747" w:type="pct"/>
          </w:tcPr>
          <w:p w:rsidR="0001240C" w:rsidRPr="00E37C35" w:rsidP="00A37B1D" w14:paraId="5D1575A8" w14:textId="77777777">
            <w:pPr>
              <w:jc w:val="center"/>
              <w:rPr>
                <w:color w:val="000000" w:themeColor="text1"/>
                <w:sz w:val="20"/>
                <w:szCs w:val="20"/>
              </w:rPr>
            </w:pPr>
            <w:r w:rsidRPr="00E37C35">
              <w:rPr>
                <w:color w:val="000000" w:themeColor="text1"/>
                <w:sz w:val="20"/>
                <w:szCs w:val="20"/>
              </w:rPr>
              <w:t>No. of Respondents</w:t>
            </w:r>
          </w:p>
        </w:tc>
        <w:tc>
          <w:tcPr>
            <w:tcW w:w="729" w:type="pct"/>
          </w:tcPr>
          <w:p w:rsidR="0001240C" w:rsidRPr="00E37C35" w:rsidP="00A37B1D" w14:paraId="1B4F833A" w14:textId="77777777">
            <w:pPr>
              <w:jc w:val="center"/>
              <w:rPr>
                <w:color w:val="000000" w:themeColor="text1"/>
                <w:sz w:val="20"/>
                <w:szCs w:val="20"/>
              </w:rPr>
            </w:pPr>
            <w:r w:rsidRPr="00E37C35">
              <w:rPr>
                <w:bCs/>
                <w:color w:val="000000" w:themeColor="text1"/>
                <w:sz w:val="20"/>
                <w:szCs w:val="20"/>
              </w:rPr>
              <w:t>No. of Responses per Respondent</w:t>
            </w:r>
          </w:p>
        </w:tc>
        <w:tc>
          <w:tcPr>
            <w:tcW w:w="550" w:type="pct"/>
          </w:tcPr>
          <w:p w:rsidR="0001240C" w:rsidRPr="00E37C35" w:rsidP="00A37B1D" w14:paraId="546A0FB3" w14:textId="77777777">
            <w:pPr>
              <w:jc w:val="center"/>
              <w:rPr>
                <w:color w:val="000000" w:themeColor="text1"/>
                <w:sz w:val="20"/>
                <w:szCs w:val="20"/>
              </w:rPr>
            </w:pPr>
            <w:r w:rsidRPr="00E37C35">
              <w:rPr>
                <w:color w:val="000000" w:themeColor="text1"/>
                <w:sz w:val="20"/>
                <w:szCs w:val="20"/>
              </w:rPr>
              <w:t>Total Annual Responses</w:t>
            </w:r>
          </w:p>
        </w:tc>
        <w:tc>
          <w:tcPr>
            <w:tcW w:w="643" w:type="pct"/>
          </w:tcPr>
          <w:p w:rsidR="0001240C" w:rsidRPr="00E37C35" w:rsidP="00A37B1D" w14:paraId="212FD63A" w14:textId="77777777">
            <w:pPr>
              <w:jc w:val="center"/>
              <w:rPr>
                <w:bCs/>
                <w:color w:val="000000" w:themeColor="text1"/>
                <w:sz w:val="20"/>
                <w:szCs w:val="20"/>
              </w:rPr>
            </w:pPr>
            <w:r w:rsidRPr="00E37C35">
              <w:rPr>
                <w:bCs/>
                <w:color w:val="000000" w:themeColor="text1"/>
                <w:sz w:val="20"/>
                <w:szCs w:val="20"/>
              </w:rPr>
              <w:t>Average Burden per Response</w:t>
            </w:r>
          </w:p>
          <w:p w:rsidR="0001240C" w:rsidRPr="00E37C35" w:rsidP="00A37B1D" w14:paraId="28D62053" w14:textId="77777777">
            <w:pPr>
              <w:jc w:val="center"/>
              <w:rPr>
                <w:bCs/>
                <w:color w:val="000000" w:themeColor="text1"/>
                <w:sz w:val="20"/>
                <w:szCs w:val="20"/>
              </w:rPr>
            </w:pPr>
          </w:p>
          <w:p w:rsidR="0001240C" w:rsidRPr="00E37C35" w:rsidP="00A37B1D" w14:paraId="39005211" w14:textId="77777777">
            <w:pPr>
              <w:jc w:val="center"/>
              <w:rPr>
                <w:bCs/>
                <w:color w:val="000000" w:themeColor="text1"/>
                <w:sz w:val="20"/>
                <w:szCs w:val="20"/>
              </w:rPr>
            </w:pPr>
          </w:p>
          <w:p w:rsidR="0001240C" w:rsidRPr="00E37C35" w:rsidP="00A37B1D" w14:paraId="03E938BF" w14:textId="5B189945">
            <w:pPr>
              <w:jc w:val="center"/>
              <w:rPr>
                <w:color w:val="000000" w:themeColor="text1"/>
                <w:sz w:val="20"/>
                <w:szCs w:val="20"/>
              </w:rPr>
            </w:pPr>
          </w:p>
        </w:tc>
        <w:tc>
          <w:tcPr>
            <w:tcW w:w="689" w:type="pct"/>
          </w:tcPr>
          <w:p w:rsidR="0001240C" w:rsidRPr="00E37C35" w:rsidP="00A37B1D" w14:paraId="2532AE63" w14:textId="77777777">
            <w:pPr>
              <w:jc w:val="center"/>
              <w:rPr>
                <w:color w:val="000000" w:themeColor="text1"/>
                <w:sz w:val="20"/>
                <w:szCs w:val="20"/>
              </w:rPr>
            </w:pPr>
            <w:r w:rsidRPr="00E37C35">
              <w:rPr>
                <w:color w:val="000000" w:themeColor="text1"/>
                <w:sz w:val="20"/>
                <w:szCs w:val="20"/>
              </w:rPr>
              <w:t>Total Hours</w:t>
            </w:r>
          </w:p>
        </w:tc>
      </w:tr>
      <w:tr w14:paraId="08379F13" w14:textId="77777777" w:rsidTr="00FE3CB2">
        <w:tblPrEx>
          <w:tblW w:w="4963" w:type="pct"/>
          <w:tblLook w:val="01E0"/>
        </w:tblPrEx>
        <w:trPr>
          <w:cantSplit/>
          <w:trHeight w:val="20"/>
        </w:trPr>
        <w:tc>
          <w:tcPr>
            <w:tcW w:w="1642" w:type="pct"/>
          </w:tcPr>
          <w:p w:rsidR="0001240C" w:rsidRPr="00E37C35" w:rsidP="00A37B1D" w14:paraId="1B18428B" w14:textId="736F67F6">
            <w:pPr>
              <w:rPr>
                <w:color w:val="000000" w:themeColor="text1"/>
                <w:sz w:val="20"/>
                <w:szCs w:val="20"/>
              </w:rPr>
            </w:pPr>
            <w:bookmarkStart w:id="0" w:name="_Hlk105505084"/>
            <w:r w:rsidRPr="00E37C35">
              <w:rPr>
                <w:color w:val="000000" w:themeColor="text1"/>
                <w:sz w:val="20"/>
                <w:szCs w:val="20"/>
              </w:rPr>
              <w:t>Industry request to give presentation at EDSTM</w:t>
            </w:r>
          </w:p>
        </w:tc>
        <w:tc>
          <w:tcPr>
            <w:tcW w:w="747" w:type="pct"/>
          </w:tcPr>
          <w:p w:rsidR="0001240C" w:rsidRPr="00E37C35" w:rsidP="00A37B1D" w14:paraId="0CBD9827" w14:textId="4725274E">
            <w:pPr>
              <w:jc w:val="right"/>
              <w:rPr>
                <w:color w:val="000000" w:themeColor="text1"/>
                <w:sz w:val="20"/>
                <w:szCs w:val="20"/>
              </w:rPr>
            </w:pPr>
            <w:r w:rsidRPr="00E37C35">
              <w:rPr>
                <w:color w:val="000000" w:themeColor="text1"/>
                <w:sz w:val="20"/>
                <w:szCs w:val="20"/>
              </w:rPr>
              <w:t>25</w:t>
            </w:r>
          </w:p>
        </w:tc>
        <w:tc>
          <w:tcPr>
            <w:tcW w:w="729" w:type="pct"/>
          </w:tcPr>
          <w:p w:rsidR="0001240C" w:rsidRPr="00E37C35" w:rsidP="00A37B1D" w14:paraId="6082D8D9" w14:textId="79455E77">
            <w:pPr>
              <w:jc w:val="right"/>
              <w:rPr>
                <w:color w:val="000000" w:themeColor="text1"/>
                <w:sz w:val="20"/>
                <w:szCs w:val="20"/>
              </w:rPr>
            </w:pPr>
            <w:r w:rsidRPr="00E37C35">
              <w:rPr>
                <w:color w:val="000000" w:themeColor="text1"/>
                <w:sz w:val="20"/>
                <w:szCs w:val="20"/>
              </w:rPr>
              <w:t>1</w:t>
            </w:r>
          </w:p>
        </w:tc>
        <w:tc>
          <w:tcPr>
            <w:tcW w:w="550" w:type="pct"/>
          </w:tcPr>
          <w:p w:rsidR="0001240C" w:rsidRPr="00E37C35" w:rsidP="00A37B1D" w14:paraId="16C5DE04" w14:textId="065688CB">
            <w:pPr>
              <w:jc w:val="right"/>
              <w:rPr>
                <w:color w:val="000000" w:themeColor="text1"/>
                <w:sz w:val="20"/>
                <w:szCs w:val="20"/>
              </w:rPr>
            </w:pPr>
            <w:r w:rsidRPr="00E37C35">
              <w:rPr>
                <w:color w:val="000000" w:themeColor="text1"/>
                <w:sz w:val="20"/>
                <w:szCs w:val="20"/>
              </w:rPr>
              <w:t>25</w:t>
            </w:r>
          </w:p>
        </w:tc>
        <w:tc>
          <w:tcPr>
            <w:tcW w:w="643" w:type="pct"/>
          </w:tcPr>
          <w:p w:rsidR="0001240C" w:rsidRPr="00E37C35" w:rsidP="00A37B1D" w14:paraId="3FE3097C" w14:textId="4E6B5BE5">
            <w:pPr>
              <w:jc w:val="right"/>
              <w:rPr>
                <w:color w:val="000000" w:themeColor="text1"/>
                <w:sz w:val="20"/>
                <w:szCs w:val="20"/>
              </w:rPr>
            </w:pPr>
            <w:r w:rsidRPr="00E37C35">
              <w:rPr>
                <w:color w:val="000000" w:themeColor="text1"/>
                <w:sz w:val="20"/>
                <w:szCs w:val="20"/>
              </w:rPr>
              <w:t>10</w:t>
            </w:r>
          </w:p>
        </w:tc>
        <w:tc>
          <w:tcPr>
            <w:tcW w:w="689" w:type="pct"/>
          </w:tcPr>
          <w:p w:rsidR="0001240C" w:rsidRPr="00E37C35" w:rsidP="00A37B1D" w14:paraId="03EF9F36" w14:textId="2FA919EC">
            <w:pPr>
              <w:jc w:val="right"/>
              <w:rPr>
                <w:color w:val="000000" w:themeColor="text1"/>
                <w:sz w:val="20"/>
                <w:szCs w:val="20"/>
              </w:rPr>
            </w:pPr>
            <w:r w:rsidRPr="00E37C35">
              <w:rPr>
                <w:color w:val="000000" w:themeColor="text1"/>
                <w:sz w:val="20"/>
                <w:szCs w:val="20"/>
              </w:rPr>
              <w:t>2</w:t>
            </w:r>
            <w:r w:rsidRPr="00E37C35">
              <w:rPr>
                <w:color w:val="000000" w:themeColor="text1"/>
                <w:sz w:val="20"/>
                <w:szCs w:val="20"/>
              </w:rPr>
              <w:t>50</w:t>
            </w:r>
          </w:p>
        </w:tc>
      </w:tr>
      <w:tr w14:paraId="617AB852" w14:textId="77777777" w:rsidTr="00FE3CB2">
        <w:tblPrEx>
          <w:tblW w:w="4963" w:type="pct"/>
          <w:tblLook w:val="01E0"/>
        </w:tblPrEx>
        <w:trPr>
          <w:cantSplit/>
          <w:trHeight w:val="20"/>
        </w:trPr>
        <w:tc>
          <w:tcPr>
            <w:tcW w:w="1642" w:type="pct"/>
            <w:tcBorders>
              <w:bottom w:val="single" w:sz="4" w:space="0" w:color="auto"/>
            </w:tcBorders>
          </w:tcPr>
          <w:p w:rsidR="0001240C" w:rsidRPr="00E37C35" w:rsidP="00A37B1D" w14:paraId="5F3ACF26" w14:textId="0E50BBE6">
            <w:pPr>
              <w:rPr>
                <w:color w:val="000000" w:themeColor="text1"/>
                <w:sz w:val="20"/>
                <w:szCs w:val="20"/>
              </w:rPr>
            </w:pPr>
            <w:r w:rsidRPr="00E37C35">
              <w:rPr>
                <w:color w:val="000000" w:themeColor="text1"/>
                <w:sz w:val="20"/>
                <w:szCs w:val="20"/>
              </w:rPr>
              <w:t xml:space="preserve">Industry preparing and delivering presentation </w:t>
            </w:r>
            <w:r w:rsidRPr="223E5822" w:rsidR="14FA2A25">
              <w:rPr>
                <w:color w:val="000000" w:themeColor="text1"/>
                <w:sz w:val="20"/>
                <w:szCs w:val="20"/>
              </w:rPr>
              <w:t xml:space="preserve">at </w:t>
            </w:r>
            <w:r w:rsidRPr="00E37C35">
              <w:rPr>
                <w:color w:val="000000" w:themeColor="text1"/>
                <w:sz w:val="20"/>
                <w:szCs w:val="20"/>
              </w:rPr>
              <w:t xml:space="preserve">EDSTM after </w:t>
            </w:r>
            <w:r w:rsidRPr="00E37C35" w:rsidR="00055C53">
              <w:rPr>
                <w:color w:val="000000" w:themeColor="text1"/>
                <w:sz w:val="20"/>
                <w:szCs w:val="20"/>
              </w:rPr>
              <w:t>request has been granted</w:t>
            </w:r>
          </w:p>
        </w:tc>
        <w:tc>
          <w:tcPr>
            <w:tcW w:w="747" w:type="pct"/>
            <w:tcBorders>
              <w:bottom w:val="single" w:sz="4" w:space="0" w:color="auto"/>
            </w:tcBorders>
          </w:tcPr>
          <w:p w:rsidR="0001240C" w:rsidRPr="00E37C35" w:rsidP="00A37B1D" w14:paraId="6E29D3EC" w14:textId="09D30397">
            <w:pPr>
              <w:jc w:val="right"/>
              <w:rPr>
                <w:color w:val="000000" w:themeColor="text1"/>
                <w:sz w:val="20"/>
                <w:szCs w:val="20"/>
              </w:rPr>
            </w:pPr>
            <w:r w:rsidRPr="00E37C35">
              <w:rPr>
                <w:color w:val="000000" w:themeColor="text1"/>
                <w:sz w:val="20"/>
                <w:szCs w:val="20"/>
              </w:rPr>
              <w:t>12</w:t>
            </w:r>
          </w:p>
        </w:tc>
        <w:tc>
          <w:tcPr>
            <w:tcW w:w="729" w:type="pct"/>
            <w:tcBorders>
              <w:bottom w:val="single" w:sz="4" w:space="0" w:color="auto"/>
            </w:tcBorders>
          </w:tcPr>
          <w:p w:rsidR="0001240C" w:rsidRPr="00E37C35" w:rsidP="00A37B1D" w14:paraId="55B3ECE2" w14:textId="7F3D773E">
            <w:pPr>
              <w:jc w:val="right"/>
              <w:rPr>
                <w:color w:val="000000" w:themeColor="text1"/>
                <w:sz w:val="20"/>
                <w:szCs w:val="20"/>
              </w:rPr>
            </w:pPr>
            <w:r w:rsidRPr="00E37C35">
              <w:rPr>
                <w:color w:val="000000" w:themeColor="text1"/>
                <w:sz w:val="20"/>
                <w:szCs w:val="20"/>
              </w:rPr>
              <w:t>1</w:t>
            </w:r>
          </w:p>
        </w:tc>
        <w:tc>
          <w:tcPr>
            <w:tcW w:w="550" w:type="pct"/>
            <w:tcBorders>
              <w:bottom w:val="single" w:sz="4" w:space="0" w:color="auto"/>
            </w:tcBorders>
          </w:tcPr>
          <w:p w:rsidR="0001240C" w:rsidRPr="00E37C35" w:rsidP="00A37B1D" w14:paraId="72938685" w14:textId="5072584D">
            <w:pPr>
              <w:jc w:val="right"/>
              <w:rPr>
                <w:color w:val="000000" w:themeColor="text1"/>
                <w:sz w:val="20"/>
                <w:szCs w:val="20"/>
              </w:rPr>
            </w:pPr>
            <w:r w:rsidRPr="00E37C35">
              <w:rPr>
                <w:color w:val="000000" w:themeColor="text1"/>
                <w:sz w:val="20"/>
                <w:szCs w:val="20"/>
              </w:rPr>
              <w:t>12</w:t>
            </w:r>
          </w:p>
        </w:tc>
        <w:tc>
          <w:tcPr>
            <w:tcW w:w="643" w:type="pct"/>
            <w:tcBorders>
              <w:bottom w:val="single" w:sz="4" w:space="0" w:color="auto"/>
            </w:tcBorders>
          </w:tcPr>
          <w:p w:rsidR="0001240C" w:rsidRPr="00E37C35" w:rsidP="00A37B1D" w14:paraId="209C9627" w14:textId="2B404E5B">
            <w:pPr>
              <w:jc w:val="right"/>
              <w:rPr>
                <w:color w:val="000000" w:themeColor="text1"/>
                <w:sz w:val="20"/>
                <w:szCs w:val="20"/>
              </w:rPr>
            </w:pPr>
            <w:r w:rsidRPr="00E37C35">
              <w:rPr>
                <w:color w:val="000000" w:themeColor="text1"/>
                <w:sz w:val="20"/>
                <w:szCs w:val="20"/>
              </w:rPr>
              <w:t>30</w:t>
            </w:r>
          </w:p>
        </w:tc>
        <w:tc>
          <w:tcPr>
            <w:tcW w:w="689" w:type="pct"/>
          </w:tcPr>
          <w:p w:rsidR="0001240C" w:rsidRPr="00E37C35" w:rsidP="00A37B1D" w14:paraId="32391722" w14:textId="520C0F26">
            <w:pPr>
              <w:jc w:val="right"/>
              <w:rPr>
                <w:color w:val="000000" w:themeColor="text1"/>
                <w:sz w:val="20"/>
                <w:szCs w:val="20"/>
              </w:rPr>
            </w:pPr>
            <w:r w:rsidRPr="00E37C35">
              <w:rPr>
                <w:color w:val="000000" w:themeColor="text1"/>
                <w:sz w:val="20"/>
                <w:szCs w:val="20"/>
              </w:rPr>
              <w:t>360</w:t>
            </w:r>
            <w:r w:rsidRPr="00E37C35">
              <w:rPr>
                <w:color w:val="000000" w:themeColor="text1"/>
                <w:sz w:val="20"/>
                <w:szCs w:val="20"/>
              </w:rPr>
              <w:t xml:space="preserve"> </w:t>
            </w:r>
          </w:p>
        </w:tc>
      </w:tr>
      <w:tr w14:paraId="29CA1FA3" w14:textId="77777777" w:rsidTr="00FE3CB2">
        <w:tblPrEx>
          <w:tblW w:w="4963" w:type="pct"/>
          <w:tblLook w:val="01E0"/>
        </w:tblPrEx>
        <w:trPr>
          <w:cantSplit/>
          <w:trHeight w:val="20"/>
        </w:trPr>
        <w:tc>
          <w:tcPr>
            <w:tcW w:w="1642" w:type="pct"/>
            <w:tcBorders>
              <w:bottom w:val="single" w:sz="4" w:space="0" w:color="auto"/>
            </w:tcBorders>
          </w:tcPr>
          <w:p w:rsidR="008465D3" w:rsidRPr="00E37C35" w:rsidP="00A37B1D" w14:paraId="4E892E9C" w14:textId="3EF9F21E">
            <w:pPr>
              <w:rPr>
                <w:color w:val="000000" w:themeColor="text1"/>
                <w:sz w:val="20"/>
                <w:szCs w:val="20"/>
              </w:rPr>
            </w:pPr>
            <w:r w:rsidRPr="00E37C35">
              <w:rPr>
                <w:color w:val="000000" w:themeColor="text1"/>
                <w:sz w:val="20"/>
                <w:szCs w:val="20"/>
              </w:rPr>
              <w:t>TOTAL</w:t>
            </w:r>
          </w:p>
        </w:tc>
        <w:tc>
          <w:tcPr>
            <w:tcW w:w="747" w:type="pct"/>
            <w:tcBorders>
              <w:bottom w:val="single" w:sz="4" w:space="0" w:color="auto"/>
            </w:tcBorders>
          </w:tcPr>
          <w:p w:rsidR="008465D3" w:rsidRPr="00E37C35" w:rsidP="00A37B1D" w14:paraId="7FCDEEC9" w14:textId="77777777">
            <w:pPr>
              <w:jc w:val="right"/>
              <w:rPr>
                <w:color w:val="000000" w:themeColor="text1"/>
                <w:sz w:val="20"/>
                <w:szCs w:val="20"/>
              </w:rPr>
            </w:pPr>
          </w:p>
        </w:tc>
        <w:tc>
          <w:tcPr>
            <w:tcW w:w="729" w:type="pct"/>
            <w:tcBorders>
              <w:bottom w:val="single" w:sz="4" w:space="0" w:color="auto"/>
            </w:tcBorders>
          </w:tcPr>
          <w:p w:rsidR="008465D3" w:rsidRPr="00E37C35" w:rsidP="00A37B1D" w14:paraId="1A4E863D" w14:textId="77777777">
            <w:pPr>
              <w:jc w:val="right"/>
              <w:rPr>
                <w:color w:val="000000" w:themeColor="text1"/>
                <w:sz w:val="20"/>
                <w:szCs w:val="20"/>
              </w:rPr>
            </w:pPr>
          </w:p>
        </w:tc>
        <w:tc>
          <w:tcPr>
            <w:tcW w:w="550" w:type="pct"/>
            <w:tcBorders>
              <w:bottom w:val="single" w:sz="4" w:space="0" w:color="auto"/>
            </w:tcBorders>
          </w:tcPr>
          <w:p w:rsidR="008465D3" w:rsidRPr="00E37C35" w:rsidP="00A37B1D" w14:paraId="51809751" w14:textId="604294AB">
            <w:pPr>
              <w:jc w:val="right"/>
              <w:rPr>
                <w:color w:val="000000" w:themeColor="text1"/>
                <w:sz w:val="20"/>
                <w:szCs w:val="20"/>
              </w:rPr>
            </w:pPr>
            <w:r w:rsidRPr="00E37C35">
              <w:rPr>
                <w:color w:val="000000" w:themeColor="text1"/>
                <w:sz w:val="20"/>
                <w:szCs w:val="20"/>
              </w:rPr>
              <w:t>37</w:t>
            </w:r>
          </w:p>
        </w:tc>
        <w:tc>
          <w:tcPr>
            <w:tcW w:w="643" w:type="pct"/>
            <w:tcBorders>
              <w:bottom w:val="single" w:sz="4" w:space="0" w:color="auto"/>
            </w:tcBorders>
          </w:tcPr>
          <w:p w:rsidR="008465D3" w:rsidRPr="00E37C35" w:rsidP="00A37B1D" w14:paraId="4D39F15E" w14:textId="77777777">
            <w:pPr>
              <w:jc w:val="right"/>
              <w:rPr>
                <w:color w:val="000000" w:themeColor="text1"/>
                <w:sz w:val="20"/>
                <w:szCs w:val="20"/>
              </w:rPr>
            </w:pPr>
          </w:p>
        </w:tc>
        <w:tc>
          <w:tcPr>
            <w:tcW w:w="689" w:type="pct"/>
          </w:tcPr>
          <w:p w:rsidR="008465D3" w:rsidRPr="00E37C35" w:rsidP="00A37B1D" w14:paraId="42ED6F0D" w14:textId="04EA41A0">
            <w:pPr>
              <w:jc w:val="right"/>
              <w:rPr>
                <w:color w:val="000000" w:themeColor="text1"/>
                <w:sz w:val="20"/>
                <w:szCs w:val="20"/>
              </w:rPr>
            </w:pPr>
            <w:r w:rsidRPr="00E37C35">
              <w:rPr>
                <w:color w:val="000000" w:themeColor="text1"/>
                <w:sz w:val="20"/>
                <w:szCs w:val="20"/>
              </w:rPr>
              <w:t xml:space="preserve">610 </w:t>
            </w:r>
          </w:p>
        </w:tc>
      </w:tr>
      <w:bookmarkEnd w:id="0"/>
    </w:tbl>
    <w:p w:rsidR="00890502" w:rsidRPr="00E37C35" w:rsidP="00A37B1D" w14:paraId="2423784F" w14:textId="77777777">
      <w:pPr>
        <w:rPr>
          <w:rFonts w:eastAsia="Calibri"/>
          <w:color w:val="000000" w:themeColor="text1"/>
        </w:rPr>
      </w:pPr>
    </w:p>
    <w:p w:rsidR="00357C8A" w:rsidRPr="005C71CA" w:rsidP="00DC371B" w14:paraId="17A6FC0C" w14:textId="7AFDC6AE">
      <w:pPr>
        <w:spacing w:after="200"/>
        <w:ind w:left="360"/>
        <w:rPr>
          <w:rFonts w:eastAsia="Calibri"/>
        </w:rPr>
      </w:pPr>
      <w:r w:rsidRPr="005C71CA">
        <w:rPr>
          <w:rFonts w:eastAsia="Calibri"/>
        </w:rPr>
        <w:t>12b.  Annualized Cost Burden Estimate</w:t>
      </w:r>
    </w:p>
    <w:p w:rsidR="00357C8A" w:rsidP="00A37B1D" w14:paraId="77C2DC43" w14:textId="7EB18AED">
      <w:pPr>
        <w:ind w:left="360"/>
      </w:pPr>
      <w:r w:rsidRPr="00593DF8">
        <w:t xml:space="preserve">We </w:t>
      </w:r>
      <w:r w:rsidR="003429DF">
        <w:t>estimate</w:t>
      </w:r>
      <w:r w:rsidRPr="00593DF8">
        <w:t xml:space="preserve"> </w:t>
      </w:r>
      <w:r w:rsidR="007C4764">
        <w:t xml:space="preserve">half of the total hours required </w:t>
      </w:r>
      <w:r w:rsidRPr="00593DF8" w:rsidR="00AF76AC">
        <w:t xml:space="preserve">for preparing and submitting the information collection requirements under </w:t>
      </w:r>
      <w:r w:rsidR="00AF76AC">
        <w:t>the EDST</w:t>
      </w:r>
      <w:r w:rsidR="0538F4C0">
        <w:t>P</w:t>
      </w:r>
      <w:r w:rsidR="00AF76AC">
        <w:t xml:space="preserve"> will be </w:t>
      </w:r>
      <w:r w:rsidR="00E825C2">
        <w:t xml:space="preserve">provided by </w:t>
      </w:r>
      <w:r w:rsidR="00A112AA">
        <w:t>a</w:t>
      </w:r>
      <w:r w:rsidR="00B16337">
        <w:t xml:space="preserve"> professional in computer and information systems </w:t>
      </w:r>
      <w:r w:rsidR="00AF76AC">
        <w:t>(</w:t>
      </w:r>
      <w:r w:rsidR="004249D6">
        <w:t>Bureau of Labor Statistics (</w:t>
      </w:r>
      <w:r w:rsidR="00AF76AC">
        <w:t>BLS</w:t>
      </w:r>
      <w:r w:rsidR="004249D6">
        <w:t>) Occupation code</w:t>
      </w:r>
      <w:r w:rsidR="00AF76AC">
        <w:t xml:space="preserve"> 11</w:t>
      </w:r>
      <w:r w:rsidR="0060002F">
        <w:t>-</w:t>
      </w:r>
      <w:r w:rsidR="00AF76AC">
        <w:t xml:space="preserve">3021) </w:t>
      </w:r>
      <w:r w:rsidR="0060002F">
        <w:t xml:space="preserve">with </w:t>
      </w:r>
      <w:r w:rsidRPr="00593DF8">
        <w:t xml:space="preserve">an </w:t>
      </w:r>
      <w:r w:rsidRPr="00593DF8">
        <w:t xml:space="preserve">average </w:t>
      </w:r>
      <w:r w:rsidR="00B92CC4">
        <w:t xml:space="preserve">AI </w:t>
      </w:r>
      <w:r w:rsidRPr="00593DF8">
        <w:t>industry wage of $</w:t>
      </w:r>
      <w:r w:rsidR="00B92CC4">
        <w:t>91.25</w:t>
      </w:r>
      <w:r w:rsidRPr="00593DF8">
        <w:t xml:space="preserve"> per hour </w:t>
      </w:r>
      <w:r w:rsidR="008A0199">
        <w:t>assisted by a</w:t>
      </w:r>
      <w:r w:rsidR="00CF53AC">
        <w:t>n executive administrative assistant</w:t>
      </w:r>
      <w:r w:rsidR="00CF44A4">
        <w:t xml:space="preserve"> (BLS </w:t>
      </w:r>
      <w:r w:rsidR="00023EFC">
        <w:t>43-6011)</w:t>
      </w:r>
      <w:r w:rsidR="00CF53AC">
        <w:t xml:space="preserve"> at</w:t>
      </w:r>
      <w:r w:rsidR="00023EFC">
        <w:t xml:space="preserve"> an average wage of </w:t>
      </w:r>
      <w:r w:rsidR="00CF53AC">
        <w:t>$39.51 per hour</w:t>
      </w:r>
      <w:r w:rsidR="00091C1D">
        <w:t xml:space="preserve"> for the remaining half of the total hours required.</w:t>
      </w:r>
      <w:r w:rsidRPr="00593DF8">
        <w:t xml:space="preserve">  </w:t>
      </w:r>
      <w:r w:rsidR="00717FAB">
        <w:t>T</w:t>
      </w:r>
      <w:r w:rsidRPr="00593DF8">
        <w:t xml:space="preserve">he cost to respondents is estimated </w:t>
      </w:r>
      <w:r w:rsidR="00A15F39">
        <w:t>to be $39,881.80.</w:t>
      </w:r>
    </w:p>
    <w:p w:rsidR="00A707CC" w:rsidP="0022425B" w14:paraId="661C976E" w14:textId="77777777">
      <w:pPr>
        <w:rPr>
          <w:rFonts w:eastAsia="Calibri"/>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1890"/>
        <w:gridCol w:w="1944"/>
        <w:gridCol w:w="2556"/>
      </w:tblGrid>
      <w:tr w14:paraId="6FB70BA5" w14:textId="77777777" w:rsidTr="001D394F">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30" w:type="dxa"/>
          </w:tcPr>
          <w:p w:rsidR="00A707CC" w:rsidP="00320D6C" w14:paraId="71EA397D" w14:textId="258141BC">
            <w:pPr>
              <w:jc w:val="center"/>
            </w:pPr>
            <w:r>
              <w:br/>
            </w:r>
            <w:r w:rsidRPr="00355B62">
              <w:t>Type of Respondent</w:t>
            </w:r>
          </w:p>
        </w:tc>
        <w:tc>
          <w:tcPr>
            <w:tcW w:w="1890" w:type="dxa"/>
          </w:tcPr>
          <w:p w:rsidR="00A707CC" w:rsidP="00320D6C" w14:paraId="41AC6B25" w14:textId="77777777">
            <w:pPr>
              <w:jc w:val="center"/>
            </w:pPr>
            <w:r>
              <w:t>Total Burden Hours</w:t>
            </w:r>
          </w:p>
        </w:tc>
        <w:tc>
          <w:tcPr>
            <w:tcW w:w="1944" w:type="dxa"/>
          </w:tcPr>
          <w:p w:rsidR="00A707CC" w:rsidP="00320D6C" w14:paraId="0E97324D" w14:textId="77777777">
            <w:pPr>
              <w:jc w:val="center"/>
            </w:pPr>
            <w:r>
              <w:t>Hourly Wage Rate</w:t>
            </w:r>
          </w:p>
        </w:tc>
        <w:tc>
          <w:tcPr>
            <w:tcW w:w="2556" w:type="dxa"/>
          </w:tcPr>
          <w:p w:rsidR="00A707CC" w:rsidP="00320D6C" w14:paraId="59716EDD" w14:textId="77777777">
            <w:pPr>
              <w:jc w:val="center"/>
            </w:pPr>
            <w:r>
              <w:t>Total Respondent Costs</w:t>
            </w:r>
          </w:p>
        </w:tc>
      </w:tr>
      <w:tr w14:paraId="07B8E1C5" w14:textId="77777777" w:rsidTr="001D394F">
        <w:tblPrEx>
          <w:tblW w:w="9720" w:type="dxa"/>
          <w:tblInd w:w="18" w:type="dxa"/>
          <w:tblLook w:val="01E0"/>
        </w:tblPrEx>
        <w:tc>
          <w:tcPr>
            <w:tcW w:w="3330" w:type="dxa"/>
          </w:tcPr>
          <w:p w:rsidR="00697AE7" w:rsidP="001D394F" w14:paraId="5D044165" w14:textId="08161DEC">
            <w:pPr>
              <w:jc w:val="center"/>
            </w:pPr>
            <w:r w:rsidRPr="00F706E0">
              <w:t>Computer and Information Systems Managers</w:t>
            </w:r>
            <w:r>
              <w:t xml:space="preserve"> </w:t>
            </w:r>
          </w:p>
          <w:p w:rsidR="00D4310B" w:rsidP="001D394F" w14:paraId="0A7B1140" w14:textId="130A04B7">
            <w:pPr>
              <w:jc w:val="center"/>
            </w:pPr>
            <w:r>
              <w:t>(BLS 11-30</w:t>
            </w:r>
            <w:r w:rsidR="00AC78BE">
              <w:t>2</w:t>
            </w:r>
            <w:r>
              <w:t xml:space="preserve">1) </w:t>
            </w:r>
            <w:r w:rsidR="00C77E0B">
              <w:t>-</w:t>
            </w:r>
          </w:p>
          <w:p w:rsidR="00612DA6" w:rsidP="001D394F" w14:paraId="5C46A057" w14:textId="7E6A8F52">
            <w:pPr>
              <w:jc w:val="center"/>
            </w:pPr>
            <w:r>
              <w:t>Management, Scientific, and Technical Consulting Services</w:t>
            </w:r>
          </w:p>
        </w:tc>
        <w:tc>
          <w:tcPr>
            <w:tcW w:w="1890" w:type="dxa"/>
          </w:tcPr>
          <w:p w:rsidR="00A707CC" w:rsidP="001D394F" w14:paraId="1C821CEC" w14:textId="7811C74E">
            <w:pPr>
              <w:jc w:val="center"/>
            </w:pPr>
            <w:r>
              <w:t xml:space="preserve">305 </w:t>
            </w:r>
          </w:p>
        </w:tc>
        <w:tc>
          <w:tcPr>
            <w:tcW w:w="1944" w:type="dxa"/>
          </w:tcPr>
          <w:p w:rsidR="00A707CC" w:rsidP="001D394F" w14:paraId="7D13E8C8" w14:textId="6612F91D">
            <w:pPr>
              <w:jc w:val="center"/>
            </w:pPr>
            <w:r>
              <w:t>$91.25</w:t>
            </w:r>
          </w:p>
          <w:p w:rsidR="00B6753A" w:rsidP="001D394F" w14:paraId="469C521D" w14:textId="06C6360B">
            <w:pPr>
              <w:jc w:val="center"/>
            </w:pPr>
          </w:p>
        </w:tc>
        <w:tc>
          <w:tcPr>
            <w:tcW w:w="2556" w:type="dxa"/>
          </w:tcPr>
          <w:p w:rsidR="00A707CC" w:rsidP="001D394F" w14:paraId="76070E34" w14:textId="5D17E715">
            <w:pPr>
              <w:jc w:val="center"/>
            </w:pPr>
            <w:r>
              <w:t>$</w:t>
            </w:r>
            <w:r w:rsidR="00264B4E">
              <w:t>27,831.25</w:t>
            </w:r>
          </w:p>
        </w:tc>
      </w:tr>
      <w:tr w14:paraId="4F59D506" w14:textId="77777777" w:rsidTr="001D394F">
        <w:tblPrEx>
          <w:tblW w:w="9720" w:type="dxa"/>
          <w:tblInd w:w="18" w:type="dxa"/>
          <w:tblLook w:val="01E0"/>
        </w:tblPrEx>
        <w:tc>
          <w:tcPr>
            <w:tcW w:w="3330" w:type="dxa"/>
          </w:tcPr>
          <w:p w:rsidR="00FD3EB3" w:rsidP="001D394F" w14:paraId="5B476BD4" w14:textId="4A4DA43E">
            <w:pPr>
              <w:jc w:val="center"/>
            </w:pPr>
            <w:r>
              <w:t>Executive Administrative Assistants (BLS 43-6011</w:t>
            </w:r>
            <w:r w:rsidR="009C0B5D">
              <w:t>)</w:t>
            </w:r>
            <w:r w:rsidR="00C77E0B">
              <w:t xml:space="preserve"> – Management of Companies and Enterprises</w:t>
            </w:r>
          </w:p>
        </w:tc>
        <w:tc>
          <w:tcPr>
            <w:tcW w:w="1890" w:type="dxa"/>
          </w:tcPr>
          <w:p w:rsidR="00FD3EB3" w:rsidP="001D394F" w14:paraId="5E007C6E" w14:textId="792B5FE9">
            <w:pPr>
              <w:jc w:val="center"/>
            </w:pPr>
            <w:r>
              <w:t>305</w:t>
            </w:r>
          </w:p>
        </w:tc>
        <w:tc>
          <w:tcPr>
            <w:tcW w:w="1944" w:type="dxa"/>
          </w:tcPr>
          <w:p w:rsidR="00FD3EB3" w:rsidP="001D394F" w14:paraId="53B26EB0" w14:textId="6ACF05AC">
            <w:pPr>
              <w:jc w:val="center"/>
            </w:pPr>
            <w:r>
              <w:t>$39.51</w:t>
            </w:r>
          </w:p>
        </w:tc>
        <w:tc>
          <w:tcPr>
            <w:tcW w:w="2556" w:type="dxa"/>
          </w:tcPr>
          <w:p w:rsidR="00FD3EB3" w:rsidP="001D394F" w14:paraId="7F4D30E6" w14:textId="114201BA">
            <w:pPr>
              <w:jc w:val="center"/>
            </w:pPr>
            <w:r>
              <w:t>$12,050.55</w:t>
            </w:r>
          </w:p>
        </w:tc>
      </w:tr>
      <w:tr w14:paraId="38A2B6D0" w14:textId="77777777" w:rsidTr="001D394F">
        <w:tblPrEx>
          <w:tblW w:w="9720" w:type="dxa"/>
          <w:tblInd w:w="18" w:type="dxa"/>
          <w:tblLook w:val="01E0"/>
        </w:tblPrEx>
        <w:tc>
          <w:tcPr>
            <w:tcW w:w="3330" w:type="dxa"/>
          </w:tcPr>
          <w:p w:rsidR="00BD25FF" w:rsidP="001D394F" w14:paraId="700FEB86" w14:textId="1E463E43">
            <w:pPr>
              <w:jc w:val="center"/>
            </w:pPr>
            <w:r>
              <w:t>T</w:t>
            </w:r>
            <w:r w:rsidR="00A508E7">
              <w:t>otal</w:t>
            </w:r>
          </w:p>
        </w:tc>
        <w:tc>
          <w:tcPr>
            <w:tcW w:w="1890" w:type="dxa"/>
          </w:tcPr>
          <w:p w:rsidR="00BD25FF" w:rsidP="001D394F" w14:paraId="2DCB64F9" w14:textId="77777777">
            <w:pPr>
              <w:jc w:val="center"/>
            </w:pPr>
          </w:p>
        </w:tc>
        <w:tc>
          <w:tcPr>
            <w:tcW w:w="1944" w:type="dxa"/>
          </w:tcPr>
          <w:p w:rsidR="00BD25FF" w:rsidP="001D394F" w14:paraId="6EED7082" w14:textId="77777777">
            <w:pPr>
              <w:jc w:val="center"/>
            </w:pPr>
          </w:p>
        </w:tc>
        <w:tc>
          <w:tcPr>
            <w:tcW w:w="2556" w:type="dxa"/>
          </w:tcPr>
          <w:p w:rsidR="00BD25FF" w:rsidP="001D394F" w14:paraId="26021314" w14:textId="5EEA6AB3">
            <w:pPr>
              <w:jc w:val="center"/>
            </w:pPr>
            <w:r>
              <w:t>$39,881.80</w:t>
            </w:r>
          </w:p>
        </w:tc>
      </w:tr>
    </w:tbl>
    <w:p w:rsidR="00357C8A" w:rsidRPr="00357C8A" w:rsidP="00357C8A" w14:paraId="7B7C4D9C" w14:textId="77777777">
      <w:pPr>
        <w:rPr>
          <w:rFonts w:eastAsia="Calibri"/>
        </w:rPr>
      </w:pPr>
    </w:p>
    <w:p w:rsidR="00357C8A" w:rsidRPr="00357C8A" w:rsidP="006705EA" w14:paraId="6ABA5261"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37BF6" w:rsidP="00237BF6" w14:paraId="71F7625A" w14:textId="77777777">
      <w:pPr>
        <w:rPr>
          <w:color w:val="000000"/>
        </w:rPr>
      </w:pPr>
      <w:r w:rsidRPr="00237BF6">
        <w:rPr>
          <w:color w:val="000000"/>
        </w:rPr>
        <w:t xml:space="preserve">There are no other annual or capital costs to respondents. </w:t>
      </w:r>
    </w:p>
    <w:p w:rsidR="00A508E7" w:rsidRPr="00237BF6" w:rsidP="00237BF6" w14:paraId="6430D6C3" w14:textId="77777777">
      <w:pPr>
        <w:rPr>
          <w:color w:val="000000"/>
        </w:rPr>
      </w:pPr>
    </w:p>
    <w:p w:rsidR="00357C8A" w:rsidRPr="00357C8A" w:rsidP="006705EA" w14:paraId="3A1F129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4"/>
        <w:gridCol w:w="1221"/>
        <w:gridCol w:w="1628"/>
        <w:gridCol w:w="1869"/>
        <w:gridCol w:w="1872"/>
      </w:tblGrid>
      <w:tr w14:paraId="7F4DC5C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70" w:type="dxa"/>
          </w:tcPr>
          <w:p w:rsidR="003A3E1A" w:rsidRPr="001D394F" w14:paraId="3860880F" w14:textId="5C88311D">
            <w:pPr>
              <w:spacing w:after="200"/>
              <w:rPr>
                <w:rFonts w:eastAsia="Calibri"/>
                <w:sz w:val="20"/>
                <w:szCs w:val="20"/>
              </w:rPr>
            </w:pPr>
            <w:r w:rsidRPr="001D394F">
              <w:rPr>
                <w:rFonts w:eastAsia="Calibri"/>
                <w:sz w:val="20"/>
                <w:szCs w:val="20"/>
              </w:rPr>
              <w:t>Activity</w:t>
            </w:r>
          </w:p>
        </w:tc>
        <w:tc>
          <w:tcPr>
            <w:tcW w:w="1229" w:type="dxa"/>
          </w:tcPr>
          <w:p w:rsidR="003A3E1A" w:rsidRPr="001D394F" w14:paraId="6A506FC1" w14:textId="35F88423">
            <w:pPr>
              <w:spacing w:after="200"/>
              <w:rPr>
                <w:rFonts w:eastAsia="Calibri"/>
                <w:sz w:val="20"/>
                <w:szCs w:val="20"/>
              </w:rPr>
            </w:pPr>
            <w:r w:rsidRPr="001D394F">
              <w:rPr>
                <w:rFonts w:eastAsia="Calibri"/>
                <w:sz w:val="20"/>
                <w:szCs w:val="20"/>
              </w:rPr>
              <w:t>Frequency (per year)</w:t>
            </w:r>
          </w:p>
        </w:tc>
        <w:tc>
          <w:tcPr>
            <w:tcW w:w="1667" w:type="dxa"/>
          </w:tcPr>
          <w:p w:rsidR="003A3E1A" w:rsidRPr="001D394F" w14:paraId="2ADC23D2" w14:textId="0972CBA9">
            <w:pPr>
              <w:spacing w:after="200"/>
              <w:rPr>
                <w:rFonts w:eastAsia="Calibri"/>
                <w:sz w:val="20"/>
                <w:szCs w:val="20"/>
              </w:rPr>
            </w:pPr>
            <w:r w:rsidRPr="001D394F">
              <w:rPr>
                <w:rFonts w:eastAsia="Calibri"/>
                <w:sz w:val="20"/>
                <w:szCs w:val="20"/>
              </w:rPr>
              <w:t>Burden Hours</w:t>
            </w:r>
          </w:p>
        </w:tc>
        <w:tc>
          <w:tcPr>
            <w:tcW w:w="1927" w:type="dxa"/>
          </w:tcPr>
          <w:p w:rsidR="003A3E1A" w:rsidRPr="001D394F" w14:paraId="5A56E78F" w14:textId="2C4ED962">
            <w:pPr>
              <w:spacing w:after="200"/>
              <w:rPr>
                <w:rFonts w:eastAsia="Calibri"/>
                <w:sz w:val="20"/>
                <w:szCs w:val="20"/>
              </w:rPr>
            </w:pPr>
            <w:r w:rsidRPr="001D394F">
              <w:rPr>
                <w:rFonts w:eastAsia="Calibri"/>
                <w:sz w:val="20"/>
                <w:szCs w:val="20"/>
              </w:rPr>
              <w:t>No. of FTEs</w:t>
            </w:r>
          </w:p>
        </w:tc>
        <w:tc>
          <w:tcPr>
            <w:tcW w:w="1927" w:type="dxa"/>
          </w:tcPr>
          <w:p w:rsidR="003A3E1A" w:rsidRPr="001D394F" w14:paraId="52FE4299" w14:textId="69417DE1">
            <w:pPr>
              <w:spacing w:after="200"/>
              <w:rPr>
                <w:rFonts w:eastAsia="Calibri"/>
                <w:sz w:val="20"/>
                <w:szCs w:val="20"/>
              </w:rPr>
            </w:pPr>
            <w:r w:rsidRPr="001D394F">
              <w:rPr>
                <w:rFonts w:eastAsia="Calibri"/>
                <w:sz w:val="20"/>
                <w:szCs w:val="20"/>
              </w:rPr>
              <w:t>Total Hours</w:t>
            </w:r>
          </w:p>
        </w:tc>
      </w:tr>
      <w:tr w14:paraId="376234C0" w14:textId="77777777">
        <w:tblPrEx>
          <w:tblW w:w="0" w:type="auto"/>
          <w:tblLook w:val="04A0"/>
        </w:tblPrEx>
        <w:tc>
          <w:tcPr>
            <w:tcW w:w="2970" w:type="dxa"/>
          </w:tcPr>
          <w:p w:rsidR="003A3E1A" w:rsidRPr="001D394F" w14:paraId="65A8D667" w14:textId="4A91836F">
            <w:pPr>
              <w:spacing w:after="200"/>
              <w:rPr>
                <w:rFonts w:eastAsia="Calibri"/>
                <w:sz w:val="20"/>
                <w:szCs w:val="20"/>
              </w:rPr>
            </w:pPr>
            <w:r w:rsidRPr="001D394F">
              <w:rPr>
                <w:rFonts w:eastAsia="Calibri"/>
                <w:sz w:val="20"/>
                <w:szCs w:val="20"/>
              </w:rPr>
              <w:t>EDSTM</w:t>
            </w:r>
          </w:p>
        </w:tc>
        <w:tc>
          <w:tcPr>
            <w:tcW w:w="1229" w:type="dxa"/>
          </w:tcPr>
          <w:p w:rsidR="003A3E1A" w:rsidRPr="001D394F" w14:paraId="19362455" w14:textId="0BB2293C">
            <w:pPr>
              <w:spacing w:after="200"/>
              <w:rPr>
                <w:rFonts w:eastAsia="Calibri"/>
                <w:sz w:val="20"/>
                <w:szCs w:val="20"/>
              </w:rPr>
            </w:pPr>
            <w:r w:rsidRPr="001D394F">
              <w:rPr>
                <w:rFonts w:eastAsia="Calibri"/>
                <w:sz w:val="20"/>
                <w:szCs w:val="20"/>
              </w:rPr>
              <w:t>12</w:t>
            </w:r>
          </w:p>
        </w:tc>
        <w:tc>
          <w:tcPr>
            <w:tcW w:w="1667" w:type="dxa"/>
          </w:tcPr>
          <w:p w:rsidR="003A3E1A" w:rsidRPr="001D394F" w14:paraId="4D1C8E78" w14:textId="09C35BDD">
            <w:pPr>
              <w:spacing w:after="200"/>
              <w:rPr>
                <w:rFonts w:eastAsia="Calibri"/>
                <w:sz w:val="20"/>
                <w:szCs w:val="20"/>
              </w:rPr>
            </w:pPr>
            <w:r w:rsidRPr="001D394F">
              <w:rPr>
                <w:rFonts w:eastAsia="Calibri"/>
                <w:sz w:val="20"/>
                <w:szCs w:val="20"/>
              </w:rPr>
              <w:t>1.5</w:t>
            </w:r>
          </w:p>
        </w:tc>
        <w:tc>
          <w:tcPr>
            <w:tcW w:w="1927" w:type="dxa"/>
          </w:tcPr>
          <w:p w:rsidR="003A3E1A" w:rsidRPr="001D394F" w14:paraId="5B927745" w14:textId="69004252">
            <w:pPr>
              <w:spacing w:after="200"/>
              <w:rPr>
                <w:rFonts w:eastAsia="Calibri"/>
                <w:sz w:val="20"/>
                <w:szCs w:val="20"/>
              </w:rPr>
            </w:pPr>
            <w:r>
              <w:rPr>
                <w:rFonts w:eastAsia="Calibri"/>
                <w:sz w:val="20"/>
                <w:szCs w:val="20"/>
              </w:rPr>
              <w:t>20</w:t>
            </w:r>
          </w:p>
        </w:tc>
        <w:tc>
          <w:tcPr>
            <w:tcW w:w="1927" w:type="dxa"/>
          </w:tcPr>
          <w:p w:rsidR="003A3E1A" w:rsidRPr="001D394F" w14:paraId="1CF67E91" w14:textId="08A08F6F">
            <w:pPr>
              <w:spacing w:after="200"/>
              <w:rPr>
                <w:rFonts w:eastAsia="Calibri"/>
                <w:sz w:val="20"/>
                <w:szCs w:val="20"/>
              </w:rPr>
            </w:pPr>
            <w:r w:rsidRPr="001D394F">
              <w:rPr>
                <w:rFonts w:eastAsia="Calibri"/>
                <w:sz w:val="20"/>
                <w:szCs w:val="20"/>
              </w:rPr>
              <w:t>360</w:t>
            </w:r>
          </w:p>
        </w:tc>
      </w:tr>
      <w:tr w14:paraId="63B2D14A" w14:textId="77777777">
        <w:tblPrEx>
          <w:tblW w:w="0" w:type="auto"/>
          <w:tblLook w:val="04A0"/>
        </w:tblPrEx>
        <w:tc>
          <w:tcPr>
            <w:tcW w:w="2970" w:type="dxa"/>
          </w:tcPr>
          <w:p w:rsidR="003A3E1A" w:rsidRPr="001D394F" w14:paraId="4D8E8CCE" w14:textId="739E8896">
            <w:pPr>
              <w:spacing w:after="200"/>
              <w:rPr>
                <w:rFonts w:eastAsia="Calibri"/>
                <w:sz w:val="20"/>
                <w:szCs w:val="20"/>
              </w:rPr>
            </w:pPr>
            <w:r w:rsidRPr="001D394F">
              <w:rPr>
                <w:rFonts w:eastAsia="Calibri"/>
                <w:sz w:val="20"/>
                <w:szCs w:val="20"/>
              </w:rPr>
              <w:t>EDSTM Pre-meeting</w:t>
            </w:r>
          </w:p>
        </w:tc>
        <w:tc>
          <w:tcPr>
            <w:tcW w:w="1229" w:type="dxa"/>
          </w:tcPr>
          <w:p w:rsidR="003A3E1A" w:rsidRPr="001D394F" w14:paraId="70BC999E" w14:textId="02305936">
            <w:pPr>
              <w:spacing w:after="200"/>
              <w:rPr>
                <w:rFonts w:eastAsia="Calibri"/>
                <w:sz w:val="20"/>
                <w:szCs w:val="20"/>
              </w:rPr>
            </w:pPr>
            <w:r w:rsidRPr="001D394F">
              <w:rPr>
                <w:rFonts w:eastAsia="Calibri"/>
                <w:sz w:val="20"/>
                <w:szCs w:val="20"/>
              </w:rPr>
              <w:t>12</w:t>
            </w:r>
          </w:p>
        </w:tc>
        <w:tc>
          <w:tcPr>
            <w:tcW w:w="1667" w:type="dxa"/>
          </w:tcPr>
          <w:p w:rsidR="003A3E1A" w:rsidRPr="001D394F" w14:paraId="0E5E39FD" w14:textId="037CE67E">
            <w:pPr>
              <w:spacing w:after="200"/>
              <w:rPr>
                <w:rFonts w:eastAsia="Calibri"/>
                <w:sz w:val="20"/>
                <w:szCs w:val="20"/>
              </w:rPr>
            </w:pPr>
            <w:r w:rsidRPr="001D394F">
              <w:rPr>
                <w:rFonts w:eastAsia="Calibri"/>
                <w:sz w:val="20"/>
                <w:szCs w:val="20"/>
              </w:rPr>
              <w:t>1</w:t>
            </w:r>
          </w:p>
        </w:tc>
        <w:tc>
          <w:tcPr>
            <w:tcW w:w="1927" w:type="dxa"/>
          </w:tcPr>
          <w:p w:rsidR="003A3E1A" w:rsidRPr="001D394F" w14:paraId="4FE34E7D" w14:textId="327DC092">
            <w:pPr>
              <w:spacing w:after="200"/>
              <w:rPr>
                <w:rFonts w:eastAsia="Calibri"/>
                <w:sz w:val="20"/>
                <w:szCs w:val="20"/>
              </w:rPr>
            </w:pPr>
            <w:r w:rsidRPr="001D394F">
              <w:rPr>
                <w:rFonts w:eastAsia="Calibri"/>
                <w:sz w:val="20"/>
                <w:szCs w:val="20"/>
              </w:rPr>
              <w:t>20</w:t>
            </w:r>
          </w:p>
        </w:tc>
        <w:tc>
          <w:tcPr>
            <w:tcW w:w="1927" w:type="dxa"/>
          </w:tcPr>
          <w:p w:rsidR="003A3E1A" w:rsidRPr="001D394F" w14:paraId="5E46F85C" w14:textId="688EA11A">
            <w:pPr>
              <w:spacing w:after="200"/>
              <w:rPr>
                <w:rFonts w:eastAsia="Calibri"/>
                <w:sz w:val="20"/>
                <w:szCs w:val="20"/>
              </w:rPr>
            </w:pPr>
            <w:r w:rsidRPr="001D394F">
              <w:rPr>
                <w:rFonts w:eastAsia="Calibri"/>
                <w:sz w:val="20"/>
                <w:szCs w:val="20"/>
              </w:rPr>
              <w:t>240</w:t>
            </w:r>
          </w:p>
        </w:tc>
      </w:tr>
      <w:tr w14:paraId="28116F33" w14:textId="77777777">
        <w:tblPrEx>
          <w:tblW w:w="0" w:type="auto"/>
          <w:tblLook w:val="04A0"/>
        </w:tblPrEx>
        <w:tc>
          <w:tcPr>
            <w:tcW w:w="2970" w:type="dxa"/>
          </w:tcPr>
          <w:p w:rsidR="003A3E1A" w:rsidRPr="001D394F" w14:paraId="5E13E4FD" w14:textId="2945E80A">
            <w:pPr>
              <w:spacing w:after="200"/>
              <w:rPr>
                <w:rFonts w:eastAsia="Calibri"/>
                <w:sz w:val="20"/>
                <w:szCs w:val="20"/>
              </w:rPr>
            </w:pPr>
            <w:r w:rsidRPr="001D394F">
              <w:rPr>
                <w:rFonts w:eastAsia="Calibri"/>
                <w:sz w:val="20"/>
                <w:szCs w:val="20"/>
              </w:rPr>
              <w:t>EDSTP Meetings (Program)</w:t>
            </w:r>
          </w:p>
        </w:tc>
        <w:tc>
          <w:tcPr>
            <w:tcW w:w="1229" w:type="dxa"/>
          </w:tcPr>
          <w:p w:rsidR="003A3E1A" w:rsidRPr="001D394F" w14:paraId="3C44A756" w14:textId="6FDE46BC">
            <w:pPr>
              <w:spacing w:after="200"/>
              <w:rPr>
                <w:rFonts w:eastAsia="Calibri"/>
                <w:sz w:val="20"/>
                <w:szCs w:val="20"/>
              </w:rPr>
            </w:pPr>
            <w:r w:rsidRPr="001D394F">
              <w:rPr>
                <w:rFonts w:eastAsia="Calibri"/>
                <w:sz w:val="20"/>
                <w:szCs w:val="20"/>
              </w:rPr>
              <w:t>12</w:t>
            </w:r>
          </w:p>
        </w:tc>
        <w:tc>
          <w:tcPr>
            <w:tcW w:w="1667" w:type="dxa"/>
          </w:tcPr>
          <w:p w:rsidR="003A3E1A" w:rsidRPr="001D394F" w14:paraId="30D45786" w14:textId="1BFA3346">
            <w:pPr>
              <w:spacing w:after="200"/>
              <w:rPr>
                <w:rFonts w:eastAsia="Calibri"/>
                <w:sz w:val="20"/>
                <w:szCs w:val="20"/>
              </w:rPr>
            </w:pPr>
            <w:r w:rsidRPr="001D394F">
              <w:rPr>
                <w:rFonts w:eastAsia="Calibri"/>
                <w:sz w:val="20"/>
                <w:szCs w:val="20"/>
              </w:rPr>
              <w:t>1</w:t>
            </w:r>
          </w:p>
        </w:tc>
        <w:tc>
          <w:tcPr>
            <w:tcW w:w="1927" w:type="dxa"/>
          </w:tcPr>
          <w:p w:rsidR="003A3E1A" w:rsidRPr="001D394F" w14:paraId="5D2E7BE1" w14:textId="21E3194A">
            <w:pPr>
              <w:spacing w:after="200"/>
              <w:rPr>
                <w:rFonts w:eastAsia="Calibri"/>
                <w:sz w:val="20"/>
                <w:szCs w:val="20"/>
              </w:rPr>
            </w:pPr>
            <w:r w:rsidRPr="001D394F">
              <w:rPr>
                <w:rFonts w:eastAsia="Calibri"/>
                <w:sz w:val="20"/>
                <w:szCs w:val="20"/>
              </w:rPr>
              <w:t>14</w:t>
            </w:r>
          </w:p>
        </w:tc>
        <w:tc>
          <w:tcPr>
            <w:tcW w:w="1927" w:type="dxa"/>
          </w:tcPr>
          <w:p w:rsidR="003A3E1A" w:rsidRPr="001D394F" w14:paraId="5B535C86" w14:textId="6EFFBFA1">
            <w:pPr>
              <w:spacing w:after="200"/>
              <w:rPr>
                <w:rFonts w:eastAsia="Calibri"/>
                <w:sz w:val="20"/>
                <w:szCs w:val="20"/>
              </w:rPr>
            </w:pPr>
            <w:r w:rsidRPr="001D394F">
              <w:rPr>
                <w:rFonts w:eastAsia="Calibri"/>
                <w:sz w:val="20"/>
                <w:szCs w:val="20"/>
              </w:rPr>
              <w:t>168</w:t>
            </w:r>
          </w:p>
        </w:tc>
      </w:tr>
      <w:tr w14:paraId="648919DD" w14:textId="77777777">
        <w:tblPrEx>
          <w:tblW w:w="0" w:type="auto"/>
          <w:tblLook w:val="04A0"/>
        </w:tblPrEx>
        <w:tc>
          <w:tcPr>
            <w:tcW w:w="2970" w:type="dxa"/>
          </w:tcPr>
          <w:p w:rsidR="003A3E1A" w:rsidRPr="001D394F" w14:paraId="3FE3CE4B" w14:textId="73FF858F">
            <w:pPr>
              <w:spacing w:after="200"/>
              <w:rPr>
                <w:rFonts w:eastAsia="Calibri"/>
                <w:sz w:val="20"/>
                <w:szCs w:val="20"/>
              </w:rPr>
            </w:pPr>
            <w:r w:rsidRPr="001D394F">
              <w:rPr>
                <w:rFonts w:eastAsia="Calibri"/>
                <w:sz w:val="20"/>
                <w:szCs w:val="20"/>
              </w:rPr>
              <w:t>EDSTM Decisional Meetings</w:t>
            </w:r>
          </w:p>
        </w:tc>
        <w:tc>
          <w:tcPr>
            <w:tcW w:w="1229" w:type="dxa"/>
          </w:tcPr>
          <w:p w:rsidR="003A3E1A" w:rsidRPr="001D394F" w14:paraId="216DFA20" w14:textId="5ADDE202">
            <w:pPr>
              <w:spacing w:after="200"/>
              <w:rPr>
                <w:rFonts w:eastAsia="Calibri"/>
                <w:sz w:val="20"/>
                <w:szCs w:val="20"/>
              </w:rPr>
            </w:pPr>
            <w:r w:rsidRPr="001D394F">
              <w:rPr>
                <w:rFonts w:eastAsia="Calibri"/>
                <w:sz w:val="20"/>
                <w:szCs w:val="20"/>
              </w:rPr>
              <w:t>4</w:t>
            </w:r>
          </w:p>
        </w:tc>
        <w:tc>
          <w:tcPr>
            <w:tcW w:w="1667" w:type="dxa"/>
          </w:tcPr>
          <w:p w:rsidR="003A3E1A" w:rsidRPr="001D394F" w14:paraId="1321602A" w14:textId="0D3440DE">
            <w:pPr>
              <w:spacing w:after="200"/>
              <w:rPr>
                <w:rFonts w:eastAsia="Calibri"/>
                <w:sz w:val="20"/>
                <w:szCs w:val="20"/>
              </w:rPr>
            </w:pPr>
            <w:r w:rsidRPr="001D394F">
              <w:rPr>
                <w:rFonts w:eastAsia="Calibri"/>
                <w:sz w:val="20"/>
                <w:szCs w:val="20"/>
              </w:rPr>
              <w:t>1</w:t>
            </w:r>
          </w:p>
        </w:tc>
        <w:tc>
          <w:tcPr>
            <w:tcW w:w="1927" w:type="dxa"/>
          </w:tcPr>
          <w:p w:rsidR="003A3E1A" w:rsidRPr="001D394F" w14:paraId="0272EA20" w14:textId="01CEF34A">
            <w:pPr>
              <w:spacing w:after="200"/>
              <w:rPr>
                <w:rFonts w:eastAsia="Calibri"/>
                <w:sz w:val="20"/>
                <w:szCs w:val="20"/>
              </w:rPr>
            </w:pPr>
            <w:r w:rsidRPr="001D394F">
              <w:rPr>
                <w:rFonts w:eastAsia="Calibri"/>
                <w:sz w:val="20"/>
                <w:szCs w:val="20"/>
              </w:rPr>
              <w:t>14</w:t>
            </w:r>
          </w:p>
        </w:tc>
        <w:tc>
          <w:tcPr>
            <w:tcW w:w="1927" w:type="dxa"/>
          </w:tcPr>
          <w:p w:rsidR="003A3E1A" w:rsidRPr="001D394F" w14:paraId="717D9F65" w14:textId="77777777">
            <w:pPr>
              <w:spacing w:after="200"/>
              <w:rPr>
                <w:rFonts w:eastAsia="Calibri"/>
                <w:sz w:val="20"/>
                <w:szCs w:val="20"/>
              </w:rPr>
            </w:pPr>
            <w:r w:rsidRPr="001D394F">
              <w:rPr>
                <w:rFonts w:eastAsia="Calibri"/>
                <w:sz w:val="20"/>
                <w:szCs w:val="20"/>
              </w:rPr>
              <w:t>56</w:t>
            </w:r>
          </w:p>
          <w:p w:rsidR="002D2B67" w:rsidRPr="001D394F" w14:paraId="0D8C9051" w14:textId="4B4D59DF">
            <w:pPr>
              <w:spacing w:after="200"/>
              <w:rPr>
                <w:rFonts w:eastAsia="Calibri"/>
                <w:sz w:val="20"/>
                <w:szCs w:val="20"/>
              </w:rPr>
            </w:pPr>
          </w:p>
        </w:tc>
      </w:tr>
      <w:tr w14:paraId="67F6C69C" w14:textId="77777777">
        <w:tblPrEx>
          <w:tblW w:w="0" w:type="auto"/>
          <w:tblLook w:val="04A0"/>
        </w:tblPrEx>
        <w:tc>
          <w:tcPr>
            <w:tcW w:w="2970" w:type="dxa"/>
          </w:tcPr>
          <w:p w:rsidR="003A3E1A" w:rsidRPr="001D394F" w14:paraId="7AB22B18" w14:textId="3E7F7C02">
            <w:pPr>
              <w:spacing w:after="200"/>
              <w:rPr>
                <w:rFonts w:eastAsia="Calibri"/>
                <w:sz w:val="20"/>
                <w:szCs w:val="20"/>
              </w:rPr>
            </w:pPr>
            <w:r w:rsidRPr="001D394F">
              <w:rPr>
                <w:rFonts w:eastAsia="Calibri"/>
                <w:sz w:val="20"/>
                <w:szCs w:val="20"/>
              </w:rPr>
              <w:t xml:space="preserve">Email Communication </w:t>
            </w:r>
            <w:r w:rsidRPr="001D394F" w:rsidR="00B466E8">
              <w:rPr>
                <w:rFonts w:eastAsia="Calibri"/>
                <w:sz w:val="20"/>
                <w:szCs w:val="20"/>
              </w:rPr>
              <w:t>– Eligibility</w:t>
            </w:r>
          </w:p>
        </w:tc>
        <w:tc>
          <w:tcPr>
            <w:tcW w:w="1229" w:type="dxa"/>
          </w:tcPr>
          <w:p w:rsidR="003A3E1A" w:rsidRPr="001D394F" w14:paraId="202C2292" w14:textId="14FE4FB3">
            <w:pPr>
              <w:spacing w:after="200"/>
              <w:rPr>
                <w:rFonts w:eastAsia="Calibri"/>
                <w:sz w:val="20"/>
                <w:szCs w:val="20"/>
              </w:rPr>
            </w:pPr>
            <w:r w:rsidRPr="001D394F">
              <w:rPr>
                <w:rFonts w:eastAsia="Calibri"/>
                <w:sz w:val="20"/>
                <w:szCs w:val="20"/>
              </w:rPr>
              <w:t>24</w:t>
            </w:r>
          </w:p>
        </w:tc>
        <w:tc>
          <w:tcPr>
            <w:tcW w:w="1667" w:type="dxa"/>
          </w:tcPr>
          <w:p w:rsidR="003A3E1A" w:rsidRPr="001D394F" w14:paraId="5836EF6A" w14:textId="1FA3084E">
            <w:pPr>
              <w:spacing w:after="200"/>
              <w:rPr>
                <w:rFonts w:eastAsia="Calibri"/>
                <w:sz w:val="20"/>
                <w:szCs w:val="20"/>
              </w:rPr>
            </w:pPr>
            <w:r w:rsidRPr="001D394F">
              <w:rPr>
                <w:rFonts w:eastAsia="Calibri"/>
                <w:sz w:val="20"/>
                <w:szCs w:val="20"/>
              </w:rPr>
              <w:t>0</w:t>
            </w:r>
            <w:r w:rsidRPr="001D394F" w:rsidR="00B466E8">
              <w:rPr>
                <w:rFonts w:eastAsia="Calibri"/>
                <w:sz w:val="20"/>
                <w:szCs w:val="20"/>
              </w:rPr>
              <w:t>.125</w:t>
            </w:r>
          </w:p>
        </w:tc>
        <w:tc>
          <w:tcPr>
            <w:tcW w:w="1927" w:type="dxa"/>
          </w:tcPr>
          <w:p w:rsidR="003A3E1A" w:rsidRPr="001D394F" w14:paraId="4E8B8E13" w14:textId="509CAA22">
            <w:pPr>
              <w:spacing w:after="200"/>
              <w:rPr>
                <w:rFonts w:eastAsia="Calibri"/>
                <w:sz w:val="20"/>
                <w:szCs w:val="20"/>
              </w:rPr>
            </w:pPr>
            <w:r w:rsidRPr="001D394F">
              <w:rPr>
                <w:rFonts w:eastAsia="Calibri"/>
                <w:sz w:val="20"/>
                <w:szCs w:val="20"/>
              </w:rPr>
              <w:t>1</w:t>
            </w:r>
          </w:p>
        </w:tc>
        <w:tc>
          <w:tcPr>
            <w:tcW w:w="1927" w:type="dxa"/>
          </w:tcPr>
          <w:p w:rsidR="003A3E1A" w:rsidRPr="001D394F" w14:paraId="5AD63D33" w14:textId="2537AD60">
            <w:pPr>
              <w:spacing w:after="200"/>
              <w:rPr>
                <w:rFonts w:eastAsia="Calibri"/>
                <w:sz w:val="20"/>
                <w:szCs w:val="20"/>
              </w:rPr>
            </w:pPr>
            <w:r w:rsidRPr="001D394F">
              <w:rPr>
                <w:rFonts w:eastAsia="Calibri"/>
                <w:sz w:val="20"/>
                <w:szCs w:val="20"/>
              </w:rPr>
              <w:t>3</w:t>
            </w:r>
          </w:p>
        </w:tc>
      </w:tr>
      <w:tr w14:paraId="7B9E0A1A" w14:textId="77777777">
        <w:tblPrEx>
          <w:tblW w:w="0" w:type="auto"/>
          <w:tblLook w:val="04A0"/>
        </w:tblPrEx>
        <w:tc>
          <w:tcPr>
            <w:tcW w:w="2970" w:type="dxa"/>
          </w:tcPr>
          <w:p w:rsidR="003A3E1A" w:rsidRPr="001D394F" w14:paraId="012E3CE5" w14:textId="4D7A9638">
            <w:pPr>
              <w:spacing w:after="200"/>
              <w:rPr>
                <w:rFonts w:eastAsia="Calibri"/>
                <w:sz w:val="20"/>
                <w:szCs w:val="20"/>
              </w:rPr>
            </w:pPr>
            <w:r w:rsidRPr="001D394F">
              <w:rPr>
                <w:rFonts w:eastAsia="Calibri"/>
                <w:sz w:val="20"/>
                <w:szCs w:val="20"/>
              </w:rPr>
              <w:t>Email Communication – Selection</w:t>
            </w:r>
          </w:p>
        </w:tc>
        <w:tc>
          <w:tcPr>
            <w:tcW w:w="1229" w:type="dxa"/>
          </w:tcPr>
          <w:p w:rsidR="003A3E1A" w:rsidRPr="001D394F" w14:paraId="65E2D815" w14:textId="1E52BEC4">
            <w:pPr>
              <w:spacing w:after="200"/>
              <w:rPr>
                <w:rFonts w:eastAsia="Calibri"/>
                <w:sz w:val="20"/>
                <w:szCs w:val="20"/>
              </w:rPr>
            </w:pPr>
            <w:r w:rsidRPr="001D394F">
              <w:rPr>
                <w:rFonts w:eastAsia="Calibri"/>
                <w:sz w:val="20"/>
                <w:szCs w:val="20"/>
              </w:rPr>
              <w:t>12</w:t>
            </w:r>
          </w:p>
        </w:tc>
        <w:tc>
          <w:tcPr>
            <w:tcW w:w="1667" w:type="dxa"/>
          </w:tcPr>
          <w:p w:rsidR="003A3E1A" w:rsidRPr="001D394F" w14:paraId="4A8894FE" w14:textId="07AAE96C">
            <w:pPr>
              <w:spacing w:after="200"/>
              <w:rPr>
                <w:rFonts w:eastAsia="Calibri"/>
                <w:sz w:val="20"/>
                <w:szCs w:val="20"/>
              </w:rPr>
            </w:pPr>
            <w:r w:rsidRPr="001D394F">
              <w:rPr>
                <w:rFonts w:eastAsia="Calibri"/>
                <w:sz w:val="20"/>
                <w:szCs w:val="20"/>
              </w:rPr>
              <w:t>0</w:t>
            </w:r>
            <w:r w:rsidRPr="001D394F" w:rsidR="00712FF6">
              <w:rPr>
                <w:rFonts w:eastAsia="Calibri"/>
                <w:sz w:val="20"/>
                <w:szCs w:val="20"/>
              </w:rPr>
              <w:t>.125</w:t>
            </w:r>
          </w:p>
        </w:tc>
        <w:tc>
          <w:tcPr>
            <w:tcW w:w="1927" w:type="dxa"/>
          </w:tcPr>
          <w:p w:rsidR="003A3E1A" w:rsidRPr="001D394F" w14:paraId="74C8A0C6" w14:textId="04425398">
            <w:pPr>
              <w:spacing w:after="200"/>
              <w:rPr>
                <w:rFonts w:eastAsia="Calibri"/>
                <w:sz w:val="20"/>
                <w:szCs w:val="20"/>
              </w:rPr>
            </w:pPr>
            <w:r w:rsidRPr="001D394F">
              <w:rPr>
                <w:rFonts w:eastAsia="Calibri"/>
                <w:sz w:val="20"/>
                <w:szCs w:val="20"/>
              </w:rPr>
              <w:t>1</w:t>
            </w:r>
          </w:p>
        </w:tc>
        <w:tc>
          <w:tcPr>
            <w:tcW w:w="1927" w:type="dxa"/>
          </w:tcPr>
          <w:p w:rsidR="003A3E1A" w:rsidRPr="001D394F" w14:paraId="4FCCB73A" w14:textId="438C1212">
            <w:pPr>
              <w:spacing w:after="200"/>
              <w:rPr>
                <w:rFonts w:eastAsia="Calibri"/>
                <w:sz w:val="20"/>
                <w:szCs w:val="20"/>
              </w:rPr>
            </w:pPr>
            <w:r w:rsidRPr="001D394F">
              <w:rPr>
                <w:rFonts w:eastAsia="Calibri"/>
                <w:sz w:val="20"/>
                <w:szCs w:val="20"/>
              </w:rPr>
              <w:t>1.5</w:t>
            </w:r>
          </w:p>
        </w:tc>
      </w:tr>
      <w:tr w14:paraId="5E33F3AA" w14:textId="77777777">
        <w:tblPrEx>
          <w:tblW w:w="0" w:type="auto"/>
          <w:tblLook w:val="04A0"/>
        </w:tblPrEx>
        <w:tc>
          <w:tcPr>
            <w:tcW w:w="2970" w:type="dxa"/>
          </w:tcPr>
          <w:p w:rsidR="003A3E1A" w:rsidRPr="001D394F" w14:paraId="78F68612" w14:textId="0F33C833">
            <w:pPr>
              <w:spacing w:after="200"/>
              <w:rPr>
                <w:rFonts w:eastAsia="Calibri"/>
                <w:sz w:val="20"/>
                <w:szCs w:val="20"/>
              </w:rPr>
            </w:pPr>
            <w:r w:rsidRPr="001D394F">
              <w:rPr>
                <w:rFonts w:eastAsia="Calibri"/>
                <w:sz w:val="20"/>
                <w:szCs w:val="20"/>
              </w:rPr>
              <w:t>Email Communication – Inquiries</w:t>
            </w:r>
          </w:p>
        </w:tc>
        <w:tc>
          <w:tcPr>
            <w:tcW w:w="1229" w:type="dxa"/>
          </w:tcPr>
          <w:p w:rsidR="003A3E1A" w:rsidRPr="001D394F" w14:paraId="24825FD8" w14:textId="5C2F513C">
            <w:pPr>
              <w:spacing w:after="200"/>
              <w:rPr>
                <w:rFonts w:eastAsia="Calibri"/>
                <w:sz w:val="20"/>
                <w:szCs w:val="20"/>
              </w:rPr>
            </w:pPr>
            <w:r w:rsidRPr="001D394F">
              <w:rPr>
                <w:rFonts w:eastAsia="Calibri"/>
                <w:sz w:val="20"/>
                <w:szCs w:val="20"/>
              </w:rPr>
              <w:t>24</w:t>
            </w:r>
          </w:p>
        </w:tc>
        <w:tc>
          <w:tcPr>
            <w:tcW w:w="1667" w:type="dxa"/>
          </w:tcPr>
          <w:p w:rsidR="003A3E1A" w:rsidRPr="001D394F" w14:paraId="38A3AC53" w14:textId="61D07ACE">
            <w:pPr>
              <w:spacing w:after="200"/>
              <w:rPr>
                <w:rFonts w:eastAsia="Calibri"/>
                <w:sz w:val="20"/>
                <w:szCs w:val="20"/>
              </w:rPr>
            </w:pPr>
            <w:r w:rsidRPr="001D394F">
              <w:rPr>
                <w:rFonts w:eastAsia="Calibri"/>
                <w:sz w:val="20"/>
                <w:szCs w:val="20"/>
              </w:rPr>
              <w:t>0</w:t>
            </w:r>
            <w:r w:rsidRPr="001D394F" w:rsidR="00712FF6">
              <w:rPr>
                <w:rFonts w:eastAsia="Calibri"/>
                <w:sz w:val="20"/>
                <w:szCs w:val="20"/>
              </w:rPr>
              <w:t>.25</w:t>
            </w:r>
          </w:p>
        </w:tc>
        <w:tc>
          <w:tcPr>
            <w:tcW w:w="1927" w:type="dxa"/>
          </w:tcPr>
          <w:p w:rsidR="003A3E1A" w:rsidRPr="001D394F" w14:paraId="7A16B13C" w14:textId="3FE519F0">
            <w:pPr>
              <w:spacing w:after="200"/>
              <w:rPr>
                <w:rFonts w:eastAsia="Calibri"/>
                <w:sz w:val="20"/>
                <w:szCs w:val="20"/>
              </w:rPr>
            </w:pPr>
            <w:r w:rsidRPr="001D394F">
              <w:rPr>
                <w:rFonts w:eastAsia="Calibri"/>
                <w:sz w:val="20"/>
                <w:szCs w:val="20"/>
              </w:rPr>
              <w:t>4</w:t>
            </w:r>
          </w:p>
        </w:tc>
        <w:tc>
          <w:tcPr>
            <w:tcW w:w="1927" w:type="dxa"/>
          </w:tcPr>
          <w:p w:rsidR="003A3E1A" w:rsidRPr="001D394F" w14:paraId="539A36C5" w14:textId="30398B50">
            <w:pPr>
              <w:spacing w:after="200"/>
              <w:rPr>
                <w:rFonts w:eastAsia="Calibri"/>
                <w:sz w:val="20"/>
                <w:szCs w:val="20"/>
              </w:rPr>
            </w:pPr>
            <w:r w:rsidRPr="001D394F">
              <w:rPr>
                <w:rFonts w:eastAsia="Calibri"/>
                <w:sz w:val="20"/>
                <w:szCs w:val="20"/>
              </w:rPr>
              <w:t>24</w:t>
            </w:r>
          </w:p>
        </w:tc>
      </w:tr>
      <w:tr w14:paraId="51AE70A7" w14:textId="77777777">
        <w:tblPrEx>
          <w:tblW w:w="0" w:type="auto"/>
          <w:tblLook w:val="04A0"/>
        </w:tblPrEx>
        <w:tc>
          <w:tcPr>
            <w:tcW w:w="2970" w:type="dxa"/>
          </w:tcPr>
          <w:p w:rsidR="008C598D" w:rsidRPr="001D394F" w14:paraId="02DCB08B" w14:textId="1483F073">
            <w:pPr>
              <w:spacing w:after="200"/>
              <w:rPr>
                <w:rFonts w:eastAsia="Calibri"/>
                <w:sz w:val="20"/>
                <w:szCs w:val="20"/>
              </w:rPr>
            </w:pPr>
            <w:r w:rsidRPr="001D394F">
              <w:rPr>
                <w:rFonts w:eastAsia="Calibri"/>
                <w:sz w:val="20"/>
                <w:szCs w:val="20"/>
              </w:rPr>
              <w:t>Email Communication – Scheduling</w:t>
            </w:r>
          </w:p>
        </w:tc>
        <w:tc>
          <w:tcPr>
            <w:tcW w:w="1229" w:type="dxa"/>
          </w:tcPr>
          <w:p w:rsidR="008C598D" w:rsidRPr="001D394F" w14:paraId="676D7B44" w14:textId="7CE9B33E">
            <w:pPr>
              <w:spacing w:after="200"/>
              <w:rPr>
                <w:rFonts w:eastAsia="Calibri"/>
                <w:sz w:val="20"/>
                <w:szCs w:val="20"/>
              </w:rPr>
            </w:pPr>
            <w:r w:rsidRPr="001D394F">
              <w:rPr>
                <w:rFonts w:eastAsia="Calibri"/>
                <w:sz w:val="20"/>
                <w:szCs w:val="20"/>
              </w:rPr>
              <w:t>12</w:t>
            </w:r>
          </w:p>
        </w:tc>
        <w:tc>
          <w:tcPr>
            <w:tcW w:w="1667" w:type="dxa"/>
          </w:tcPr>
          <w:p w:rsidR="008C598D" w:rsidRPr="001D394F" w14:paraId="6E1ED770" w14:textId="2C8E59AB">
            <w:pPr>
              <w:spacing w:after="200"/>
              <w:rPr>
                <w:rFonts w:eastAsia="Calibri"/>
                <w:sz w:val="20"/>
                <w:szCs w:val="20"/>
              </w:rPr>
            </w:pPr>
            <w:r w:rsidRPr="001D394F">
              <w:rPr>
                <w:rFonts w:eastAsia="Calibri"/>
                <w:sz w:val="20"/>
                <w:szCs w:val="20"/>
              </w:rPr>
              <w:t>1</w:t>
            </w:r>
          </w:p>
        </w:tc>
        <w:tc>
          <w:tcPr>
            <w:tcW w:w="1927" w:type="dxa"/>
          </w:tcPr>
          <w:p w:rsidR="008C598D" w:rsidRPr="001D394F" w14:paraId="303BDE92" w14:textId="6C12D09B">
            <w:pPr>
              <w:spacing w:after="200"/>
              <w:rPr>
                <w:rFonts w:eastAsia="Calibri"/>
                <w:sz w:val="20"/>
                <w:szCs w:val="20"/>
              </w:rPr>
            </w:pPr>
            <w:r w:rsidRPr="001D394F">
              <w:rPr>
                <w:rFonts w:eastAsia="Calibri"/>
                <w:sz w:val="20"/>
                <w:szCs w:val="20"/>
              </w:rPr>
              <w:t>1</w:t>
            </w:r>
          </w:p>
        </w:tc>
        <w:tc>
          <w:tcPr>
            <w:tcW w:w="1927" w:type="dxa"/>
          </w:tcPr>
          <w:p w:rsidR="008C598D" w:rsidRPr="001D394F" w14:paraId="03D65CB0" w14:textId="0E1F6007">
            <w:pPr>
              <w:spacing w:after="200"/>
              <w:rPr>
                <w:rFonts w:eastAsia="Calibri"/>
                <w:sz w:val="20"/>
                <w:szCs w:val="20"/>
              </w:rPr>
            </w:pPr>
            <w:r w:rsidRPr="001D394F">
              <w:rPr>
                <w:rFonts w:eastAsia="Calibri"/>
                <w:sz w:val="20"/>
                <w:szCs w:val="20"/>
              </w:rPr>
              <w:t>12</w:t>
            </w:r>
          </w:p>
        </w:tc>
      </w:tr>
      <w:tr w14:paraId="607DBB3E" w14:textId="77777777">
        <w:tblPrEx>
          <w:tblW w:w="0" w:type="auto"/>
          <w:tblLook w:val="04A0"/>
        </w:tblPrEx>
        <w:tc>
          <w:tcPr>
            <w:tcW w:w="2970" w:type="dxa"/>
          </w:tcPr>
          <w:p w:rsidR="008C598D" w:rsidRPr="001D394F" w14:paraId="2C2490A9" w14:textId="364E2C61">
            <w:pPr>
              <w:spacing w:after="200"/>
              <w:rPr>
                <w:rFonts w:eastAsia="Calibri"/>
                <w:sz w:val="20"/>
                <w:szCs w:val="20"/>
              </w:rPr>
            </w:pPr>
            <w:r w:rsidRPr="001D394F">
              <w:rPr>
                <w:rFonts w:eastAsia="Calibri"/>
                <w:sz w:val="20"/>
                <w:szCs w:val="20"/>
              </w:rPr>
              <w:t>EDSTM Documentation – Meeting Summaries</w:t>
            </w:r>
          </w:p>
        </w:tc>
        <w:tc>
          <w:tcPr>
            <w:tcW w:w="1229" w:type="dxa"/>
          </w:tcPr>
          <w:p w:rsidR="008C598D" w:rsidRPr="001D394F" w14:paraId="11CE5CA5" w14:textId="318BBFB5">
            <w:pPr>
              <w:spacing w:after="200"/>
              <w:rPr>
                <w:rFonts w:eastAsia="Calibri"/>
                <w:sz w:val="20"/>
                <w:szCs w:val="20"/>
              </w:rPr>
            </w:pPr>
            <w:r w:rsidRPr="001D394F">
              <w:rPr>
                <w:rFonts w:eastAsia="Calibri"/>
                <w:sz w:val="20"/>
                <w:szCs w:val="20"/>
              </w:rPr>
              <w:t>12</w:t>
            </w:r>
          </w:p>
        </w:tc>
        <w:tc>
          <w:tcPr>
            <w:tcW w:w="1667" w:type="dxa"/>
          </w:tcPr>
          <w:p w:rsidR="008C598D" w:rsidRPr="001D394F" w14:paraId="34C4D0BA" w14:textId="5946539A">
            <w:pPr>
              <w:spacing w:after="200"/>
              <w:rPr>
                <w:rFonts w:eastAsia="Calibri"/>
                <w:sz w:val="20"/>
                <w:szCs w:val="20"/>
              </w:rPr>
            </w:pPr>
            <w:r w:rsidRPr="001D394F">
              <w:rPr>
                <w:rFonts w:eastAsia="Calibri"/>
                <w:sz w:val="20"/>
                <w:szCs w:val="20"/>
              </w:rPr>
              <w:t>2</w:t>
            </w:r>
          </w:p>
        </w:tc>
        <w:tc>
          <w:tcPr>
            <w:tcW w:w="1927" w:type="dxa"/>
          </w:tcPr>
          <w:p w:rsidR="008C598D" w:rsidRPr="001D394F" w14:paraId="7D883E8B" w14:textId="7A021468">
            <w:pPr>
              <w:spacing w:after="200"/>
              <w:rPr>
                <w:rFonts w:eastAsia="Calibri"/>
                <w:sz w:val="20"/>
                <w:szCs w:val="20"/>
              </w:rPr>
            </w:pPr>
            <w:r w:rsidRPr="001D394F">
              <w:rPr>
                <w:rFonts w:eastAsia="Calibri"/>
                <w:sz w:val="20"/>
                <w:szCs w:val="20"/>
              </w:rPr>
              <w:t>1</w:t>
            </w:r>
          </w:p>
        </w:tc>
        <w:tc>
          <w:tcPr>
            <w:tcW w:w="1927" w:type="dxa"/>
          </w:tcPr>
          <w:p w:rsidR="008C598D" w:rsidRPr="001D394F" w14:paraId="6ED44591" w14:textId="7266324F">
            <w:pPr>
              <w:spacing w:after="200"/>
              <w:rPr>
                <w:rFonts w:eastAsia="Calibri"/>
                <w:sz w:val="20"/>
                <w:szCs w:val="20"/>
              </w:rPr>
            </w:pPr>
            <w:r w:rsidRPr="001D394F">
              <w:rPr>
                <w:rFonts w:eastAsia="Calibri"/>
                <w:sz w:val="20"/>
                <w:szCs w:val="20"/>
              </w:rPr>
              <w:t>24</w:t>
            </w:r>
          </w:p>
        </w:tc>
      </w:tr>
      <w:tr w14:paraId="120F61D7" w14:textId="77777777">
        <w:tblPrEx>
          <w:tblW w:w="0" w:type="auto"/>
          <w:tblLook w:val="04A0"/>
        </w:tblPrEx>
        <w:tc>
          <w:tcPr>
            <w:tcW w:w="2970" w:type="dxa"/>
          </w:tcPr>
          <w:p w:rsidR="008C598D" w:rsidRPr="001D394F" w14:paraId="52852532" w14:textId="26EAD26D">
            <w:pPr>
              <w:spacing w:after="200"/>
              <w:rPr>
                <w:rFonts w:eastAsia="Calibri"/>
                <w:sz w:val="20"/>
                <w:szCs w:val="20"/>
              </w:rPr>
            </w:pPr>
            <w:r w:rsidRPr="001D394F">
              <w:rPr>
                <w:rFonts w:eastAsia="Calibri"/>
                <w:sz w:val="20"/>
                <w:szCs w:val="20"/>
              </w:rPr>
              <w:t xml:space="preserve">EDSTM Documentation </w:t>
            </w:r>
            <w:r w:rsidRPr="001D394F" w:rsidR="00905832">
              <w:rPr>
                <w:rFonts w:eastAsia="Calibri"/>
                <w:sz w:val="20"/>
                <w:szCs w:val="20"/>
              </w:rPr>
              <w:t>– Meeting request tracking</w:t>
            </w:r>
          </w:p>
        </w:tc>
        <w:tc>
          <w:tcPr>
            <w:tcW w:w="1229" w:type="dxa"/>
          </w:tcPr>
          <w:p w:rsidR="008C598D" w:rsidRPr="001D394F" w14:paraId="58F0C9AD" w14:textId="76731258">
            <w:pPr>
              <w:spacing w:after="200"/>
              <w:rPr>
                <w:rFonts w:eastAsia="Calibri"/>
                <w:sz w:val="20"/>
                <w:szCs w:val="20"/>
              </w:rPr>
            </w:pPr>
            <w:r w:rsidRPr="001D394F">
              <w:rPr>
                <w:rFonts w:eastAsia="Calibri"/>
                <w:sz w:val="20"/>
                <w:szCs w:val="20"/>
              </w:rPr>
              <w:t>12</w:t>
            </w:r>
          </w:p>
        </w:tc>
        <w:tc>
          <w:tcPr>
            <w:tcW w:w="1667" w:type="dxa"/>
          </w:tcPr>
          <w:p w:rsidR="008C598D" w:rsidRPr="001D394F" w14:paraId="2875DBDF" w14:textId="243D5745">
            <w:pPr>
              <w:spacing w:after="200"/>
              <w:rPr>
                <w:rFonts w:eastAsia="Calibri"/>
                <w:sz w:val="20"/>
                <w:szCs w:val="20"/>
              </w:rPr>
            </w:pPr>
            <w:r w:rsidRPr="001D394F">
              <w:rPr>
                <w:rFonts w:eastAsia="Calibri"/>
                <w:sz w:val="20"/>
                <w:szCs w:val="20"/>
              </w:rPr>
              <w:t>0</w:t>
            </w:r>
            <w:r w:rsidRPr="001D394F" w:rsidR="00905832">
              <w:rPr>
                <w:rFonts w:eastAsia="Calibri"/>
                <w:sz w:val="20"/>
                <w:szCs w:val="20"/>
              </w:rPr>
              <w:t>.5</w:t>
            </w:r>
          </w:p>
        </w:tc>
        <w:tc>
          <w:tcPr>
            <w:tcW w:w="1927" w:type="dxa"/>
          </w:tcPr>
          <w:p w:rsidR="008C598D" w:rsidRPr="001D394F" w14:paraId="4C80D4AD" w14:textId="18D816E7">
            <w:pPr>
              <w:spacing w:after="200"/>
              <w:rPr>
                <w:rFonts w:eastAsia="Calibri"/>
                <w:sz w:val="20"/>
                <w:szCs w:val="20"/>
              </w:rPr>
            </w:pPr>
            <w:r w:rsidRPr="001D394F">
              <w:rPr>
                <w:rFonts w:eastAsia="Calibri"/>
                <w:sz w:val="20"/>
                <w:szCs w:val="20"/>
              </w:rPr>
              <w:t>1</w:t>
            </w:r>
          </w:p>
        </w:tc>
        <w:tc>
          <w:tcPr>
            <w:tcW w:w="1927" w:type="dxa"/>
          </w:tcPr>
          <w:p w:rsidR="008C598D" w:rsidRPr="001D394F" w14:paraId="056BC273" w14:textId="34F34A26">
            <w:pPr>
              <w:spacing w:after="200"/>
              <w:rPr>
                <w:rFonts w:eastAsia="Calibri"/>
                <w:sz w:val="20"/>
                <w:szCs w:val="20"/>
              </w:rPr>
            </w:pPr>
            <w:r w:rsidRPr="001D394F">
              <w:rPr>
                <w:rFonts w:eastAsia="Calibri"/>
                <w:sz w:val="20"/>
                <w:szCs w:val="20"/>
              </w:rPr>
              <w:t>6</w:t>
            </w:r>
          </w:p>
        </w:tc>
      </w:tr>
      <w:tr w14:paraId="49A39ABC" w14:textId="77777777">
        <w:tblPrEx>
          <w:tblW w:w="0" w:type="auto"/>
          <w:tblLook w:val="04A0"/>
        </w:tblPrEx>
        <w:tc>
          <w:tcPr>
            <w:tcW w:w="2970" w:type="dxa"/>
          </w:tcPr>
          <w:p w:rsidR="00EA41AD" w:rsidRPr="001D394F" w14:paraId="1A95E08F" w14:textId="46243941">
            <w:pPr>
              <w:spacing w:after="200"/>
              <w:rPr>
                <w:rFonts w:eastAsia="Calibri"/>
                <w:sz w:val="20"/>
                <w:szCs w:val="20"/>
              </w:rPr>
            </w:pPr>
            <w:r w:rsidRPr="001D394F">
              <w:rPr>
                <w:rFonts w:eastAsia="Calibri"/>
                <w:sz w:val="20"/>
                <w:szCs w:val="20"/>
              </w:rPr>
              <w:t xml:space="preserve">OSE Working Group </w:t>
            </w:r>
            <w:r w:rsidRPr="001D394F" w:rsidR="008C492E">
              <w:rPr>
                <w:rFonts w:eastAsia="Calibri"/>
                <w:sz w:val="20"/>
                <w:szCs w:val="20"/>
              </w:rPr>
              <w:t xml:space="preserve">quarterly </w:t>
            </w:r>
            <w:r w:rsidRPr="001D394F">
              <w:rPr>
                <w:rFonts w:eastAsia="Calibri"/>
                <w:sz w:val="20"/>
                <w:szCs w:val="20"/>
              </w:rPr>
              <w:t>meeting</w:t>
            </w:r>
          </w:p>
        </w:tc>
        <w:tc>
          <w:tcPr>
            <w:tcW w:w="1229" w:type="dxa"/>
          </w:tcPr>
          <w:p w:rsidR="00EA41AD" w:rsidRPr="001D394F" w14:paraId="02D49F07" w14:textId="4B143BD1">
            <w:pPr>
              <w:spacing w:after="200"/>
              <w:rPr>
                <w:rFonts w:eastAsia="Calibri"/>
                <w:sz w:val="20"/>
                <w:szCs w:val="20"/>
              </w:rPr>
            </w:pPr>
            <w:r w:rsidRPr="001D394F">
              <w:rPr>
                <w:rFonts w:eastAsia="Calibri"/>
                <w:sz w:val="20"/>
                <w:szCs w:val="20"/>
              </w:rPr>
              <w:t>4</w:t>
            </w:r>
          </w:p>
        </w:tc>
        <w:tc>
          <w:tcPr>
            <w:tcW w:w="1667" w:type="dxa"/>
          </w:tcPr>
          <w:p w:rsidR="00EA41AD" w:rsidRPr="001D394F" w14:paraId="31E57130" w14:textId="2F2F2058">
            <w:pPr>
              <w:spacing w:after="200"/>
              <w:rPr>
                <w:rFonts w:eastAsia="Calibri"/>
                <w:sz w:val="20"/>
                <w:szCs w:val="20"/>
              </w:rPr>
            </w:pPr>
            <w:r w:rsidRPr="001D394F">
              <w:rPr>
                <w:rFonts w:eastAsia="Calibri"/>
                <w:sz w:val="20"/>
                <w:szCs w:val="20"/>
              </w:rPr>
              <w:t>1</w:t>
            </w:r>
          </w:p>
        </w:tc>
        <w:tc>
          <w:tcPr>
            <w:tcW w:w="1927" w:type="dxa"/>
          </w:tcPr>
          <w:p w:rsidR="00EA41AD" w:rsidRPr="001D394F" w14:paraId="4A340745" w14:textId="3DF88ADD">
            <w:pPr>
              <w:spacing w:after="200"/>
              <w:rPr>
                <w:rFonts w:eastAsia="Calibri"/>
                <w:sz w:val="20"/>
                <w:szCs w:val="20"/>
              </w:rPr>
            </w:pPr>
            <w:r w:rsidRPr="001D394F">
              <w:rPr>
                <w:rFonts w:eastAsia="Calibri"/>
                <w:sz w:val="20"/>
                <w:szCs w:val="20"/>
              </w:rPr>
              <w:t>2</w:t>
            </w:r>
          </w:p>
        </w:tc>
        <w:tc>
          <w:tcPr>
            <w:tcW w:w="1927" w:type="dxa"/>
          </w:tcPr>
          <w:p w:rsidR="00EA41AD" w:rsidRPr="001D394F" w14:paraId="4907C1D3" w14:textId="02F41149">
            <w:pPr>
              <w:spacing w:after="200"/>
              <w:rPr>
                <w:rFonts w:eastAsia="Calibri"/>
                <w:sz w:val="20"/>
                <w:szCs w:val="20"/>
              </w:rPr>
            </w:pPr>
            <w:r w:rsidRPr="001D394F">
              <w:rPr>
                <w:rFonts w:eastAsia="Calibri"/>
                <w:sz w:val="20"/>
                <w:szCs w:val="20"/>
              </w:rPr>
              <w:t>8</w:t>
            </w:r>
          </w:p>
        </w:tc>
      </w:tr>
      <w:tr w14:paraId="1C9792A0" w14:textId="77777777">
        <w:tblPrEx>
          <w:tblW w:w="0" w:type="auto"/>
          <w:tblLook w:val="04A0"/>
        </w:tblPrEx>
        <w:tc>
          <w:tcPr>
            <w:tcW w:w="2970" w:type="dxa"/>
          </w:tcPr>
          <w:p w:rsidR="009C643C" w:rsidRPr="001D394F" w14:paraId="16773166" w14:textId="5B55BE1C">
            <w:pPr>
              <w:spacing w:after="200"/>
              <w:rPr>
                <w:rFonts w:eastAsia="Calibri"/>
                <w:sz w:val="20"/>
                <w:szCs w:val="20"/>
              </w:rPr>
            </w:pPr>
            <w:r w:rsidRPr="001D394F">
              <w:rPr>
                <w:rFonts w:eastAsia="Calibri"/>
                <w:sz w:val="20"/>
                <w:szCs w:val="20"/>
              </w:rPr>
              <w:t xml:space="preserve">OSE </w:t>
            </w:r>
            <w:r w:rsidRPr="001D394F" w:rsidR="008C492E">
              <w:rPr>
                <w:rFonts w:eastAsia="Calibri"/>
                <w:sz w:val="20"/>
                <w:szCs w:val="20"/>
              </w:rPr>
              <w:t>Working Group ad hoc meeting</w:t>
            </w:r>
          </w:p>
        </w:tc>
        <w:tc>
          <w:tcPr>
            <w:tcW w:w="1229" w:type="dxa"/>
          </w:tcPr>
          <w:p w:rsidR="009C643C" w:rsidRPr="001D394F" w14:paraId="75AEC362" w14:textId="695E686B">
            <w:pPr>
              <w:spacing w:after="200"/>
              <w:rPr>
                <w:rFonts w:eastAsia="Calibri"/>
                <w:sz w:val="20"/>
                <w:szCs w:val="20"/>
              </w:rPr>
            </w:pPr>
            <w:r w:rsidRPr="001D394F">
              <w:rPr>
                <w:rFonts w:eastAsia="Calibri"/>
                <w:sz w:val="20"/>
                <w:szCs w:val="20"/>
              </w:rPr>
              <w:t>6</w:t>
            </w:r>
          </w:p>
        </w:tc>
        <w:tc>
          <w:tcPr>
            <w:tcW w:w="1667" w:type="dxa"/>
          </w:tcPr>
          <w:p w:rsidR="009C643C" w:rsidRPr="001D394F" w14:paraId="4C8A82AF" w14:textId="65D8AED4">
            <w:pPr>
              <w:spacing w:after="200"/>
              <w:rPr>
                <w:rFonts w:eastAsia="Calibri"/>
                <w:sz w:val="20"/>
                <w:szCs w:val="20"/>
              </w:rPr>
            </w:pPr>
            <w:r w:rsidRPr="001D394F">
              <w:rPr>
                <w:rFonts w:eastAsia="Calibri"/>
                <w:sz w:val="20"/>
                <w:szCs w:val="20"/>
              </w:rPr>
              <w:t>1</w:t>
            </w:r>
          </w:p>
        </w:tc>
        <w:tc>
          <w:tcPr>
            <w:tcW w:w="1927" w:type="dxa"/>
          </w:tcPr>
          <w:p w:rsidR="009C643C" w:rsidRPr="001D394F" w14:paraId="78C4459E" w14:textId="44B7F2AD">
            <w:pPr>
              <w:spacing w:after="200"/>
              <w:rPr>
                <w:rFonts w:eastAsia="Calibri"/>
                <w:sz w:val="20"/>
                <w:szCs w:val="20"/>
              </w:rPr>
            </w:pPr>
            <w:r w:rsidRPr="001D394F">
              <w:rPr>
                <w:rFonts w:eastAsia="Calibri"/>
                <w:sz w:val="20"/>
                <w:szCs w:val="20"/>
              </w:rPr>
              <w:t>2</w:t>
            </w:r>
          </w:p>
        </w:tc>
        <w:tc>
          <w:tcPr>
            <w:tcW w:w="1927" w:type="dxa"/>
          </w:tcPr>
          <w:p w:rsidR="009C643C" w:rsidRPr="001D394F" w14:paraId="1CAFBAA2" w14:textId="0A2DFC50">
            <w:pPr>
              <w:spacing w:after="200"/>
              <w:rPr>
                <w:rFonts w:eastAsia="Calibri"/>
                <w:sz w:val="20"/>
                <w:szCs w:val="20"/>
              </w:rPr>
            </w:pPr>
            <w:r w:rsidRPr="001D394F">
              <w:rPr>
                <w:rFonts w:eastAsia="Calibri"/>
                <w:sz w:val="20"/>
                <w:szCs w:val="20"/>
              </w:rPr>
              <w:t>12</w:t>
            </w:r>
          </w:p>
        </w:tc>
      </w:tr>
      <w:tr w14:paraId="68E2E2B3" w14:textId="77777777">
        <w:tblPrEx>
          <w:tblW w:w="0" w:type="auto"/>
          <w:tblLook w:val="04A0"/>
        </w:tblPrEx>
        <w:tc>
          <w:tcPr>
            <w:tcW w:w="7793" w:type="dxa"/>
            <w:gridSpan w:val="4"/>
          </w:tcPr>
          <w:p w:rsidR="00A839C5" w:rsidRPr="001D394F" w14:paraId="0B27162F" w14:textId="18638D41">
            <w:pPr>
              <w:spacing w:after="200"/>
              <w:rPr>
                <w:rFonts w:eastAsia="Calibri"/>
                <w:sz w:val="20"/>
                <w:szCs w:val="20"/>
              </w:rPr>
            </w:pPr>
            <w:r w:rsidRPr="001D394F">
              <w:rPr>
                <w:rFonts w:eastAsia="Calibri"/>
                <w:sz w:val="20"/>
                <w:szCs w:val="20"/>
              </w:rPr>
              <w:t>Total</w:t>
            </w:r>
          </w:p>
        </w:tc>
        <w:tc>
          <w:tcPr>
            <w:tcW w:w="1927" w:type="dxa"/>
          </w:tcPr>
          <w:p w:rsidR="00A839C5" w:rsidRPr="001D394F" w14:paraId="758ACCE2" w14:textId="2810D6CD">
            <w:pPr>
              <w:spacing w:after="200"/>
              <w:rPr>
                <w:rFonts w:eastAsia="Calibri"/>
                <w:sz w:val="20"/>
                <w:szCs w:val="20"/>
              </w:rPr>
            </w:pPr>
            <w:r w:rsidRPr="001D394F">
              <w:rPr>
                <w:rFonts w:eastAsia="Calibri"/>
                <w:sz w:val="20"/>
                <w:szCs w:val="20"/>
              </w:rPr>
              <w:t>914.5</w:t>
            </w:r>
          </w:p>
        </w:tc>
      </w:tr>
    </w:tbl>
    <w:p w:rsidR="00D3605B" w:rsidP="006A37E5" w14:paraId="1B47D7E5" w14:textId="77777777">
      <w:pPr>
        <w:spacing w:after="200"/>
        <w:rPr>
          <w:rFonts w:eastAsia="Calibri"/>
        </w:rPr>
      </w:pPr>
    </w:p>
    <w:p w:rsidR="00C85638" w:rsidRPr="00357C8A" w:rsidP="006A37E5" w14:paraId="7E717CC9" w14:textId="0FB12E3F">
      <w:pPr>
        <w:spacing w:after="200"/>
        <w:rPr>
          <w:rFonts w:eastAsia="Calibri"/>
        </w:rPr>
      </w:pPr>
      <w:r>
        <w:rPr>
          <w:rFonts w:eastAsia="Calibri"/>
        </w:rPr>
        <w:t>FDA estimates</w:t>
      </w:r>
      <w:r>
        <w:rPr>
          <w:rFonts w:eastAsia="Calibri"/>
        </w:rPr>
        <w:t xml:space="preserve"> </w:t>
      </w:r>
      <w:r w:rsidR="007B7B8B">
        <w:rPr>
          <w:rFonts w:eastAsia="Calibri"/>
        </w:rPr>
        <w:t xml:space="preserve">the </w:t>
      </w:r>
      <w:r w:rsidRPr="260F3780">
        <w:rPr>
          <w:rFonts w:eastAsia="Calibri"/>
        </w:rPr>
        <w:t>EDST</w:t>
      </w:r>
      <w:r w:rsidRPr="260F3780" w:rsidR="5182850E">
        <w:rPr>
          <w:rFonts w:eastAsia="Calibri"/>
        </w:rPr>
        <w:t>P</w:t>
      </w:r>
      <w:r>
        <w:rPr>
          <w:rFonts w:eastAsia="Calibri"/>
        </w:rPr>
        <w:t xml:space="preserve"> </w:t>
      </w:r>
      <w:r>
        <w:rPr>
          <w:rFonts w:eastAsia="Calibri"/>
        </w:rPr>
        <w:t xml:space="preserve">will </w:t>
      </w:r>
      <w:r w:rsidR="00C22EDA">
        <w:rPr>
          <w:rFonts w:eastAsia="Calibri"/>
        </w:rPr>
        <w:t xml:space="preserve">require 914.5 </w:t>
      </w:r>
      <w:r w:rsidR="009439FB">
        <w:rPr>
          <w:rFonts w:eastAsia="Calibri"/>
        </w:rPr>
        <w:t xml:space="preserve">federal employee </w:t>
      </w:r>
      <w:r w:rsidR="00C22EDA">
        <w:rPr>
          <w:rFonts w:eastAsia="Calibri"/>
        </w:rPr>
        <w:t>hours per year, or 0.44 FTE.</w:t>
      </w:r>
      <w:r w:rsidR="00BE25D4">
        <w:rPr>
          <w:rFonts w:eastAsia="Calibri"/>
        </w:rPr>
        <w:t xml:space="preserve">  </w:t>
      </w:r>
      <w:r w:rsidR="003421C9">
        <w:rPr>
          <w:rFonts w:eastAsia="Calibri"/>
        </w:rPr>
        <w:t>We estimate that the r</w:t>
      </w:r>
      <w:r w:rsidR="00206533">
        <w:rPr>
          <w:rFonts w:eastAsia="Calibri"/>
        </w:rPr>
        <w:t xml:space="preserve">esponsibilities will be performed by a </w:t>
      </w:r>
      <w:r w:rsidR="00BE25D4">
        <w:rPr>
          <w:rFonts w:eastAsia="Calibri"/>
        </w:rPr>
        <w:t>GS-</w:t>
      </w:r>
      <w:r w:rsidR="00206533">
        <w:rPr>
          <w:rFonts w:eastAsia="Calibri"/>
        </w:rPr>
        <w:t>13</w:t>
      </w:r>
      <w:r w:rsidR="00BA05CD">
        <w:rPr>
          <w:rFonts w:eastAsia="Calibri"/>
        </w:rPr>
        <w:t xml:space="preserve"> </w:t>
      </w:r>
      <w:r w:rsidR="00B7181F">
        <w:rPr>
          <w:rFonts w:eastAsia="Calibri"/>
        </w:rPr>
        <w:t>level federal employee</w:t>
      </w:r>
      <w:r w:rsidR="00BA05CD">
        <w:rPr>
          <w:rFonts w:eastAsia="Calibri"/>
        </w:rPr>
        <w:t xml:space="preserve"> at a cost of </w:t>
      </w:r>
      <w:r w:rsidR="004E59B9">
        <w:rPr>
          <w:rFonts w:eastAsia="Calibri"/>
        </w:rPr>
        <w:t>$58,080 (</w:t>
      </w:r>
      <w:r w:rsidR="002D030D">
        <w:rPr>
          <w:rFonts w:eastAsia="Calibri"/>
        </w:rPr>
        <w:t>$132,000</w:t>
      </w:r>
      <w:r w:rsidR="00335D3A">
        <w:rPr>
          <w:rFonts w:eastAsia="Calibri"/>
        </w:rPr>
        <w:t>/FTE</w:t>
      </w:r>
      <w:r w:rsidR="008F095B">
        <w:rPr>
          <w:rFonts w:eastAsia="Calibri"/>
        </w:rPr>
        <w:t xml:space="preserve"> * 0.44</w:t>
      </w:r>
      <w:r w:rsidR="00335D3A">
        <w:rPr>
          <w:rFonts w:eastAsia="Calibri"/>
        </w:rPr>
        <w:t xml:space="preserve"> FTE).</w:t>
      </w:r>
      <w:r w:rsidR="00C22EDA">
        <w:rPr>
          <w:rFonts w:eastAsia="Calibri"/>
        </w:rPr>
        <w:t xml:space="preserve"> </w:t>
      </w:r>
      <w:r w:rsidR="00C50245">
        <w:rPr>
          <w:rFonts w:eastAsia="Calibri"/>
        </w:rPr>
        <w:t xml:space="preserve">The </w:t>
      </w:r>
      <w:r w:rsidR="00F1397C">
        <w:rPr>
          <w:rFonts w:eastAsia="Calibri"/>
        </w:rPr>
        <w:t>source of funding for this program will be PDUFA.</w:t>
      </w:r>
    </w:p>
    <w:p w:rsidR="00357C8A" w:rsidP="006705EA" w14:paraId="66B70294" w14:textId="57D72621">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4A5323" w:rsidP="00E443A7" w14:paraId="6EB83370" w14:textId="1336373B">
      <w:pPr>
        <w:spacing w:after="200"/>
        <w:rPr>
          <w:rFonts w:eastAsia="Calibri"/>
        </w:rPr>
      </w:pPr>
      <w:r w:rsidRPr="007E59A8">
        <w:rPr>
          <w:rFonts w:eastAsia="Calibri"/>
        </w:rPr>
        <w:t>This is a new information collection.</w:t>
      </w:r>
    </w:p>
    <w:p w:rsidR="00357C8A" w:rsidRPr="00357C8A" w:rsidP="006705EA" w14:paraId="03DFA2A9"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766BEE" w14:paraId="0C8E321E" w14:textId="7172FF93">
      <w:pPr>
        <w:rPr>
          <w:rFonts w:eastAsia="Calibri"/>
        </w:rPr>
      </w:pPr>
      <w:r w:rsidRPr="005C71CA">
        <w:rPr>
          <w:rFonts w:eastAsia="Calibri"/>
        </w:rPr>
        <w:t>Th</w:t>
      </w:r>
      <w:r w:rsidR="0062053D">
        <w:rPr>
          <w:rFonts w:eastAsia="Calibri"/>
        </w:rPr>
        <w:t>e</w:t>
      </w:r>
      <w:r w:rsidR="00E92958">
        <w:rPr>
          <w:rFonts w:eastAsia="Calibri"/>
        </w:rPr>
        <w:t xml:space="preserve"> </w:t>
      </w:r>
      <w:r w:rsidRPr="005C71CA">
        <w:rPr>
          <w:rFonts w:eastAsia="Calibri"/>
        </w:rPr>
        <w:t>information collected will not be published or tabulated.</w:t>
      </w:r>
    </w:p>
    <w:p w:rsidR="00766BEE" w:rsidRPr="00766BEE" w:rsidP="00766BEE" w14:paraId="4B502224" w14:textId="77777777">
      <w:pPr>
        <w:rPr>
          <w:color w:val="000000"/>
        </w:rPr>
      </w:pPr>
    </w:p>
    <w:p w:rsidR="00357C8A" w:rsidRPr="00357C8A" w:rsidP="006705EA" w14:paraId="20D471E1"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44525" w:rsidRPr="00357C8A" w:rsidP="00357C8A" w14:paraId="4E410E4E" w14:textId="4A0CC194">
      <w:pPr>
        <w:spacing w:after="200"/>
        <w:rPr>
          <w:rFonts w:eastAsia="Calibri"/>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w:t>
      </w:r>
      <w:r w:rsidR="00C176F3">
        <w:rPr>
          <w:rFonts w:eastAsia="Calibri"/>
        </w:rPr>
        <w:t xml:space="preserve">the </w:t>
      </w:r>
      <w:r w:rsidR="00B6512B">
        <w:rPr>
          <w:rFonts w:eastAsia="Calibri"/>
        </w:rPr>
        <w:t xml:space="preserve">EDSTP </w:t>
      </w:r>
      <w:r w:rsidRPr="00744525">
        <w:rPr>
          <w:rFonts w:eastAsia="Calibri"/>
        </w:rPr>
        <w:t>and will display in that notice both the OMB control number and its current expiration date.</w:t>
      </w:r>
    </w:p>
    <w:p w:rsidR="00357C8A" w:rsidRPr="00357C8A" w:rsidP="006705EA" w14:paraId="0181F46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1CD97E12" w14:textId="6E527493">
      <w:pPr>
        <w:spacing w:after="200"/>
        <w:rPr>
          <w:rFonts w:eastAsia="Calibri"/>
        </w:rPr>
      </w:pPr>
      <w:r w:rsidRPr="007E59A8">
        <w:rPr>
          <w:rFonts w:eastAsia="Calibri"/>
        </w:rPr>
        <w:t>There are no exceptions to the certification</w:t>
      </w:r>
      <w:r>
        <w:rPr>
          <w:rFonts w:eastAsia="Calibri"/>
        </w:rPr>
        <w:t>.</w:t>
      </w:r>
    </w:p>
    <w:sectPr w:rsidSect="00890502">
      <w:footerReference w:type="even" r:id="rId10"/>
      <w:footerReference w:type="default" r:id="rId11"/>
      <w:pgSz w:w="12240" w:h="15840" w:code="1"/>
      <w:pgMar w:top="1008" w:right="1296"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8AF2AF9" w14:textId="2A7BA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B0B">
      <w:rPr>
        <w:rStyle w:val="PageNumber"/>
        <w:noProof/>
      </w:rPr>
      <w:t>2</w:t>
    </w:r>
    <w:r>
      <w:rPr>
        <w:rStyle w:val="PageNumber"/>
      </w:rPr>
      <w:fldChar w:fldCharType="end"/>
    </w:r>
  </w:p>
  <w:p w:rsidR="00E63DE5" w14:paraId="031067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DE0DF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6DC03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47663581">
    <w:abstractNumId w:val="5"/>
  </w:num>
  <w:num w:numId="2" w16cid:durableId="1452094632">
    <w:abstractNumId w:val="1"/>
  </w:num>
  <w:num w:numId="3" w16cid:durableId="1567960175">
    <w:abstractNumId w:val="6"/>
  </w:num>
  <w:num w:numId="4" w16cid:durableId="1466503493">
    <w:abstractNumId w:val="3"/>
  </w:num>
  <w:num w:numId="5" w16cid:durableId="787048000">
    <w:abstractNumId w:val="7"/>
  </w:num>
  <w:num w:numId="6" w16cid:durableId="2123986831">
    <w:abstractNumId w:val="0"/>
  </w:num>
  <w:num w:numId="7" w16cid:durableId="2088845733">
    <w:abstractNumId w:val="2"/>
  </w:num>
  <w:num w:numId="8" w16cid:durableId="700470192">
    <w:abstractNumId w:val="4"/>
  </w:num>
  <w:num w:numId="9" w16cid:durableId="156251594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B8D"/>
    <w:rsid w:val="00011C95"/>
    <w:rsid w:val="0001240C"/>
    <w:rsid w:val="000126B2"/>
    <w:rsid w:val="000161E3"/>
    <w:rsid w:val="000200F5"/>
    <w:rsid w:val="000207C8"/>
    <w:rsid w:val="000222B1"/>
    <w:rsid w:val="00023EFC"/>
    <w:rsid w:val="00027AC4"/>
    <w:rsid w:val="00031A2C"/>
    <w:rsid w:val="00042B93"/>
    <w:rsid w:val="000438FA"/>
    <w:rsid w:val="00043C7F"/>
    <w:rsid w:val="000467A8"/>
    <w:rsid w:val="00050164"/>
    <w:rsid w:val="00055C53"/>
    <w:rsid w:val="00063134"/>
    <w:rsid w:val="0006570F"/>
    <w:rsid w:val="00067F76"/>
    <w:rsid w:val="00071128"/>
    <w:rsid w:val="000725D9"/>
    <w:rsid w:val="00074535"/>
    <w:rsid w:val="00074663"/>
    <w:rsid w:val="00075DE8"/>
    <w:rsid w:val="000819D7"/>
    <w:rsid w:val="00083E8B"/>
    <w:rsid w:val="000840D8"/>
    <w:rsid w:val="00086E72"/>
    <w:rsid w:val="00087439"/>
    <w:rsid w:val="00087DE1"/>
    <w:rsid w:val="000906A1"/>
    <w:rsid w:val="00091C1D"/>
    <w:rsid w:val="00093EC5"/>
    <w:rsid w:val="000970E4"/>
    <w:rsid w:val="000A6505"/>
    <w:rsid w:val="000A73E5"/>
    <w:rsid w:val="000B1B62"/>
    <w:rsid w:val="000C1260"/>
    <w:rsid w:val="000C560C"/>
    <w:rsid w:val="000C7F35"/>
    <w:rsid w:val="000D080B"/>
    <w:rsid w:val="000D3693"/>
    <w:rsid w:val="000D48FD"/>
    <w:rsid w:val="000D79CC"/>
    <w:rsid w:val="000E1C64"/>
    <w:rsid w:val="000E4E86"/>
    <w:rsid w:val="000F1701"/>
    <w:rsid w:val="000F463B"/>
    <w:rsid w:val="000F4785"/>
    <w:rsid w:val="000F7119"/>
    <w:rsid w:val="000F720B"/>
    <w:rsid w:val="00100739"/>
    <w:rsid w:val="00103336"/>
    <w:rsid w:val="0010493E"/>
    <w:rsid w:val="001075D3"/>
    <w:rsid w:val="001077DD"/>
    <w:rsid w:val="00107885"/>
    <w:rsid w:val="00114FC4"/>
    <w:rsid w:val="00117709"/>
    <w:rsid w:val="001203D7"/>
    <w:rsid w:val="0012329C"/>
    <w:rsid w:val="00134FA7"/>
    <w:rsid w:val="00136E3D"/>
    <w:rsid w:val="00137950"/>
    <w:rsid w:val="00140762"/>
    <w:rsid w:val="001418EF"/>
    <w:rsid w:val="00144516"/>
    <w:rsid w:val="00144749"/>
    <w:rsid w:val="0015000E"/>
    <w:rsid w:val="001503A2"/>
    <w:rsid w:val="001503CC"/>
    <w:rsid w:val="00152F29"/>
    <w:rsid w:val="00154CC8"/>
    <w:rsid w:val="00156F7B"/>
    <w:rsid w:val="00163343"/>
    <w:rsid w:val="00171AB7"/>
    <w:rsid w:val="00174D54"/>
    <w:rsid w:val="0017576A"/>
    <w:rsid w:val="00175D9F"/>
    <w:rsid w:val="00176F07"/>
    <w:rsid w:val="0017702C"/>
    <w:rsid w:val="00181E97"/>
    <w:rsid w:val="00182D5C"/>
    <w:rsid w:val="00185270"/>
    <w:rsid w:val="00186134"/>
    <w:rsid w:val="0019179A"/>
    <w:rsid w:val="0019411E"/>
    <w:rsid w:val="0019444A"/>
    <w:rsid w:val="001A3B5A"/>
    <w:rsid w:val="001A458C"/>
    <w:rsid w:val="001B2566"/>
    <w:rsid w:val="001B5096"/>
    <w:rsid w:val="001B6E48"/>
    <w:rsid w:val="001B744B"/>
    <w:rsid w:val="001B7CE9"/>
    <w:rsid w:val="001B7F4C"/>
    <w:rsid w:val="001C0DDB"/>
    <w:rsid w:val="001C2111"/>
    <w:rsid w:val="001C5126"/>
    <w:rsid w:val="001C63C5"/>
    <w:rsid w:val="001D394F"/>
    <w:rsid w:val="001D495A"/>
    <w:rsid w:val="001D6D49"/>
    <w:rsid w:val="001D70E1"/>
    <w:rsid w:val="001E1CD3"/>
    <w:rsid w:val="001E244C"/>
    <w:rsid w:val="001E4A84"/>
    <w:rsid w:val="001F1437"/>
    <w:rsid w:val="002058F7"/>
    <w:rsid w:val="0020642C"/>
    <w:rsid w:val="00206533"/>
    <w:rsid w:val="00206799"/>
    <w:rsid w:val="002074FE"/>
    <w:rsid w:val="00211528"/>
    <w:rsid w:val="00211EAA"/>
    <w:rsid w:val="00212B0B"/>
    <w:rsid w:val="00213A99"/>
    <w:rsid w:val="0021465C"/>
    <w:rsid w:val="0021482C"/>
    <w:rsid w:val="00216716"/>
    <w:rsid w:val="0022425B"/>
    <w:rsid w:val="002259EF"/>
    <w:rsid w:val="00225EA7"/>
    <w:rsid w:val="0022691B"/>
    <w:rsid w:val="002302A3"/>
    <w:rsid w:val="00232B76"/>
    <w:rsid w:val="00237BF6"/>
    <w:rsid w:val="00241C43"/>
    <w:rsid w:val="00242ED1"/>
    <w:rsid w:val="002444BB"/>
    <w:rsid w:val="00245761"/>
    <w:rsid w:val="00254069"/>
    <w:rsid w:val="002542E0"/>
    <w:rsid w:val="00254BA2"/>
    <w:rsid w:val="00257771"/>
    <w:rsid w:val="00260A0B"/>
    <w:rsid w:val="00264B4E"/>
    <w:rsid w:val="00266671"/>
    <w:rsid w:val="00270748"/>
    <w:rsid w:val="00270A09"/>
    <w:rsid w:val="0027148E"/>
    <w:rsid w:val="002734E5"/>
    <w:rsid w:val="00274316"/>
    <w:rsid w:val="002746DB"/>
    <w:rsid w:val="002774D9"/>
    <w:rsid w:val="002779C5"/>
    <w:rsid w:val="00280CAF"/>
    <w:rsid w:val="00281D09"/>
    <w:rsid w:val="00282F09"/>
    <w:rsid w:val="00287144"/>
    <w:rsid w:val="00291810"/>
    <w:rsid w:val="00294A78"/>
    <w:rsid w:val="00294D62"/>
    <w:rsid w:val="00297532"/>
    <w:rsid w:val="00297FFD"/>
    <w:rsid w:val="002A1210"/>
    <w:rsid w:val="002A1CBF"/>
    <w:rsid w:val="002A47D2"/>
    <w:rsid w:val="002A485B"/>
    <w:rsid w:val="002A624A"/>
    <w:rsid w:val="002A7FB5"/>
    <w:rsid w:val="002B0AEF"/>
    <w:rsid w:val="002B2074"/>
    <w:rsid w:val="002B4791"/>
    <w:rsid w:val="002C084B"/>
    <w:rsid w:val="002C10DA"/>
    <w:rsid w:val="002D030D"/>
    <w:rsid w:val="002D0C90"/>
    <w:rsid w:val="002D14C9"/>
    <w:rsid w:val="002D14D8"/>
    <w:rsid w:val="002D2B67"/>
    <w:rsid w:val="002D37A4"/>
    <w:rsid w:val="002D3E27"/>
    <w:rsid w:val="002D4796"/>
    <w:rsid w:val="002D4799"/>
    <w:rsid w:val="002D559F"/>
    <w:rsid w:val="002E3FA4"/>
    <w:rsid w:val="002E53A5"/>
    <w:rsid w:val="002E64B8"/>
    <w:rsid w:val="002E6834"/>
    <w:rsid w:val="002F6299"/>
    <w:rsid w:val="002F6F9A"/>
    <w:rsid w:val="00307DC7"/>
    <w:rsid w:val="003113FF"/>
    <w:rsid w:val="00312622"/>
    <w:rsid w:val="00320D6C"/>
    <w:rsid w:val="00321428"/>
    <w:rsid w:val="0032277F"/>
    <w:rsid w:val="0032643F"/>
    <w:rsid w:val="0033364E"/>
    <w:rsid w:val="00335D3A"/>
    <w:rsid w:val="00336B69"/>
    <w:rsid w:val="003421C9"/>
    <w:rsid w:val="003429DF"/>
    <w:rsid w:val="0034302B"/>
    <w:rsid w:val="00343CEF"/>
    <w:rsid w:val="00345CB0"/>
    <w:rsid w:val="00346A41"/>
    <w:rsid w:val="00350523"/>
    <w:rsid w:val="0035189D"/>
    <w:rsid w:val="00352939"/>
    <w:rsid w:val="003533D5"/>
    <w:rsid w:val="00355B62"/>
    <w:rsid w:val="00357C8A"/>
    <w:rsid w:val="00361BA3"/>
    <w:rsid w:val="003740BC"/>
    <w:rsid w:val="0037456B"/>
    <w:rsid w:val="003753F8"/>
    <w:rsid w:val="00375C2E"/>
    <w:rsid w:val="00375D40"/>
    <w:rsid w:val="00376ADC"/>
    <w:rsid w:val="003801A3"/>
    <w:rsid w:val="00383438"/>
    <w:rsid w:val="00383D90"/>
    <w:rsid w:val="003870AE"/>
    <w:rsid w:val="0039036C"/>
    <w:rsid w:val="003A0EC2"/>
    <w:rsid w:val="003A1A27"/>
    <w:rsid w:val="003A3E1A"/>
    <w:rsid w:val="003A50CC"/>
    <w:rsid w:val="003B0419"/>
    <w:rsid w:val="003B3C20"/>
    <w:rsid w:val="003B42B3"/>
    <w:rsid w:val="003B4F2E"/>
    <w:rsid w:val="003B6384"/>
    <w:rsid w:val="003B68C1"/>
    <w:rsid w:val="003C0FE2"/>
    <w:rsid w:val="003C227B"/>
    <w:rsid w:val="003C4EBB"/>
    <w:rsid w:val="003C6103"/>
    <w:rsid w:val="003D1531"/>
    <w:rsid w:val="003D5A4D"/>
    <w:rsid w:val="003D5B22"/>
    <w:rsid w:val="003E3CA4"/>
    <w:rsid w:val="003E4EC6"/>
    <w:rsid w:val="003E527E"/>
    <w:rsid w:val="003E553E"/>
    <w:rsid w:val="003E55F7"/>
    <w:rsid w:val="003E576D"/>
    <w:rsid w:val="003E5E25"/>
    <w:rsid w:val="003E7078"/>
    <w:rsid w:val="003E7F10"/>
    <w:rsid w:val="003F3DF5"/>
    <w:rsid w:val="003F449D"/>
    <w:rsid w:val="003F5471"/>
    <w:rsid w:val="003F5E1E"/>
    <w:rsid w:val="003F73B8"/>
    <w:rsid w:val="0040297E"/>
    <w:rsid w:val="00404DF0"/>
    <w:rsid w:val="00405DF4"/>
    <w:rsid w:val="00406CA5"/>
    <w:rsid w:val="00411D11"/>
    <w:rsid w:val="00411D1E"/>
    <w:rsid w:val="004123F4"/>
    <w:rsid w:val="004138C5"/>
    <w:rsid w:val="00413C4F"/>
    <w:rsid w:val="00414494"/>
    <w:rsid w:val="00415E23"/>
    <w:rsid w:val="00416064"/>
    <w:rsid w:val="0041670D"/>
    <w:rsid w:val="004229B8"/>
    <w:rsid w:val="00423272"/>
    <w:rsid w:val="00424061"/>
    <w:rsid w:val="004249D6"/>
    <w:rsid w:val="004268DE"/>
    <w:rsid w:val="0042742E"/>
    <w:rsid w:val="0043573C"/>
    <w:rsid w:val="004400DB"/>
    <w:rsid w:val="00442A3C"/>
    <w:rsid w:val="00443969"/>
    <w:rsid w:val="0044400C"/>
    <w:rsid w:val="00447D74"/>
    <w:rsid w:val="00450A74"/>
    <w:rsid w:val="004546BF"/>
    <w:rsid w:val="00456295"/>
    <w:rsid w:val="00465350"/>
    <w:rsid w:val="004663F5"/>
    <w:rsid w:val="004664C9"/>
    <w:rsid w:val="00467420"/>
    <w:rsid w:val="00472531"/>
    <w:rsid w:val="00472DE5"/>
    <w:rsid w:val="00473537"/>
    <w:rsid w:val="004745A3"/>
    <w:rsid w:val="00476B91"/>
    <w:rsid w:val="00476EFD"/>
    <w:rsid w:val="0047753E"/>
    <w:rsid w:val="004804C8"/>
    <w:rsid w:val="004809E2"/>
    <w:rsid w:val="00482FD0"/>
    <w:rsid w:val="004846BF"/>
    <w:rsid w:val="00493966"/>
    <w:rsid w:val="00494912"/>
    <w:rsid w:val="004A5323"/>
    <w:rsid w:val="004A5A99"/>
    <w:rsid w:val="004B09FA"/>
    <w:rsid w:val="004B152B"/>
    <w:rsid w:val="004C2FF9"/>
    <w:rsid w:val="004C4FC2"/>
    <w:rsid w:val="004C6979"/>
    <w:rsid w:val="004D041E"/>
    <w:rsid w:val="004D13A2"/>
    <w:rsid w:val="004D3A5D"/>
    <w:rsid w:val="004D3E7A"/>
    <w:rsid w:val="004E01B1"/>
    <w:rsid w:val="004E2A52"/>
    <w:rsid w:val="004E4D73"/>
    <w:rsid w:val="004E59B9"/>
    <w:rsid w:val="004F03A8"/>
    <w:rsid w:val="004F581F"/>
    <w:rsid w:val="004F594B"/>
    <w:rsid w:val="004F61E1"/>
    <w:rsid w:val="00501CD7"/>
    <w:rsid w:val="005061E3"/>
    <w:rsid w:val="005200FC"/>
    <w:rsid w:val="00521636"/>
    <w:rsid w:val="0052677A"/>
    <w:rsid w:val="0052757C"/>
    <w:rsid w:val="0053380B"/>
    <w:rsid w:val="00533E43"/>
    <w:rsid w:val="00535003"/>
    <w:rsid w:val="00536C73"/>
    <w:rsid w:val="005403DD"/>
    <w:rsid w:val="005420BF"/>
    <w:rsid w:val="0054274A"/>
    <w:rsid w:val="00543194"/>
    <w:rsid w:val="00544138"/>
    <w:rsid w:val="00551934"/>
    <w:rsid w:val="00554E34"/>
    <w:rsid w:val="0056308B"/>
    <w:rsid w:val="00563093"/>
    <w:rsid w:val="00565E10"/>
    <w:rsid w:val="00574402"/>
    <w:rsid w:val="00574DBA"/>
    <w:rsid w:val="00584068"/>
    <w:rsid w:val="00584583"/>
    <w:rsid w:val="00585424"/>
    <w:rsid w:val="0058598A"/>
    <w:rsid w:val="00587023"/>
    <w:rsid w:val="00590E90"/>
    <w:rsid w:val="00590EEB"/>
    <w:rsid w:val="00593DF8"/>
    <w:rsid w:val="005A1895"/>
    <w:rsid w:val="005A4099"/>
    <w:rsid w:val="005C0DC1"/>
    <w:rsid w:val="005C27F1"/>
    <w:rsid w:val="005C38B2"/>
    <w:rsid w:val="005C5029"/>
    <w:rsid w:val="005C55C2"/>
    <w:rsid w:val="005C597E"/>
    <w:rsid w:val="005C71CA"/>
    <w:rsid w:val="005C745C"/>
    <w:rsid w:val="005D19A9"/>
    <w:rsid w:val="005D2F7E"/>
    <w:rsid w:val="005D4DF5"/>
    <w:rsid w:val="005E3F78"/>
    <w:rsid w:val="005E4081"/>
    <w:rsid w:val="005E42BA"/>
    <w:rsid w:val="005E46BC"/>
    <w:rsid w:val="005F03D0"/>
    <w:rsid w:val="005F36B2"/>
    <w:rsid w:val="0060002F"/>
    <w:rsid w:val="006071FD"/>
    <w:rsid w:val="006107AD"/>
    <w:rsid w:val="00610CDE"/>
    <w:rsid w:val="00611D6B"/>
    <w:rsid w:val="00612DA6"/>
    <w:rsid w:val="00613B7C"/>
    <w:rsid w:val="00614A39"/>
    <w:rsid w:val="006150C8"/>
    <w:rsid w:val="00615EE9"/>
    <w:rsid w:val="0062053D"/>
    <w:rsid w:val="006243B7"/>
    <w:rsid w:val="00625147"/>
    <w:rsid w:val="0062569F"/>
    <w:rsid w:val="00625CFD"/>
    <w:rsid w:val="006326EC"/>
    <w:rsid w:val="0063502D"/>
    <w:rsid w:val="00640D0C"/>
    <w:rsid w:val="00641AB3"/>
    <w:rsid w:val="00651F25"/>
    <w:rsid w:val="00663A42"/>
    <w:rsid w:val="006641C7"/>
    <w:rsid w:val="00667BE1"/>
    <w:rsid w:val="006705EA"/>
    <w:rsid w:val="00670BE2"/>
    <w:rsid w:val="00674183"/>
    <w:rsid w:val="00675E86"/>
    <w:rsid w:val="006801D4"/>
    <w:rsid w:val="006916D9"/>
    <w:rsid w:val="00697AE7"/>
    <w:rsid w:val="006A0E05"/>
    <w:rsid w:val="006A0FEF"/>
    <w:rsid w:val="006A26C6"/>
    <w:rsid w:val="006A37E5"/>
    <w:rsid w:val="006A465A"/>
    <w:rsid w:val="006A5600"/>
    <w:rsid w:val="006A7D5D"/>
    <w:rsid w:val="006B19DE"/>
    <w:rsid w:val="006B666C"/>
    <w:rsid w:val="006C0ACA"/>
    <w:rsid w:val="006C2D8E"/>
    <w:rsid w:val="006C3059"/>
    <w:rsid w:val="006C49E9"/>
    <w:rsid w:val="006D047B"/>
    <w:rsid w:val="006D0C12"/>
    <w:rsid w:val="006D1028"/>
    <w:rsid w:val="006D4100"/>
    <w:rsid w:val="006D4D8C"/>
    <w:rsid w:val="006D5D57"/>
    <w:rsid w:val="006D6524"/>
    <w:rsid w:val="006E1372"/>
    <w:rsid w:val="006E2538"/>
    <w:rsid w:val="006E302F"/>
    <w:rsid w:val="006F1B38"/>
    <w:rsid w:val="006F485A"/>
    <w:rsid w:val="006F4D6D"/>
    <w:rsid w:val="006F7202"/>
    <w:rsid w:val="0070113A"/>
    <w:rsid w:val="00705086"/>
    <w:rsid w:val="0071151C"/>
    <w:rsid w:val="00711B01"/>
    <w:rsid w:val="0071213E"/>
    <w:rsid w:val="007125A5"/>
    <w:rsid w:val="00712EC6"/>
    <w:rsid w:val="00712FF6"/>
    <w:rsid w:val="00714C30"/>
    <w:rsid w:val="00717FAB"/>
    <w:rsid w:val="00722001"/>
    <w:rsid w:val="007225AE"/>
    <w:rsid w:val="00723AE2"/>
    <w:rsid w:val="00727CDF"/>
    <w:rsid w:val="007341B9"/>
    <w:rsid w:val="007416AE"/>
    <w:rsid w:val="00741C49"/>
    <w:rsid w:val="0074356C"/>
    <w:rsid w:val="00744525"/>
    <w:rsid w:val="007450A3"/>
    <w:rsid w:val="007466DB"/>
    <w:rsid w:val="00751E66"/>
    <w:rsid w:val="007528ED"/>
    <w:rsid w:val="00754497"/>
    <w:rsid w:val="0075775F"/>
    <w:rsid w:val="00766BEE"/>
    <w:rsid w:val="00766CD1"/>
    <w:rsid w:val="0077059D"/>
    <w:rsid w:val="00773201"/>
    <w:rsid w:val="00773719"/>
    <w:rsid w:val="007850DE"/>
    <w:rsid w:val="00787C39"/>
    <w:rsid w:val="007921D3"/>
    <w:rsid w:val="00792947"/>
    <w:rsid w:val="00795DF3"/>
    <w:rsid w:val="00796813"/>
    <w:rsid w:val="007A373C"/>
    <w:rsid w:val="007A4E96"/>
    <w:rsid w:val="007A534A"/>
    <w:rsid w:val="007B1280"/>
    <w:rsid w:val="007B225C"/>
    <w:rsid w:val="007B7B8B"/>
    <w:rsid w:val="007C4764"/>
    <w:rsid w:val="007C75B1"/>
    <w:rsid w:val="007D06E9"/>
    <w:rsid w:val="007D0762"/>
    <w:rsid w:val="007D0DEF"/>
    <w:rsid w:val="007D21FD"/>
    <w:rsid w:val="007D3DFC"/>
    <w:rsid w:val="007D7C22"/>
    <w:rsid w:val="007E2F07"/>
    <w:rsid w:val="007E59A8"/>
    <w:rsid w:val="007E7762"/>
    <w:rsid w:val="007F2B5C"/>
    <w:rsid w:val="007F3AD0"/>
    <w:rsid w:val="007F6629"/>
    <w:rsid w:val="00803CE6"/>
    <w:rsid w:val="0080776D"/>
    <w:rsid w:val="00810145"/>
    <w:rsid w:val="008108FA"/>
    <w:rsid w:val="00810FF1"/>
    <w:rsid w:val="008146E2"/>
    <w:rsid w:val="008163B9"/>
    <w:rsid w:val="0082021E"/>
    <w:rsid w:val="00822096"/>
    <w:rsid w:val="00822336"/>
    <w:rsid w:val="00823DFA"/>
    <w:rsid w:val="00824202"/>
    <w:rsid w:val="00824DE0"/>
    <w:rsid w:val="008300EF"/>
    <w:rsid w:val="00842DB7"/>
    <w:rsid w:val="00843752"/>
    <w:rsid w:val="00843BBB"/>
    <w:rsid w:val="0084479F"/>
    <w:rsid w:val="008465D3"/>
    <w:rsid w:val="00856207"/>
    <w:rsid w:val="0085725E"/>
    <w:rsid w:val="00861611"/>
    <w:rsid w:val="008710BA"/>
    <w:rsid w:val="00873C8F"/>
    <w:rsid w:val="00873D4F"/>
    <w:rsid w:val="0087509F"/>
    <w:rsid w:val="00876441"/>
    <w:rsid w:val="00876FB0"/>
    <w:rsid w:val="008827BD"/>
    <w:rsid w:val="00884C40"/>
    <w:rsid w:val="00885B09"/>
    <w:rsid w:val="00890502"/>
    <w:rsid w:val="00892400"/>
    <w:rsid w:val="0089514B"/>
    <w:rsid w:val="008A0199"/>
    <w:rsid w:val="008A128B"/>
    <w:rsid w:val="008A1AE5"/>
    <w:rsid w:val="008A209D"/>
    <w:rsid w:val="008A22BB"/>
    <w:rsid w:val="008A3EE3"/>
    <w:rsid w:val="008B035D"/>
    <w:rsid w:val="008B0E29"/>
    <w:rsid w:val="008B0EFA"/>
    <w:rsid w:val="008B2291"/>
    <w:rsid w:val="008B30AB"/>
    <w:rsid w:val="008B5B0C"/>
    <w:rsid w:val="008B764A"/>
    <w:rsid w:val="008B792F"/>
    <w:rsid w:val="008B79E0"/>
    <w:rsid w:val="008C0380"/>
    <w:rsid w:val="008C0E73"/>
    <w:rsid w:val="008C0F66"/>
    <w:rsid w:val="008C3BB8"/>
    <w:rsid w:val="008C492E"/>
    <w:rsid w:val="008C4B65"/>
    <w:rsid w:val="008C598D"/>
    <w:rsid w:val="008C62FE"/>
    <w:rsid w:val="008E52CC"/>
    <w:rsid w:val="008E5F55"/>
    <w:rsid w:val="008F095B"/>
    <w:rsid w:val="008F1F1B"/>
    <w:rsid w:val="008F5ACE"/>
    <w:rsid w:val="008F5F96"/>
    <w:rsid w:val="009009E7"/>
    <w:rsid w:val="00905832"/>
    <w:rsid w:val="00905DEF"/>
    <w:rsid w:val="00906056"/>
    <w:rsid w:val="009075C1"/>
    <w:rsid w:val="009078A2"/>
    <w:rsid w:val="009122AE"/>
    <w:rsid w:val="00913B43"/>
    <w:rsid w:val="0091746B"/>
    <w:rsid w:val="009265F1"/>
    <w:rsid w:val="00927984"/>
    <w:rsid w:val="00930203"/>
    <w:rsid w:val="009311D2"/>
    <w:rsid w:val="009311E6"/>
    <w:rsid w:val="00931275"/>
    <w:rsid w:val="009313B4"/>
    <w:rsid w:val="00931AD4"/>
    <w:rsid w:val="00936AC7"/>
    <w:rsid w:val="00940376"/>
    <w:rsid w:val="009439FB"/>
    <w:rsid w:val="009457D6"/>
    <w:rsid w:val="00947761"/>
    <w:rsid w:val="00947F13"/>
    <w:rsid w:val="00953B64"/>
    <w:rsid w:val="0095522D"/>
    <w:rsid w:val="00961845"/>
    <w:rsid w:val="00963CCA"/>
    <w:rsid w:val="009646A7"/>
    <w:rsid w:val="00967D43"/>
    <w:rsid w:val="00970A88"/>
    <w:rsid w:val="00973D30"/>
    <w:rsid w:val="00975B29"/>
    <w:rsid w:val="009808DB"/>
    <w:rsid w:val="009818A1"/>
    <w:rsid w:val="00983F7C"/>
    <w:rsid w:val="00987EA9"/>
    <w:rsid w:val="009A13D0"/>
    <w:rsid w:val="009A1674"/>
    <w:rsid w:val="009A367C"/>
    <w:rsid w:val="009A4376"/>
    <w:rsid w:val="009A526C"/>
    <w:rsid w:val="009B0703"/>
    <w:rsid w:val="009B08B3"/>
    <w:rsid w:val="009B2E0C"/>
    <w:rsid w:val="009B38BE"/>
    <w:rsid w:val="009B4DF2"/>
    <w:rsid w:val="009B5C93"/>
    <w:rsid w:val="009B7491"/>
    <w:rsid w:val="009C0B5D"/>
    <w:rsid w:val="009C2E7F"/>
    <w:rsid w:val="009C4D47"/>
    <w:rsid w:val="009C4FCB"/>
    <w:rsid w:val="009C643C"/>
    <w:rsid w:val="009C684F"/>
    <w:rsid w:val="009C76D8"/>
    <w:rsid w:val="009D074C"/>
    <w:rsid w:val="009D52E7"/>
    <w:rsid w:val="009D5AB7"/>
    <w:rsid w:val="009D6E73"/>
    <w:rsid w:val="009E0EFB"/>
    <w:rsid w:val="009E4DBD"/>
    <w:rsid w:val="009F0A32"/>
    <w:rsid w:val="009F149F"/>
    <w:rsid w:val="009F1F1D"/>
    <w:rsid w:val="009F25CC"/>
    <w:rsid w:val="009F2B4F"/>
    <w:rsid w:val="009F37C5"/>
    <w:rsid w:val="009F3C63"/>
    <w:rsid w:val="009F4E8D"/>
    <w:rsid w:val="009F515B"/>
    <w:rsid w:val="009F66B5"/>
    <w:rsid w:val="00A02F10"/>
    <w:rsid w:val="00A072DA"/>
    <w:rsid w:val="00A076D9"/>
    <w:rsid w:val="00A1060C"/>
    <w:rsid w:val="00A10C0C"/>
    <w:rsid w:val="00A10C5B"/>
    <w:rsid w:val="00A112AA"/>
    <w:rsid w:val="00A11ECC"/>
    <w:rsid w:val="00A1278C"/>
    <w:rsid w:val="00A14E72"/>
    <w:rsid w:val="00A152EF"/>
    <w:rsid w:val="00A15F39"/>
    <w:rsid w:val="00A16221"/>
    <w:rsid w:val="00A2057D"/>
    <w:rsid w:val="00A20A7D"/>
    <w:rsid w:val="00A2273D"/>
    <w:rsid w:val="00A231D6"/>
    <w:rsid w:val="00A235ED"/>
    <w:rsid w:val="00A27A51"/>
    <w:rsid w:val="00A31983"/>
    <w:rsid w:val="00A31C57"/>
    <w:rsid w:val="00A32607"/>
    <w:rsid w:val="00A35026"/>
    <w:rsid w:val="00A352A8"/>
    <w:rsid w:val="00A35D42"/>
    <w:rsid w:val="00A3644D"/>
    <w:rsid w:val="00A37B1D"/>
    <w:rsid w:val="00A41E46"/>
    <w:rsid w:val="00A46CCF"/>
    <w:rsid w:val="00A47199"/>
    <w:rsid w:val="00A506DE"/>
    <w:rsid w:val="00A508E7"/>
    <w:rsid w:val="00A515CE"/>
    <w:rsid w:val="00A53451"/>
    <w:rsid w:val="00A60584"/>
    <w:rsid w:val="00A70426"/>
    <w:rsid w:val="00A707CC"/>
    <w:rsid w:val="00A71410"/>
    <w:rsid w:val="00A839C5"/>
    <w:rsid w:val="00A8521B"/>
    <w:rsid w:val="00A8537B"/>
    <w:rsid w:val="00A91C82"/>
    <w:rsid w:val="00A91E9A"/>
    <w:rsid w:val="00A93ED9"/>
    <w:rsid w:val="00A96221"/>
    <w:rsid w:val="00AA42B6"/>
    <w:rsid w:val="00AA461C"/>
    <w:rsid w:val="00AA57FC"/>
    <w:rsid w:val="00AB764D"/>
    <w:rsid w:val="00AC1D3A"/>
    <w:rsid w:val="00AC2DBB"/>
    <w:rsid w:val="00AC2F30"/>
    <w:rsid w:val="00AC37C5"/>
    <w:rsid w:val="00AC6A99"/>
    <w:rsid w:val="00AC78BE"/>
    <w:rsid w:val="00AD2EF3"/>
    <w:rsid w:val="00AD6048"/>
    <w:rsid w:val="00AD6BE0"/>
    <w:rsid w:val="00AE404C"/>
    <w:rsid w:val="00AF00FC"/>
    <w:rsid w:val="00AF06E8"/>
    <w:rsid w:val="00AF0A45"/>
    <w:rsid w:val="00AF3BC2"/>
    <w:rsid w:val="00AF76AC"/>
    <w:rsid w:val="00B037A1"/>
    <w:rsid w:val="00B055EF"/>
    <w:rsid w:val="00B05672"/>
    <w:rsid w:val="00B06B5B"/>
    <w:rsid w:val="00B102D4"/>
    <w:rsid w:val="00B13BA7"/>
    <w:rsid w:val="00B13D44"/>
    <w:rsid w:val="00B16337"/>
    <w:rsid w:val="00B16AE5"/>
    <w:rsid w:val="00B206C7"/>
    <w:rsid w:val="00B221B2"/>
    <w:rsid w:val="00B23769"/>
    <w:rsid w:val="00B25B76"/>
    <w:rsid w:val="00B312BF"/>
    <w:rsid w:val="00B41789"/>
    <w:rsid w:val="00B45361"/>
    <w:rsid w:val="00B466E8"/>
    <w:rsid w:val="00B5026C"/>
    <w:rsid w:val="00B556A6"/>
    <w:rsid w:val="00B56F5C"/>
    <w:rsid w:val="00B60109"/>
    <w:rsid w:val="00B627A5"/>
    <w:rsid w:val="00B6512B"/>
    <w:rsid w:val="00B6753A"/>
    <w:rsid w:val="00B67744"/>
    <w:rsid w:val="00B7181F"/>
    <w:rsid w:val="00B76C5F"/>
    <w:rsid w:val="00B77192"/>
    <w:rsid w:val="00B77A22"/>
    <w:rsid w:val="00B80CDD"/>
    <w:rsid w:val="00B81808"/>
    <w:rsid w:val="00B855F3"/>
    <w:rsid w:val="00B8607D"/>
    <w:rsid w:val="00B86DFA"/>
    <w:rsid w:val="00B92CC4"/>
    <w:rsid w:val="00B936D0"/>
    <w:rsid w:val="00B96E8A"/>
    <w:rsid w:val="00BA05CD"/>
    <w:rsid w:val="00BA3BE1"/>
    <w:rsid w:val="00BB15FB"/>
    <w:rsid w:val="00BB2302"/>
    <w:rsid w:val="00BB7FBC"/>
    <w:rsid w:val="00BC3F42"/>
    <w:rsid w:val="00BC51A9"/>
    <w:rsid w:val="00BD002D"/>
    <w:rsid w:val="00BD0B12"/>
    <w:rsid w:val="00BD16A3"/>
    <w:rsid w:val="00BD25FF"/>
    <w:rsid w:val="00BD3D46"/>
    <w:rsid w:val="00BD3D5B"/>
    <w:rsid w:val="00BE0C50"/>
    <w:rsid w:val="00BE25D4"/>
    <w:rsid w:val="00BE3600"/>
    <w:rsid w:val="00BE587D"/>
    <w:rsid w:val="00BF2722"/>
    <w:rsid w:val="00BF2882"/>
    <w:rsid w:val="00BF645F"/>
    <w:rsid w:val="00C01559"/>
    <w:rsid w:val="00C01F6F"/>
    <w:rsid w:val="00C041EA"/>
    <w:rsid w:val="00C10B5B"/>
    <w:rsid w:val="00C12C13"/>
    <w:rsid w:val="00C1394C"/>
    <w:rsid w:val="00C13BBD"/>
    <w:rsid w:val="00C149AB"/>
    <w:rsid w:val="00C16929"/>
    <w:rsid w:val="00C176F3"/>
    <w:rsid w:val="00C20464"/>
    <w:rsid w:val="00C20690"/>
    <w:rsid w:val="00C22EDA"/>
    <w:rsid w:val="00C24FE6"/>
    <w:rsid w:val="00C25D00"/>
    <w:rsid w:val="00C34B1C"/>
    <w:rsid w:val="00C36020"/>
    <w:rsid w:val="00C40367"/>
    <w:rsid w:val="00C40694"/>
    <w:rsid w:val="00C40A0D"/>
    <w:rsid w:val="00C4144C"/>
    <w:rsid w:val="00C46686"/>
    <w:rsid w:val="00C46A40"/>
    <w:rsid w:val="00C479BF"/>
    <w:rsid w:val="00C47B52"/>
    <w:rsid w:val="00C50245"/>
    <w:rsid w:val="00C5124B"/>
    <w:rsid w:val="00C63209"/>
    <w:rsid w:val="00C659A1"/>
    <w:rsid w:val="00C66672"/>
    <w:rsid w:val="00C70542"/>
    <w:rsid w:val="00C71649"/>
    <w:rsid w:val="00C723C4"/>
    <w:rsid w:val="00C74989"/>
    <w:rsid w:val="00C75CBF"/>
    <w:rsid w:val="00C771EF"/>
    <w:rsid w:val="00C77E0B"/>
    <w:rsid w:val="00C80042"/>
    <w:rsid w:val="00C85638"/>
    <w:rsid w:val="00C9479D"/>
    <w:rsid w:val="00CA2197"/>
    <w:rsid w:val="00CA396E"/>
    <w:rsid w:val="00CA4263"/>
    <w:rsid w:val="00CA7AEA"/>
    <w:rsid w:val="00CA957A"/>
    <w:rsid w:val="00CB45F9"/>
    <w:rsid w:val="00CB71D1"/>
    <w:rsid w:val="00CC2894"/>
    <w:rsid w:val="00CD2460"/>
    <w:rsid w:val="00CD28C6"/>
    <w:rsid w:val="00CD3CE5"/>
    <w:rsid w:val="00CD3FB5"/>
    <w:rsid w:val="00CD77C3"/>
    <w:rsid w:val="00CE112C"/>
    <w:rsid w:val="00CE46FB"/>
    <w:rsid w:val="00CE7A26"/>
    <w:rsid w:val="00CE7E7C"/>
    <w:rsid w:val="00CF44A4"/>
    <w:rsid w:val="00CF53AC"/>
    <w:rsid w:val="00CF55D4"/>
    <w:rsid w:val="00CF684D"/>
    <w:rsid w:val="00D0402C"/>
    <w:rsid w:val="00D06CA0"/>
    <w:rsid w:val="00D12162"/>
    <w:rsid w:val="00D17895"/>
    <w:rsid w:val="00D30EE0"/>
    <w:rsid w:val="00D317AC"/>
    <w:rsid w:val="00D3605B"/>
    <w:rsid w:val="00D408F6"/>
    <w:rsid w:val="00D42FF9"/>
    <w:rsid w:val="00D4310B"/>
    <w:rsid w:val="00D5472D"/>
    <w:rsid w:val="00D5538F"/>
    <w:rsid w:val="00D557AF"/>
    <w:rsid w:val="00D55F82"/>
    <w:rsid w:val="00D608DA"/>
    <w:rsid w:val="00D62642"/>
    <w:rsid w:val="00D719A3"/>
    <w:rsid w:val="00D730BF"/>
    <w:rsid w:val="00D738FD"/>
    <w:rsid w:val="00D73DD8"/>
    <w:rsid w:val="00D74173"/>
    <w:rsid w:val="00D7589A"/>
    <w:rsid w:val="00D75B23"/>
    <w:rsid w:val="00D84A68"/>
    <w:rsid w:val="00D852F4"/>
    <w:rsid w:val="00D85E1F"/>
    <w:rsid w:val="00D93A6B"/>
    <w:rsid w:val="00DA3355"/>
    <w:rsid w:val="00DA6BC0"/>
    <w:rsid w:val="00DB1110"/>
    <w:rsid w:val="00DB3730"/>
    <w:rsid w:val="00DC131A"/>
    <w:rsid w:val="00DC1A77"/>
    <w:rsid w:val="00DC238C"/>
    <w:rsid w:val="00DC371B"/>
    <w:rsid w:val="00DC3788"/>
    <w:rsid w:val="00DC398E"/>
    <w:rsid w:val="00DC76C7"/>
    <w:rsid w:val="00DD09F5"/>
    <w:rsid w:val="00DD0E02"/>
    <w:rsid w:val="00DD37A4"/>
    <w:rsid w:val="00DD3BA7"/>
    <w:rsid w:val="00DD4201"/>
    <w:rsid w:val="00DD4626"/>
    <w:rsid w:val="00DD5E9F"/>
    <w:rsid w:val="00DD7401"/>
    <w:rsid w:val="00DE5711"/>
    <w:rsid w:val="00DE5B3F"/>
    <w:rsid w:val="00DE7F5A"/>
    <w:rsid w:val="00E00EA0"/>
    <w:rsid w:val="00E021CB"/>
    <w:rsid w:val="00E02E55"/>
    <w:rsid w:val="00E06FA5"/>
    <w:rsid w:val="00E07C35"/>
    <w:rsid w:val="00E13229"/>
    <w:rsid w:val="00E138F1"/>
    <w:rsid w:val="00E16FF0"/>
    <w:rsid w:val="00E1754F"/>
    <w:rsid w:val="00E2309D"/>
    <w:rsid w:val="00E237D3"/>
    <w:rsid w:val="00E23C6E"/>
    <w:rsid w:val="00E26758"/>
    <w:rsid w:val="00E27BC8"/>
    <w:rsid w:val="00E31215"/>
    <w:rsid w:val="00E31DD7"/>
    <w:rsid w:val="00E37C35"/>
    <w:rsid w:val="00E4357B"/>
    <w:rsid w:val="00E443A7"/>
    <w:rsid w:val="00E45904"/>
    <w:rsid w:val="00E52CE9"/>
    <w:rsid w:val="00E6121F"/>
    <w:rsid w:val="00E62445"/>
    <w:rsid w:val="00E63DE5"/>
    <w:rsid w:val="00E64286"/>
    <w:rsid w:val="00E647AF"/>
    <w:rsid w:val="00E647C7"/>
    <w:rsid w:val="00E65A37"/>
    <w:rsid w:val="00E65EF7"/>
    <w:rsid w:val="00E77B48"/>
    <w:rsid w:val="00E825C2"/>
    <w:rsid w:val="00E8278B"/>
    <w:rsid w:val="00E8337D"/>
    <w:rsid w:val="00E857FB"/>
    <w:rsid w:val="00E8630B"/>
    <w:rsid w:val="00E90631"/>
    <w:rsid w:val="00E912D8"/>
    <w:rsid w:val="00E91799"/>
    <w:rsid w:val="00E9280A"/>
    <w:rsid w:val="00E92958"/>
    <w:rsid w:val="00E97C8C"/>
    <w:rsid w:val="00E97DF8"/>
    <w:rsid w:val="00EA21FE"/>
    <w:rsid w:val="00EA2D77"/>
    <w:rsid w:val="00EA34E3"/>
    <w:rsid w:val="00EA41AD"/>
    <w:rsid w:val="00EA74F8"/>
    <w:rsid w:val="00EB4EAD"/>
    <w:rsid w:val="00EB7538"/>
    <w:rsid w:val="00EB7DE1"/>
    <w:rsid w:val="00EC17F3"/>
    <w:rsid w:val="00EC1868"/>
    <w:rsid w:val="00EC3FD6"/>
    <w:rsid w:val="00ED15F2"/>
    <w:rsid w:val="00EE04B9"/>
    <w:rsid w:val="00EE6468"/>
    <w:rsid w:val="00EF2D67"/>
    <w:rsid w:val="00EF7ED7"/>
    <w:rsid w:val="00F00147"/>
    <w:rsid w:val="00F00D63"/>
    <w:rsid w:val="00F0336B"/>
    <w:rsid w:val="00F0361C"/>
    <w:rsid w:val="00F1299B"/>
    <w:rsid w:val="00F1397C"/>
    <w:rsid w:val="00F13CBF"/>
    <w:rsid w:val="00F14001"/>
    <w:rsid w:val="00F1720C"/>
    <w:rsid w:val="00F205B4"/>
    <w:rsid w:val="00F207A4"/>
    <w:rsid w:val="00F20CEE"/>
    <w:rsid w:val="00F20F38"/>
    <w:rsid w:val="00F23FAF"/>
    <w:rsid w:val="00F25173"/>
    <w:rsid w:val="00F320FD"/>
    <w:rsid w:val="00F355AC"/>
    <w:rsid w:val="00F36B48"/>
    <w:rsid w:val="00F37C3E"/>
    <w:rsid w:val="00F40565"/>
    <w:rsid w:val="00F40CF7"/>
    <w:rsid w:val="00F44194"/>
    <w:rsid w:val="00F44BFD"/>
    <w:rsid w:val="00F45E4D"/>
    <w:rsid w:val="00F4746D"/>
    <w:rsid w:val="00F64D51"/>
    <w:rsid w:val="00F706E0"/>
    <w:rsid w:val="00F71A5A"/>
    <w:rsid w:val="00F73A1A"/>
    <w:rsid w:val="00F769E0"/>
    <w:rsid w:val="00F80968"/>
    <w:rsid w:val="00F83927"/>
    <w:rsid w:val="00F91ED4"/>
    <w:rsid w:val="00F92FEE"/>
    <w:rsid w:val="00F93325"/>
    <w:rsid w:val="00FA0218"/>
    <w:rsid w:val="00FA087A"/>
    <w:rsid w:val="00FA25FF"/>
    <w:rsid w:val="00FA3258"/>
    <w:rsid w:val="00FA3F7B"/>
    <w:rsid w:val="00FA4A46"/>
    <w:rsid w:val="00FA75FE"/>
    <w:rsid w:val="00FB1032"/>
    <w:rsid w:val="00FB39BC"/>
    <w:rsid w:val="00FB6A53"/>
    <w:rsid w:val="00FC11CA"/>
    <w:rsid w:val="00FC560C"/>
    <w:rsid w:val="00FC6BDE"/>
    <w:rsid w:val="00FD3E9A"/>
    <w:rsid w:val="00FD3EB3"/>
    <w:rsid w:val="00FD6FF9"/>
    <w:rsid w:val="00FE08FA"/>
    <w:rsid w:val="00FE152C"/>
    <w:rsid w:val="00FE3914"/>
    <w:rsid w:val="00FE3C70"/>
    <w:rsid w:val="00FE3CB2"/>
    <w:rsid w:val="00FF6138"/>
    <w:rsid w:val="0462B2C9"/>
    <w:rsid w:val="0538F4C0"/>
    <w:rsid w:val="053D58EC"/>
    <w:rsid w:val="088545D1"/>
    <w:rsid w:val="08C98D14"/>
    <w:rsid w:val="0986AAD0"/>
    <w:rsid w:val="0BED6756"/>
    <w:rsid w:val="0D3CAE4B"/>
    <w:rsid w:val="0F1C5B06"/>
    <w:rsid w:val="10C55D4C"/>
    <w:rsid w:val="1141F5F1"/>
    <w:rsid w:val="14C2645B"/>
    <w:rsid w:val="14FA2A25"/>
    <w:rsid w:val="17177C90"/>
    <w:rsid w:val="17703AF1"/>
    <w:rsid w:val="223E5822"/>
    <w:rsid w:val="23C73165"/>
    <w:rsid w:val="24022A8C"/>
    <w:rsid w:val="260F3780"/>
    <w:rsid w:val="281F9656"/>
    <w:rsid w:val="304FCE2E"/>
    <w:rsid w:val="31C77CEF"/>
    <w:rsid w:val="32304736"/>
    <w:rsid w:val="323C05B9"/>
    <w:rsid w:val="32D61A22"/>
    <w:rsid w:val="34644F9C"/>
    <w:rsid w:val="39C9368F"/>
    <w:rsid w:val="3BF8E304"/>
    <w:rsid w:val="3FA8EC3C"/>
    <w:rsid w:val="40E593E2"/>
    <w:rsid w:val="43DFF954"/>
    <w:rsid w:val="48139B5B"/>
    <w:rsid w:val="4D2F5574"/>
    <w:rsid w:val="5182850E"/>
    <w:rsid w:val="5B8FE908"/>
    <w:rsid w:val="5E992B82"/>
    <w:rsid w:val="5EB82317"/>
    <w:rsid w:val="60248A5A"/>
    <w:rsid w:val="6138F5FA"/>
    <w:rsid w:val="653D628D"/>
    <w:rsid w:val="66EC14E9"/>
    <w:rsid w:val="6B852ABB"/>
    <w:rsid w:val="6FA27AC7"/>
    <w:rsid w:val="724EFEBB"/>
    <w:rsid w:val="769970E4"/>
    <w:rsid w:val="7D645B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2720F"/>
  <w15:chartTrackingRefBased/>
  <w15:docId w15:val="{348EAD09-E7D5-4C1A-B575-B732741D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unhideWhenUsed/>
    <w:rsid w:val="006B666C"/>
    <w:rPr>
      <w:sz w:val="16"/>
      <w:szCs w:val="16"/>
    </w:rPr>
  </w:style>
  <w:style w:type="paragraph" w:styleId="CommentText">
    <w:name w:val="annotation text"/>
    <w:basedOn w:val="Normal"/>
    <w:link w:val="CommentTextChar"/>
    <w:rsid w:val="009313B4"/>
    <w:rPr>
      <w:sz w:val="20"/>
      <w:szCs w:val="20"/>
    </w:rPr>
  </w:style>
  <w:style w:type="character" w:customStyle="1" w:styleId="CommentTextChar">
    <w:name w:val="Comment Text Char"/>
    <w:basedOn w:val="DefaultParagraphFont"/>
    <w:link w:val="CommentText"/>
    <w:rsid w:val="009313B4"/>
  </w:style>
  <w:style w:type="paragraph" w:styleId="CommentSubject">
    <w:name w:val="annotation subject"/>
    <w:basedOn w:val="CommentText"/>
    <w:next w:val="CommentText"/>
    <w:link w:val="CommentSubjectChar"/>
    <w:rsid w:val="009313B4"/>
    <w:rPr>
      <w:b/>
      <w:bCs/>
    </w:rPr>
  </w:style>
  <w:style w:type="character" w:customStyle="1" w:styleId="CommentSubjectChar">
    <w:name w:val="Comment Subject Char"/>
    <w:link w:val="CommentSubject"/>
    <w:rsid w:val="009313B4"/>
    <w:rPr>
      <w:b/>
      <w:bCs/>
    </w:rPr>
  </w:style>
  <w:style w:type="character" w:styleId="Mention">
    <w:name w:val="Mention"/>
    <w:uiPriority w:val="99"/>
    <w:unhideWhenUsed/>
    <w:rsid w:val="00071128"/>
    <w:rPr>
      <w:color w:val="2B579A"/>
      <w:shd w:val="clear" w:color="auto" w:fill="E1DFDD"/>
    </w:rPr>
  </w:style>
  <w:style w:type="paragraph" w:styleId="Revision">
    <w:name w:val="Revision"/>
    <w:hidden/>
    <w:uiPriority w:val="99"/>
    <w:semiHidden/>
    <w:rsid w:val="00A10C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da.gov/drugs/science-and-research-drugs/cder-emerging-drug-safety-technology-program-edstp" TargetMode="External" /><Relationship Id="rId9" Type="http://schemas.openxmlformats.org/officeDocument/2006/relationships/hyperlink" Target="https://www.fda.gov/industry/small-business-assist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4c19e2-07bf-48e3-9638-5047d7891ec3">
      <UserInfo>
        <DisplayName>Gosalvez, Victoria *</DisplayName>
        <AccountId>2685</AccountId>
        <AccountType/>
      </UserInfo>
      <UserInfo>
        <DisplayName>Scrimenti, Michele *</DisplayName>
        <AccountId>2697</AccountId>
        <AccountType/>
      </UserInfo>
    </SharedWithUsers>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d5f4357f5ea9d07df27d76e57ea59c0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151b49793c36f8f965ef47f369577413"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2BDB8-CCCB-4102-BA50-A008B3782DEB}">
  <ds:schemaRefs>
    <ds:schemaRef ds:uri="http://schemas.openxmlformats.org/officeDocument/2006/bibliography"/>
  </ds:schemaRefs>
</ds:datastoreItem>
</file>

<file path=customXml/itemProps2.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3.xml><?xml version="1.0" encoding="utf-8"?>
<ds:datastoreItem xmlns:ds="http://schemas.openxmlformats.org/officeDocument/2006/customXml" ds:itemID="{5AD64B22-A3DD-4135-9FBC-1D18C504C4B0}">
  <ds:schemaRefs>
    <ds:schemaRef ds:uri="514c19e2-07bf-48e3-9638-5047d7891ec3"/>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b5022a83-871b-4d85-bad2-b5228c1d4066"/>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E43412-4221-4A15-80FC-4B7F61F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2</cp:revision>
  <cp:lastPrinted>2019-07-04T13:25:00Z</cp:lastPrinted>
  <dcterms:created xsi:type="dcterms:W3CDTF">2026-03-25T18:21:00Z</dcterms:created>
  <dcterms:modified xsi:type="dcterms:W3CDTF">2026-03-25T18:21:00Z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0x0101006B717CE75F4DEC4D80522EAF4278EB71</vt:lpwstr>
  </property>
  <property fmtid="{D5CDD505-2E9C-101B-9397-08002B2CF9AE}" pid="4" name="MediaServiceImageTags">
    <vt:lpwstr/>
  </property>
</Properties>
</file>