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504A" w:rsidRPr="0095498D" w:rsidP="00E66682" w14:paraId="04CB4675" w14:textId="0CB96D5C">
      <w:pPr>
        <w:rPr>
          <w:rFonts w:ascii="Arial" w:hAnsi="Arial" w:cs="Arial"/>
        </w:rPr>
      </w:pPr>
      <w:bookmarkStart w:id="0" w:name="_Hlk97642973"/>
      <w:bookmarkStart w:id="1" w:name="_Toc337198071"/>
      <w:bookmarkStart w:id="2" w:name="_Toc423335421"/>
      <w:r w:rsidRPr="00E66682">
        <w:rPr>
          <w:rFonts w:asciiTheme="majorHAnsi" w:eastAsiaTheme="majorEastAsia" w:hAnsiTheme="majorHAnsi" w:cs="Courier New"/>
          <w:color w:val="404040" w:themeColor="text1" w:themeTint="BF"/>
          <w:sz w:val="48"/>
          <w:szCs w:val="48"/>
        </w:rPr>
        <w:t xml:space="preserve">Enhancing Data-driven Disease Detection in Newborns (ED3N) </w:t>
      </w:r>
      <w:bookmarkEnd w:id="0"/>
    </w:p>
    <w:p w:rsidR="008210E5" w:rsidRPr="008826C1" w:rsidP="00E66682" w14:paraId="20DBE538" w14:textId="77777777">
      <w:pPr>
        <w:rPr>
          <w:sz w:val="48"/>
          <w:szCs w:val="48"/>
        </w:rPr>
      </w:pPr>
    </w:p>
    <w:p w:rsidR="00C000CD" w:rsidP="008210E5" w14:paraId="208934B9" w14:textId="6952E61D">
      <w:pPr>
        <w:spacing w:after="200" w:line="276" w:lineRule="auto"/>
        <w:rPr>
          <w:rFonts w:asciiTheme="majorHAnsi" w:hAnsiTheme="majorHAnsi" w:cs="Arial"/>
          <w:sz w:val="36"/>
          <w:szCs w:val="36"/>
        </w:rPr>
      </w:pPr>
      <w:r w:rsidRPr="00D20211">
        <w:rPr>
          <w:rFonts w:asciiTheme="majorHAnsi" w:hAnsiTheme="majorHAnsi" w:cs="Arial"/>
          <w:sz w:val="36"/>
          <w:szCs w:val="36"/>
        </w:rPr>
        <w:t>Type of ICR</w:t>
      </w:r>
      <w:r w:rsidR="00861B29">
        <w:rPr>
          <w:rFonts w:asciiTheme="majorHAnsi" w:hAnsiTheme="majorHAnsi" w:cs="Arial"/>
          <w:sz w:val="36"/>
          <w:szCs w:val="36"/>
        </w:rPr>
        <w:t xml:space="preserve"> </w:t>
      </w:r>
      <w:r w:rsidR="00DA7836">
        <w:rPr>
          <w:rFonts w:asciiTheme="majorHAnsi" w:hAnsiTheme="majorHAnsi" w:cs="Arial"/>
          <w:sz w:val="36"/>
          <w:szCs w:val="36"/>
        </w:rPr>
        <w:t>–</w:t>
      </w:r>
      <w:r w:rsidR="00861B29">
        <w:rPr>
          <w:rFonts w:asciiTheme="majorHAnsi" w:hAnsiTheme="majorHAnsi" w:cs="Arial"/>
          <w:sz w:val="36"/>
          <w:szCs w:val="36"/>
        </w:rPr>
        <w:t xml:space="preserve"> </w:t>
      </w:r>
      <w:r w:rsidR="008210E5">
        <w:rPr>
          <w:rFonts w:asciiTheme="majorHAnsi" w:hAnsiTheme="majorHAnsi" w:cs="Arial"/>
          <w:sz w:val="36"/>
          <w:szCs w:val="36"/>
        </w:rPr>
        <w:t>EXTENSION</w:t>
      </w:r>
    </w:p>
    <w:p w:rsidR="00DA7836" w:rsidRPr="00B84716" w:rsidP="008210E5" w14:paraId="682C7D1D" w14:textId="6EBEDA19">
      <w:pPr>
        <w:spacing w:after="200" w:line="276" w:lineRule="auto"/>
        <w:rPr>
          <w:rFonts w:asciiTheme="majorHAnsi" w:hAnsiTheme="majorHAnsi"/>
          <w:sz w:val="30"/>
          <w:szCs w:val="30"/>
        </w:rPr>
      </w:pPr>
      <w:r w:rsidRPr="009B30B0">
        <w:rPr>
          <w:rFonts w:asciiTheme="majorHAnsi" w:hAnsiTheme="majorHAnsi"/>
          <w:sz w:val="30"/>
          <w:szCs w:val="30"/>
        </w:rPr>
        <w:t xml:space="preserve">OMB Control No. 0920-1391, Exp. </w:t>
      </w:r>
      <w:r w:rsidRPr="00B84716">
        <w:rPr>
          <w:rFonts w:asciiTheme="majorHAnsi" w:hAnsiTheme="majorHAnsi"/>
          <w:sz w:val="30"/>
          <w:szCs w:val="30"/>
        </w:rPr>
        <w:t xml:space="preserve">Date </w:t>
      </w:r>
      <w:r w:rsidR="009B30B0">
        <w:rPr>
          <w:rFonts w:asciiTheme="majorHAnsi" w:hAnsiTheme="majorHAnsi"/>
          <w:sz w:val="30"/>
          <w:szCs w:val="30"/>
        </w:rPr>
        <w:t>0</w:t>
      </w:r>
      <w:r w:rsidR="008E2BAA">
        <w:rPr>
          <w:rFonts w:asciiTheme="majorHAnsi" w:hAnsiTheme="majorHAnsi"/>
          <w:sz w:val="30"/>
          <w:szCs w:val="30"/>
        </w:rPr>
        <w:t>4</w:t>
      </w:r>
      <w:r w:rsidRPr="00B84716">
        <w:rPr>
          <w:rFonts w:asciiTheme="majorHAnsi" w:hAnsiTheme="majorHAnsi"/>
          <w:sz w:val="30"/>
          <w:szCs w:val="30"/>
        </w:rPr>
        <w:t>/</w:t>
      </w:r>
      <w:r w:rsidR="009B30B0">
        <w:rPr>
          <w:rFonts w:asciiTheme="majorHAnsi" w:hAnsiTheme="majorHAnsi"/>
          <w:sz w:val="30"/>
          <w:szCs w:val="30"/>
        </w:rPr>
        <w:t>3</w:t>
      </w:r>
      <w:r w:rsidR="008E2BAA">
        <w:rPr>
          <w:rFonts w:asciiTheme="majorHAnsi" w:hAnsiTheme="majorHAnsi"/>
          <w:sz w:val="30"/>
          <w:szCs w:val="30"/>
        </w:rPr>
        <w:t>0</w:t>
      </w:r>
      <w:r w:rsidRPr="00B84716">
        <w:rPr>
          <w:rFonts w:asciiTheme="majorHAnsi" w:hAnsiTheme="majorHAnsi"/>
          <w:sz w:val="30"/>
          <w:szCs w:val="30"/>
        </w:rPr>
        <w:t>/2026</w:t>
      </w:r>
    </w:p>
    <w:p w:rsidR="00D16598" w:rsidRPr="00D20211" w:rsidP="001626E8"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D20211" w:rsidP="001626E8" w14:paraId="71B235A4" w14:textId="7B45D1F0">
      <w:pPr>
        <w:pStyle w:val="Subtitle"/>
        <w:rPr>
          <w:color w:val="auto"/>
        </w:rPr>
      </w:pPr>
      <w:r w:rsidRPr="00D20211">
        <w:rPr>
          <w:color w:val="auto"/>
        </w:rPr>
        <w:t>Justification</w:t>
      </w:r>
    </w:p>
    <w:p w:rsidR="008E47E6" w:rsidRPr="00D20211" w:rsidP="00BB0E8E" w14:paraId="5B69A118" w14:textId="77777777"/>
    <w:p w:rsidR="00BA2DBE" w:rsidRPr="00D20211" w14:paraId="5CC0C15F" w14:textId="77777777">
      <w:pPr>
        <w:spacing w:after="200" w:line="276" w:lineRule="auto"/>
        <w:rPr>
          <w:rFonts w:asciiTheme="majorHAnsi" w:hAnsiTheme="majorHAnsi" w:cs="Arial"/>
          <w:sz w:val="36"/>
          <w:szCs w:val="36"/>
        </w:rPr>
      </w:pPr>
    </w:p>
    <w:p w:rsidR="00BA2DBE" w:rsidRPr="00D20211" w14:paraId="69C74FD2" w14:textId="77777777">
      <w:pPr>
        <w:spacing w:after="200" w:line="276" w:lineRule="auto"/>
        <w:rPr>
          <w:rFonts w:asciiTheme="majorHAnsi" w:hAnsiTheme="majorHAnsi" w:cs="Arial"/>
          <w:sz w:val="36"/>
          <w:szCs w:val="36"/>
        </w:rPr>
      </w:pPr>
    </w:p>
    <w:p w:rsidR="00BA2DBE" w:rsidRPr="00D20211" w14:paraId="1E4E243A" w14:textId="77777777">
      <w:pPr>
        <w:spacing w:after="200" w:line="276" w:lineRule="auto"/>
        <w:rPr>
          <w:rFonts w:asciiTheme="majorHAnsi" w:hAnsiTheme="majorHAnsi" w:cs="Arial"/>
          <w:sz w:val="36"/>
          <w:szCs w:val="36"/>
        </w:rPr>
      </w:pPr>
    </w:p>
    <w:p w:rsidR="00BA2DBE" w:rsidRPr="00D20211" w14:paraId="36D07EFE" w14:textId="77777777">
      <w:pPr>
        <w:spacing w:after="200" w:line="276" w:lineRule="auto"/>
        <w:rPr>
          <w:rFonts w:asciiTheme="majorHAnsi" w:hAnsiTheme="majorHAnsi" w:cs="Arial"/>
          <w:sz w:val="36"/>
          <w:szCs w:val="36"/>
        </w:rPr>
      </w:pPr>
    </w:p>
    <w:p w:rsidR="00BA2DBE" w:rsidRPr="00D20211" w:rsidP="008E47E6" w14:paraId="77A49968" w14:textId="77777777">
      <w:pPr>
        <w:pStyle w:val="Subtitle"/>
        <w:spacing w:after="0"/>
        <w:rPr>
          <w:color w:val="auto"/>
        </w:rPr>
      </w:pPr>
      <w:r w:rsidRPr="00D20211">
        <w:rPr>
          <w:color w:val="auto"/>
        </w:rPr>
        <w:t xml:space="preserve">Program Official/Project Officer: </w:t>
      </w:r>
    </w:p>
    <w:p w:rsidR="00BA2DBE" w:rsidRPr="00D20211" w:rsidP="008E47E6" w14:paraId="009E2166" w14:textId="12ABA199">
      <w:pPr>
        <w:pStyle w:val="Subtitle"/>
        <w:spacing w:after="0"/>
        <w:rPr>
          <w:color w:val="auto"/>
        </w:rPr>
      </w:pPr>
      <w:r w:rsidRPr="00D20211">
        <w:rPr>
          <w:color w:val="auto"/>
        </w:rPr>
        <w:t>Title:</w:t>
      </w:r>
      <w:r w:rsidR="00861B29">
        <w:rPr>
          <w:color w:val="auto"/>
        </w:rPr>
        <w:t xml:space="preserve"> Carla Cuthbert, PhD, FACMG</w:t>
      </w:r>
    </w:p>
    <w:p w:rsidR="00BA2DBE" w:rsidRPr="00D20211" w:rsidP="008E47E6" w14:paraId="4D73E7D9" w14:textId="4645F232">
      <w:pPr>
        <w:pStyle w:val="Subtitle"/>
        <w:spacing w:after="0"/>
        <w:rPr>
          <w:color w:val="auto"/>
        </w:rPr>
      </w:pPr>
      <w:r w:rsidRPr="00D20211">
        <w:rPr>
          <w:color w:val="auto"/>
        </w:rPr>
        <w:t>Phone</w:t>
      </w:r>
      <w:r w:rsidRPr="00D20211" w:rsidR="00480FC6">
        <w:rPr>
          <w:color w:val="auto"/>
        </w:rPr>
        <w:t>:</w:t>
      </w:r>
      <w:r w:rsidR="00861B29">
        <w:rPr>
          <w:color w:val="auto"/>
        </w:rPr>
        <w:t xml:space="preserve"> 770-488-7571</w:t>
      </w:r>
    </w:p>
    <w:p w:rsidR="00BA2DBE" w:rsidRPr="00D20211" w:rsidP="00EA0849" w14:paraId="72924699" w14:textId="2D6AA451">
      <w:pPr>
        <w:pStyle w:val="Subtitle"/>
        <w:spacing w:after="0"/>
        <w:rPr>
          <w:color w:val="auto"/>
        </w:rPr>
      </w:pPr>
      <w:r w:rsidRPr="00D20211">
        <w:rPr>
          <w:color w:val="auto"/>
        </w:rPr>
        <w:t>Email</w:t>
      </w:r>
      <w:r w:rsidRPr="00D20211" w:rsidR="00480FC6">
        <w:rPr>
          <w:color w:val="auto"/>
        </w:rPr>
        <w:t xml:space="preserve">: </w:t>
      </w:r>
      <w:hyperlink r:id="rId9" w:history="1">
        <w:r w:rsidRPr="00FE67E9" w:rsidR="00DA7836">
          <w:rPr>
            <w:rStyle w:val="Hyperlink"/>
          </w:rPr>
          <w:t>ccuthbert@cdc.gov</w:t>
        </w:r>
      </w:hyperlink>
      <w:r w:rsidR="00DA7836">
        <w:rPr>
          <w:color w:val="auto"/>
        </w:rPr>
        <w:t xml:space="preserve"> </w:t>
      </w:r>
    </w:p>
    <w:p w:rsidR="00BA2DBE" w:rsidRPr="00D20211" w:rsidP="008E47E6" w14:paraId="70AB4DEC" w14:textId="7F702D31">
      <w:pPr>
        <w:pStyle w:val="Subtitle"/>
        <w:spacing w:after="0"/>
        <w:rPr>
          <w:color w:val="auto"/>
        </w:rPr>
      </w:pPr>
      <w:r w:rsidRPr="00D20211">
        <w:rPr>
          <w:color w:val="auto"/>
        </w:rPr>
        <w:t>Fax</w:t>
      </w:r>
      <w:r w:rsidRPr="00D20211" w:rsidR="00480FC6">
        <w:rPr>
          <w:color w:val="auto"/>
        </w:rPr>
        <w:t>:</w:t>
      </w:r>
      <w:r w:rsidR="00861B29">
        <w:rPr>
          <w:color w:val="auto"/>
        </w:rPr>
        <w:t xml:space="preserve"> 770-488-4520</w:t>
      </w:r>
    </w:p>
    <w:p w:rsidR="00EA0849" w:rsidRPr="00D20211" w:rsidP="008E47E6" w14:paraId="14F78241" w14:textId="77777777">
      <w:pPr>
        <w:pStyle w:val="Subtitle"/>
        <w:spacing w:after="0"/>
        <w:rPr>
          <w:color w:val="auto"/>
        </w:rPr>
      </w:pPr>
    </w:p>
    <w:p w:rsidR="00965C2A" w:rsidRPr="00D20211" w:rsidP="008E47E6" w14:paraId="76D937C3" w14:textId="7C6D2E95">
      <w:pPr>
        <w:pStyle w:val="Subtitle"/>
        <w:spacing w:after="0"/>
        <w:rPr>
          <w:rFonts w:ascii="Arial" w:hAnsi="Arial"/>
          <w:color w:val="auto"/>
        </w:rPr>
      </w:pPr>
      <w:r w:rsidRPr="00D20211">
        <w:rPr>
          <w:color w:val="auto"/>
        </w:rPr>
        <w:t>Date:</w:t>
      </w:r>
      <w:r w:rsidR="00861B29">
        <w:rPr>
          <w:color w:val="auto"/>
        </w:rPr>
        <w:t xml:space="preserve"> </w:t>
      </w:r>
      <w:r w:rsidR="009C15EC">
        <w:rPr>
          <w:color w:val="auto"/>
        </w:rPr>
        <w:t>December</w:t>
      </w:r>
      <w:r w:rsidR="008210E5">
        <w:rPr>
          <w:color w:val="auto"/>
        </w:rPr>
        <w:t xml:space="preserve"> 1</w:t>
      </w:r>
      <w:r w:rsidR="009C15EC">
        <w:rPr>
          <w:color w:val="auto"/>
        </w:rPr>
        <w:t>0</w:t>
      </w:r>
      <w:r w:rsidR="008210E5">
        <w:rPr>
          <w:color w:val="auto"/>
        </w:rPr>
        <w:t>, 2025</w:t>
      </w:r>
      <w:r w:rsidRPr="00D20211" w:rsidR="00BA2DBE">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P="00637DF7" w14:paraId="1C83B101" w14:textId="2229C436">
          <w:pPr>
            <w:pStyle w:val="TOCHeading"/>
            <w:spacing w:after="480"/>
            <w:jc w:val="center"/>
            <w:rPr>
              <w:color w:val="auto"/>
            </w:rPr>
          </w:pPr>
          <w:r w:rsidRPr="00D20211">
            <w:rPr>
              <w:color w:val="auto"/>
            </w:rPr>
            <w:t>Table of Contents</w:t>
          </w:r>
        </w:p>
        <w:p w:rsidR="00DE27FE" w14:paraId="5F251D45" w14:textId="52A8AB67">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119852190" w:history="1">
            <w:r w:rsidRPr="005C71C6">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_Toc119852190 \h </w:instrText>
            </w:r>
            <w:r>
              <w:rPr>
                <w:noProof/>
                <w:webHidden/>
              </w:rPr>
              <w:fldChar w:fldCharType="separate"/>
            </w:r>
            <w:r>
              <w:rPr>
                <w:noProof/>
                <w:webHidden/>
              </w:rPr>
              <w:t>3</w:t>
            </w:r>
            <w:r>
              <w:rPr>
                <w:noProof/>
                <w:webHidden/>
              </w:rPr>
              <w:fldChar w:fldCharType="end"/>
            </w:r>
          </w:hyperlink>
        </w:p>
        <w:p w:rsidR="00DE27FE" w14:paraId="2DE0D7CE" w14:textId="5431E6C5">
          <w:pPr>
            <w:pStyle w:val="TOC1"/>
            <w:tabs>
              <w:tab w:val="right" w:leader="dot" w:pos="9350"/>
            </w:tabs>
            <w:rPr>
              <w:noProof/>
              <w:sz w:val="22"/>
              <w:szCs w:val="22"/>
            </w:rPr>
          </w:pPr>
          <w:hyperlink w:anchor="_Toc119852191" w:history="1">
            <w:r w:rsidRPr="005C71C6">
              <w:rPr>
                <w:rStyle w:val="Hyperlink"/>
                <w:noProof/>
              </w:rPr>
              <w:t>A.2.  Purpose and Use of the Information Collection</w:t>
            </w:r>
            <w:r>
              <w:rPr>
                <w:noProof/>
                <w:webHidden/>
              </w:rPr>
              <w:tab/>
            </w:r>
            <w:r>
              <w:rPr>
                <w:noProof/>
                <w:webHidden/>
              </w:rPr>
              <w:fldChar w:fldCharType="begin"/>
            </w:r>
            <w:r>
              <w:rPr>
                <w:noProof/>
                <w:webHidden/>
              </w:rPr>
              <w:instrText xml:space="preserve"> PAGEREF _Toc119852191 \h </w:instrText>
            </w:r>
            <w:r>
              <w:rPr>
                <w:noProof/>
                <w:webHidden/>
              </w:rPr>
              <w:fldChar w:fldCharType="separate"/>
            </w:r>
            <w:r>
              <w:rPr>
                <w:noProof/>
                <w:webHidden/>
              </w:rPr>
              <w:t>7</w:t>
            </w:r>
            <w:r>
              <w:rPr>
                <w:noProof/>
                <w:webHidden/>
              </w:rPr>
              <w:fldChar w:fldCharType="end"/>
            </w:r>
          </w:hyperlink>
        </w:p>
        <w:p w:rsidR="00DE27FE" w14:paraId="25C3B75B" w14:textId="614943E7">
          <w:pPr>
            <w:pStyle w:val="TOC1"/>
            <w:tabs>
              <w:tab w:val="right" w:leader="dot" w:pos="9350"/>
            </w:tabs>
            <w:rPr>
              <w:noProof/>
              <w:sz w:val="22"/>
              <w:szCs w:val="22"/>
            </w:rPr>
          </w:pPr>
          <w:hyperlink w:anchor="_Toc119852192" w:history="1">
            <w:r w:rsidRPr="005C71C6">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_Toc119852192 \h </w:instrText>
            </w:r>
            <w:r>
              <w:rPr>
                <w:noProof/>
                <w:webHidden/>
              </w:rPr>
              <w:fldChar w:fldCharType="separate"/>
            </w:r>
            <w:r>
              <w:rPr>
                <w:noProof/>
                <w:webHidden/>
              </w:rPr>
              <w:t>8</w:t>
            </w:r>
            <w:r>
              <w:rPr>
                <w:noProof/>
                <w:webHidden/>
              </w:rPr>
              <w:fldChar w:fldCharType="end"/>
            </w:r>
          </w:hyperlink>
        </w:p>
        <w:p w:rsidR="00DE27FE" w14:paraId="605DD667" w14:textId="26E44F04">
          <w:pPr>
            <w:pStyle w:val="TOC1"/>
            <w:tabs>
              <w:tab w:val="right" w:leader="dot" w:pos="9350"/>
            </w:tabs>
            <w:rPr>
              <w:noProof/>
              <w:sz w:val="22"/>
              <w:szCs w:val="22"/>
            </w:rPr>
          </w:pPr>
          <w:hyperlink w:anchor="_Toc119852193" w:history="1">
            <w:r w:rsidRPr="005C71C6">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_Toc119852193 \h </w:instrText>
            </w:r>
            <w:r>
              <w:rPr>
                <w:noProof/>
                <w:webHidden/>
              </w:rPr>
              <w:fldChar w:fldCharType="separate"/>
            </w:r>
            <w:r>
              <w:rPr>
                <w:noProof/>
                <w:webHidden/>
              </w:rPr>
              <w:t>8</w:t>
            </w:r>
            <w:r>
              <w:rPr>
                <w:noProof/>
                <w:webHidden/>
              </w:rPr>
              <w:fldChar w:fldCharType="end"/>
            </w:r>
          </w:hyperlink>
        </w:p>
        <w:p w:rsidR="00DE27FE" w14:paraId="0AF71E0A" w14:textId="74094546">
          <w:pPr>
            <w:pStyle w:val="TOC1"/>
            <w:tabs>
              <w:tab w:val="right" w:leader="dot" w:pos="9350"/>
            </w:tabs>
            <w:rPr>
              <w:noProof/>
              <w:sz w:val="22"/>
              <w:szCs w:val="22"/>
            </w:rPr>
          </w:pPr>
          <w:hyperlink w:anchor="_Toc119852194" w:history="1">
            <w:r w:rsidRPr="005C71C6">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_Toc119852194 \h </w:instrText>
            </w:r>
            <w:r>
              <w:rPr>
                <w:noProof/>
                <w:webHidden/>
              </w:rPr>
              <w:fldChar w:fldCharType="separate"/>
            </w:r>
            <w:r>
              <w:rPr>
                <w:noProof/>
                <w:webHidden/>
              </w:rPr>
              <w:t>9</w:t>
            </w:r>
            <w:r>
              <w:rPr>
                <w:noProof/>
                <w:webHidden/>
              </w:rPr>
              <w:fldChar w:fldCharType="end"/>
            </w:r>
          </w:hyperlink>
        </w:p>
        <w:p w:rsidR="00DE27FE" w14:paraId="45481955" w14:textId="5F79EB74">
          <w:pPr>
            <w:pStyle w:val="TOC1"/>
            <w:tabs>
              <w:tab w:val="right" w:leader="dot" w:pos="9350"/>
            </w:tabs>
            <w:rPr>
              <w:noProof/>
              <w:sz w:val="22"/>
              <w:szCs w:val="22"/>
            </w:rPr>
          </w:pPr>
          <w:hyperlink w:anchor="_Toc119852195" w:history="1">
            <w:r w:rsidRPr="005C71C6">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_Toc119852195 \h </w:instrText>
            </w:r>
            <w:r>
              <w:rPr>
                <w:noProof/>
                <w:webHidden/>
              </w:rPr>
              <w:fldChar w:fldCharType="separate"/>
            </w:r>
            <w:r>
              <w:rPr>
                <w:noProof/>
                <w:webHidden/>
              </w:rPr>
              <w:t>9</w:t>
            </w:r>
            <w:r>
              <w:rPr>
                <w:noProof/>
                <w:webHidden/>
              </w:rPr>
              <w:fldChar w:fldCharType="end"/>
            </w:r>
          </w:hyperlink>
        </w:p>
        <w:p w:rsidR="00DE27FE" w14:paraId="7A00B874" w14:textId="0F00795D">
          <w:pPr>
            <w:pStyle w:val="TOC1"/>
            <w:tabs>
              <w:tab w:val="right" w:leader="dot" w:pos="9350"/>
            </w:tabs>
            <w:rPr>
              <w:noProof/>
              <w:sz w:val="22"/>
              <w:szCs w:val="22"/>
            </w:rPr>
          </w:pPr>
          <w:hyperlink w:anchor="_Toc119852196" w:history="1">
            <w:r w:rsidRPr="005C71C6">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_Toc119852196 \h </w:instrText>
            </w:r>
            <w:r>
              <w:rPr>
                <w:noProof/>
                <w:webHidden/>
              </w:rPr>
              <w:fldChar w:fldCharType="separate"/>
            </w:r>
            <w:r>
              <w:rPr>
                <w:noProof/>
                <w:webHidden/>
              </w:rPr>
              <w:t>10</w:t>
            </w:r>
            <w:r>
              <w:rPr>
                <w:noProof/>
                <w:webHidden/>
              </w:rPr>
              <w:fldChar w:fldCharType="end"/>
            </w:r>
          </w:hyperlink>
        </w:p>
        <w:p w:rsidR="00DE27FE" w14:paraId="08B12D89" w14:textId="20F65F91">
          <w:pPr>
            <w:pStyle w:val="TOC1"/>
            <w:tabs>
              <w:tab w:val="right" w:leader="dot" w:pos="9350"/>
            </w:tabs>
            <w:rPr>
              <w:noProof/>
              <w:sz w:val="22"/>
              <w:szCs w:val="22"/>
            </w:rPr>
          </w:pPr>
          <w:hyperlink w:anchor="_Toc119852197" w:history="1">
            <w:r w:rsidRPr="005C71C6">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_Toc119852197 \h </w:instrText>
            </w:r>
            <w:r>
              <w:rPr>
                <w:noProof/>
                <w:webHidden/>
              </w:rPr>
              <w:fldChar w:fldCharType="separate"/>
            </w:r>
            <w:r>
              <w:rPr>
                <w:noProof/>
                <w:webHidden/>
              </w:rPr>
              <w:t>10</w:t>
            </w:r>
            <w:r>
              <w:rPr>
                <w:noProof/>
                <w:webHidden/>
              </w:rPr>
              <w:fldChar w:fldCharType="end"/>
            </w:r>
          </w:hyperlink>
        </w:p>
        <w:p w:rsidR="00DE27FE" w14:paraId="102C89C2" w14:textId="08077CD5">
          <w:pPr>
            <w:pStyle w:val="TOC1"/>
            <w:tabs>
              <w:tab w:val="right" w:leader="dot" w:pos="9350"/>
            </w:tabs>
            <w:rPr>
              <w:noProof/>
              <w:sz w:val="22"/>
              <w:szCs w:val="22"/>
            </w:rPr>
          </w:pPr>
          <w:hyperlink w:anchor="_Toc119852198" w:history="1">
            <w:r w:rsidRPr="005C71C6">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_Toc119852198 \h </w:instrText>
            </w:r>
            <w:r>
              <w:rPr>
                <w:noProof/>
                <w:webHidden/>
              </w:rPr>
              <w:fldChar w:fldCharType="separate"/>
            </w:r>
            <w:r>
              <w:rPr>
                <w:noProof/>
                <w:webHidden/>
              </w:rPr>
              <w:t>11</w:t>
            </w:r>
            <w:r>
              <w:rPr>
                <w:noProof/>
                <w:webHidden/>
              </w:rPr>
              <w:fldChar w:fldCharType="end"/>
            </w:r>
          </w:hyperlink>
        </w:p>
        <w:p w:rsidR="00DE27FE" w14:paraId="17AD98AB" w14:textId="4E3BD74C">
          <w:pPr>
            <w:pStyle w:val="TOC1"/>
            <w:tabs>
              <w:tab w:val="right" w:leader="dot" w:pos="9350"/>
            </w:tabs>
            <w:rPr>
              <w:noProof/>
              <w:sz w:val="22"/>
              <w:szCs w:val="22"/>
            </w:rPr>
          </w:pPr>
          <w:hyperlink w:anchor="_Toc119852199" w:history="1">
            <w:r w:rsidRPr="005C71C6">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_Toc119852199 \h </w:instrText>
            </w:r>
            <w:r>
              <w:rPr>
                <w:noProof/>
                <w:webHidden/>
              </w:rPr>
              <w:fldChar w:fldCharType="separate"/>
            </w:r>
            <w:r>
              <w:rPr>
                <w:noProof/>
                <w:webHidden/>
              </w:rPr>
              <w:t>11</w:t>
            </w:r>
            <w:r>
              <w:rPr>
                <w:noProof/>
                <w:webHidden/>
              </w:rPr>
              <w:fldChar w:fldCharType="end"/>
            </w:r>
          </w:hyperlink>
        </w:p>
        <w:p w:rsidR="00DE27FE" w14:paraId="79C68CA5" w14:textId="63BEC904">
          <w:pPr>
            <w:pStyle w:val="TOC1"/>
            <w:tabs>
              <w:tab w:val="right" w:leader="dot" w:pos="9350"/>
            </w:tabs>
            <w:rPr>
              <w:noProof/>
              <w:sz w:val="22"/>
              <w:szCs w:val="22"/>
            </w:rPr>
          </w:pPr>
          <w:hyperlink w:anchor="_Toc119852200" w:history="1">
            <w:r w:rsidRPr="005C71C6">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_Toc119852200 \h </w:instrText>
            </w:r>
            <w:r>
              <w:rPr>
                <w:noProof/>
                <w:webHidden/>
              </w:rPr>
              <w:fldChar w:fldCharType="separate"/>
            </w:r>
            <w:r>
              <w:rPr>
                <w:noProof/>
                <w:webHidden/>
              </w:rPr>
              <w:t>12</w:t>
            </w:r>
            <w:r>
              <w:rPr>
                <w:noProof/>
                <w:webHidden/>
              </w:rPr>
              <w:fldChar w:fldCharType="end"/>
            </w:r>
          </w:hyperlink>
        </w:p>
        <w:p w:rsidR="00DE27FE" w14:paraId="510E7C71" w14:textId="6CA26F88">
          <w:pPr>
            <w:pStyle w:val="TOC1"/>
            <w:tabs>
              <w:tab w:val="right" w:leader="dot" w:pos="9350"/>
            </w:tabs>
            <w:rPr>
              <w:noProof/>
              <w:sz w:val="22"/>
              <w:szCs w:val="22"/>
            </w:rPr>
          </w:pPr>
          <w:hyperlink w:anchor="_Toc119852201" w:history="1">
            <w:r w:rsidRPr="005C71C6">
              <w:rPr>
                <w:rStyle w:val="Hyperlink"/>
                <w:noProof/>
              </w:rPr>
              <w:t>A.12.  Estimates of Annualized Burden Hours and Costs</w:t>
            </w:r>
            <w:r>
              <w:rPr>
                <w:noProof/>
                <w:webHidden/>
              </w:rPr>
              <w:tab/>
            </w:r>
            <w:r>
              <w:rPr>
                <w:noProof/>
                <w:webHidden/>
              </w:rPr>
              <w:fldChar w:fldCharType="begin"/>
            </w:r>
            <w:r>
              <w:rPr>
                <w:noProof/>
                <w:webHidden/>
              </w:rPr>
              <w:instrText xml:space="preserve"> PAGEREF _Toc119852201 \h </w:instrText>
            </w:r>
            <w:r>
              <w:rPr>
                <w:noProof/>
                <w:webHidden/>
              </w:rPr>
              <w:fldChar w:fldCharType="separate"/>
            </w:r>
            <w:r>
              <w:rPr>
                <w:noProof/>
                <w:webHidden/>
              </w:rPr>
              <w:t>13</w:t>
            </w:r>
            <w:r>
              <w:rPr>
                <w:noProof/>
                <w:webHidden/>
              </w:rPr>
              <w:fldChar w:fldCharType="end"/>
            </w:r>
          </w:hyperlink>
        </w:p>
        <w:p w:rsidR="00DE27FE" w14:paraId="33C8E779" w14:textId="3D626F60">
          <w:pPr>
            <w:pStyle w:val="TOC1"/>
            <w:tabs>
              <w:tab w:val="right" w:leader="dot" w:pos="9350"/>
            </w:tabs>
            <w:rPr>
              <w:noProof/>
              <w:sz w:val="22"/>
              <w:szCs w:val="22"/>
            </w:rPr>
          </w:pPr>
          <w:hyperlink w:anchor="_Toc119852202" w:history="1">
            <w:r w:rsidRPr="005C71C6">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_Toc119852202 \h </w:instrText>
            </w:r>
            <w:r>
              <w:rPr>
                <w:noProof/>
                <w:webHidden/>
              </w:rPr>
              <w:fldChar w:fldCharType="separate"/>
            </w:r>
            <w:r>
              <w:rPr>
                <w:noProof/>
                <w:webHidden/>
              </w:rPr>
              <w:t>14</w:t>
            </w:r>
            <w:r>
              <w:rPr>
                <w:noProof/>
                <w:webHidden/>
              </w:rPr>
              <w:fldChar w:fldCharType="end"/>
            </w:r>
          </w:hyperlink>
        </w:p>
        <w:p w:rsidR="00DE27FE" w14:paraId="3D64E06D" w14:textId="378C5748">
          <w:pPr>
            <w:pStyle w:val="TOC1"/>
            <w:tabs>
              <w:tab w:val="right" w:leader="dot" w:pos="9350"/>
            </w:tabs>
            <w:rPr>
              <w:noProof/>
              <w:sz w:val="22"/>
              <w:szCs w:val="22"/>
            </w:rPr>
          </w:pPr>
          <w:hyperlink w:anchor="_Toc119852203" w:history="1">
            <w:r w:rsidRPr="005C71C6">
              <w:rPr>
                <w:rStyle w:val="Hyperlink"/>
                <w:noProof/>
              </w:rPr>
              <w:t>A.14.  Annualized Cost to the Federal Government</w:t>
            </w:r>
            <w:r>
              <w:rPr>
                <w:noProof/>
                <w:webHidden/>
              </w:rPr>
              <w:tab/>
            </w:r>
            <w:r>
              <w:rPr>
                <w:noProof/>
                <w:webHidden/>
              </w:rPr>
              <w:fldChar w:fldCharType="begin"/>
            </w:r>
            <w:r>
              <w:rPr>
                <w:noProof/>
                <w:webHidden/>
              </w:rPr>
              <w:instrText xml:space="preserve"> PAGEREF _Toc119852203 \h </w:instrText>
            </w:r>
            <w:r>
              <w:rPr>
                <w:noProof/>
                <w:webHidden/>
              </w:rPr>
              <w:fldChar w:fldCharType="separate"/>
            </w:r>
            <w:r>
              <w:rPr>
                <w:noProof/>
                <w:webHidden/>
              </w:rPr>
              <w:t>14</w:t>
            </w:r>
            <w:r>
              <w:rPr>
                <w:noProof/>
                <w:webHidden/>
              </w:rPr>
              <w:fldChar w:fldCharType="end"/>
            </w:r>
          </w:hyperlink>
        </w:p>
        <w:p w:rsidR="00DE27FE" w14:paraId="62029CC6" w14:textId="0D2D0D59">
          <w:pPr>
            <w:pStyle w:val="TOC1"/>
            <w:tabs>
              <w:tab w:val="right" w:leader="dot" w:pos="9350"/>
            </w:tabs>
            <w:rPr>
              <w:noProof/>
              <w:sz w:val="22"/>
              <w:szCs w:val="22"/>
            </w:rPr>
          </w:pPr>
          <w:hyperlink w:anchor="_Toc119852204" w:history="1">
            <w:r w:rsidRPr="005C71C6">
              <w:rPr>
                <w:rStyle w:val="Hyperlink"/>
                <w:noProof/>
              </w:rPr>
              <w:t>A.15.  Explanation for Program Changes or Adjustments</w:t>
            </w:r>
            <w:r>
              <w:rPr>
                <w:noProof/>
                <w:webHidden/>
              </w:rPr>
              <w:tab/>
            </w:r>
            <w:r>
              <w:rPr>
                <w:noProof/>
                <w:webHidden/>
              </w:rPr>
              <w:fldChar w:fldCharType="begin"/>
            </w:r>
            <w:r>
              <w:rPr>
                <w:noProof/>
                <w:webHidden/>
              </w:rPr>
              <w:instrText xml:space="preserve"> PAGEREF _Toc119852204 \h </w:instrText>
            </w:r>
            <w:r>
              <w:rPr>
                <w:noProof/>
                <w:webHidden/>
              </w:rPr>
              <w:fldChar w:fldCharType="separate"/>
            </w:r>
            <w:r>
              <w:rPr>
                <w:noProof/>
                <w:webHidden/>
              </w:rPr>
              <w:t>15</w:t>
            </w:r>
            <w:r>
              <w:rPr>
                <w:noProof/>
                <w:webHidden/>
              </w:rPr>
              <w:fldChar w:fldCharType="end"/>
            </w:r>
          </w:hyperlink>
        </w:p>
        <w:p w:rsidR="00DE27FE" w14:paraId="19453658" w14:textId="60729EDC">
          <w:pPr>
            <w:pStyle w:val="TOC1"/>
            <w:tabs>
              <w:tab w:val="right" w:leader="dot" w:pos="9350"/>
            </w:tabs>
            <w:rPr>
              <w:noProof/>
              <w:sz w:val="22"/>
              <w:szCs w:val="22"/>
            </w:rPr>
          </w:pPr>
          <w:hyperlink w:anchor="_Toc119852205" w:history="1">
            <w:r w:rsidRPr="005C71C6">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_Toc119852205 \h </w:instrText>
            </w:r>
            <w:r>
              <w:rPr>
                <w:noProof/>
                <w:webHidden/>
              </w:rPr>
              <w:fldChar w:fldCharType="separate"/>
            </w:r>
            <w:r>
              <w:rPr>
                <w:noProof/>
                <w:webHidden/>
              </w:rPr>
              <w:t>15</w:t>
            </w:r>
            <w:r>
              <w:rPr>
                <w:noProof/>
                <w:webHidden/>
              </w:rPr>
              <w:fldChar w:fldCharType="end"/>
            </w:r>
          </w:hyperlink>
        </w:p>
        <w:p w:rsidR="00DE27FE" w14:paraId="0F427C5A" w14:textId="61DAFB70">
          <w:pPr>
            <w:pStyle w:val="TOC1"/>
            <w:tabs>
              <w:tab w:val="right" w:leader="dot" w:pos="9350"/>
            </w:tabs>
            <w:rPr>
              <w:noProof/>
              <w:sz w:val="22"/>
              <w:szCs w:val="22"/>
            </w:rPr>
          </w:pPr>
          <w:hyperlink w:anchor="_Toc119852206" w:history="1">
            <w:r w:rsidRPr="005C71C6">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_Toc119852206 \h </w:instrText>
            </w:r>
            <w:r>
              <w:rPr>
                <w:noProof/>
                <w:webHidden/>
              </w:rPr>
              <w:fldChar w:fldCharType="separate"/>
            </w:r>
            <w:r>
              <w:rPr>
                <w:noProof/>
                <w:webHidden/>
              </w:rPr>
              <w:t>15</w:t>
            </w:r>
            <w:r>
              <w:rPr>
                <w:noProof/>
                <w:webHidden/>
              </w:rPr>
              <w:fldChar w:fldCharType="end"/>
            </w:r>
          </w:hyperlink>
        </w:p>
        <w:p w:rsidR="00DE27FE" w14:paraId="04A94CE2" w14:textId="4177AAF1">
          <w:pPr>
            <w:pStyle w:val="TOC1"/>
            <w:tabs>
              <w:tab w:val="right" w:leader="dot" w:pos="9350"/>
            </w:tabs>
            <w:rPr>
              <w:noProof/>
              <w:sz w:val="22"/>
              <w:szCs w:val="22"/>
            </w:rPr>
          </w:pPr>
          <w:hyperlink w:anchor="_Toc119852207" w:history="1">
            <w:r w:rsidRPr="005C71C6">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_Toc119852207 \h </w:instrText>
            </w:r>
            <w:r>
              <w:rPr>
                <w:noProof/>
                <w:webHidden/>
              </w:rPr>
              <w:fldChar w:fldCharType="separate"/>
            </w:r>
            <w:r>
              <w:rPr>
                <w:noProof/>
                <w:webHidden/>
              </w:rPr>
              <w:t>15</w:t>
            </w:r>
            <w:r>
              <w:rPr>
                <w:noProof/>
                <w:webHidden/>
              </w:rPr>
              <w:fldChar w:fldCharType="end"/>
            </w:r>
          </w:hyperlink>
        </w:p>
        <w:p w:rsidR="00DE27FE" w14:paraId="1F76E904" w14:textId="59F7068E">
          <w:pPr>
            <w:pStyle w:val="TOC1"/>
            <w:tabs>
              <w:tab w:val="right" w:leader="dot" w:pos="9350"/>
            </w:tabs>
            <w:rPr>
              <w:noProof/>
              <w:sz w:val="22"/>
              <w:szCs w:val="22"/>
            </w:rPr>
          </w:pPr>
        </w:p>
        <w:p w:rsidR="009B765E" w:rsidRPr="00D20211" w14:paraId="032A377A" w14:textId="44145628">
          <w:r w:rsidRPr="00D20211">
            <w:rPr>
              <w:b/>
              <w:bCs/>
              <w:noProof/>
            </w:rPr>
            <w:fldChar w:fldCharType="end"/>
          </w:r>
        </w:p>
      </w:sdtContent>
    </w:sdt>
    <w:p w:rsidR="00BA2DBE" w:rsidP="48D86499" w14:paraId="031BBD7F" w14:textId="38EEF171">
      <w:pPr>
        <w:spacing w:line="240" w:lineRule="auto"/>
        <w:rPr>
          <w:rFonts w:eastAsiaTheme="majorEastAsia"/>
          <w:b/>
          <w:bCs/>
          <w:sz w:val="24"/>
          <w:szCs w:val="24"/>
        </w:rPr>
      </w:pPr>
      <w:r w:rsidRPr="48D86499">
        <w:rPr>
          <w:rFonts w:eastAsiaTheme="majorEastAsia"/>
          <w:b/>
          <w:bCs/>
          <w:sz w:val="24"/>
          <w:szCs w:val="24"/>
        </w:rPr>
        <w:t>List of Attachments</w:t>
      </w:r>
    </w:p>
    <w:p w:rsidR="00C20593" w:rsidP="00C20593" w14:paraId="41B13B84" w14:textId="149FF638">
      <w:pPr>
        <w:pStyle w:val="ListParagraph"/>
        <w:numPr>
          <w:ilvl w:val="0"/>
          <w:numId w:val="42"/>
        </w:numPr>
        <w:spacing w:after="200" w:line="276" w:lineRule="auto"/>
        <w:rPr>
          <w:rFonts w:eastAsiaTheme="majorEastAsia" w:cstheme="minorHAnsi"/>
          <w:sz w:val="24"/>
          <w:szCs w:val="24"/>
        </w:rPr>
      </w:pPr>
      <w:r>
        <w:rPr>
          <w:rFonts w:eastAsiaTheme="majorEastAsia" w:cstheme="minorHAnsi"/>
          <w:sz w:val="24"/>
          <w:szCs w:val="24"/>
        </w:rPr>
        <w:t>Authorizing Legislation</w:t>
      </w:r>
    </w:p>
    <w:p w:rsidR="00C20593" w:rsidP="00C20593" w14:paraId="57B57D50" w14:textId="2852005C">
      <w:pPr>
        <w:pStyle w:val="ListParagraph"/>
        <w:numPr>
          <w:ilvl w:val="0"/>
          <w:numId w:val="42"/>
        </w:numPr>
        <w:spacing w:after="200" w:line="276" w:lineRule="auto"/>
        <w:rPr>
          <w:rFonts w:eastAsiaTheme="majorEastAsia" w:cstheme="minorHAnsi"/>
          <w:sz w:val="24"/>
          <w:szCs w:val="24"/>
        </w:rPr>
      </w:pPr>
      <w:r>
        <w:rPr>
          <w:rFonts w:eastAsiaTheme="majorEastAsia" w:cstheme="minorHAnsi"/>
          <w:sz w:val="24"/>
          <w:szCs w:val="24"/>
        </w:rPr>
        <w:t>Federal Register Notice</w:t>
      </w:r>
    </w:p>
    <w:p w:rsidR="00012A6A" w:rsidP="00AC03F6" w14:paraId="1F7DCF15" w14:textId="77777777">
      <w:pPr>
        <w:pStyle w:val="ListParagraph"/>
        <w:numPr>
          <w:ilvl w:val="1"/>
          <w:numId w:val="42"/>
        </w:numPr>
        <w:spacing w:after="200" w:line="276" w:lineRule="auto"/>
        <w:rPr>
          <w:rFonts w:eastAsiaTheme="majorEastAsia" w:cstheme="minorHAnsi"/>
          <w:sz w:val="24"/>
          <w:szCs w:val="24"/>
        </w:rPr>
      </w:pPr>
      <w:r>
        <w:rPr>
          <w:rFonts w:eastAsiaTheme="majorEastAsia" w:cstheme="minorHAnsi"/>
          <w:sz w:val="24"/>
          <w:szCs w:val="24"/>
        </w:rPr>
        <w:t>PDF of the published 60-day FRN</w:t>
      </w:r>
    </w:p>
    <w:p w:rsidR="00AC03F6" w:rsidP="4EF4FD88" w14:paraId="11735E74" w14:textId="664E5238">
      <w:pPr>
        <w:pStyle w:val="ListParagraph"/>
        <w:numPr>
          <w:ilvl w:val="1"/>
          <w:numId w:val="42"/>
        </w:numPr>
        <w:spacing w:after="200" w:line="276" w:lineRule="auto"/>
        <w:rPr>
          <w:rFonts w:eastAsiaTheme="majorEastAsia"/>
          <w:sz w:val="24"/>
          <w:szCs w:val="24"/>
        </w:rPr>
      </w:pPr>
      <w:r w:rsidRPr="48D86499">
        <w:rPr>
          <w:rFonts w:eastAsiaTheme="majorEastAsia"/>
          <w:sz w:val="24"/>
          <w:szCs w:val="24"/>
        </w:rPr>
        <w:t>Public Comment</w:t>
      </w:r>
      <w:r w:rsidRPr="48D86499" w:rsidR="005D37A1">
        <w:rPr>
          <w:rFonts w:eastAsiaTheme="majorEastAsia"/>
          <w:sz w:val="24"/>
          <w:szCs w:val="24"/>
        </w:rPr>
        <w:t>s (</w:t>
      </w:r>
      <w:r w:rsidRPr="48D86499" w:rsidR="0BBF4CAB">
        <w:rPr>
          <w:rFonts w:eastAsiaTheme="majorEastAsia"/>
          <w:sz w:val="24"/>
          <w:szCs w:val="24"/>
        </w:rPr>
        <w:t>CSV</w:t>
      </w:r>
      <w:r w:rsidRPr="48D86499" w:rsidR="005D37A1">
        <w:rPr>
          <w:rFonts w:eastAsiaTheme="majorEastAsia"/>
          <w:sz w:val="24"/>
          <w:szCs w:val="24"/>
        </w:rPr>
        <w:t xml:space="preserve"> format, PDF format)</w:t>
      </w:r>
    </w:p>
    <w:p w:rsidR="005D37A1" w:rsidP="00926F19" w14:paraId="33E88B13" w14:textId="1E73038A">
      <w:pPr>
        <w:pStyle w:val="ListParagraph"/>
        <w:numPr>
          <w:ilvl w:val="1"/>
          <w:numId w:val="42"/>
        </w:numPr>
        <w:spacing w:after="200" w:line="276" w:lineRule="auto"/>
        <w:rPr>
          <w:rFonts w:eastAsiaTheme="majorEastAsia" w:cstheme="minorHAnsi"/>
          <w:sz w:val="24"/>
          <w:szCs w:val="24"/>
        </w:rPr>
      </w:pPr>
      <w:r>
        <w:rPr>
          <w:rFonts w:eastAsiaTheme="majorEastAsia" w:cstheme="minorHAnsi"/>
          <w:sz w:val="24"/>
          <w:szCs w:val="24"/>
        </w:rPr>
        <w:t>Public comments responses</w:t>
      </w:r>
    </w:p>
    <w:p w:rsidR="00C20593" w:rsidRPr="00926F19" w:rsidP="00C20593" w14:paraId="6FDE4339" w14:textId="5DE35CD5">
      <w:pPr>
        <w:pStyle w:val="ListParagraph"/>
        <w:numPr>
          <w:ilvl w:val="0"/>
          <w:numId w:val="42"/>
        </w:numPr>
        <w:spacing w:after="200" w:line="276" w:lineRule="auto"/>
        <w:rPr>
          <w:rFonts w:eastAsiaTheme="majorEastAsia" w:cstheme="minorHAnsi"/>
          <w:sz w:val="24"/>
          <w:szCs w:val="24"/>
        </w:rPr>
      </w:pPr>
      <w:r>
        <w:rPr>
          <w:rFonts w:eastAsiaTheme="majorEastAsia" w:cstheme="minorHAnsi"/>
          <w:sz w:val="24"/>
          <w:szCs w:val="24"/>
        </w:rPr>
        <w:t>Elements of Burden</w:t>
      </w:r>
    </w:p>
    <w:p w:rsidR="00C20593" w:rsidP="00C20593" w14:paraId="08015904" w14:textId="62AA1F91">
      <w:pPr>
        <w:pStyle w:val="ListParagraph"/>
        <w:numPr>
          <w:ilvl w:val="1"/>
          <w:numId w:val="42"/>
        </w:numPr>
        <w:spacing w:after="200" w:line="276" w:lineRule="auto"/>
        <w:rPr>
          <w:rFonts w:eastAsiaTheme="majorEastAsia" w:cstheme="minorHAnsi"/>
          <w:sz w:val="24"/>
          <w:szCs w:val="24"/>
        </w:rPr>
      </w:pPr>
      <w:r>
        <w:rPr>
          <w:rFonts w:eastAsiaTheme="majorEastAsia" w:cstheme="minorHAnsi"/>
          <w:sz w:val="24"/>
          <w:szCs w:val="24"/>
        </w:rPr>
        <w:t>ED3N Initial Set-up</w:t>
      </w:r>
    </w:p>
    <w:p w:rsidR="00C20593" w:rsidP="00926F19" w14:paraId="3389EEAB" w14:textId="74725476">
      <w:pPr>
        <w:pStyle w:val="ListParagraph"/>
        <w:numPr>
          <w:ilvl w:val="1"/>
          <w:numId w:val="42"/>
        </w:numPr>
        <w:spacing w:after="200" w:line="276" w:lineRule="auto"/>
        <w:rPr>
          <w:rFonts w:eastAsiaTheme="majorEastAsia" w:cstheme="minorHAnsi"/>
          <w:sz w:val="24"/>
          <w:szCs w:val="24"/>
        </w:rPr>
      </w:pPr>
      <w:r>
        <w:rPr>
          <w:rFonts w:eastAsiaTheme="majorEastAsia" w:cstheme="minorHAnsi"/>
          <w:sz w:val="24"/>
          <w:szCs w:val="24"/>
        </w:rPr>
        <w:t>ED3N Ongoing Data Transfer Elements</w:t>
      </w:r>
    </w:p>
    <w:p w:rsidR="00C20593" w:rsidP="00C20593" w14:paraId="622F77B0" w14:textId="77777777">
      <w:pPr>
        <w:pStyle w:val="ListParagraph"/>
        <w:numPr>
          <w:ilvl w:val="0"/>
          <w:numId w:val="42"/>
        </w:numPr>
        <w:spacing w:after="200" w:line="276" w:lineRule="auto"/>
        <w:rPr>
          <w:rFonts w:eastAsiaTheme="majorEastAsia" w:cstheme="minorHAnsi"/>
          <w:sz w:val="24"/>
          <w:szCs w:val="24"/>
        </w:rPr>
      </w:pPr>
      <w:r>
        <w:rPr>
          <w:rFonts w:eastAsiaTheme="majorEastAsia" w:cstheme="minorHAnsi"/>
          <w:sz w:val="24"/>
          <w:szCs w:val="24"/>
        </w:rPr>
        <w:t>Privacy and Data Sharing</w:t>
      </w:r>
    </w:p>
    <w:p w:rsidR="00C20593" w:rsidP="00C20593" w14:paraId="04A59D87" w14:textId="6CD7C19B">
      <w:pPr>
        <w:pStyle w:val="ListParagraph"/>
        <w:numPr>
          <w:ilvl w:val="1"/>
          <w:numId w:val="42"/>
        </w:numPr>
        <w:spacing w:after="200" w:line="276" w:lineRule="auto"/>
        <w:rPr>
          <w:rFonts w:eastAsiaTheme="majorEastAsia" w:cstheme="minorHAnsi"/>
          <w:sz w:val="24"/>
          <w:szCs w:val="24"/>
        </w:rPr>
      </w:pPr>
      <w:r>
        <w:rPr>
          <w:rFonts w:eastAsiaTheme="majorEastAsia" w:cstheme="minorHAnsi"/>
          <w:sz w:val="24"/>
          <w:szCs w:val="24"/>
        </w:rPr>
        <w:t>Privacy Impact Assessment</w:t>
      </w:r>
    </w:p>
    <w:p w:rsidR="00C20593" w:rsidP="00926F19" w14:paraId="2C2B5ABC" w14:textId="76A1E241">
      <w:pPr>
        <w:pStyle w:val="ListParagraph"/>
        <w:numPr>
          <w:ilvl w:val="1"/>
          <w:numId w:val="42"/>
        </w:numPr>
        <w:spacing w:after="200" w:line="276" w:lineRule="auto"/>
        <w:rPr>
          <w:rFonts w:eastAsiaTheme="majorEastAsia" w:cstheme="minorHAnsi"/>
          <w:sz w:val="24"/>
          <w:szCs w:val="24"/>
        </w:rPr>
      </w:pPr>
      <w:r>
        <w:rPr>
          <w:rFonts w:eastAsiaTheme="majorEastAsia" w:cstheme="minorHAnsi"/>
          <w:sz w:val="24"/>
          <w:szCs w:val="24"/>
        </w:rPr>
        <w:t>Data Sharing Agreement Approved Template</w:t>
      </w:r>
    </w:p>
    <w:p w:rsidR="00480FC6" w:rsidRPr="0039720C" w:rsidP="0039720C" w14:paraId="5A416702" w14:textId="698FBEDA">
      <w:pPr>
        <w:pStyle w:val="ListParagraph"/>
        <w:numPr>
          <w:ilvl w:val="0"/>
          <w:numId w:val="42"/>
        </w:numPr>
        <w:spacing w:after="200" w:line="276" w:lineRule="auto"/>
        <w:rPr>
          <w:rFonts w:eastAsiaTheme="majorEastAsia" w:cstheme="minorHAnsi"/>
          <w:sz w:val="24"/>
          <w:szCs w:val="24"/>
        </w:rPr>
      </w:pPr>
      <w:r>
        <w:rPr>
          <w:rFonts w:eastAsiaTheme="majorEastAsia" w:cstheme="minorHAnsi"/>
          <w:sz w:val="24"/>
          <w:szCs w:val="24"/>
        </w:rPr>
        <w:t>CDC Research/Non-research Determination</w:t>
      </w:r>
      <w:bookmarkEnd w:id="1"/>
      <w:bookmarkEnd w:id="2"/>
      <w:r w:rsidRPr="00D20211">
        <w:br w:type="page"/>
      </w:r>
    </w:p>
    <w:p w:rsidR="0024399D" w:rsidP="00EE7CF9" w14:paraId="15DFC48F" w14:textId="63E23933">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494665</wp:posOffset>
                </wp:positionV>
                <wp:extent cx="5930900" cy="3175000"/>
                <wp:effectExtent l="0" t="0" r="12700" b="254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3175000"/>
                        </a:xfrm>
                        <a:prstGeom prst="rect">
                          <a:avLst/>
                        </a:prstGeom>
                        <a:solidFill>
                          <a:srgbClr val="FFFFFF"/>
                        </a:solidFill>
                        <a:ln w="9525">
                          <a:solidFill>
                            <a:srgbClr val="000000"/>
                          </a:solidFill>
                          <a:miter lim="800000"/>
                          <a:headEnd/>
                          <a:tailEnd/>
                        </a:ln>
                      </wps:spPr>
                      <wps:txbx>
                        <w:txbxContent>
                          <w:p w:rsidR="00C25E85" w:rsidRPr="001B2712" w:rsidP="008C46E9" w14:textId="77777777">
                            <w:pPr>
                              <w:spacing w:before="240" w:line="240" w:lineRule="auto"/>
                              <w:rPr>
                                <w:sz w:val="24"/>
                                <w:szCs w:val="24"/>
                              </w:rPr>
                            </w:pPr>
                            <w:r w:rsidRPr="001B2712">
                              <w:rPr>
                                <w:b/>
                                <w:sz w:val="24"/>
                                <w:szCs w:val="24"/>
                              </w:rPr>
                              <w:t xml:space="preserve">Goal of the study: </w:t>
                            </w:r>
                            <w:r w:rsidRPr="00B171CC">
                              <w:rPr>
                                <w:rFonts w:cstheme="minorHAnsi"/>
                                <w:sz w:val="24"/>
                                <w:szCs w:val="24"/>
                              </w:rPr>
                              <w:t>Address analytic and post-analytic challenges in newborn screening and improve program ability to assess disease risk.</w:t>
                            </w:r>
                          </w:p>
                          <w:p w:rsidR="00C25E85" w:rsidRPr="001B2712" w:rsidP="008C46E9" w14:textId="77777777">
                            <w:pPr>
                              <w:spacing w:before="240" w:line="240" w:lineRule="auto"/>
                              <w:rPr>
                                <w:sz w:val="24"/>
                                <w:szCs w:val="24"/>
                              </w:rPr>
                            </w:pPr>
                            <w:r w:rsidRPr="001B2712">
                              <w:rPr>
                                <w:b/>
                                <w:sz w:val="24"/>
                                <w:szCs w:val="24"/>
                              </w:rPr>
                              <w:t xml:space="preserve">Intended use of the resulting data: </w:t>
                            </w:r>
                            <w:r>
                              <w:rPr>
                                <w:sz w:val="24"/>
                                <w:szCs w:val="24"/>
                              </w:rPr>
                              <w:t xml:space="preserve">Data will be used to create analytic solutions to help newborn screening programs identify at-risk newborns and curate and interpret molecular variants found through newborn screening. </w:t>
                            </w:r>
                          </w:p>
                          <w:p w:rsidR="00C25E85" w:rsidRPr="001B2712" w:rsidP="008C46E9" w14:textId="77777777">
                            <w:pPr>
                              <w:spacing w:before="240" w:line="240" w:lineRule="auto"/>
                              <w:rPr>
                                <w:sz w:val="24"/>
                                <w:szCs w:val="24"/>
                              </w:rPr>
                            </w:pPr>
                            <w:r w:rsidRPr="001B2712">
                              <w:rPr>
                                <w:b/>
                                <w:sz w:val="24"/>
                                <w:szCs w:val="24"/>
                              </w:rPr>
                              <w:t xml:space="preserve">Methods to be used to collect: </w:t>
                            </w:r>
                            <w:r>
                              <w:rPr>
                                <w:sz w:val="24"/>
                                <w:szCs w:val="24"/>
                              </w:rPr>
                              <w:t>Data will be collected using electronic data transfer of retrospective and prospective cohorts of newborns</w:t>
                            </w:r>
                          </w:p>
                          <w:p w:rsidR="00C25E85" w:rsidRPr="001B2712" w:rsidP="008C46E9" w14:textId="77777777">
                            <w:pPr>
                              <w:spacing w:before="240" w:line="240" w:lineRule="auto"/>
                              <w:rPr>
                                <w:sz w:val="24"/>
                                <w:szCs w:val="24"/>
                              </w:rPr>
                            </w:pPr>
                            <w:r w:rsidRPr="001B2712">
                              <w:rPr>
                                <w:b/>
                                <w:sz w:val="24"/>
                                <w:szCs w:val="24"/>
                              </w:rPr>
                              <w:t xml:space="preserve">Subpopulation to be studied: </w:t>
                            </w:r>
                            <w:r>
                              <w:rPr>
                                <w:sz w:val="24"/>
                                <w:szCs w:val="24"/>
                              </w:rPr>
                              <w:t>Newborns in the United States who have had newborn screening</w:t>
                            </w:r>
                          </w:p>
                          <w:p w:rsidR="00C25E85" w:rsidRPr="001B2712" w:rsidP="008C46E9" w14:textId="77777777">
                            <w:pPr>
                              <w:spacing w:before="240" w:line="240" w:lineRule="auto"/>
                              <w:rPr>
                                <w:sz w:val="24"/>
                                <w:szCs w:val="24"/>
                              </w:rPr>
                            </w:pPr>
                            <w:r w:rsidRPr="001B2712">
                              <w:rPr>
                                <w:b/>
                                <w:sz w:val="24"/>
                                <w:szCs w:val="24"/>
                              </w:rPr>
                              <w:t xml:space="preserve">How data will be analyzed: </w:t>
                            </w:r>
                            <w:r>
                              <w:rPr>
                                <w:sz w:val="24"/>
                                <w:szCs w:val="24"/>
                              </w:rPr>
                              <w:t>A number of analytical approaches will be applied, including but not limited to: machine learning, regression, other normalization techniques (e.g., MoM, Z-Score), as well as variant curation and interpretation models.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pt;height:250pt;margin-top:38.9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25E85" w:rsidRPr="001B2712" w:rsidP="008C46E9" w14:paraId="19CF29F3" w14:textId="77777777">
                      <w:pPr>
                        <w:spacing w:before="240" w:line="240" w:lineRule="auto"/>
                        <w:rPr>
                          <w:sz w:val="24"/>
                          <w:szCs w:val="24"/>
                        </w:rPr>
                      </w:pPr>
                      <w:r w:rsidRPr="001B2712">
                        <w:rPr>
                          <w:b/>
                          <w:sz w:val="24"/>
                          <w:szCs w:val="24"/>
                        </w:rPr>
                        <w:t xml:space="preserve">Goal of the study: </w:t>
                      </w:r>
                      <w:r w:rsidRPr="00B171CC">
                        <w:rPr>
                          <w:rFonts w:cstheme="minorHAnsi"/>
                          <w:sz w:val="24"/>
                          <w:szCs w:val="24"/>
                        </w:rPr>
                        <w:t>Address analytic and post-analytic challenges in newborn screening and improve program ability to assess disease risk.</w:t>
                      </w:r>
                    </w:p>
                    <w:p w:rsidR="00C25E85" w:rsidRPr="001B2712" w:rsidP="008C46E9" w14:paraId="3B8902FA" w14:textId="77777777">
                      <w:pPr>
                        <w:spacing w:before="240" w:line="240" w:lineRule="auto"/>
                        <w:rPr>
                          <w:sz w:val="24"/>
                          <w:szCs w:val="24"/>
                        </w:rPr>
                      </w:pPr>
                      <w:r w:rsidRPr="001B2712">
                        <w:rPr>
                          <w:b/>
                          <w:sz w:val="24"/>
                          <w:szCs w:val="24"/>
                        </w:rPr>
                        <w:t xml:space="preserve">Intended use of the resulting data: </w:t>
                      </w:r>
                      <w:r>
                        <w:rPr>
                          <w:sz w:val="24"/>
                          <w:szCs w:val="24"/>
                        </w:rPr>
                        <w:t xml:space="preserve">Data will be used to create analytic solutions to help newborn screening programs identify at-risk newborns and curate and interpret molecular variants found through newborn screening. </w:t>
                      </w:r>
                    </w:p>
                    <w:p w:rsidR="00C25E85" w:rsidRPr="001B2712" w:rsidP="008C46E9" w14:paraId="12441766" w14:textId="77777777">
                      <w:pPr>
                        <w:spacing w:before="240" w:line="240" w:lineRule="auto"/>
                        <w:rPr>
                          <w:sz w:val="24"/>
                          <w:szCs w:val="24"/>
                        </w:rPr>
                      </w:pPr>
                      <w:r w:rsidRPr="001B2712">
                        <w:rPr>
                          <w:b/>
                          <w:sz w:val="24"/>
                          <w:szCs w:val="24"/>
                        </w:rPr>
                        <w:t xml:space="preserve">Methods to be used to collect: </w:t>
                      </w:r>
                      <w:r>
                        <w:rPr>
                          <w:sz w:val="24"/>
                          <w:szCs w:val="24"/>
                        </w:rPr>
                        <w:t>Data will be collected using electronic data transfer of retrospective and prospective cohorts of newborns</w:t>
                      </w:r>
                    </w:p>
                    <w:p w:rsidR="00C25E85" w:rsidRPr="001B2712" w:rsidP="008C46E9" w14:paraId="59427114" w14:textId="77777777">
                      <w:pPr>
                        <w:spacing w:before="240" w:line="240" w:lineRule="auto"/>
                        <w:rPr>
                          <w:sz w:val="24"/>
                          <w:szCs w:val="24"/>
                        </w:rPr>
                      </w:pPr>
                      <w:r w:rsidRPr="001B2712">
                        <w:rPr>
                          <w:b/>
                          <w:sz w:val="24"/>
                          <w:szCs w:val="24"/>
                        </w:rPr>
                        <w:t xml:space="preserve">Subpopulation to be studied: </w:t>
                      </w:r>
                      <w:r>
                        <w:rPr>
                          <w:sz w:val="24"/>
                          <w:szCs w:val="24"/>
                        </w:rPr>
                        <w:t>Newborns in the United States who have had newborn screening</w:t>
                      </w:r>
                    </w:p>
                    <w:p w:rsidR="00C25E85" w:rsidRPr="001B2712" w:rsidP="008C46E9" w14:paraId="64F901FA" w14:textId="77777777">
                      <w:pPr>
                        <w:spacing w:before="240" w:line="240" w:lineRule="auto"/>
                        <w:rPr>
                          <w:sz w:val="24"/>
                          <w:szCs w:val="24"/>
                        </w:rPr>
                      </w:pPr>
                      <w:r w:rsidRPr="001B2712">
                        <w:rPr>
                          <w:b/>
                          <w:sz w:val="24"/>
                          <w:szCs w:val="24"/>
                        </w:rPr>
                        <w:t xml:space="preserve">How data will be analyzed: </w:t>
                      </w:r>
                      <w:r>
                        <w:rPr>
                          <w:sz w:val="24"/>
                          <w:szCs w:val="24"/>
                        </w:rPr>
                        <w:t>A number of analytical approaches will be applied, including but not limited to: machine learning, regression, other normalization techniques (e.g., MoM, Z-Score), as well as variant curation and interpretation models.</w:t>
                      </w:r>
                    </w:p>
                  </w:txbxContent>
                </v:textbox>
                <w10:wrap type="square"/>
              </v:shape>
            </w:pict>
          </mc:Fallback>
        </mc:AlternateContent>
      </w:r>
      <w:r w:rsidRPr="00D20211">
        <w:rPr>
          <w:rFonts w:asciiTheme="majorHAnsi" w:hAnsiTheme="majorHAnsi"/>
          <w:sz w:val="36"/>
          <w:szCs w:val="36"/>
        </w:rPr>
        <w:t>Part A. Justification</w:t>
      </w:r>
    </w:p>
    <w:p w:rsidR="00B171CC" w:rsidRPr="00D20211" w:rsidP="00EE7CF9" w14:paraId="78B93F0D" w14:textId="7D9D5ABA">
      <w:pPr>
        <w:pBdr>
          <w:bottom w:val="single" w:sz="4" w:space="1" w:color="auto"/>
        </w:pBdr>
        <w:rPr>
          <w:rFonts w:asciiTheme="majorHAnsi" w:hAnsiTheme="majorHAnsi"/>
          <w:sz w:val="36"/>
          <w:szCs w:val="36"/>
        </w:rPr>
      </w:pPr>
    </w:p>
    <w:p w:rsidR="00B45002" w:rsidRPr="00D20211" w:rsidP="00C03179" w14:paraId="6564C8A5" w14:textId="54A0130A">
      <w:pPr>
        <w:pStyle w:val="Heading1"/>
        <w:pBdr>
          <w:bottom w:val="none" w:sz="0" w:space="0" w:color="auto"/>
        </w:pBdr>
        <w:rPr>
          <w:color w:val="auto"/>
        </w:rPr>
      </w:pPr>
      <w:bookmarkStart w:id="3" w:name="_Toc119852190"/>
      <w:r w:rsidRPr="00D20211">
        <w:rPr>
          <w:color w:val="auto"/>
        </w:rPr>
        <w:t>A</w:t>
      </w:r>
      <w:r w:rsidRPr="00D20211" w:rsidR="0024399D">
        <w:rPr>
          <w:color w:val="auto"/>
        </w:rPr>
        <w:t>.</w:t>
      </w:r>
      <w:r w:rsidRPr="00D20211" w:rsidR="004D21C9">
        <w:rPr>
          <w:color w:val="auto"/>
        </w:rPr>
        <w:t xml:space="preserve">1.  </w:t>
      </w:r>
      <w:r w:rsidRPr="00D20211">
        <w:rPr>
          <w:color w:val="auto"/>
        </w:rPr>
        <w:t>Circumstances Making the Collection of Information Necessary</w:t>
      </w:r>
      <w:bookmarkEnd w:id="3"/>
    </w:p>
    <w:p w:rsidR="00FC5B5A" w:rsidP="00601F1A" w14:paraId="19324432" w14:textId="50DFA3B9"/>
    <w:p w:rsidR="00E245D6" w:rsidRPr="00841078" w:rsidP="00601F1A" w14:paraId="2E98D1EA" w14:textId="587C9094">
      <w:pPr>
        <w:rPr>
          <w:rFonts w:cstheme="minorHAnsi"/>
          <w:sz w:val="24"/>
          <w:szCs w:val="24"/>
        </w:rPr>
      </w:pPr>
      <w:r w:rsidRPr="00325D1C">
        <w:rPr>
          <w:rFonts w:cstheme="minorHAnsi"/>
          <w:sz w:val="24"/>
          <w:szCs w:val="24"/>
        </w:rPr>
        <w:t xml:space="preserve">The Centers for Disease Control and Prevention (CDC) requests a three-year OMB approval for </w:t>
      </w:r>
      <w:r w:rsidRPr="00841078" w:rsidR="008826C1">
        <w:rPr>
          <w:rFonts w:cstheme="minorHAnsi"/>
          <w:sz w:val="24"/>
          <w:szCs w:val="24"/>
        </w:rPr>
        <w:t>a</w:t>
      </w:r>
      <w:r w:rsidR="008210E5">
        <w:rPr>
          <w:rFonts w:cstheme="minorHAnsi"/>
          <w:sz w:val="24"/>
          <w:szCs w:val="24"/>
        </w:rPr>
        <w:t xml:space="preserve">n extension </w:t>
      </w:r>
      <w:r>
        <w:rPr>
          <w:rFonts w:cstheme="minorHAnsi"/>
          <w:sz w:val="24"/>
          <w:szCs w:val="24"/>
        </w:rPr>
        <w:t>of an existing information collection (ICR)</w:t>
      </w:r>
      <w:r w:rsidRPr="00841078" w:rsidR="008826C1">
        <w:rPr>
          <w:rFonts w:cstheme="minorHAnsi"/>
          <w:sz w:val="24"/>
          <w:szCs w:val="24"/>
        </w:rPr>
        <w:t xml:space="preserve"> for </w:t>
      </w:r>
      <w:r w:rsidR="008210E5">
        <w:rPr>
          <w:rFonts w:cstheme="minorHAnsi"/>
          <w:sz w:val="24"/>
          <w:szCs w:val="24"/>
        </w:rPr>
        <w:t>the</w:t>
      </w:r>
      <w:r w:rsidRPr="00841078" w:rsidR="008826C1">
        <w:rPr>
          <w:rFonts w:cstheme="minorHAnsi"/>
          <w:sz w:val="24"/>
          <w:szCs w:val="24"/>
        </w:rPr>
        <w:t xml:space="preserve"> </w:t>
      </w:r>
      <w:r w:rsidR="008826C1">
        <w:rPr>
          <w:rFonts w:cstheme="minorHAnsi"/>
          <w:sz w:val="24"/>
          <w:szCs w:val="24"/>
        </w:rPr>
        <w:t>n</w:t>
      </w:r>
      <w:r w:rsidRPr="00841078" w:rsidR="001B12BC">
        <w:rPr>
          <w:rFonts w:cstheme="minorHAnsi"/>
          <w:sz w:val="24"/>
          <w:szCs w:val="24"/>
        </w:rPr>
        <w:t xml:space="preserve">ational </w:t>
      </w:r>
      <w:r w:rsidR="008826C1">
        <w:rPr>
          <w:rFonts w:cstheme="minorHAnsi"/>
          <w:sz w:val="24"/>
          <w:szCs w:val="24"/>
        </w:rPr>
        <w:t>n</w:t>
      </w:r>
      <w:r w:rsidRPr="00841078" w:rsidR="001B12BC">
        <w:rPr>
          <w:rFonts w:cstheme="minorHAnsi"/>
          <w:sz w:val="24"/>
          <w:szCs w:val="24"/>
        </w:rPr>
        <w:t xml:space="preserve">ewborn </w:t>
      </w:r>
      <w:r w:rsidR="008826C1">
        <w:rPr>
          <w:rFonts w:cstheme="minorHAnsi"/>
          <w:sz w:val="24"/>
          <w:szCs w:val="24"/>
        </w:rPr>
        <w:t>s</w:t>
      </w:r>
      <w:r w:rsidRPr="00841078" w:rsidR="001B12BC">
        <w:rPr>
          <w:rFonts w:cstheme="minorHAnsi"/>
          <w:sz w:val="24"/>
          <w:szCs w:val="24"/>
        </w:rPr>
        <w:t xml:space="preserve">creening </w:t>
      </w:r>
      <w:r w:rsidR="008826C1">
        <w:rPr>
          <w:rFonts w:cstheme="minorHAnsi"/>
          <w:sz w:val="24"/>
          <w:szCs w:val="24"/>
        </w:rPr>
        <w:t>d</w:t>
      </w:r>
      <w:r w:rsidRPr="00841078" w:rsidR="001B12BC">
        <w:rPr>
          <w:rFonts w:cstheme="minorHAnsi"/>
          <w:sz w:val="24"/>
          <w:szCs w:val="24"/>
        </w:rPr>
        <w:t xml:space="preserve">ata </w:t>
      </w:r>
      <w:r w:rsidR="008826C1">
        <w:rPr>
          <w:rFonts w:cstheme="minorHAnsi"/>
          <w:sz w:val="24"/>
          <w:szCs w:val="24"/>
        </w:rPr>
        <w:t>p</w:t>
      </w:r>
      <w:r w:rsidRPr="00841078" w:rsidR="001B12BC">
        <w:rPr>
          <w:rFonts w:cstheme="minorHAnsi"/>
          <w:sz w:val="24"/>
          <w:szCs w:val="24"/>
        </w:rPr>
        <w:t>latform</w:t>
      </w:r>
      <w:r w:rsidR="008826C1">
        <w:rPr>
          <w:rFonts w:cstheme="minorHAnsi"/>
          <w:sz w:val="24"/>
          <w:szCs w:val="24"/>
        </w:rPr>
        <w:t xml:space="preserve"> titled</w:t>
      </w:r>
      <w:r w:rsidRPr="00841078" w:rsidR="001B12BC">
        <w:rPr>
          <w:rFonts w:cstheme="minorHAnsi"/>
          <w:sz w:val="24"/>
          <w:szCs w:val="24"/>
        </w:rPr>
        <w:t xml:space="preserve"> </w:t>
      </w:r>
      <w:r w:rsidR="008826C1">
        <w:rPr>
          <w:rFonts w:cstheme="minorHAnsi"/>
          <w:sz w:val="24"/>
          <w:szCs w:val="24"/>
        </w:rPr>
        <w:t>“</w:t>
      </w:r>
      <w:r w:rsidRPr="00841078" w:rsidR="00C25E85">
        <w:rPr>
          <w:rFonts w:cstheme="minorHAnsi"/>
          <w:sz w:val="24"/>
          <w:szCs w:val="24"/>
        </w:rPr>
        <w:t>Enhancing Data-driven Disease Detection</w:t>
      </w:r>
      <w:r w:rsidR="005A171F">
        <w:rPr>
          <w:rFonts w:cstheme="minorHAnsi"/>
          <w:sz w:val="24"/>
          <w:szCs w:val="24"/>
        </w:rPr>
        <w:t xml:space="preserve"> in Newborns</w:t>
      </w:r>
      <w:r w:rsidRPr="00841078" w:rsidR="00C25E85">
        <w:rPr>
          <w:rFonts w:cstheme="minorHAnsi"/>
          <w:sz w:val="24"/>
          <w:szCs w:val="24"/>
        </w:rPr>
        <w:t xml:space="preserve"> (</w:t>
      </w:r>
      <w:r w:rsidRPr="00841078" w:rsidR="001B12BC">
        <w:rPr>
          <w:rFonts w:cstheme="minorHAnsi"/>
          <w:sz w:val="24"/>
          <w:szCs w:val="24"/>
        </w:rPr>
        <w:t>ED3N</w:t>
      </w:r>
      <w:r w:rsidRPr="00841078" w:rsidR="00C25E85">
        <w:rPr>
          <w:rFonts w:cstheme="minorHAnsi"/>
          <w:sz w:val="24"/>
          <w:szCs w:val="24"/>
        </w:rPr>
        <w:t>)</w:t>
      </w:r>
      <w:r w:rsidR="00DA7836">
        <w:rPr>
          <w:rFonts w:cstheme="minorHAnsi"/>
          <w:sz w:val="24"/>
          <w:szCs w:val="24"/>
        </w:rPr>
        <w:t>, under OMB Control Number 0920-1391</w:t>
      </w:r>
      <w:r w:rsidR="008826C1">
        <w:rPr>
          <w:rFonts w:cstheme="minorHAnsi"/>
          <w:sz w:val="24"/>
          <w:szCs w:val="24"/>
        </w:rPr>
        <w:t>”</w:t>
      </w:r>
      <w:r>
        <w:rPr>
          <w:rFonts w:cstheme="minorHAnsi"/>
          <w:sz w:val="24"/>
          <w:szCs w:val="24"/>
        </w:rPr>
        <w:t xml:space="preserve">. </w:t>
      </w:r>
      <w:r w:rsidRPr="00841078" w:rsidR="001B12BC">
        <w:rPr>
          <w:rFonts w:cstheme="minorHAnsi"/>
          <w:sz w:val="24"/>
          <w:szCs w:val="24"/>
        </w:rPr>
        <w:t xml:space="preserve"> </w:t>
      </w:r>
    </w:p>
    <w:p w:rsidR="00E245D6" w:rsidRPr="00841078" w:rsidP="00E245D6" w14:paraId="640AC715" w14:textId="0829C719">
      <w:pPr>
        <w:rPr>
          <w:rFonts w:cstheme="minorHAnsi"/>
          <w:sz w:val="24"/>
          <w:szCs w:val="24"/>
        </w:rPr>
      </w:pPr>
      <w:r>
        <w:rPr>
          <w:rFonts w:cstheme="minorHAnsi"/>
          <w:sz w:val="24"/>
          <w:szCs w:val="24"/>
        </w:rPr>
        <w:t>Newborn Screening (NBS) is a state-administered public health program that aims to detect newborns at-risk for congenital, but treatable diseases before the onset of symptoms. Current NBS panels include metabolic, endocrine, immunological, respiratory, lysosomal, blood, and other</w:t>
      </w:r>
      <w:r w:rsidR="00F72062">
        <w:rPr>
          <w:rFonts w:cstheme="minorHAnsi"/>
          <w:sz w:val="24"/>
          <w:szCs w:val="24"/>
        </w:rPr>
        <w:t xml:space="preserve"> genetic</w:t>
      </w:r>
      <w:r>
        <w:rPr>
          <w:rFonts w:cstheme="minorHAnsi"/>
          <w:sz w:val="24"/>
          <w:szCs w:val="24"/>
        </w:rPr>
        <w:t xml:space="preserve"> diseases</w:t>
      </w:r>
      <w:r w:rsidR="00BE10AE">
        <w:rPr>
          <w:rFonts w:cstheme="minorHAnsi"/>
          <w:sz w:val="24"/>
          <w:szCs w:val="24"/>
        </w:rPr>
        <w:t xml:space="preserve"> that affect children. </w:t>
      </w:r>
      <w:r w:rsidRPr="00841078">
        <w:rPr>
          <w:rFonts w:cstheme="minorHAnsi"/>
          <w:sz w:val="24"/>
          <w:szCs w:val="24"/>
        </w:rPr>
        <w:t xml:space="preserve">The </w:t>
      </w:r>
      <w:r w:rsidR="00BE10AE">
        <w:rPr>
          <w:rFonts w:cstheme="minorHAnsi"/>
          <w:sz w:val="24"/>
          <w:szCs w:val="24"/>
        </w:rPr>
        <w:t>Newborn Screening and Molecular Biology Branch (</w:t>
      </w:r>
      <w:r w:rsidRPr="00841078">
        <w:rPr>
          <w:rFonts w:cstheme="minorHAnsi"/>
          <w:sz w:val="24"/>
          <w:szCs w:val="24"/>
        </w:rPr>
        <w:t>NSMBB</w:t>
      </w:r>
      <w:r w:rsidR="00BE10AE">
        <w:rPr>
          <w:rFonts w:cstheme="minorHAnsi"/>
          <w:sz w:val="24"/>
          <w:szCs w:val="24"/>
        </w:rPr>
        <w:t>)</w:t>
      </w:r>
      <w:r w:rsidRPr="00841078">
        <w:rPr>
          <w:rFonts w:cstheme="minorHAnsi"/>
          <w:sz w:val="24"/>
          <w:szCs w:val="24"/>
        </w:rPr>
        <w:t xml:space="preserve"> has the only laboratory in the world devoted to ensuring the accuracy of newborn screening </w:t>
      </w:r>
      <w:r w:rsidRPr="00841078" w:rsidR="00C20E42">
        <w:rPr>
          <w:rFonts w:cstheme="minorHAnsi"/>
          <w:sz w:val="24"/>
          <w:szCs w:val="24"/>
        </w:rPr>
        <w:t xml:space="preserve">(NBS) </w:t>
      </w:r>
      <w:r w:rsidRPr="00841078">
        <w:rPr>
          <w:rFonts w:cstheme="minorHAnsi"/>
          <w:sz w:val="24"/>
          <w:szCs w:val="24"/>
        </w:rPr>
        <w:t xml:space="preserve">tests in every state and more than 78 countries. NSMBB supports NBS programs by conducting research, developing methods, and performing analyses by using complex, state-of-the-art molecular and biochemical techniques for identifying risk factors for diseases of public health importance. Both NSMBB and state NBS programs are experiencing increased data analytic challenges associated with continued expansion of the number of </w:t>
      </w:r>
      <w:r w:rsidRPr="00841078">
        <w:rPr>
          <w:rFonts w:cstheme="minorHAnsi"/>
          <w:sz w:val="24"/>
          <w:szCs w:val="24"/>
        </w:rPr>
        <w:t>newborn screening diseases, increased complexity of disease detection, and difficulties in correlating disease markers with disease risk. Further, the addition of late-onset diseases to NBS panels necessitates a better way to routinely capture clinical information and outcomes so that NBS programs can fully appreciate the spectrum of disease they are detecting.</w:t>
      </w:r>
    </w:p>
    <w:p w:rsidR="00E245D6" w:rsidRPr="00841078" w:rsidP="00E245D6" w14:paraId="4A6EAC29" w14:textId="740CA299">
      <w:pPr>
        <w:rPr>
          <w:rFonts w:cstheme="minorHAnsi"/>
          <w:sz w:val="24"/>
          <w:szCs w:val="24"/>
        </w:rPr>
      </w:pPr>
      <w:r>
        <w:rPr>
          <w:rFonts w:cstheme="minorHAnsi"/>
          <w:sz w:val="24"/>
          <w:szCs w:val="24"/>
        </w:rPr>
        <w:t>In consultation with US NBS programs and relevant Federal Partners, t</w:t>
      </w:r>
      <w:r w:rsidRPr="00841078">
        <w:rPr>
          <w:rFonts w:cstheme="minorHAnsi"/>
          <w:sz w:val="24"/>
          <w:szCs w:val="24"/>
        </w:rPr>
        <w:t xml:space="preserve">he NSMBB </w:t>
      </w:r>
      <w:r>
        <w:rPr>
          <w:rFonts w:cstheme="minorHAnsi"/>
          <w:sz w:val="24"/>
          <w:szCs w:val="24"/>
        </w:rPr>
        <w:t>has done a significant amount of development work on</w:t>
      </w:r>
      <w:r w:rsidRPr="00841078">
        <w:rPr>
          <w:rFonts w:cstheme="minorHAnsi"/>
          <w:sz w:val="24"/>
          <w:szCs w:val="24"/>
        </w:rPr>
        <w:t xml:space="preserve"> ED3N t</w:t>
      </w:r>
      <w:r w:rsidR="008826C1">
        <w:rPr>
          <w:rFonts w:cstheme="minorHAnsi"/>
          <w:sz w:val="24"/>
          <w:szCs w:val="24"/>
        </w:rPr>
        <w:t>o</w:t>
      </w:r>
      <w:r w:rsidRPr="00841078">
        <w:rPr>
          <w:rFonts w:cstheme="minorHAnsi"/>
          <w:sz w:val="24"/>
          <w:szCs w:val="24"/>
        </w:rPr>
        <w:t xml:space="preserve"> address these analytic and post-analytic challenges and promote sharing of molecular, biochemical, and clinical information amongst NBS partners. </w:t>
      </w:r>
      <w:r w:rsidR="007F36E1">
        <w:rPr>
          <w:rFonts w:cstheme="minorHAnsi"/>
          <w:sz w:val="24"/>
          <w:szCs w:val="24"/>
        </w:rPr>
        <w:t xml:space="preserve">The goal of this platform is to provide </w:t>
      </w:r>
      <w:r w:rsidR="007F36E1">
        <w:rPr>
          <w:rFonts w:cstheme="minorHAnsi"/>
          <w:sz w:val="24"/>
          <w:szCs w:val="24"/>
        </w:rPr>
        <w:t>a robust</w:t>
      </w:r>
      <w:r w:rsidR="007F36E1">
        <w:rPr>
          <w:rFonts w:cstheme="minorHAnsi"/>
          <w:sz w:val="24"/>
          <w:szCs w:val="24"/>
        </w:rPr>
        <w:t xml:space="preserve"> risk assessment and data analytic solution for the use by NBS programs across the country</w:t>
      </w:r>
      <w:r>
        <w:rPr>
          <w:rFonts w:cstheme="minorHAnsi"/>
          <w:sz w:val="24"/>
          <w:szCs w:val="24"/>
        </w:rPr>
        <w:t xml:space="preserve"> while aligning with the CDC’s Data Modernization Initiative</w:t>
      </w:r>
      <w:r w:rsidR="007F36E1">
        <w:rPr>
          <w:rFonts w:cstheme="minorHAnsi"/>
          <w:sz w:val="24"/>
          <w:szCs w:val="24"/>
        </w:rPr>
        <w:t xml:space="preserve">. </w:t>
      </w:r>
      <w:r w:rsidRPr="00841078">
        <w:rPr>
          <w:rFonts w:cstheme="minorHAnsi"/>
          <w:sz w:val="24"/>
          <w:szCs w:val="24"/>
        </w:rPr>
        <w:t>The information shared will help NSMBB and newborn screening partners be better equipped to assess disease risk and will help harmonize approaches for disease detection in newborns</w:t>
      </w:r>
      <w:r>
        <w:rPr>
          <w:rFonts w:cstheme="minorHAnsi"/>
          <w:sz w:val="24"/>
          <w:szCs w:val="24"/>
        </w:rPr>
        <w:t xml:space="preserve"> in the United States</w:t>
      </w:r>
      <w:r w:rsidRPr="00841078">
        <w:rPr>
          <w:rFonts w:cstheme="minorHAnsi"/>
          <w:sz w:val="24"/>
          <w:szCs w:val="24"/>
        </w:rPr>
        <w:t xml:space="preserve">. Given the rarity of newborn screening diseases, it is imperative that data be collected and analyzed at a national level </w:t>
      </w:r>
      <w:r w:rsidRPr="00841078">
        <w:rPr>
          <w:rFonts w:cstheme="minorHAnsi"/>
          <w:sz w:val="24"/>
          <w:szCs w:val="24"/>
        </w:rPr>
        <w:t>in order to</w:t>
      </w:r>
      <w:r w:rsidRPr="00841078">
        <w:rPr>
          <w:rFonts w:cstheme="minorHAnsi"/>
          <w:sz w:val="24"/>
          <w:szCs w:val="24"/>
        </w:rPr>
        <w:t xml:space="preserve"> glean useful insights and trend analyses. The NSMBB is best-suited to oversee this work given its role in providing technical assistance to NBS programs nationally and internationally. </w:t>
      </w:r>
    </w:p>
    <w:p w:rsidR="00540F40" w:rsidRPr="00841078" w:rsidP="00601F1A" w14:paraId="54242E52" w14:textId="19373EEE">
      <w:pPr>
        <w:rPr>
          <w:sz w:val="24"/>
          <w:szCs w:val="24"/>
        </w:rPr>
      </w:pPr>
      <w:r w:rsidRPr="00841078">
        <w:rPr>
          <w:sz w:val="24"/>
          <w:szCs w:val="24"/>
        </w:rPr>
        <w:t xml:space="preserve">Numerous studies along with presentations by NBS programs suggest that gaps in programmatic resources and expertise are hampering the ability to perform more complex data analytics resulting in low </w:t>
      </w:r>
      <w:r w:rsidRPr="00841078" w:rsidR="00401026">
        <w:rPr>
          <w:sz w:val="24"/>
          <w:szCs w:val="24"/>
        </w:rPr>
        <w:t xml:space="preserve">positive predictive values for </w:t>
      </w:r>
      <w:r w:rsidRPr="00841078" w:rsidR="00401026">
        <w:rPr>
          <w:sz w:val="24"/>
          <w:szCs w:val="24"/>
        </w:rPr>
        <w:t>a number of</w:t>
      </w:r>
      <w:r w:rsidRPr="00841078" w:rsidR="00401026">
        <w:rPr>
          <w:sz w:val="24"/>
          <w:szCs w:val="24"/>
        </w:rPr>
        <w:t xml:space="preserve"> conditions (which subsequently results in higher false positive and negative rates and downstream burden to families and the medical system)</w:t>
      </w:r>
      <w:r>
        <w:rPr>
          <w:rStyle w:val="FootnoteReference"/>
          <w:sz w:val="24"/>
          <w:szCs w:val="24"/>
        </w:rPr>
        <w:footnoteReference w:id="2"/>
      </w:r>
      <w:r w:rsidR="00A40F66">
        <w:rPr>
          <w:sz w:val="22"/>
          <w:szCs w:val="22"/>
          <w:vertAlign w:val="superscript"/>
        </w:rPr>
        <w:t>,</w:t>
      </w:r>
      <w:r>
        <w:rPr>
          <w:rStyle w:val="FootnoteReference"/>
          <w:sz w:val="24"/>
          <w:szCs w:val="24"/>
        </w:rPr>
        <w:footnoteReference w:id="3"/>
      </w:r>
      <w:r w:rsidRPr="00841078" w:rsidR="00401026">
        <w:rPr>
          <w:sz w:val="24"/>
          <w:szCs w:val="24"/>
        </w:rPr>
        <w:t xml:space="preserve">. </w:t>
      </w:r>
      <w:r w:rsidRPr="00841078">
        <w:rPr>
          <w:sz w:val="24"/>
          <w:szCs w:val="24"/>
        </w:rPr>
        <w:t xml:space="preserve">Smaller-scale work on the use of post-analytical tools such as machine learning algorithms </w:t>
      </w:r>
      <w:r w:rsidRPr="00841078">
        <w:rPr>
          <w:sz w:val="24"/>
          <w:szCs w:val="24"/>
        </w:rPr>
        <w:t>have</w:t>
      </w:r>
      <w:r w:rsidRPr="00841078">
        <w:rPr>
          <w:sz w:val="24"/>
          <w:szCs w:val="24"/>
        </w:rPr>
        <w:t xml:space="preserve"> shown that incorporation of these elements into newborn screening can improve detection rates, while reducing false positives. These studies, however, have been limited to single sites and have not been integrated into the daily workflow of high-throughput NBS programs. </w:t>
      </w:r>
    </w:p>
    <w:p w:rsidR="00E245D6" w:rsidP="00601F1A" w14:paraId="4A96EB82" w14:textId="1B435402">
      <w:pPr>
        <w:rPr>
          <w:sz w:val="24"/>
          <w:szCs w:val="24"/>
        </w:rPr>
      </w:pPr>
      <w:r w:rsidRPr="00841078">
        <w:rPr>
          <w:sz w:val="24"/>
          <w:szCs w:val="24"/>
        </w:rPr>
        <w:t xml:space="preserve">Without this project, NBS programs will continue </w:t>
      </w:r>
      <w:r w:rsidRPr="00841078" w:rsidR="00383B5D">
        <w:rPr>
          <w:sz w:val="24"/>
          <w:szCs w:val="24"/>
        </w:rPr>
        <w:t xml:space="preserve">to </w:t>
      </w:r>
      <w:r w:rsidRPr="00841078" w:rsidR="004D4CB4">
        <w:rPr>
          <w:sz w:val="24"/>
          <w:szCs w:val="24"/>
        </w:rPr>
        <w:t xml:space="preserve">be unable to keep up with the increasing complexity </w:t>
      </w:r>
      <w:r w:rsidRPr="00841078" w:rsidR="00053DDE">
        <w:rPr>
          <w:sz w:val="24"/>
          <w:szCs w:val="24"/>
        </w:rPr>
        <w:t>and future demands of screening, perpetuating inequities in screening across the nation.</w:t>
      </w:r>
    </w:p>
    <w:p w:rsidR="007F36E1" w:rsidP="00601F1A" w14:paraId="2C1B4DA4" w14:textId="2A943D4B">
      <w:pPr>
        <w:rPr>
          <w:sz w:val="24"/>
          <w:szCs w:val="24"/>
        </w:rPr>
      </w:pPr>
      <w:r>
        <w:rPr>
          <w:sz w:val="24"/>
          <w:szCs w:val="24"/>
        </w:rPr>
        <w:t>The NSMBB has worked heavily with NBS programs throughout the country to develop requirements and needs around the ED3N platform. Needs and potential solutions within ED3N coming out of these consultations can be seen in the Figures below. Additionally, the NSMBB has met with several federal partners who also participate in NBS activities to achieve buy-in and support for the ED3N project.</w:t>
      </w:r>
      <w:r w:rsidR="006D48F2">
        <w:rPr>
          <w:sz w:val="24"/>
          <w:szCs w:val="24"/>
        </w:rPr>
        <w:t xml:space="preserve"> Additional information can be found on the ED3N </w:t>
      </w:r>
      <w:hyperlink r:id="rId10" w:history="1">
        <w:r w:rsidRPr="006D48F2" w:rsidR="006D48F2">
          <w:rPr>
            <w:rStyle w:val="Hyperlink"/>
            <w:sz w:val="24"/>
            <w:szCs w:val="24"/>
          </w:rPr>
          <w:t>website</w:t>
        </w:r>
      </w:hyperlink>
      <w:r w:rsidR="006D48F2">
        <w:rPr>
          <w:sz w:val="24"/>
          <w:szCs w:val="24"/>
        </w:rPr>
        <w:t xml:space="preserve">. </w:t>
      </w:r>
    </w:p>
    <w:p w:rsidR="008A1A5A" w:rsidP="00601F1A" w14:paraId="60A828B9" w14:textId="55A7335A">
      <w:pPr>
        <w:rPr>
          <w:sz w:val="24"/>
          <w:szCs w:val="24"/>
        </w:rPr>
      </w:pPr>
      <w:r>
        <w:rPr>
          <w:noProof/>
          <w:sz w:val="24"/>
          <w:szCs w:val="24"/>
        </w:rPr>
        <w:drawing>
          <wp:inline distT="0" distB="0" distL="0" distR="0">
            <wp:extent cx="5355207" cy="25589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79768" cy="2570717"/>
                    </a:xfrm>
                    <a:prstGeom prst="rect">
                      <a:avLst/>
                    </a:prstGeom>
                    <a:noFill/>
                  </pic:spPr>
                </pic:pic>
              </a:graphicData>
            </a:graphic>
          </wp:inline>
        </w:drawing>
      </w:r>
    </w:p>
    <w:p w:rsidR="00BD6470" w:rsidP="00601F1A" w14:paraId="305DC79C" w14:textId="77777777">
      <w:pPr>
        <w:rPr>
          <w:sz w:val="24"/>
          <w:szCs w:val="24"/>
        </w:rPr>
      </w:pPr>
    </w:p>
    <w:p w:rsidR="00BD6470" w:rsidP="00601F1A" w14:paraId="04669BCE" w14:textId="2825425F">
      <w:pPr>
        <w:rPr>
          <w:sz w:val="24"/>
          <w:szCs w:val="24"/>
        </w:rPr>
      </w:pPr>
      <w:r>
        <w:rPr>
          <w:noProof/>
          <w:sz w:val="24"/>
          <w:szCs w:val="24"/>
        </w:rPr>
        <w:drawing>
          <wp:inline distT="0" distB="0" distL="0" distR="0">
            <wp:extent cx="5291732" cy="2536448"/>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20473" cy="2550224"/>
                    </a:xfrm>
                    <a:prstGeom prst="rect">
                      <a:avLst/>
                    </a:prstGeom>
                    <a:noFill/>
                  </pic:spPr>
                </pic:pic>
              </a:graphicData>
            </a:graphic>
          </wp:inline>
        </w:drawing>
      </w:r>
    </w:p>
    <w:p w:rsidR="00D940BC" w:rsidP="00601F1A" w14:paraId="59FEB48C" w14:textId="77777777">
      <w:pPr>
        <w:rPr>
          <w:sz w:val="24"/>
          <w:szCs w:val="24"/>
        </w:rPr>
      </w:pPr>
    </w:p>
    <w:p w:rsidR="00D940BC" w:rsidP="00601F1A" w14:paraId="0C89F181" w14:textId="10F7B097">
      <w:pPr>
        <w:rPr>
          <w:sz w:val="24"/>
          <w:szCs w:val="24"/>
        </w:rPr>
      </w:pPr>
      <w:r>
        <w:rPr>
          <w:noProof/>
          <w:sz w:val="24"/>
          <w:szCs w:val="24"/>
        </w:rPr>
        <w:drawing>
          <wp:inline distT="0" distB="0" distL="0" distR="0">
            <wp:extent cx="5431733" cy="2620010"/>
            <wp:effectExtent l="0" t="0" r="0" b="889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8"/>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51987" cy="2629780"/>
                    </a:xfrm>
                    <a:prstGeom prst="rect">
                      <a:avLst/>
                    </a:prstGeom>
                    <a:noFill/>
                  </pic:spPr>
                </pic:pic>
              </a:graphicData>
            </a:graphic>
          </wp:inline>
        </w:drawing>
      </w:r>
    </w:p>
    <w:p w:rsidR="00BD6470" w:rsidRPr="00841078" w:rsidP="00601F1A" w14:paraId="010B83AC" w14:textId="77777777">
      <w:pPr>
        <w:rPr>
          <w:sz w:val="24"/>
          <w:szCs w:val="24"/>
        </w:rPr>
      </w:pPr>
    </w:p>
    <w:p w:rsidR="00695C4B" w:rsidP="00396304" w14:paraId="62C11F40" w14:textId="77777777">
      <w:pPr>
        <w:autoSpaceDE w:val="0"/>
        <w:autoSpaceDN w:val="0"/>
        <w:adjustRightInd w:val="0"/>
        <w:spacing w:line="240" w:lineRule="auto"/>
        <w:rPr>
          <w:rFonts w:cs="ITCFranklinGothicStd-Book"/>
          <w:sz w:val="24"/>
          <w:szCs w:val="24"/>
        </w:rPr>
      </w:pPr>
      <w:r w:rsidRPr="48D86499">
        <w:rPr>
          <w:rFonts w:cs="ITCFranklinGothicStd-Book"/>
          <w:sz w:val="24"/>
          <w:szCs w:val="24"/>
        </w:rPr>
        <w:t xml:space="preserve">Through the Newborn Screening Saves Lives Reauthorization Act (NBSSLA; </w:t>
      </w:r>
      <w:r w:rsidRPr="48D86499">
        <w:rPr>
          <w:rFonts w:cs="ITCFranklinGothicStd-Book"/>
          <w:b/>
          <w:bCs/>
          <w:sz w:val="24"/>
          <w:szCs w:val="24"/>
        </w:rPr>
        <w:t>Attachment 1</w:t>
      </w:r>
      <w:r w:rsidRPr="48D86499">
        <w:rPr>
          <w:rFonts w:cs="ITCFranklinGothicStd-Book"/>
          <w:sz w:val="24"/>
          <w:szCs w:val="24"/>
        </w:rPr>
        <w:t xml:space="preserve">), Congress directed the CDC to provide the coordination of surveillance and quality assurance activities for newborn screening programs. This Act indicates that these activities should be achieved through standardized electronic data collection and reporting and promoting data sharing. </w:t>
      </w:r>
    </w:p>
    <w:p w:rsidR="00695C4B" w:rsidP="00396304" w14:paraId="0E399145" w14:textId="7C8A08DD">
      <w:pPr>
        <w:autoSpaceDE w:val="0"/>
        <w:autoSpaceDN w:val="0"/>
        <w:adjustRightInd w:val="0"/>
        <w:spacing w:line="240" w:lineRule="auto"/>
        <w:rPr>
          <w:rFonts w:cs="ITCFranklinGothicStd-Book"/>
          <w:sz w:val="24"/>
          <w:szCs w:val="24"/>
        </w:rPr>
      </w:pPr>
      <w:r>
        <w:rPr>
          <w:rFonts w:cs="ITCFranklinGothicStd-Book"/>
          <w:sz w:val="24"/>
          <w:szCs w:val="24"/>
        </w:rPr>
        <w:t>Specifically, the NBSSLA states:</w:t>
      </w:r>
    </w:p>
    <w:p w:rsidR="00695C4B" w:rsidP="00396304" w14:paraId="780D843A" w14:textId="77777777">
      <w:pPr>
        <w:autoSpaceDE w:val="0"/>
        <w:autoSpaceDN w:val="0"/>
        <w:adjustRightInd w:val="0"/>
        <w:spacing w:line="240" w:lineRule="auto"/>
        <w:rPr>
          <w:rFonts w:cs="ITCFranklinGothicStd-Book"/>
          <w:sz w:val="24"/>
          <w:szCs w:val="24"/>
        </w:rPr>
      </w:pPr>
    </w:p>
    <w:p w:rsidR="00695C4B" w:rsidRPr="00695C4B" w:rsidP="00902772" w14:paraId="7D1693AB" w14:textId="77777777">
      <w:pPr>
        <w:autoSpaceDE w:val="0"/>
        <w:autoSpaceDN w:val="0"/>
        <w:adjustRightInd w:val="0"/>
        <w:spacing w:line="240" w:lineRule="auto"/>
        <w:ind w:left="720"/>
        <w:rPr>
          <w:rFonts w:cs="ITCFranklinGothicStd-Book"/>
          <w:sz w:val="24"/>
          <w:szCs w:val="24"/>
        </w:rPr>
      </w:pPr>
      <w:r w:rsidRPr="00695C4B">
        <w:rPr>
          <w:rFonts w:cs="ITCFranklinGothicStd-Book"/>
          <w:sz w:val="24"/>
          <w:szCs w:val="24"/>
        </w:rPr>
        <w:t>The Secretary, acting through the Director of the Centers for Disease Control and Prevention, and taking into consideration the expertise of the Advisory Committee on Heritable Disorders in Newborns and Children established under section 1111, shall provide for the coordination of national surveillance activities, including—</w:t>
      </w:r>
    </w:p>
    <w:p w:rsidR="00695C4B" w:rsidRPr="00695C4B" w:rsidP="00695C4B" w14:paraId="662BF530" w14:textId="77777777">
      <w:pPr>
        <w:autoSpaceDE w:val="0"/>
        <w:autoSpaceDN w:val="0"/>
        <w:adjustRightInd w:val="0"/>
        <w:spacing w:line="240" w:lineRule="auto"/>
        <w:rPr>
          <w:rFonts w:cs="ITCFranklinGothicStd-Book"/>
          <w:sz w:val="24"/>
          <w:szCs w:val="24"/>
        </w:rPr>
      </w:pPr>
    </w:p>
    <w:p w:rsidR="00695C4B" w:rsidRPr="00695C4B" w:rsidP="00902772" w14:paraId="3F6A2C32" w14:textId="77777777">
      <w:pPr>
        <w:autoSpaceDE w:val="0"/>
        <w:autoSpaceDN w:val="0"/>
        <w:adjustRightInd w:val="0"/>
        <w:spacing w:line="240" w:lineRule="auto"/>
        <w:ind w:left="720"/>
        <w:rPr>
          <w:rFonts w:cs="ITCFranklinGothicStd-Book"/>
          <w:sz w:val="24"/>
          <w:szCs w:val="24"/>
        </w:rPr>
      </w:pPr>
      <w:r w:rsidRPr="00695C4B">
        <w:rPr>
          <w:rFonts w:cs="ITCFranklinGothicStd-Book"/>
          <w:sz w:val="24"/>
          <w:szCs w:val="24"/>
        </w:rPr>
        <w:t xml:space="preserve">“(1) standardizing data collection and reporting </w:t>
      </w:r>
      <w:r w:rsidRPr="00695C4B">
        <w:rPr>
          <w:rFonts w:cs="ITCFranklinGothicStd-Book"/>
          <w:sz w:val="24"/>
          <w:szCs w:val="24"/>
        </w:rPr>
        <w:t>through the use of</w:t>
      </w:r>
      <w:r w:rsidRPr="00695C4B">
        <w:rPr>
          <w:rFonts w:cs="ITCFranklinGothicStd-Book"/>
          <w:sz w:val="24"/>
          <w:szCs w:val="24"/>
        </w:rPr>
        <w:t xml:space="preserve"> electronic and other forms of health records to achieve real-time data for tracking and monitoring the newborn screening system, from the initial positive screen through diagnosis and long-term care management; and</w:t>
      </w:r>
    </w:p>
    <w:p w:rsidR="00695C4B" w:rsidRPr="00695C4B" w:rsidP="00695C4B" w14:paraId="672E5A5F" w14:textId="77777777">
      <w:pPr>
        <w:autoSpaceDE w:val="0"/>
        <w:autoSpaceDN w:val="0"/>
        <w:adjustRightInd w:val="0"/>
        <w:spacing w:line="240" w:lineRule="auto"/>
        <w:rPr>
          <w:rFonts w:cs="ITCFranklinGothicStd-Book"/>
          <w:sz w:val="24"/>
          <w:szCs w:val="24"/>
        </w:rPr>
      </w:pPr>
    </w:p>
    <w:p w:rsidR="00695C4B" w:rsidP="00902772" w14:paraId="5FE287B2" w14:textId="784DD10A">
      <w:pPr>
        <w:autoSpaceDE w:val="0"/>
        <w:autoSpaceDN w:val="0"/>
        <w:adjustRightInd w:val="0"/>
        <w:spacing w:line="240" w:lineRule="auto"/>
        <w:ind w:left="720"/>
        <w:rPr>
          <w:rFonts w:cs="ITCFranklinGothicStd-Book"/>
          <w:sz w:val="24"/>
          <w:szCs w:val="24"/>
        </w:rPr>
      </w:pPr>
      <w:r w:rsidRPr="00695C4B">
        <w:rPr>
          <w:rFonts w:cs="ITCFranklinGothicStd-Book"/>
          <w:sz w:val="24"/>
          <w:szCs w:val="24"/>
        </w:rPr>
        <w:t>“(2) by promoting data sharing linkages between State newborn screening programs and State-based birth defects and developmental disabilities surveillance programs to help families connect with services to assist in evaluating long-term outcomes.”.</w:t>
      </w:r>
    </w:p>
    <w:p w:rsidR="00695C4B" w:rsidP="00396304" w14:paraId="0A726F21" w14:textId="77777777">
      <w:pPr>
        <w:autoSpaceDE w:val="0"/>
        <w:autoSpaceDN w:val="0"/>
        <w:adjustRightInd w:val="0"/>
        <w:spacing w:line="240" w:lineRule="auto"/>
        <w:rPr>
          <w:rFonts w:cs="ITCFranklinGothicStd-Book"/>
          <w:sz w:val="24"/>
          <w:szCs w:val="24"/>
        </w:rPr>
      </w:pPr>
    </w:p>
    <w:p w:rsidR="00841078" w:rsidRPr="00841078" w:rsidP="00396304" w14:paraId="1E769091" w14:textId="14D8F668">
      <w:pPr>
        <w:autoSpaceDE w:val="0"/>
        <w:autoSpaceDN w:val="0"/>
        <w:adjustRightInd w:val="0"/>
        <w:spacing w:line="240" w:lineRule="auto"/>
        <w:rPr>
          <w:rFonts w:cs="ITCFranklinGothicStd-Book"/>
          <w:sz w:val="24"/>
          <w:szCs w:val="24"/>
        </w:rPr>
      </w:pPr>
      <w:r w:rsidRPr="48D86499">
        <w:rPr>
          <w:rFonts w:cs="ITCFranklinGothicStd-Book"/>
          <w:sz w:val="24"/>
          <w:szCs w:val="24"/>
        </w:rPr>
        <w:t xml:space="preserve">A supplemental budget increase for the Newborn Screening and Molecular Biology Branch </w:t>
      </w:r>
      <w:r w:rsidRPr="48D86499" w:rsidR="000A7710">
        <w:rPr>
          <w:rFonts w:cs="ITCFranklinGothicStd-Book"/>
          <w:sz w:val="24"/>
          <w:szCs w:val="24"/>
        </w:rPr>
        <w:t>(</w:t>
      </w:r>
      <w:r w:rsidRPr="48D86499" w:rsidR="000A7710">
        <w:rPr>
          <w:rFonts w:cs="ITCFranklinGothicStd-Book"/>
          <w:b/>
          <w:bCs/>
          <w:sz w:val="24"/>
          <w:szCs w:val="24"/>
        </w:rPr>
        <w:t>Attachment 1</w:t>
      </w:r>
      <w:r w:rsidRPr="48D86499" w:rsidR="000A7710">
        <w:rPr>
          <w:rFonts w:cs="ITCFranklinGothicStd-Book"/>
          <w:sz w:val="24"/>
          <w:szCs w:val="24"/>
        </w:rPr>
        <w:t xml:space="preserve">) </w:t>
      </w:r>
      <w:r w:rsidRPr="48D86499">
        <w:rPr>
          <w:rFonts w:cs="ITCFranklinGothicStd-Book"/>
          <w:sz w:val="24"/>
          <w:szCs w:val="24"/>
        </w:rPr>
        <w:t>brough</w:t>
      </w:r>
      <w:r w:rsidRPr="48D86499" w:rsidR="000A7710">
        <w:rPr>
          <w:rFonts w:cs="ITCFranklinGothicStd-Book"/>
          <w:sz w:val="24"/>
          <w:szCs w:val="24"/>
        </w:rPr>
        <w:t>t</w:t>
      </w:r>
      <w:r w:rsidRPr="48D86499">
        <w:rPr>
          <w:rFonts w:cs="ITCFranklinGothicStd-Book"/>
          <w:sz w:val="24"/>
          <w:szCs w:val="24"/>
        </w:rPr>
        <w:t xml:space="preserve"> with it associated expectations, including providing more robust </w:t>
      </w:r>
      <w:r w:rsidRPr="48D86499">
        <w:rPr>
          <w:rFonts w:cs="ITCFranklinGothicStd-Book"/>
          <w:sz w:val="24"/>
          <w:szCs w:val="24"/>
        </w:rPr>
        <w:t xml:space="preserve">support to NBS programs in interpretating screening results, minimizing false positive results, and monitoring screening performance overall. </w:t>
      </w:r>
      <w:r w:rsidRPr="48D86499" w:rsidR="003953D2">
        <w:rPr>
          <w:rFonts w:cs="ITCFranklinGothicStd-Book"/>
          <w:sz w:val="24"/>
          <w:szCs w:val="24"/>
        </w:rPr>
        <w:t xml:space="preserve">Specifications for </w:t>
      </w:r>
      <w:r w:rsidRPr="48D86499" w:rsidR="00CA725A">
        <w:rPr>
          <w:rFonts w:cs="ITCFranklinGothicStd-Book"/>
          <w:sz w:val="24"/>
          <w:szCs w:val="24"/>
        </w:rPr>
        <w:t xml:space="preserve">the </w:t>
      </w:r>
      <w:r w:rsidRPr="48D86499" w:rsidR="003953D2">
        <w:rPr>
          <w:rFonts w:cs="ITCFranklinGothicStd-Book"/>
          <w:sz w:val="24"/>
          <w:szCs w:val="24"/>
        </w:rPr>
        <w:t>data collection include infant demographics, parental demographics, specimen information, molecular results, biochemical results, disease clinical information (</w:t>
      </w:r>
      <w:r w:rsidRPr="48D86499" w:rsidR="003953D2">
        <w:rPr>
          <w:rFonts w:cs="ITCFranklinGothicStd-Book"/>
          <w:b/>
          <w:bCs/>
          <w:sz w:val="24"/>
          <w:szCs w:val="24"/>
        </w:rPr>
        <w:t>Attachment 3b</w:t>
      </w:r>
      <w:r w:rsidRPr="48D86499" w:rsidR="003953D2">
        <w:rPr>
          <w:rFonts w:cs="ITCFranklinGothicStd-Book"/>
          <w:sz w:val="24"/>
          <w:szCs w:val="24"/>
        </w:rPr>
        <w:t xml:space="preserve">). </w:t>
      </w:r>
    </w:p>
    <w:p w:rsidR="00B45002" w:rsidRPr="00D20211" w:rsidP="00601F1A" w14:paraId="66725973" w14:textId="05136897">
      <w:pPr>
        <w:pStyle w:val="Heading1"/>
        <w:pBdr>
          <w:bottom w:val="none" w:sz="0" w:space="0" w:color="auto"/>
        </w:pBdr>
        <w:rPr>
          <w:color w:val="auto"/>
        </w:rPr>
      </w:pPr>
      <w:bookmarkStart w:id="4" w:name="_Toc119852191"/>
      <w:r w:rsidRPr="00D20211">
        <w:rPr>
          <w:color w:val="auto"/>
        </w:rPr>
        <w:t>A.</w:t>
      </w:r>
      <w:r w:rsidRPr="00D20211" w:rsidR="004D21C9">
        <w:rPr>
          <w:color w:val="auto"/>
        </w:rPr>
        <w:t xml:space="preserve">2.  </w:t>
      </w:r>
      <w:r w:rsidRPr="00D20211">
        <w:rPr>
          <w:color w:val="auto"/>
        </w:rPr>
        <w:t>Purpose and Use of the Information Collection</w:t>
      </w:r>
      <w:bookmarkEnd w:id="4"/>
    </w:p>
    <w:p w:rsidR="00F01932" w:rsidP="003F6A54" w14:paraId="44CD7F9B" w14:textId="77777777">
      <w:pPr>
        <w:autoSpaceDE w:val="0"/>
        <w:autoSpaceDN w:val="0"/>
        <w:adjustRightInd w:val="0"/>
        <w:spacing w:after="0" w:line="240" w:lineRule="auto"/>
        <w:rPr>
          <w:rFonts w:cs="ITCFranklinGothicStd-Book"/>
          <w:sz w:val="24"/>
          <w:szCs w:val="24"/>
        </w:rPr>
      </w:pPr>
    </w:p>
    <w:p w:rsidR="00FB7686" w:rsidP="003F6A54" w14:paraId="17312DAC" w14:textId="3EE51715">
      <w:pPr>
        <w:autoSpaceDE w:val="0"/>
        <w:autoSpaceDN w:val="0"/>
        <w:adjustRightInd w:val="0"/>
        <w:spacing w:after="0" w:line="240" w:lineRule="auto"/>
        <w:rPr>
          <w:rFonts w:cs="ITCFranklinGothicStd-Book"/>
          <w:sz w:val="24"/>
          <w:szCs w:val="24"/>
        </w:rPr>
      </w:pPr>
      <w:r>
        <w:rPr>
          <w:rFonts w:cs="ITCFranklinGothicStd-Book"/>
          <w:sz w:val="24"/>
          <w:szCs w:val="24"/>
        </w:rPr>
        <w:t xml:space="preserve">The NSMBB </w:t>
      </w:r>
      <w:r w:rsidR="00D040B9">
        <w:rPr>
          <w:rFonts w:cs="ITCFranklinGothicStd-Book"/>
          <w:sz w:val="24"/>
          <w:szCs w:val="24"/>
        </w:rPr>
        <w:t>provides a wide range of technical assistance to NBS programs, including developing analytical methods</w:t>
      </w:r>
      <w:r w:rsidR="003658EA">
        <w:rPr>
          <w:rFonts w:cs="ITCFranklinGothicStd-Book"/>
          <w:sz w:val="24"/>
          <w:szCs w:val="24"/>
        </w:rPr>
        <w:t xml:space="preserve">, producing quality control and reference materials, and </w:t>
      </w:r>
      <w:r w:rsidR="003658EA">
        <w:rPr>
          <w:rFonts w:cs="ITCFranklinGothicStd-Book"/>
          <w:sz w:val="24"/>
          <w:szCs w:val="24"/>
        </w:rPr>
        <w:t>provides</w:t>
      </w:r>
      <w:r w:rsidR="003658EA">
        <w:rPr>
          <w:rFonts w:cs="ITCFranklinGothicStd-Book"/>
          <w:sz w:val="24"/>
          <w:szCs w:val="24"/>
        </w:rPr>
        <w:t xml:space="preserve"> education and site visits. </w:t>
      </w:r>
      <w:r w:rsidR="00865C3F">
        <w:rPr>
          <w:rFonts w:cs="ITCFranklinGothicStd-Book"/>
          <w:sz w:val="24"/>
          <w:szCs w:val="24"/>
        </w:rPr>
        <w:t xml:space="preserve">This technical assistance </w:t>
      </w:r>
      <w:r w:rsidR="000B468D">
        <w:rPr>
          <w:rFonts w:cs="ITCFranklinGothicStd-Book"/>
          <w:sz w:val="24"/>
          <w:szCs w:val="24"/>
        </w:rPr>
        <w:t>helps ensure that NBS programs are producing the highest quality results</w:t>
      </w:r>
      <w:r w:rsidR="00AB5FDB">
        <w:rPr>
          <w:rFonts w:cs="ITCFranklinGothicStd-Book"/>
          <w:sz w:val="24"/>
          <w:szCs w:val="24"/>
        </w:rPr>
        <w:t xml:space="preserve"> using the latest technology</w:t>
      </w:r>
      <w:r w:rsidR="000B468D">
        <w:rPr>
          <w:rFonts w:cs="ITCFranklinGothicStd-Book"/>
          <w:sz w:val="24"/>
          <w:szCs w:val="24"/>
        </w:rPr>
        <w:t xml:space="preserve">. ED3N will </w:t>
      </w:r>
      <w:r w:rsidR="005268CF">
        <w:rPr>
          <w:rFonts w:cs="ITCFranklinGothicStd-Book"/>
          <w:sz w:val="24"/>
          <w:szCs w:val="24"/>
        </w:rPr>
        <w:t>extend current technical assistance offerings by</w:t>
      </w:r>
      <w:r w:rsidR="00840690">
        <w:rPr>
          <w:rFonts w:cs="ITCFranklinGothicStd-Book"/>
          <w:sz w:val="24"/>
          <w:szCs w:val="24"/>
        </w:rPr>
        <w:t xml:space="preserve"> </w:t>
      </w:r>
      <w:r w:rsidR="0080638F">
        <w:rPr>
          <w:rFonts w:cs="ITCFranklinGothicStd-Book"/>
          <w:sz w:val="24"/>
          <w:szCs w:val="24"/>
        </w:rPr>
        <w:t>providing more robust risk assessment and clinical decision support</w:t>
      </w:r>
      <w:r w:rsidR="00766E99">
        <w:rPr>
          <w:rFonts w:cs="ITCFranklinGothicStd-Book"/>
          <w:sz w:val="24"/>
          <w:szCs w:val="24"/>
        </w:rPr>
        <w:t xml:space="preserve"> directly to NBS program</w:t>
      </w:r>
      <w:r w:rsidR="00CC0F87">
        <w:rPr>
          <w:rFonts w:cs="ITCFranklinGothicStd-Book"/>
          <w:sz w:val="24"/>
          <w:szCs w:val="24"/>
        </w:rPr>
        <w:t xml:space="preserve"> with authorized access to the platform</w:t>
      </w:r>
      <w:r w:rsidR="002B7C96">
        <w:rPr>
          <w:rFonts w:cs="ITCFranklinGothicStd-Book"/>
          <w:sz w:val="24"/>
          <w:szCs w:val="24"/>
        </w:rPr>
        <w:t xml:space="preserve">. Interpretation of results is a key and vital component to successful </w:t>
      </w:r>
      <w:r w:rsidR="001957F2">
        <w:rPr>
          <w:rFonts w:cs="ITCFranklinGothicStd-Book"/>
          <w:sz w:val="24"/>
          <w:szCs w:val="24"/>
        </w:rPr>
        <w:t>screening</w:t>
      </w:r>
      <w:r w:rsidR="002B7C96">
        <w:rPr>
          <w:rFonts w:cs="ITCFranklinGothicStd-Book"/>
          <w:sz w:val="24"/>
          <w:szCs w:val="24"/>
        </w:rPr>
        <w:t xml:space="preserve"> and ED3N will </w:t>
      </w:r>
      <w:r w:rsidR="001957F2">
        <w:rPr>
          <w:rFonts w:cs="ITCFranklinGothicStd-Book"/>
          <w:sz w:val="24"/>
          <w:szCs w:val="24"/>
        </w:rPr>
        <w:t xml:space="preserve">be a new value-add to NBS programs in </w:t>
      </w:r>
      <w:r w:rsidR="00286E1D">
        <w:rPr>
          <w:rFonts w:cs="ITCFranklinGothicStd-Book"/>
          <w:sz w:val="24"/>
          <w:szCs w:val="24"/>
        </w:rPr>
        <w:t xml:space="preserve">the post-testing space. </w:t>
      </w:r>
    </w:p>
    <w:p w:rsidR="00FB7686" w:rsidP="003F6A54" w14:paraId="43E8C532" w14:textId="77777777">
      <w:pPr>
        <w:autoSpaceDE w:val="0"/>
        <w:autoSpaceDN w:val="0"/>
        <w:adjustRightInd w:val="0"/>
        <w:spacing w:after="0" w:line="240" w:lineRule="auto"/>
        <w:rPr>
          <w:rFonts w:cs="ITCFranklinGothicStd-Book"/>
          <w:sz w:val="24"/>
          <w:szCs w:val="24"/>
        </w:rPr>
      </w:pPr>
    </w:p>
    <w:p w:rsidR="00A65BAD" w:rsidRPr="00841078" w:rsidP="003F6A54" w14:paraId="1FBDFBE5" w14:textId="54B1CBEA">
      <w:pPr>
        <w:autoSpaceDE w:val="0"/>
        <w:autoSpaceDN w:val="0"/>
        <w:adjustRightInd w:val="0"/>
        <w:spacing w:after="0" w:line="240" w:lineRule="auto"/>
        <w:rPr>
          <w:rFonts w:cs="ITCFranklinGothicStd-Book"/>
          <w:sz w:val="24"/>
          <w:szCs w:val="24"/>
        </w:rPr>
      </w:pPr>
      <w:r w:rsidRPr="00841078">
        <w:rPr>
          <w:rFonts w:cs="ITCFranklinGothicStd-Book"/>
          <w:sz w:val="24"/>
          <w:szCs w:val="24"/>
        </w:rPr>
        <w:t xml:space="preserve">The purpose of this information collection is program evaluation and improvement. </w:t>
      </w:r>
    </w:p>
    <w:p w:rsidR="00F01932" w:rsidRPr="00841078" w:rsidP="003F6A54" w14:paraId="0A36261C" w14:textId="77777777">
      <w:pPr>
        <w:autoSpaceDE w:val="0"/>
        <w:autoSpaceDN w:val="0"/>
        <w:adjustRightInd w:val="0"/>
        <w:spacing w:after="0" w:line="240" w:lineRule="auto"/>
        <w:rPr>
          <w:rFonts w:cs="ITCFranklinGothicStd-Book"/>
          <w:sz w:val="24"/>
          <w:szCs w:val="24"/>
        </w:rPr>
      </w:pPr>
    </w:p>
    <w:p w:rsidR="004D4CB4" w:rsidRPr="00841078" w:rsidP="004D4CB4" w14:paraId="0C90526A" w14:textId="01008C03">
      <w:pPr>
        <w:pStyle w:val="ListParagraph"/>
        <w:numPr>
          <w:ilvl w:val="0"/>
          <w:numId w:val="41"/>
        </w:numPr>
        <w:spacing w:after="0" w:line="240" w:lineRule="auto"/>
        <w:ind w:left="990"/>
        <w:rPr>
          <w:rFonts w:cstheme="minorHAnsi"/>
          <w:sz w:val="24"/>
          <w:szCs w:val="24"/>
        </w:rPr>
      </w:pPr>
      <w:r w:rsidRPr="00841078">
        <w:rPr>
          <w:rFonts w:cstheme="minorHAnsi"/>
          <w:sz w:val="24"/>
          <w:szCs w:val="24"/>
        </w:rPr>
        <w:t xml:space="preserve">Positive needs and impact of this information collection include better equipping newborn screening partners to accurately identify and appropriately act on newborns at-risk for life-threatening diseases. </w:t>
      </w:r>
    </w:p>
    <w:p w:rsidR="004D4CB4" w:rsidRPr="00841078" w:rsidP="004D4CB4" w14:paraId="17B667B4" w14:textId="2577A991">
      <w:pPr>
        <w:pStyle w:val="ListParagraph"/>
        <w:numPr>
          <w:ilvl w:val="0"/>
          <w:numId w:val="41"/>
        </w:numPr>
        <w:spacing w:after="0" w:line="240" w:lineRule="auto"/>
        <w:ind w:left="990"/>
        <w:rPr>
          <w:rFonts w:cstheme="minorHAnsi"/>
          <w:sz w:val="24"/>
          <w:szCs w:val="24"/>
        </w:rPr>
      </w:pPr>
      <w:r w:rsidRPr="00841078">
        <w:rPr>
          <w:rFonts w:cstheme="minorHAnsi"/>
          <w:sz w:val="24"/>
          <w:szCs w:val="24"/>
        </w:rPr>
        <w:t>The negative consequence of not having this information is reduced ability for newborn screening partners to identify and appropriately act on diseases in newborns. This can lead to poor screening performance, delayed diagnoses of affected infants, and lawsuits.</w:t>
      </w:r>
    </w:p>
    <w:p w:rsidR="004D4CB4" w:rsidRPr="00841078" w:rsidP="004D4CB4" w14:paraId="0CD822A0" w14:textId="7C5176EC">
      <w:pPr>
        <w:autoSpaceDE w:val="0"/>
        <w:autoSpaceDN w:val="0"/>
        <w:adjustRightInd w:val="0"/>
        <w:spacing w:line="240" w:lineRule="auto"/>
        <w:ind w:left="360"/>
        <w:rPr>
          <w:rFonts w:cs="ITCFranklinGothicStd-Book"/>
          <w:sz w:val="24"/>
          <w:szCs w:val="24"/>
        </w:rPr>
      </w:pPr>
    </w:p>
    <w:p w:rsidR="000A7710" w:rsidRPr="004D4CB4" w:rsidP="004D4CB4" w14:paraId="5C4C357E" w14:textId="561091BA">
      <w:pPr>
        <w:autoSpaceDE w:val="0"/>
        <w:autoSpaceDN w:val="0"/>
        <w:adjustRightInd w:val="0"/>
        <w:spacing w:line="240" w:lineRule="auto"/>
        <w:ind w:left="360"/>
        <w:rPr>
          <w:rFonts w:cs="ITCFranklinGothicStd-Book"/>
          <w:b/>
          <w:bCs/>
          <w:sz w:val="24"/>
          <w:szCs w:val="24"/>
        </w:rPr>
      </w:pPr>
      <w:r w:rsidRPr="00841078">
        <w:rPr>
          <w:rFonts w:cs="ITCFranklinGothicStd-Book"/>
          <w:sz w:val="24"/>
          <w:szCs w:val="24"/>
        </w:rPr>
        <w:t xml:space="preserve">The ED3N project is funded through CDC NSMBB program funds at around $1 million annually. This project is intended to be long-term with ongoing and sustainable use by NBS programs and ultimately incorporated into their daily screening workflows. Information collected will be used by NBS programs and </w:t>
      </w:r>
      <w:r w:rsidRPr="00841078">
        <w:rPr>
          <w:rFonts w:cs="ITCFranklinGothicStd-Book"/>
          <w:sz w:val="24"/>
          <w:szCs w:val="24"/>
        </w:rPr>
        <w:t>relevant specialty</w:t>
      </w:r>
      <w:r w:rsidRPr="00841078">
        <w:rPr>
          <w:rFonts w:cs="ITCFranklinGothicStd-Book"/>
          <w:sz w:val="24"/>
          <w:szCs w:val="24"/>
        </w:rPr>
        <w:t xml:space="preserve"> healthcare providers as well as by </w:t>
      </w:r>
      <w:r w:rsidRPr="00841078">
        <w:rPr>
          <w:rFonts w:cs="ITCFranklinGothicStd-Book"/>
          <w:sz w:val="24"/>
          <w:szCs w:val="24"/>
        </w:rPr>
        <w:t>the CDC’s</w:t>
      </w:r>
      <w:r w:rsidRPr="00841078">
        <w:rPr>
          <w:rFonts w:cs="ITCFranklinGothicStd-Book"/>
          <w:sz w:val="24"/>
          <w:szCs w:val="24"/>
        </w:rPr>
        <w:t xml:space="preserve"> N</w:t>
      </w:r>
      <w:r w:rsidR="004F4CA5">
        <w:rPr>
          <w:rFonts w:cs="ITCFranklinGothicStd-Book"/>
          <w:sz w:val="24"/>
          <w:szCs w:val="24"/>
        </w:rPr>
        <w:t>SMBB</w:t>
      </w:r>
      <w:r w:rsidRPr="00841078">
        <w:rPr>
          <w:rFonts w:cs="ITCFranklinGothicStd-Book"/>
          <w:sz w:val="24"/>
          <w:szCs w:val="24"/>
        </w:rPr>
        <w:t xml:space="preserve">. Prior to use, NBS programs will complete Data Sharing Agreements and </w:t>
      </w:r>
      <w:r w:rsidR="0014554A">
        <w:rPr>
          <w:rFonts w:cs="ITCFranklinGothicStd-Book"/>
          <w:sz w:val="24"/>
          <w:szCs w:val="24"/>
        </w:rPr>
        <w:t>CDC Secure Access Management Systems (</w:t>
      </w:r>
      <w:r w:rsidRPr="00841078">
        <w:rPr>
          <w:rFonts w:cs="ITCFranklinGothicStd-Book"/>
          <w:sz w:val="24"/>
          <w:szCs w:val="24"/>
        </w:rPr>
        <w:t>SAMS</w:t>
      </w:r>
      <w:r w:rsidR="0014554A">
        <w:rPr>
          <w:rFonts w:cs="ITCFranklinGothicStd-Book"/>
          <w:sz w:val="24"/>
          <w:szCs w:val="24"/>
        </w:rPr>
        <w:t>)</w:t>
      </w:r>
      <w:r w:rsidRPr="00841078">
        <w:rPr>
          <w:rFonts w:cs="ITCFranklinGothicStd-Book"/>
          <w:sz w:val="24"/>
          <w:szCs w:val="24"/>
        </w:rPr>
        <w:t xml:space="preserve"> Authorization for access. Data will be used at various periodicity but may be as often as daily </w:t>
      </w:r>
      <w:r w:rsidR="00841078">
        <w:rPr>
          <w:rFonts w:cs="ITCFranklinGothicStd-Book"/>
          <w:sz w:val="24"/>
          <w:szCs w:val="24"/>
        </w:rPr>
        <w:t>so</w:t>
      </w:r>
      <w:r w:rsidRPr="00841078">
        <w:rPr>
          <w:rFonts w:cs="ITCFranklinGothicStd-Book"/>
          <w:sz w:val="24"/>
          <w:szCs w:val="24"/>
        </w:rPr>
        <w:t xml:space="preserve"> NBS programs </w:t>
      </w:r>
      <w:r w:rsidR="00841078">
        <w:rPr>
          <w:rFonts w:cs="ITCFranklinGothicStd-Book"/>
          <w:sz w:val="24"/>
          <w:szCs w:val="24"/>
        </w:rPr>
        <w:t>can</w:t>
      </w:r>
      <w:r w:rsidRPr="00841078">
        <w:rPr>
          <w:rFonts w:cs="ITCFranklinGothicStd-Book"/>
          <w:sz w:val="24"/>
          <w:szCs w:val="24"/>
        </w:rPr>
        <w:t xml:space="preserve"> utilize </w:t>
      </w:r>
      <w:r w:rsidRPr="00841078">
        <w:rPr>
          <w:rFonts w:cs="ITCFranklinGothicStd-Book"/>
          <w:sz w:val="24"/>
          <w:szCs w:val="24"/>
        </w:rPr>
        <w:t>the algorithmic</w:t>
      </w:r>
      <w:r w:rsidRPr="00841078">
        <w:rPr>
          <w:rFonts w:cs="ITCFranklinGothicStd-Book"/>
          <w:sz w:val="24"/>
          <w:szCs w:val="24"/>
        </w:rPr>
        <w:t xml:space="preserve"> solutions for their daily testing and interpretation needs.</w:t>
      </w:r>
      <w:r w:rsidR="00162B72">
        <w:rPr>
          <w:rFonts w:cs="ITCFranklinGothicStd-Book"/>
          <w:sz w:val="24"/>
          <w:szCs w:val="24"/>
        </w:rPr>
        <w:t xml:space="preserve"> </w:t>
      </w:r>
      <w:r w:rsidR="00B906AA">
        <w:rPr>
          <w:rFonts w:cs="ITCFranklinGothicStd-Book"/>
          <w:sz w:val="24"/>
          <w:szCs w:val="24"/>
        </w:rPr>
        <w:t>Programs</w:t>
      </w:r>
      <w:r w:rsidR="00B906AA">
        <w:rPr>
          <w:rFonts w:cs="ITCFranklinGothicStd-Book"/>
          <w:sz w:val="24"/>
          <w:szCs w:val="24"/>
        </w:rPr>
        <w:t xml:space="preserve"> may choose to use this platform and data </w:t>
      </w:r>
      <w:r w:rsidR="000A1B76">
        <w:rPr>
          <w:rFonts w:cs="ITCFranklinGothicStd-Book"/>
          <w:sz w:val="24"/>
          <w:szCs w:val="24"/>
        </w:rPr>
        <w:t xml:space="preserve">on a near real-time basis and incorporate it into its </w:t>
      </w:r>
      <w:r w:rsidR="00054480">
        <w:rPr>
          <w:rFonts w:cs="ITCFranklinGothicStd-Book"/>
          <w:sz w:val="24"/>
          <w:szCs w:val="24"/>
        </w:rPr>
        <w:t xml:space="preserve">daily patient reporting. Alternatively, programs may choose to use this platform </w:t>
      </w:r>
      <w:r w:rsidR="0014554C">
        <w:rPr>
          <w:rFonts w:cs="ITCFranklinGothicStd-Book"/>
          <w:sz w:val="24"/>
          <w:szCs w:val="24"/>
        </w:rPr>
        <w:t xml:space="preserve">on a less frequent basis as </w:t>
      </w:r>
      <w:r w:rsidR="00FE4287">
        <w:rPr>
          <w:rFonts w:cs="ITCFranklinGothicStd-Book"/>
          <w:sz w:val="24"/>
          <w:szCs w:val="24"/>
        </w:rPr>
        <w:t>part of a quality control check.</w:t>
      </w:r>
      <w:r w:rsidR="00813BB9">
        <w:rPr>
          <w:rFonts w:cs="ITCFranklinGothicStd-Book"/>
          <w:sz w:val="24"/>
          <w:szCs w:val="24"/>
        </w:rPr>
        <w:t xml:space="preserve"> The platform is customizable to the needs of the NBS program and is flexible to </w:t>
      </w:r>
      <w:r w:rsidR="006C4566">
        <w:rPr>
          <w:rFonts w:cs="ITCFranklinGothicStd-Book"/>
          <w:sz w:val="24"/>
          <w:szCs w:val="24"/>
        </w:rPr>
        <w:t>changing needs within a single program and across the community.</w:t>
      </w:r>
      <w:r w:rsidR="003953D2">
        <w:rPr>
          <w:rFonts w:cs="ITCFranklinGothicStd-Book"/>
          <w:sz w:val="24"/>
          <w:szCs w:val="24"/>
        </w:rPr>
        <w:t xml:space="preserve"> </w:t>
      </w:r>
      <w:r w:rsidRPr="00841078">
        <w:rPr>
          <w:rFonts w:cs="ITCFranklinGothicStd-Book"/>
          <w:sz w:val="24"/>
          <w:szCs w:val="24"/>
        </w:rPr>
        <w:t>The CDC</w:t>
      </w:r>
      <w:r w:rsidRPr="00841078">
        <w:rPr>
          <w:rFonts w:cs="ITCFranklinGothicStd-Book"/>
          <w:sz w:val="24"/>
          <w:szCs w:val="24"/>
        </w:rPr>
        <w:t xml:space="preserve"> will utilize this data to meet its requirements for providing technical assistance and interpretative solutions to NBS programs. These uses will include refinement of machine learning models, new biomarker discovery, and programmatic trend analysis.</w:t>
      </w:r>
      <w:r>
        <w:rPr>
          <w:rFonts w:cs="ITCFranklinGothicStd-Book"/>
          <w:b/>
          <w:bCs/>
          <w:sz w:val="24"/>
          <w:szCs w:val="24"/>
        </w:rPr>
        <w:t xml:space="preserve"> </w:t>
      </w:r>
    </w:p>
    <w:p w:rsidR="00C13959" w:rsidRPr="00D20211" w:rsidP="004976CC" w14:paraId="28BB1B60" w14:textId="6054D69E">
      <w:pPr>
        <w:pStyle w:val="Heading1"/>
        <w:pBdr>
          <w:bottom w:val="none" w:sz="0" w:space="0" w:color="auto"/>
        </w:pBdr>
        <w:rPr>
          <w:color w:val="auto"/>
        </w:rPr>
      </w:pPr>
      <w:bookmarkStart w:id="5" w:name="_Toc119852192"/>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5"/>
    </w:p>
    <w:p w:rsidR="004976CC" w:rsidP="004976CC" w14:paraId="31BA5F3D" w14:textId="4612DA5C"/>
    <w:p w:rsidR="00501A02" w:rsidRPr="00841078" w:rsidP="004976CC" w14:paraId="5C4FE0F3" w14:textId="4637DE05">
      <w:pPr>
        <w:rPr>
          <w:sz w:val="24"/>
          <w:szCs w:val="24"/>
        </w:rPr>
      </w:pPr>
      <w:r w:rsidRPr="00841078">
        <w:rPr>
          <w:sz w:val="24"/>
          <w:szCs w:val="24"/>
        </w:rPr>
        <w:t xml:space="preserve">The ED3N </w:t>
      </w:r>
      <w:r w:rsidR="00CF6E69">
        <w:rPr>
          <w:sz w:val="24"/>
          <w:szCs w:val="24"/>
        </w:rPr>
        <w:t>Project relies</w:t>
      </w:r>
      <w:r w:rsidRPr="00841078">
        <w:rPr>
          <w:sz w:val="24"/>
          <w:szCs w:val="24"/>
        </w:rPr>
        <w:t xml:space="preserve"> heavily on information technology for collection and transfer of requested data</w:t>
      </w:r>
      <w:r w:rsidRPr="00841078" w:rsidR="00F2548E">
        <w:rPr>
          <w:sz w:val="24"/>
          <w:szCs w:val="24"/>
        </w:rPr>
        <w:t xml:space="preserve"> </w:t>
      </w:r>
      <w:r w:rsidRPr="00841078" w:rsidR="00F2548E">
        <w:rPr>
          <w:sz w:val="24"/>
          <w:szCs w:val="24"/>
        </w:rPr>
        <w:t>in order to</w:t>
      </w:r>
      <w:r w:rsidRPr="00841078" w:rsidR="00F2548E">
        <w:rPr>
          <w:sz w:val="24"/>
          <w:szCs w:val="24"/>
        </w:rPr>
        <w:t xml:space="preserve"> minimize burden to NBS programs</w:t>
      </w:r>
      <w:r w:rsidRPr="00841078">
        <w:rPr>
          <w:sz w:val="24"/>
          <w:szCs w:val="24"/>
        </w:rPr>
        <w:t xml:space="preserve">. </w:t>
      </w:r>
      <w:r w:rsidR="006D7626">
        <w:rPr>
          <w:sz w:val="24"/>
          <w:szCs w:val="24"/>
        </w:rPr>
        <w:t>All d</w:t>
      </w:r>
      <w:r w:rsidRPr="00841078">
        <w:rPr>
          <w:sz w:val="24"/>
          <w:szCs w:val="24"/>
        </w:rPr>
        <w:t xml:space="preserve">ata </w:t>
      </w:r>
      <w:r w:rsidRPr="00841078" w:rsidR="0051690C">
        <w:rPr>
          <w:sz w:val="24"/>
          <w:szCs w:val="24"/>
        </w:rPr>
        <w:t>elements requested</w:t>
      </w:r>
      <w:r w:rsidRPr="00841078">
        <w:rPr>
          <w:sz w:val="24"/>
          <w:szCs w:val="24"/>
        </w:rPr>
        <w:t xml:space="preserve"> for </w:t>
      </w:r>
      <w:r w:rsidRPr="004F4CA5">
        <w:rPr>
          <w:sz w:val="24"/>
          <w:szCs w:val="24"/>
        </w:rPr>
        <w:t xml:space="preserve">ED3N </w:t>
      </w:r>
      <w:r w:rsidRPr="004F4CA5" w:rsidR="0051690C">
        <w:rPr>
          <w:sz w:val="24"/>
          <w:szCs w:val="24"/>
        </w:rPr>
        <w:t>are</w:t>
      </w:r>
      <w:r w:rsidRPr="004F4CA5">
        <w:rPr>
          <w:sz w:val="24"/>
          <w:szCs w:val="24"/>
        </w:rPr>
        <w:t xml:space="preserve"> housed in each NBS program’s Laboratory Information Management System (LIMS) </w:t>
      </w:r>
      <w:r w:rsidRPr="4EF4FD88">
        <w:rPr>
          <w:sz w:val="24"/>
          <w:szCs w:val="24"/>
        </w:rPr>
        <w:t>and/or Case Management System (CMS)</w:t>
      </w:r>
      <w:r w:rsidRPr="4EF4FD88" w:rsidR="00F2548E">
        <w:rPr>
          <w:sz w:val="24"/>
          <w:szCs w:val="24"/>
        </w:rPr>
        <w:t xml:space="preserve"> and will be sent via electronic data transfer using either a flat file upload or direct transfer mechanisms such as </w:t>
      </w:r>
      <w:r w:rsidRPr="4EF4FD88" w:rsidR="0014554A">
        <w:rPr>
          <w:sz w:val="24"/>
          <w:szCs w:val="24"/>
          <w:shd w:val="clear" w:color="auto" w:fill="FFFFFF"/>
        </w:rPr>
        <w:t xml:space="preserve">Health Level Seven International </w:t>
      </w:r>
      <w:r w:rsidRPr="4EF4FD88" w:rsidR="0014554A">
        <w:rPr>
          <w:color w:val="5B5B5B"/>
          <w:sz w:val="24"/>
          <w:szCs w:val="24"/>
          <w:shd w:val="clear" w:color="auto" w:fill="FFFFFF"/>
        </w:rPr>
        <w:t>(</w:t>
      </w:r>
      <w:r w:rsidRPr="4EF4FD88" w:rsidR="00F2548E">
        <w:rPr>
          <w:sz w:val="24"/>
          <w:szCs w:val="24"/>
        </w:rPr>
        <w:t>HL7</w:t>
      </w:r>
      <w:r w:rsidRPr="4EF4FD88" w:rsidR="0014554A">
        <w:rPr>
          <w:sz w:val="24"/>
          <w:szCs w:val="24"/>
        </w:rPr>
        <w:t>)</w:t>
      </w:r>
      <w:r w:rsidRPr="4EF4FD88" w:rsidR="00F2548E">
        <w:rPr>
          <w:sz w:val="24"/>
          <w:szCs w:val="24"/>
        </w:rPr>
        <w:t xml:space="preserve"> 2.</w:t>
      </w:r>
      <w:r w:rsidRPr="4EF4FD88" w:rsidR="00F4042F">
        <w:rPr>
          <w:sz w:val="24"/>
          <w:szCs w:val="24"/>
        </w:rPr>
        <w:t>5</w:t>
      </w:r>
      <w:r w:rsidRPr="4EF4FD88" w:rsidR="00F2548E">
        <w:rPr>
          <w:sz w:val="24"/>
          <w:szCs w:val="24"/>
        </w:rPr>
        <w:t xml:space="preserve"> or </w:t>
      </w:r>
      <w:bookmarkStart w:id="6" w:name="_Hlk97652635"/>
      <w:r w:rsidRPr="004F4CA5" w:rsidR="0014554A">
        <w:rPr>
          <w:sz w:val="24"/>
          <w:szCs w:val="24"/>
        </w:rPr>
        <w:t xml:space="preserve">Fast Healthcare Interoperability Resources </w:t>
      </w:r>
      <w:bookmarkEnd w:id="6"/>
      <w:r w:rsidRPr="004F4CA5" w:rsidR="0014554A">
        <w:rPr>
          <w:sz w:val="24"/>
          <w:szCs w:val="24"/>
        </w:rPr>
        <w:t>(</w:t>
      </w:r>
      <w:r w:rsidRPr="4EF4FD88" w:rsidR="00F2548E">
        <w:rPr>
          <w:sz w:val="24"/>
          <w:szCs w:val="24"/>
        </w:rPr>
        <w:t>FHIR</w:t>
      </w:r>
      <w:r w:rsidRPr="4EF4FD88" w:rsidR="004F4CA5">
        <w:rPr>
          <w:sz w:val="24"/>
          <w:szCs w:val="24"/>
        </w:rPr>
        <w:t>)</w:t>
      </w:r>
      <w:r w:rsidRPr="4EF4FD88" w:rsidR="00F2548E">
        <w:rPr>
          <w:sz w:val="24"/>
          <w:szCs w:val="24"/>
        </w:rPr>
        <w:t xml:space="preserve">. </w:t>
      </w:r>
      <w:r w:rsidRPr="4EF4FD88" w:rsidR="00861040">
        <w:rPr>
          <w:sz w:val="24"/>
          <w:szCs w:val="24"/>
        </w:rPr>
        <w:t xml:space="preserve">A common data model has been generated that builds upon the data elements listed in </w:t>
      </w:r>
      <w:r w:rsidRPr="4EF4FD88" w:rsidR="00861040">
        <w:rPr>
          <w:b/>
          <w:bCs/>
          <w:sz w:val="24"/>
          <w:szCs w:val="24"/>
        </w:rPr>
        <w:t>Attachment 3b</w:t>
      </w:r>
      <w:r w:rsidRPr="4EF4FD88" w:rsidR="00F351A0">
        <w:rPr>
          <w:sz w:val="24"/>
          <w:szCs w:val="24"/>
        </w:rPr>
        <w:t>. The common data model describes the appropriate standard terminology codes (e.g., LOINC, SNOMED</w:t>
      </w:r>
      <w:r w:rsidRPr="4EF4FD88" w:rsidR="00DD42D1">
        <w:rPr>
          <w:sz w:val="24"/>
          <w:szCs w:val="24"/>
        </w:rPr>
        <w:t>, etc.)</w:t>
      </w:r>
      <w:r w:rsidRPr="4EF4FD88" w:rsidR="007F38EF">
        <w:rPr>
          <w:sz w:val="24"/>
          <w:szCs w:val="24"/>
        </w:rPr>
        <w:t xml:space="preserve"> associated with each data element as well as </w:t>
      </w:r>
      <w:r w:rsidRPr="4EF4FD88" w:rsidR="00AE172C">
        <w:rPr>
          <w:sz w:val="24"/>
          <w:szCs w:val="24"/>
        </w:rPr>
        <w:t xml:space="preserve">the associated HL7 segments that should be used </w:t>
      </w:r>
      <w:r w:rsidRPr="4EF4FD88" w:rsidR="0039720C">
        <w:rPr>
          <w:sz w:val="24"/>
          <w:szCs w:val="24"/>
        </w:rPr>
        <w:t>for the purpose of data transfer.</w:t>
      </w:r>
    </w:p>
    <w:p w:rsidR="0051690C" w:rsidRPr="00841078" w:rsidP="004976CC" w14:paraId="2DCAA7D6" w14:textId="008AAEA5">
      <w:pPr>
        <w:rPr>
          <w:sz w:val="24"/>
          <w:szCs w:val="24"/>
        </w:rPr>
      </w:pPr>
      <w:r w:rsidRPr="00841078">
        <w:rPr>
          <w:sz w:val="24"/>
          <w:szCs w:val="24"/>
        </w:rPr>
        <w:t xml:space="preserve">Implementation of this electronic data transfer process will take some time up front as the data messages are developed, tested, and validated. </w:t>
      </w:r>
    </w:p>
    <w:p w:rsidR="00F2548E" w:rsidRPr="00841078" w:rsidP="004976CC" w14:paraId="792CC499" w14:textId="5584D513">
      <w:pPr>
        <w:rPr>
          <w:sz w:val="24"/>
          <w:szCs w:val="24"/>
        </w:rPr>
      </w:pPr>
      <w:r w:rsidRPr="00841078">
        <w:rPr>
          <w:sz w:val="24"/>
          <w:szCs w:val="24"/>
        </w:rPr>
        <w:t xml:space="preserve">Once </w:t>
      </w:r>
      <w:r w:rsidRPr="00841078" w:rsidR="0051690C">
        <w:rPr>
          <w:sz w:val="24"/>
          <w:szCs w:val="24"/>
        </w:rPr>
        <w:t xml:space="preserve">the transfer functionality is </w:t>
      </w:r>
      <w:r w:rsidRPr="00841078">
        <w:rPr>
          <w:sz w:val="24"/>
          <w:szCs w:val="24"/>
        </w:rPr>
        <w:t xml:space="preserve">implemented, </w:t>
      </w:r>
      <w:r w:rsidRPr="00841078" w:rsidR="0051690C">
        <w:rPr>
          <w:sz w:val="24"/>
          <w:szCs w:val="24"/>
        </w:rPr>
        <w:t xml:space="preserve">100% of participating </w:t>
      </w:r>
      <w:r w:rsidRPr="00841078">
        <w:rPr>
          <w:sz w:val="24"/>
          <w:szCs w:val="24"/>
        </w:rPr>
        <w:t xml:space="preserve">NBS programs should </w:t>
      </w:r>
      <w:r w:rsidRPr="00841078" w:rsidR="0051690C">
        <w:rPr>
          <w:sz w:val="24"/>
          <w:szCs w:val="24"/>
        </w:rPr>
        <w:t xml:space="preserve">easily </w:t>
      </w:r>
      <w:r w:rsidRPr="00841078">
        <w:rPr>
          <w:sz w:val="24"/>
          <w:szCs w:val="24"/>
        </w:rPr>
        <w:t xml:space="preserve">be able to either run a canned report or query to pull the data </w:t>
      </w:r>
      <w:r w:rsidRPr="00841078" w:rsidR="0051690C">
        <w:rPr>
          <w:sz w:val="24"/>
          <w:szCs w:val="24"/>
        </w:rPr>
        <w:t xml:space="preserve">from their LIMS/CMS </w:t>
      </w:r>
      <w:r w:rsidRPr="00841078">
        <w:rPr>
          <w:sz w:val="24"/>
          <w:szCs w:val="24"/>
        </w:rPr>
        <w:t xml:space="preserve">and upload it into ED3N or the data should be pulled and sent automatically </w:t>
      </w:r>
      <w:r w:rsidRPr="00841078" w:rsidR="0051690C">
        <w:rPr>
          <w:sz w:val="24"/>
          <w:szCs w:val="24"/>
        </w:rPr>
        <w:t xml:space="preserve">from the LIMS/CMS </w:t>
      </w:r>
      <w:r w:rsidRPr="00841078">
        <w:rPr>
          <w:sz w:val="24"/>
          <w:szCs w:val="24"/>
        </w:rPr>
        <w:t>when using direct transfer mechanisms.</w:t>
      </w:r>
      <w:r w:rsidRPr="00841078" w:rsidR="0051690C">
        <w:rPr>
          <w:sz w:val="24"/>
          <w:szCs w:val="24"/>
        </w:rPr>
        <w:t xml:space="preserve"> Because of the nature of the data request involving numerous data elements (including complex analyte values) combined with the near real-time data collection need to meet the needs of the NBS program and CDC, electronic exchange of data will be the only data collection mechanism suggested. Additionally, because the data will be utilized to create and train machine learning algorithms for clinical decision support, the enhanced data integrity afforded by electronic data collection is preferred over manual methods.</w:t>
      </w:r>
    </w:p>
    <w:p w:rsidR="00B45002" w:rsidRPr="00D20211" w:rsidP="004D7237" w14:paraId="32CBF19C" w14:textId="6C24B85E">
      <w:pPr>
        <w:pStyle w:val="Heading1"/>
        <w:pBdr>
          <w:bottom w:val="none" w:sz="0" w:space="0" w:color="auto"/>
        </w:pBdr>
        <w:rPr>
          <w:color w:val="auto"/>
        </w:rPr>
      </w:pPr>
      <w:bookmarkStart w:id="7" w:name="_Toc119852193"/>
      <w:r w:rsidRPr="00D20211">
        <w:rPr>
          <w:color w:val="auto"/>
        </w:rPr>
        <w:t>A.</w:t>
      </w:r>
      <w:r w:rsidRPr="00D20211" w:rsidR="004D21C9">
        <w:rPr>
          <w:color w:val="auto"/>
        </w:rPr>
        <w:t xml:space="preserve">4.  </w:t>
      </w:r>
      <w:r w:rsidRPr="00D20211">
        <w:rPr>
          <w:color w:val="auto"/>
        </w:rPr>
        <w:t>Efforts to Identify Duplication and Use of Similar Information</w:t>
      </w:r>
      <w:bookmarkEnd w:id="7"/>
    </w:p>
    <w:p w:rsidR="004D7237" w:rsidP="004D7237" w14:paraId="241D43FC" w14:textId="5155448A"/>
    <w:p w:rsidR="001636BE" w:rsidRPr="00A32F7F" w:rsidP="004D7237" w14:paraId="4F333C7F" w14:textId="22EA4259">
      <w:pPr>
        <w:rPr>
          <w:sz w:val="24"/>
          <w:szCs w:val="24"/>
        </w:rPr>
      </w:pPr>
      <w:bookmarkStart w:id="8" w:name="_Hlk86083608"/>
      <w:r w:rsidRPr="00A32F7F">
        <w:rPr>
          <w:sz w:val="24"/>
          <w:szCs w:val="24"/>
        </w:rPr>
        <w:t xml:space="preserve">Examination of and discussion with other CDC and HHS (i.e., HRSA and NIH) programs indicate that this type of NBS data collection is not occurring anywhere else. Relevant areas within CDC (e.g., NCBDDD) and within HRSA and NIH have been notified of the ED3N project and support the data elements proposed as this data collection may be beneficial for furthering cross-government collaborations. </w:t>
      </w:r>
    </w:p>
    <w:p w:rsidR="001636BE" w:rsidRPr="00A32F7F" w:rsidP="004D7237" w14:paraId="10000CCD" w14:textId="7BD25DB9">
      <w:pPr>
        <w:rPr>
          <w:sz w:val="24"/>
          <w:szCs w:val="24"/>
        </w:rPr>
      </w:pPr>
      <w:r w:rsidRPr="00A32F7F">
        <w:rPr>
          <w:sz w:val="24"/>
          <w:szCs w:val="24"/>
        </w:rPr>
        <w:t xml:space="preserve">An Alternatives Analysis </w:t>
      </w:r>
      <w:r w:rsidRPr="00A32F7F" w:rsidR="0091532C">
        <w:rPr>
          <w:sz w:val="24"/>
          <w:szCs w:val="24"/>
        </w:rPr>
        <w:t>(inclusive of exhaustive search</w:t>
      </w:r>
      <w:r w:rsidRPr="00A32F7F" w:rsidR="00BE2922">
        <w:rPr>
          <w:sz w:val="24"/>
          <w:szCs w:val="24"/>
        </w:rPr>
        <w:t>es, presentations at national meetings, consultations with other agencies and organizations,</w:t>
      </w:r>
      <w:r w:rsidRPr="00A32F7F" w:rsidR="0091532C">
        <w:rPr>
          <w:sz w:val="24"/>
          <w:szCs w:val="24"/>
        </w:rPr>
        <w:t xml:space="preserve"> and discussions with </w:t>
      </w:r>
      <w:r w:rsidRPr="00A32F7F" w:rsidR="00BE2922">
        <w:rPr>
          <w:sz w:val="24"/>
          <w:szCs w:val="24"/>
        </w:rPr>
        <w:t>fewer</w:t>
      </w:r>
      <w:r w:rsidRPr="00A32F7F" w:rsidR="0091532C">
        <w:rPr>
          <w:sz w:val="24"/>
          <w:szCs w:val="24"/>
        </w:rPr>
        <w:t xml:space="preserve"> than 9 NBS </w:t>
      </w:r>
      <w:r w:rsidRPr="00A32F7F" w:rsidR="0091532C">
        <w:rPr>
          <w:sz w:val="24"/>
          <w:szCs w:val="24"/>
        </w:rPr>
        <w:t xml:space="preserve">programs) </w:t>
      </w:r>
      <w:r w:rsidRPr="00A32F7F">
        <w:rPr>
          <w:sz w:val="24"/>
          <w:szCs w:val="24"/>
        </w:rPr>
        <w:t xml:space="preserve">was conducted </w:t>
      </w:r>
      <w:r w:rsidRPr="00A32F7F" w:rsidR="00161C8D">
        <w:rPr>
          <w:sz w:val="24"/>
          <w:szCs w:val="24"/>
        </w:rPr>
        <w:t xml:space="preserve">and there are currently no </w:t>
      </w:r>
      <w:r w:rsidRPr="00A32F7F" w:rsidR="00BE2922">
        <w:rPr>
          <w:sz w:val="24"/>
          <w:szCs w:val="24"/>
        </w:rPr>
        <w:t xml:space="preserve">fully </w:t>
      </w:r>
      <w:r w:rsidRPr="00A32F7F" w:rsidR="00161C8D">
        <w:rPr>
          <w:sz w:val="24"/>
          <w:szCs w:val="24"/>
        </w:rPr>
        <w:t xml:space="preserve">overlapping data/information collections </w:t>
      </w:r>
      <w:r w:rsidRPr="00A32F7F" w:rsidR="0091532C">
        <w:rPr>
          <w:sz w:val="24"/>
          <w:szCs w:val="24"/>
        </w:rPr>
        <w:t>being conducted</w:t>
      </w:r>
      <w:r w:rsidRPr="00A32F7F" w:rsidR="00161C8D">
        <w:rPr>
          <w:sz w:val="24"/>
          <w:szCs w:val="24"/>
        </w:rPr>
        <w:t xml:space="preserve"> that meet the range of </w:t>
      </w:r>
      <w:r w:rsidRPr="00A32F7F" w:rsidR="00BE2922">
        <w:rPr>
          <w:sz w:val="24"/>
          <w:szCs w:val="24"/>
        </w:rPr>
        <w:t xml:space="preserve">data </w:t>
      </w:r>
      <w:r w:rsidRPr="00A32F7F" w:rsidR="00C67525">
        <w:rPr>
          <w:sz w:val="24"/>
          <w:szCs w:val="24"/>
        </w:rPr>
        <w:t>elements or purpose of ED3N.</w:t>
      </w:r>
    </w:p>
    <w:p w:rsidR="001636BE" w:rsidRPr="00A32F7F" w:rsidP="004D7237" w14:paraId="463893B3" w14:textId="39556C27">
      <w:pPr>
        <w:rPr>
          <w:sz w:val="24"/>
          <w:szCs w:val="24"/>
        </w:rPr>
      </w:pPr>
      <w:r w:rsidRPr="00A32F7F">
        <w:rPr>
          <w:sz w:val="24"/>
          <w:szCs w:val="24"/>
        </w:rPr>
        <w:t xml:space="preserve">There are two identified </w:t>
      </w:r>
      <w:r w:rsidRPr="00A32F7F" w:rsidR="00C67525">
        <w:rPr>
          <w:sz w:val="24"/>
          <w:szCs w:val="24"/>
        </w:rPr>
        <w:t xml:space="preserve">partially overlapping data collections. However, discussions with NBS programs have indicated that the breadth of ED3N’s offering make it a preferred data collection option. The existing data collections do not provide a complete NBS patient picture, and thus, do not meet the identified needs of NBS programs. </w:t>
      </w:r>
      <w:r w:rsidRPr="00A32F7F" w:rsidR="00205278">
        <w:rPr>
          <w:sz w:val="24"/>
          <w:szCs w:val="24"/>
        </w:rPr>
        <w:t xml:space="preserve">The data from these </w:t>
      </w:r>
      <w:r w:rsidRPr="00A32F7F" w:rsidR="00AC2E96">
        <w:rPr>
          <w:sz w:val="24"/>
          <w:szCs w:val="24"/>
        </w:rPr>
        <w:t>data collections also do not include all data elements</w:t>
      </w:r>
      <w:r w:rsidR="00A32F7F">
        <w:rPr>
          <w:sz w:val="24"/>
          <w:szCs w:val="24"/>
        </w:rPr>
        <w:t>.</w:t>
      </w:r>
    </w:p>
    <w:p w:rsidR="00B45002" w:rsidRPr="00D20211" w:rsidP="00601F1A" w14:paraId="5500B6CD" w14:textId="40472E65">
      <w:pPr>
        <w:pStyle w:val="Heading1"/>
        <w:pBdr>
          <w:bottom w:val="none" w:sz="0" w:space="0" w:color="auto"/>
        </w:pBdr>
        <w:rPr>
          <w:color w:val="auto"/>
        </w:rPr>
      </w:pPr>
      <w:bookmarkStart w:id="9" w:name="_Toc119852194"/>
      <w:bookmarkEnd w:id="8"/>
      <w:r w:rsidRPr="00D20211">
        <w:rPr>
          <w:color w:val="auto"/>
        </w:rPr>
        <w:t>A.</w:t>
      </w:r>
      <w:r w:rsidRPr="00D20211" w:rsidR="004D21C9">
        <w:rPr>
          <w:color w:val="auto"/>
        </w:rPr>
        <w:t xml:space="preserve">5.  </w:t>
      </w:r>
      <w:r w:rsidRPr="00D20211">
        <w:rPr>
          <w:color w:val="auto"/>
        </w:rPr>
        <w:t>Impact on Small Businesses or Other Small Entities</w:t>
      </w:r>
      <w:bookmarkEnd w:id="9"/>
    </w:p>
    <w:p w:rsidR="00F16DA0" w:rsidRPr="00D20211" w:rsidP="00F16DA0" w14:paraId="0CCAAA5D" w14:textId="77777777">
      <w:pPr>
        <w:autoSpaceDE w:val="0"/>
        <w:autoSpaceDN w:val="0"/>
        <w:adjustRightInd w:val="0"/>
        <w:spacing w:after="0" w:line="240" w:lineRule="auto"/>
        <w:rPr>
          <w:rFonts w:cs="ITCFranklinGothicStd-Book"/>
          <w:sz w:val="24"/>
          <w:szCs w:val="24"/>
        </w:rPr>
      </w:pPr>
    </w:p>
    <w:p w:rsidR="008176A1" w:rsidRPr="001A2632" w:rsidP="00CB0BD9" w14:paraId="2971F9EF" w14:textId="3195A456">
      <w:pPr>
        <w:autoSpaceDE w:val="0"/>
        <w:autoSpaceDN w:val="0"/>
        <w:adjustRightInd w:val="0"/>
        <w:spacing w:line="240" w:lineRule="auto"/>
        <w:rPr>
          <w:rFonts w:cs="ITCFranklinGothicStd-Book"/>
          <w:sz w:val="24"/>
          <w:szCs w:val="24"/>
        </w:rPr>
      </w:pPr>
      <w:r w:rsidRPr="008176A1">
        <w:rPr>
          <w:rFonts w:cs="ITCFranklinGothicStd-Book"/>
          <w:sz w:val="24"/>
          <w:szCs w:val="24"/>
        </w:rPr>
        <w:t xml:space="preserve">It is not expected that this data collection will </w:t>
      </w:r>
      <w:r w:rsidRPr="008176A1" w:rsidR="006B1E71">
        <w:rPr>
          <w:rFonts w:cs="ITCFranklinGothicStd-Book"/>
          <w:sz w:val="24"/>
          <w:szCs w:val="24"/>
        </w:rPr>
        <w:t>impact</w:t>
      </w:r>
      <w:r w:rsidRPr="008176A1" w:rsidR="006B1E71">
        <w:rPr>
          <w:rFonts w:cs="ITCFranklinGothicStd-Book"/>
          <w:sz w:val="24"/>
          <w:szCs w:val="24"/>
        </w:rPr>
        <w:t xml:space="preserve"> small businesses or other small entities</w:t>
      </w:r>
      <w:r w:rsidRPr="008176A1" w:rsidR="000A3C3C">
        <w:rPr>
          <w:rFonts w:cs="ITCFranklinGothicStd-Book"/>
          <w:sz w:val="24"/>
          <w:szCs w:val="24"/>
        </w:rPr>
        <w:t xml:space="preserve">. Data collection is targeted </w:t>
      </w:r>
      <w:r w:rsidRPr="008176A1" w:rsidR="000A3C3C">
        <w:rPr>
          <w:rFonts w:cs="ITCFranklinGothicStd-Book"/>
          <w:sz w:val="24"/>
          <w:szCs w:val="24"/>
        </w:rPr>
        <w:t>to</w:t>
      </w:r>
      <w:r w:rsidRPr="008176A1" w:rsidR="000A3C3C">
        <w:rPr>
          <w:rFonts w:cs="ITCFranklinGothicStd-Book"/>
          <w:sz w:val="24"/>
          <w:szCs w:val="24"/>
        </w:rPr>
        <w:t xml:space="preserve"> NBS programs and large tertiary care centers (typically large children’s hospitals or academic medical centers). </w:t>
      </w:r>
    </w:p>
    <w:p w:rsidR="00B45002" w:rsidRPr="00D20211" w:rsidP="00601F1A" w14:paraId="1771BB1B" w14:textId="4B0CAC9F">
      <w:pPr>
        <w:pStyle w:val="Heading1"/>
        <w:pBdr>
          <w:bottom w:val="none" w:sz="0" w:space="0" w:color="auto"/>
        </w:pBdr>
        <w:rPr>
          <w:color w:val="auto"/>
        </w:rPr>
      </w:pPr>
      <w:bookmarkStart w:id="10" w:name="_Toc119852195"/>
      <w:r w:rsidRPr="00D20211">
        <w:rPr>
          <w:color w:val="auto"/>
        </w:rPr>
        <w:t>A.</w:t>
      </w:r>
      <w:r w:rsidRPr="00D20211" w:rsidR="004D21C9">
        <w:rPr>
          <w:color w:val="auto"/>
        </w:rPr>
        <w:t xml:space="preserve">6.  </w:t>
      </w:r>
      <w:r w:rsidRPr="00D20211">
        <w:rPr>
          <w:color w:val="auto"/>
        </w:rPr>
        <w:t xml:space="preserve">Consequences of Collecting </w:t>
      </w:r>
      <w:r w:rsidRPr="00D20211">
        <w:rPr>
          <w:color w:val="auto"/>
        </w:rPr>
        <w:t>the Information</w:t>
      </w:r>
      <w:r w:rsidRPr="00D20211">
        <w:rPr>
          <w:color w:val="auto"/>
        </w:rPr>
        <w:t xml:space="preserve"> Less Frequently</w:t>
      </w:r>
      <w:bookmarkEnd w:id="10"/>
    </w:p>
    <w:p w:rsidR="00F82AF2" w:rsidP="002930EC" w14:paraId="4B9CAA11" w14:textId="3E6ECE8A">
      <w:pPr>
        <w:spacing w:after="0" w:line="240" w:lineRule="auto"/>
        <w:rPr>
          <w:sz w:val="24"/>
          <w:szCs w:val="24"/>
        </w:rPr>
      </w:pPr>
    </w:p>
    <w:p w:rsidR="004F4AC0" w:rsidRPr="003026C9" w:rsidP="002930EC" w14:paraId="24DA9938" w14:textId="77777777">
      <w:pPr>
        <w:spacing w:after="0" w:line="240" w:lineRule="auto"/>
        <w:rPr>
          <w:sz w:val="24"/>
          <w:szCs w:val="24"/>
        </w:rPr>
      </w:pPr>
      <w:r w:rsidRPr="003026C9">
        <w:rPr>
          <w:sz w:val="24"/>
          <w:szCs w:val="24"/>
        </w:rPr>
        <w:t xml:space="preserve">The data collectors will transmit data at various periodicities depending on their desired use of the ED3N platform. This may be done daily, weekly, monthly, or quarterly. </w:t>
      </w:r>
    </w:p>
    <w:p w:rsidR="004F4AC0" w:rsidRPr="003026C9" w:rsidP="002930EC" w14:paraId="10745C52" w14:textId="77777777">
      <w:pPr>
        <w:spacing w:after="0" w:line="240" w:lineRule="auto"/>
        <w:rPr>
          <w:sz w:val="24"/>
          <w:szCs w:val="24"/>
        </w:rPr>
      </w:pPr>
    </w:p>
    <w:p w:rsidR="004F4AC0" w:rsidRPr="003026C9" w:rsidP="002930EC" w14:paraId="2FBA1825" w14:textId="0A1CA1C3">
      <w:pPr>
        <w:spacing w:after="0" w:line="240" w:lineRule="auto"/>
        <w:rPr>
          <w:sz w:val="24"/>
          <w:szCs w:val="24"/>
        </w:rPr>
      </w:pPr>
      <w:r w:rsidRPr="003026C9">
        <w:rPr>
          <w:sz w:val="24"/>
          <w:szCs w:val="24"/>
        </w:rPr>
        <w:t xml:space="preserve">For NBS programs who wish to utilize the ED3N platform as part of their daily testing and interpretation workflow, data will be transmitted to ED3N in near real-time </w:t>
      </w:r>
      <w:r w:rsidRPr="003026C9">
        <w:rPr>
          <w:sz w:val="24"/>
          <w:szCs w:val="24"/>
        </w:rPr>
        <w:t>on a daily basis</w:t>
      </w:r>
      <w:r w:rsidRPr="003026C9">
        <w:rPr>
          <w:sz w:val="24"/>
          <w:szCs w:val="24"/>
        </w:rPr>
        <w:t xml:space="preserve">. This frequency is needed so that they can utilize the algorithmic outputs of ED3N </w:t>
      </w:r>
      <w:r w:rsidRPr="003026C9">
        <w:rPr>
          <w:sz w:val="24"/>
          <w:szCs w:val="24"/>
        </w:rPr>
        <w:t>in order to</w:t>
      </w:r>
      <w:r w:rsidRPr="003026C9">
        <w:rPr>
          <w:sz w:val="24"/>
          <w:szCs w:val="24"/>
        </w:rPr>
        <w:t xml:space="preserve"> make risk assessments in a timely manner. Due to the nature of the diseases being screened for by NBS programs, results must be available as quickly as possible – usually within 5 to 7 days of birth, and thus, data collection would need to occur each day that the NBS program is operational (typically 6 to 7 days a week). As such, if the data is collected/transmitted less frequently, the NBS programs would not be able to utilize ED3N to improve risk detection of newborns and help prevent morbidity and mortality.</w:t>
      </w:r>
    </w:p>
    <w:p w:rsidR="004F4AC0" w:rsidRPr="003026C9" w:rsidP="002930EC" w14:paraId="6EFE1752" w14:textId="77777777">
      <w:pPr>
        <w:spacing w:after="0" w:line="240" w:lineRule="auto"/>
        <w:rPr>
          <w:sz w:val="24"/>
          <w:szCs w:val="24"/>
        </w:rPr>
      </w:pPr>
    </w:p>
    <w:p w:rsidR="004F4AC0" w:rsidRPr="003026C9" w:rsidP="002930EC" w14:paraId="3BF65CB3" w14:textId="0776607A">
      <w:pPr>
        <w:spacing w:after="0" w:line="240" w:lineRule="auto"/>
        <w:rPr>
          <w:sz w:val="24"/>
          <w:szCs w:val="24"/>
        </w:rPr>
      </w:pPr>
      <w:r w:rsidRPr="003026C9">
        <w:rPr>
          <w:sz w:val="24"/>
          <w:szCs w:val="24"/>
        </w:rPr>
        <w:t xml:space="preserve">For NBS programs who wish to utilize the ED3N platform as a quality check or supplemental tool to their current testing and interpretation processes, data can be transmitted less frequently. Discussions with NBS programs about using ED3N in this capacity suggest that data would likely be transmitted monthly or quarterly in these cases.  </w:t>
      </w:r>
    </w:p>
    <w:p w:rsidR="004F4AC0" w:rsidRPr="003026C9" w:rsidP="002930EC" w14:paraId="635FE95B" w14:textId="71883B5F">
      <w:pPr>
        <w:spacing w:after="0" w:line="240" w:lineRule="auto"/>
        <w:rPr>
          <w:sz w:val="24"/>
          <w:szCs w:val="24"/>
        </w:rPr>
      </w:pPr>
    </w:p>
    <w:p w:rsidR="004F4AC0" w:rsidRPr="00D20211" w:rsidP="002930EC" w14:paraId="2A634C31" w14:textId="44619317">
      <w:pPr>
        <w:spacing w:after="0" w:line="240" w:lineRule="auto"/>
        <w:rPr>
          <w:sz w:val="24"/>
          <w:szCs w:val="24"/>
        </w:rPr>
      </w:pPr>
      <w:r w:rsidRPr="003026C9">
        <w:rPr>
          <w:sz w:val="24"/>
          <w:szCs w:val="24"/>
        </w:rPr>
        <w:t xml:space="preserve">There are no technical or legal obstacles to reducing burden. As stated in Section A3, information technology will be heavily utilized to offset any burden of submitting information at the above frequencies. </w:t>
      </w:r>
    </w:p>
    <w:p w:rsidR="00B45002" w:rsidRPr="00D20211" w:rsidP="00601F1A" w14:paraId="0123AC1E" w14:textId="25EB32E8">
      <w:pPr>
        <w:pStyle w:val="Heading1"/>
        <w:pBdr>
          <w:bottom w:val="none" w:sz="0" w:space="0" w:color="auto"/>
        </w:pBdr>
        <w:rPr>
          <w:color w:val="auto"/>
        </w:rPr>
      </w:pPr>
      <w:bookmarkStart w:id="11" w:name="_Toc119852196"/>
      <w:r w:rsidRPr="00D20211">
        <w:rPr>
          <w:color w:val="auto"/>
        </w:rPr>
        <w:t>A.7.</w:t>
      </w:r>
      <w:r w:rsidRPr="00D20211" w:rsidR="004D21C9">
        <w:rPr>
          <w:color w:val="auto"/>
        </w:rPr>
        <w:t xml:space="preserve">  </w:t>
      </w:r>
      <w:r w:rsidRPr="00D20211">
        <w:rPr>
          <w:color w:val="auto"/>
        </w:rPr>
        <w:t>Special Circumstances Relating to the Guidelines of 5 CFR 1320.5</w:t>
      </w:r>
      <w:bookmarkEnd w:id="11"/>
    </w:p>
    <w:p w:rsidR="0014151A" w:rsidP="00FB3333" w14:paraId="2A9759C6" w14:textId="15415092">
      <w:pPr>
        <w:autoSpaceDE w:val="0"/>
        <w:autoSpaceDN w:val="0"/>
        <w:adjustRightInd w:val="0"/>
        <w:spacing w:line="240" w:lineRule="auto"/>
        <w:rPr>
          <w:sz w:val="24"/>
          <w:szCs w:val="24"/>
        </w:rPr>
      </w:pPr>
    </w:p>
    <w:p w:rsidR="004F4AC0" w:rsidRPr="003026C9" w:rsidP="00FB3333" w14:paraId="05BCBD05" w14:textId="57AA351A">
      <w:pPr>
        <w:autoSpaceDE w:val="0"/>
        <w:autoSpaceDN w:val="0"/>
        <w:adjustRightInd w:val="0"/>
        <w:spacing w:line="240" w:lineRule="auto"/>
        <w:rPr>
          <w:sz w:val="24"/>
          <w:szCs w:val="24"/>
        </w:rPr>
      </w:pPr>
      <w:r w:rsidRPr="003026C9">
        <w:rPr>
          <w:sz w:val="24"/>
          <w:szCs w:val="24"/>
        </w:rPr>
        <w:t xml:space="preserve">The following special </w:t>
      </w:r>
      <w:r w:rsidRPr="003026C9">
        <w:rPr>
          <w:sz w:val="24"/>
          <w:szCs w:val="24"/>
        </w:rPr>
        <w:t>circumstance(s)</w:t>
      </w:r>
      <w:r w:rsidRPr="003026C9">
        <w:rPr>
          <w:sz w:val="24"/>
          <w:szCs w:val="24"/>
        </w:rPr>
        <w:t xml:space="preserve"> apply to this information collection. We are requesting the following:</w:t>
      </w:r>
    </w:p>
    <w:p w:rsidR="004F4AC0" w:rsidRPr="003026C9" w:rsidP="004F4AC0" w14:paraId="37C410B2" w14:textId="34C8DF2A">
      <w:pPr>
        <w:pStyle w:val="ListParagraph"/>
        <w:numPr>
          <w:ilvl w:val="0"/>
          <w:numId w:val="20"/>
        </w:numPr>
        <w:autoSpaceDE w:val="0"/>
        <w:autoSpaceDN w:val="0"/>
        <w:adjustRightInd w:val="0"/>
        <w:spacing w:line="240" w:lineRule="auto"/>
        <w:rPr>
          <w:sz w:val="24"/>
          <w:szCs w:val="24"/>
        </w:rPr>
      </w:pPr>
      <w:r w:rsidRPr="003026C9">
        <w:rPr>
          <w:sz w:val="24"/>
          <w:szCs w:val="24"/>
        </w:rPr>
        <w:t>Respondents will report information to the agency more often than quarterly.</w:t>
      </w:r>
    </w:p>
    <w:p w:rsidR="00C80BBD" w:rsidRPr="003026C9" w:rsidP="00C80BBD" w14:paraId="75296978" w14:textId="77777777">
      <w:pPr>
        <w:pStyle w:val="ListParagraph"/>
        <w:numPr>
          <w:ilvl w:val="1"/>
          <w:numId w:val="20"/>
        </w:numPr>
        <w:spacing w:after="0" w:line="240" w:lineRule="auto"/>
        <w:rPr>
          <w:sz w:val="24"/>
          <w:szCs w:val="24"/>
        </w:rPr>
      </w:pPr>
      <w:r w:rsidRPr="003026C9">
        <w:rPr>
          <w:sz w:val="24"/>
          <w:szCs w:val="24"/>
        </w:rPr>
        <w:t xml:space="preserve">For NBS programs who wish to utilize the ED3N platform as part of their daily testing and interpretation workflow, data will be transmitted to ED3N in near real-time </w:t>
      </w:r>
      <w:r w:rsidRPr="003026C9">
        <w:rPr>
          <w:sz w:val="24"/>
          <w:szCs w:val="24"/>
        </w:rPr>
        <w:t>on a daily basis</w:t>
      </w:r>
      <w:r w:rsidRPr="003026C9">
        <w:rPr>
          <w:sz w:val="24"/>
          <w:szCs w:val="24"/>
        </w:rPr>
        <w:t xml:space="preserve">. This frequency is needed so that they can utilize the algorithmic outputs of ED3N </w:t>
      </w:r>
      <w:r w:rsidRPr="003026C9">
        <w:rPr>
          <w:sz w:val="24"/>
          <w:szCs w:val="24"/>
        </w:rPr>
        <w:t>in order to</w:t>
      </w:r>
      <w:r w:rsidRPr="003026C9">
        <w:rPr>
          <w:sz w:val="24"/>
          <w:szCs w:val="24"/>
        </w:rPr>
        <w:t xml:space="preserve"> make risk assessments in a timely manner. Due to the nature of the diseases being screened for by NBS programs, results must be available as quickly as possible – usually within 5 to 7 days of birth, and thus, data collection would need to occur each day that the NBS program is operational (typically 6 to 7 days a week). As such, if the data is collected/transmitted less frequently, the NBS programs would not be able to utilize ED3N to improve risk detection of newborns and help prevent morbidity and mortality.</w:t>
      </w:r>
    </w:p>
    <w:p w:rsidR="00C80BBD" w:rsidRPr="003026C9" w:rsidP="00C80BBD" w14:paraId="50C01435" w14:textId="77777777">
      <w:pPr>
        <w:pStyle w:val="ListParagraph"/>
        <w:spacing w:after="0" w:line="240" w:lineRule="auto"/>
        <w:rPr>
          <w:sz w:val="24"/>
          <w:szCs w:val="24"/>
        </w:rPr>
      </w:pPr>
    </w:p>
    <w:p w:rsidR="00C80BBD" w:rsidRPr="003026C9" w:rsidP="00C80BBD" w14:paraId="73D41994" w14:textId="359B1260">
      <w:pPr>
        <w:pStyle w:val="ListParagraph"/>
        <w:numPr>
          <w:ilvl w:val="1"/>
          <w:numId w:val="20"/>
        </w:numPr>
        <w:spacing w:after="0" w:line="240" w:lineRule="auto"/>
        <w:rPr>
          <w:sz w:val="24"/>
          <w:szCs w:val="24"/>
        </w:rPr>
      </w:pPr>
      <w:r w:rsidRPr="003026C9">
        <w:rPr>
          <w:sz w:val="24"/>
          <w:szCs w:val="24"/>
        </w:rPr>
        <w:t>For NBS programs who wish to utilize the ED3N platform as a quality check or supplemental tool to their current testing and interpretation processes, data can be transmitted less frequently. Discussions with NBS programs about using ED3N in this capacity suggest that data would likely be transmitted monthly or quarterly in these cases.</w:t>
      </w:r>
    </w:p>
    <w:p w:rsidR="00965752" w:rsidP="00965752" w14:paraId="3B52D929" w14:textId="77777777">
      <w:pPr>
        <w:pStyle w:val="ListParagraph"/>
        <w:autoSpaceDE w:val="0"/>
        <w:autoSpaceDN w:val="0"/>
        <w:adjustRightInd w:val="0"/>
        <w:spacing w:line="240" w:lineRule="auto"/>
        <w:ind w:left="1440"/>
        <w:rPr>
          <w:b/>
          <w:bCs/>
          <w:sz w:val="24"/>
          <w:szCs w:val="24"/>
        </w:rPr>
      </w:pPr>
    </w:p>
    <w:p w:rsidR="00B45002" w:rsidRPr="00D20211" w:rsidP="00601F1A" w14:paraId="508E9BF1" w14:textId="345B196D">
      <w:pPr>
        <w:pStyle w:val="Heading1"/>
        <w:pBdr>
          <w:bottom w:val="none" w:sz="0" w:space="0" w:color="auto"/>
        </w:pBdr>
        <w:rPr>
          <w:color w:val="auto"/>
        </w:rPr>
      </w:pPr>
      <w:bookmarkStart w:id="12" w:name="_Toc119852197"/>
      <w:r w:rsidRPr="00D067B8">
        <w:rPr>
          <w:color w:val="auto"/>
        </w:rPr>
        <w:t>A.</w:t>
      </w:r>
      <w:r w:rsidRPr="00D067B8" w:rsidR="004D21C9">
        <w:rPr>
          <w:color w:val="auto"/>
        </w:rPr>
        <w:t xml:space="preserve">8.  </w:t>
      </w:r>
      <w:r w:rsidRPr="00D067B8">
        <w:rPr>
          <w:color w:val="auto"/>
        </w:rPr>
        <w:t>Comments in Response to the Federal Register Notice and Efforts to Consult Outside the Agency</w:t>
      </w:r>
      <w:bookmarkEnd w:id="12"/>
    </w:p>
    <w:p w:rsidR="00D62EE3" w:rsidRPr="00D20211" w:rsidP="00D62EE3" w14:paraId="1633E94E" w14:textId="77777777">
      <w:pPr>
        <w:autoSpaceDE w:val="0"/>
        <w:autoSpaceDN w:val="0"/>
        <w:adjustRightInd w:val="0"/>
        <w:spacing w:after="0" w:line="240" w:lineRule="auto"/>
        <w:rPr>
          <w:rFonts w:cs="ITCFranklinGothicStd-Demi"/>
          <w:sz w:val="24"/>
          <w:szCs w:val="24"/>
        </w:rPr>
      </w:pPr>
    </w:p>
    <w:p w:rsidR="00077A0C" w:rsidRPr="00D067B8" w:rsidP="003026C9" w14:paraId="6E066C3E" w14:textId="1B04B84C">
      <w:pPr>
        <w:pStyle w:val="ListParagraph"/>
        <w:numPr>
          <w:ilvl w:val="0"/>
          <w:numId w:val="11"/>
        </w:numPr>
        <w:autoSpaceDE w:val="0"/>
        <w:autoSpaceDN w:val="0"/>
        <w:adjustRightInd w:val="0"/>
        <w:spacing w:line="240" w:lineRule="auto"/>
        <w:contextualSpacing w:val="0"/>
        <w:rPr>
          <w:rFonts w:cs="ITCFranklinGothicStd-Book"/>
          <w:sz w:val="24"/>
          <w:szCs w:val="24"/>
        </w:rPr>
      </w:pPr>
      <w:r w:rsidRPr="00D067B8">
        <w:rPr>
          <w:rFonts w:cs="ITCFranklinGothicStd-Book"/>
          <w:sz w:val="24"/>
          <w:szCs w:val="24"/>
        </w:rPr>
        <w:t xml:space="preserve">A 60-day Federal Register Notice was published in the </w:t>
      </w:r>
      <w:r w:rsidRPr="00D067B8">
        <w:rPr>
          <w:rFonts w:cs="ITCFranklinGothicStd-BookIt"/>
          <w:i/>
          <w:iCs/>
          <w:sz w:val="24"/>
          <w:szCs w:val="24"/>
        </w:rPr>
        <w:t xml:space="preserve">Federal Register </w:t>
      </w:r>
      <w:r w:rsidRPr="00D067B8">
        <w:rPr>
          <w:rFonts w:cs="ITCFranklinGothicStd-Book"/>
          <w:sz w:val="24"/>
          <w:szCs w:val="24"/>
        </w:rPr>
        <w:t xml:space="preserve">on </w:t>
      </w:r>
      <w:r w:rsidR="0048618A">
        <w:rPr>
          <w:rFonts w:cs="ITCFranklinGothicStd-Book"/>
          <w:sz w:val="24"/>
          <w:szCs w:val="24"/>
        </w:rPr>
        <w:t>July 18,</w:t>
      </w:r>
      <w:r w:rsidRPr="00D067B8">
        <w:rPr>
          <w:rFonts w:cs="ITCFranklinGothicStd-Book"/>
          <w:sz w:val="24"/>
          <w:szCs w:val="24"/>
        </w:rPr>
        <w:t xml:space="preserve"> </w:t>
      </w:r>
      <w:r w:rsidRPr="00D067B8" w:rsidR="001B6072">
        <w:rPr>
          <w:rFonts w:cs="ITCFranklinGothicStd-Book"/>
          <w:sz w:val="24"/>
          <w:szCs w:val="24"/>
        </w:rPr>
        <w:t>202</w:t>
      </w:r>
      <w:r w:rsidR="0048618A">
        <w:rPr>
          <w:rFonts w:cs="ITCFranklinGothicStd-Book"/>
          <w:sz w:val="24"/>
          <w:szCs w:val="24"/>
        </w:rPr>
        <w:t>5</w:t>
      </w:r>
      <w:r w:rsidRPr="00D067B8">
        <w:rPr>
          <w:rFonts w:cs="ITCFranklinGothicStd-Book"/>
          <w:sz w:val="24"/>
          <w:szCs w:val="24"/>
        </w:rPr>
        <w:t xml:space="preserve">, </w:t>
      </w:r>
      <w:r w:rsidR="004F4CA5">
        <w:rPr>
          <w:rFonts w:cs="ITCFranklinGothicStd-Book"/>
          <w:sz w:val="24"/>
          <w:szCs w:val="24"/>
        </w:rPr>
        <w:t>V</w:t>
      </w:r>
      <w:r w:rsidRPr="00D067B8" w:rsidR="00A6012F">
        <w:rPr>
          <w:rFonts w:cs="ITCFranklinGothicStd-Book"/>
          <w:sz w:val="24"/>
          <w:szCs w:val="24"/>
        </w:rPr>
        <w:t xml:space="preserve">ol. </w:t>
      </w:r>
      <w:r w:rsidR="00D3311B">
        <w:rPr>
          <w:rFonts w:cs="ITCFranklinGothicStd-Book"/>
          <w:sz w:val="24"/>
          <w:szCs w:val="24"/>
        </w:rPr>
        <w:t>90</w:t>
      </w:r>
      <w:r w:rsidRPr="00D067B8" w:rsidR="00A6012F">
        <w:rPr>
          <w:rFonts w:cs="ITCFranklinGothicStd-Book"/>
          <w:sz w:val="24"/>
          <w:szCs w:val="24"/>
        </w:rPr>
        <w:t xml:space="preserve">, No. </w:t>
      </w:r>
      <w:r w:rsidR="00D3311B">
        <w:rPr>
          <w:rFonts w:cs="ITCFranklinGothicStd-Book"/>
          <w:sz w:val="24"/>
          <w:szCs w:val="24"/>
        </w:rPr>
        <w:t>136</w:t>
      </w:r>
      <w:r w:rsidRPr="00D067B8" w:rsidR="00A6012F">
        <w:rPr>
          <w:rFonts w:cs="ITCFranklinGothicStd-Book"/>
          <w:sz w:val="24"/>
          <w:szCs w:val="24"/>
        </w:rPr>
        <w:t xml:space="preserve">, pp. </w:t>
      </w:r>
      <w:r w:rsidR="00D3311B">
        <w:rPr>
          <w:rFonts w:cs="ITCFranklinGothicStd-Book"/>
          <w:sz w:val="24"/>
          <w:szCs w:val="24"/>
        </w:rPr>
        <w:t>33961</w:t>
      </w:r>
      <w:r w:rsidRPr="00D067B8" w:rsidR="00A6012F">
        <w:rPr>
          <w:rFonts w:cs="ITCFranklinGothicStd-Book"/>
          <w:sz w:val="24"/>
          <w:szCs w:val="24"/>
        </w:rPr>
        <w:t>-</w:t>
      </w:r>
      <w:r w:rsidR="00D3311B">
        <w:rPr>
          <w:rFonts w:cs="ITCFranklinGothicStd-Book"/>
          <w:sz w:val="24"/>
          <w:szCs w:val="24"/>
        </w:rPr>
        <w:t>62</w:t>
      </w:r>
      <w:r w:rsidRPr="00D067B8" w:rsidR="001B6072">
        <w:rPr>
          <w:rFonts w:cs="ITCFranklinGothicStd-Book"/>
          <w:sz w:val="24"/>
          <w:szCs w:val="24"/>
        </w:rPr>
        <w:t xml:space="preserve"> </w:t>
      </w:r>
      <w:r w:rsidRPr="00D067B8" w:rsidR="00A6012F">
        <w:rPr>
          <w:rFonts w:cs="ITCFranklinGothicStd-Book"/>
          <w:sz w:val="24"/>
          <w:szCs w:val="24"/>
        </w:rPr>
        <w:t>(</w:t>
      </w:r>
      <w:r w:rsidRPr="00D067B8">
        <w:rPr>
          <w:rFonts w:cs="ITCFranklinGothicStd-Book"/>
          <w:b/>
          <w:sz w:val="24"/>
          <w:szCs w:val="24"/>
        </w:rPr>
        <w:t>Att</w:t>
      </w:r>
      <w:r w:rsidRPr="00D067B8" w:rsidR="00A6012F">
        <w:rPr>
          <w:rFonts w:cs="ITCFranklinGothicStd-Book"/>
          <w:b/>
          <w:sz w:val="24"/>
          <w:szCs w:val="24"/>
        </w:rPr>
        <w:t>achment 2</w:t>
      </w:r>
      <w:r w:rsidR="00C71D13">
        <w:rPr>
          <w:rFonts w:cs="ITCFranklinGothicStd-Book"/>
          <w:b/>
          <w:sz w:val="24"/>
          <w:szCs w:val="24"/>
        </w:rPr>
        <w:t>a</w:t>
      </w:r>
      <w:r w:rsidRPr="00D067B8">
        <w:rPr>
          <w:rFonts w:cs="ITCFranklinGothicStd-Book"/>
          <w:sz w:val="24"/>
          <w:szCs w:val="24"/>
        </w:rPr>
        <w:t xml:space="preserve">). </w:t>
      </w:r>
    </w:p>
    <w:p w:rsidR="00D62EE3" w:rsidRPr="000C4D0F" w:rsidP="000C4D0F" w14:paraId="7CE9E660" w14:textId="22B07767">
      <w:pPr>
        <w:pStyle w:val="ListParagraph"/>
        <w:numPr>
          <w:ilvl w:val="0"/>
          <w:numId w:val="12"/>
        </w:numPr>
        <w:autoSpaceDE w:val="0"/>
        <w:autoSpaceDN w:val="0"/>
        <w:adjustRightInd w:val="0"/>
        <w:spacing w:line="240" w:lineRule="auto"/>
        <w:contextualSpacing w:val="0"/>
        <w:rPr>
          <w:rFonts w:cs="ITCFranklinGothicStd-Demi"/>
          <w:sz w:val="24"/>
          <w:szCs w:val="24"/>
        </w:rPr>
      </w:pPr>
      <w:r w:rsidRPr="00D067B8">
        <w:rPr>
          <w:rFonts w:cs="ITCFranklinGothicStd-Book"/>
          <w:sz w:val="24"/>
          <w:szCs w:val="24"/>
        </w:rPr>
        <w:t>CDC</w:t>
      </w:r>
      <w:r w:rsidRPr="00D067B8" w:rsidR="00D067B8">
        <w:rPr>
          <w:rFonts w:cs="ITCFranklinGothicStd-Book"/>
          <w:sz w:val="24"/>
          <w:szCs w:val="24"/>
        </w:rPr>
        <w:t xml:space="preserve"> </w:t>
      </w:r>
      <w:r w:rsidR="008C75F7">
        <w:rPr>
          <w:rFonts w:cs="ITCFranklinGothicStd-Book"/>
          <w:sz w:val="24"/>
          <w:szCs w:val="24"/>
        </w:rPr>
        <w:t xml:space="preserve">received </w:t>
      </w:r>
      <w:r w:rsidR="00D3311B">
        <w:rPr>
          <w:rFonts w:cs="ITCFranklinGothicStd-Book"/>
          <w:sz w:val="24"/>
          <w:szCs w:val="24"/>
        </w:rPr>
        <w:t>1,135</w:t>
      </w:r>
      <w:r w:rsidR="001B6072">
        <w:rPr>
          <w:rFonts w:cs="ITCFranklinGothicStd-Book"/>
          <w:sz w:val="24"/>
          <w:szCs w:val="24"/>
        </w:rPr>
        <w:t xml:space="preserve"> </w:t>
      </w:r>
      <w:r w:rsidR="008C75F7">
        <w:rPr>
          <w:rFonts w:cs="ITCFranklinGothicStd-Book"/>
          <w:sz w:val="24"/>
          <w:szCs w:val="24"/>
        </w:rPr>
        <w:t>comment</w:t>
      </w:r>
      <w:r w:rsidR="001B6072">
        <w:rPr>
          <w:rFonts w:cs="ITCFranklinGothicStd-Book"/>
          <w:sz w:val="24"/>
          <w:szCs w:val="24"/>
        </w:rPr>
        <w:t>(s)</w:t>
      </w:r>
      <w:r w:rsidR="00364CFF">
        <w:rPr>
          <w:rFonts w:cs="ITCFranklinGothicStd-Book"/>
          <w:sz w:val="24"/>
          <w:szCs w:val="24"/>
        </w:rPr>
        <w:t xml:space="preserve">. </w:t>
      </w:r>
      <w:r w:rsidR="00D3311B">
        <w:rPr>
          <w:rFonts w:cs="ITCFranklinGothicStd-Book"/>
          <w:sz w:val="24"/>
          <w:szCs w:val="24"/>
        </w:rPr>
        <w:t xml:space="preserve">CDC reviewed each comment and provided responses. Comments were largely </w:t>
      </w:r>
      <w:r w:rsidR="00D3311B">
        <w:rPr>
          <w:rFonts w:cs="ITCFranklinGothicStd-Book"/>
          <w:sz w:val="24"/>
          <w:szCs w:val="24"/>
        </w:rPr>
        <w:t>in regards to</w:t>
      </w:r>
      <w:r w:rsidR="00D3311B">
        <w:rPr>
          <w:rFonts w:cs="ITCFranklinGothicStd-Book"/>
          <w:sz w:val="24"/>
          <w:szCs w:val="24"/>
        </w:rPr>
        <w:t xml:space="preserve"> activities out-of-scope to the proposed data collection and project. </w:t>
      </w:r>
      <w:r w:rsidR="00364CFF">
        <w:rPr>
          <w:rFonts w:cs="ITCFranklinGothicStd-Book"/>
          <w:sz w:val="24"/>
          <w:szCs w:val="24"/>
        </w:rPr>
        <w:t>CDC made no changes to the ICR (</w:t>
      </w:r>
      <w:r w:rsidR="00364CFF">
        <w:rPr>
          <w:rFonts w:cs="ITCFranklinGothicStd-Book"/>
          <w:b/>
          <w:bCs/>
          <w:sz w:val="24"/>
          <w:szCs w:val="24"/>
        </w:rPr>
        <w:t>Attachment</w:t>
      </w:r>
      <w:r w:rsidR="00D3311B">
        <w:rPr>
          <w:rFonts w:cs="ITCFranklinGothicStd-Book"/>
          <w:b/>
          <w:bCs/>
          <w:sz w:val="24"/>
          <w:szCs w:val="24"/>
        </w:rPr>
        <w:t>s</w:t>
      </w:r>
      <w:r w:rsidR="00364CFF">
        <w:rPr>
          <w:rFonts w:cs="ITCFranklinGothicStd-Book"/>
          <w:b/>
          <w:bCs/>
          <w:sz w:val="24"/>
          <w:szCs w:val="24"/>
        </w:rPr>
        <w:t xml:space="preserve"> 2</w:t>
      </w:r>
      <w:r w:rsidR="00C71D13">
        <w:rPr>
          <w:rFonts w:cs="ITCFranklinGothicStd-Book"/>
          <w:b/>
          <w:bCs/>
          <w:sz w:val="24"/>
          <w:szCs w:val="24"/>
        </w:rPr>
        <w:t>b</w:t>
      </w:r>
      <w:r w:rsidR="00D3311B">
        <w:rPr>
          <w:rFonts w:cs="ITCFranklinGothicStd-Book"/>
          <w:b/>
          <w:bCs/>
          <w:sz w:val="24"/>
          <w:szCs w:val="24"/>
        </w:rPr>
        <w:t xml:space="preserve"> and 2c</w:t>
      </w:r>
      <w:r w:rsidR="00364CFF">
        <w:rPr>
          <w:rFonts w:cs="ITCFranklinGothicStd-Book"/>
          <w:sz w:val="24"/>
          <w:szCs w:val="24"/>
        </w:rPr>
        <w:t xml:space="preserve">). </w:t>
      </w:r>
    </w:p>
    <w:p w:rsidR="00B04C37" w:rsidRPr="00D20211" w:rsidP="00846F82" w14:paraId="5E14C678" w14:textId="0BC97D08">
      <w:pPr>
        <w:pStyle w:val="ListParagraph"/>
        <w:numPr>
          <w:ilvl w:val="0"/>
          <w:numId w:val="11"/>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Several </w:t>
      </w:r>
      <w:r w:rsidR="00D91189">
        <w:rPr>
          <w:rFonts w:cs="ITCFranklinGothicStd-Book"/>
          <w:sz w:val="24"/>
          <w:szCs w:val="24"/>
        </w:rPr>
        <w:t>people</w:t>
      </w:r>
      <w:r>
        <w:rPr>
          <w:rFonts w:cs="ITCFranklinGothicStd-Book"/>
          <w:sz w:val="24"/>
          <w:szCs w:val="24"/>
        </w:rPr>
        <w:t xml:space="preserve"> outside the agency have reviewed and consulted </w:t>
      </w:r>
      <w:r w:rsidRPr="00D20211" w:rsidR="00D62EE3">
        <w:rPr>
          <w:rFonts w:cs="ITCFranklinGothicStd-Book"/>
          <w:sz w:val="24"/>
          <w:szCs w:val="24"/>
        </w:rPr>
        <w:t xml:space="preserve">on the availability of data, frequency of collection, the clarity of instructions and record keeping, disclosure, or reporting format (if any), and on the data elements to be recorded, disclosed, or reported. </w:t>
      </w:r>
      <w:r w:rsidR="00681DAA">
        <w:rPr>
          <w:rFonts w:cs="ITCFranklinGothicStd-Book"/>
          <w:sz w:val="24"/>
          <w:szCs w:val="24"/>
        </w:rPr>
        <w:t xml:space="preserve">These consultations remain ongoing with select NBS programs </w:t>
      </w:r>
      <w:r w:rsidR="00CF7ABF">
        <w:rPr>
          <w:rFonts w:cs="ITCFranklinGothicStd-Book"/>
          <w:sz w:val="24"/>
          <w:szCs w:val="24"/>
        </w:rPr>
        <w:t xml:space="preserve">who are </w:t>
      </w:r>
      <w:r w:rsidR="00681DAA">
        <w:rPr>
          <w:rFonts w:cs="ITCFranklinGothicStd-Book"/>
          <w:sz w:val="24"/>
          <w:szCs w:val="24"/>
        </w:rPr>
        <w:t xml:space="preserve">also participating in pilot and beta testing. </w:t>
      </w:r>
    </w:p>
    <w:p w:rsidR="00DD7ABB" w:rsidP="003B2A57" w14:paraId="33ADABFD" w14:textId="77777777">
      <w:pPr>
        <w:autoSpaceDE w:val="0"/>
        <w:autoSpaceDN w:val="0"/>
        <w:adjustRightInd w:val="0"/>
        <w:spacing w:after="0" w:line="240" w:lineRule="auto"/>
        <w:jc w:val="both"/>
        <w:rPr>
          <w:rFonts w:cstheme="minorHAnsi"/>
          <w:b/>
          <w:sz w:val="24"/>
          <w:szCs w:val="24"/>
        </w:rPr>
      </w:pPr>
    </w:p>
    <w:p w:rsidR="001B6072" w:rsidRPr="00D20211" w:rsidP="003B2A57" w14:paraId="26641E46" w14:textId="77777777">
      <w:pPr>
        <w:autoSpaceDE w:val="0"/>
        <w:autoSpaceDN w:val="0"/>
        <w:adjustRightInd w:val="0"/>
        <w:spacing w:after="0" w:line="240" w:lineRule="auto"/>
        <w:jc w:val="both"/>
        <w:rPr>
          <w:rFonts w:cstheme="minorHAnsi"/>
          <w:b/>
          <w:sz w:val="24"/>
          <w:szCs w:val="24"/>
        </w:rPr>
      </w:pPr>
    </w:p>
    <w:p w:rsidR="003B2A57" w:rsidRPr="00D20211" w:rsidP="75F52A80" w14:paraId="3370EEBF" w14:textId="2C1B73E5">
      <w:pPr>
        <w:autoSpaceDE w:val="0"/>
        <w:autoSpaceDN w:val="0"/>
        <w:adjustRightInd w:val="0"/>
        <w:spacing w:after="0" w:line="240" w:lineRule="auto"/>
        <w:jc w:val="both"/>
        <w:rPr>
          <w:sz w:val="24"/>
          <w:szCs w:val="24"/>
        </w:rPr>
      </w:pPr>
      <w:r w:rsidRPr="48D86499">
        <w:rPr>
          <w:b/>
          <w:bCs/>
          <w:sz w:val="24"/>
          <w:szCs w:val="24"/>
        </w:rPr>
        <w:t>Table 1.</w:t>
      </w:r>
      <w:r w:rsidRPr="48D86499" w:rsidR="008F6D26">
        <w:rPr>
          <w:sz w:val="24"/>
          <w:szCs w:val="24"/>
        </w:rPr>
        <w:t xml:space="preserve"> </w:t>
      </w:r>
      <w:r w:rsidRPr="48D86499" w:rsidR="00261399">
        <w:rPr>
          <w:sz w:val="24"/>
          <w:szCs w:val="24"/>
        </w:rPr>
        <w:t>20</w:t>
      </w:r>
      <w:r w:rsidRPr="48D86499" w:rsidR="00143FA1">
        <w:rPr>
          <w:sz w:val="24"/>
          <w:szCs w:val="24"/>
        </w:rPr>
        <w:t>23</w:t>
      </w:r>
      <w:r w:rsidRPr="48D86499" w:rsidR="00911392">
        <w:rPr>
          <w:sz w:val="24"/>
          <w:szCs w:val="24"/>
        </w:rPr>
        <w:t>-202</w:t>
      </w:r>
      <w:r w:rsidRPr="48D86499" w:rsidR="00143FA1">
        <w:rPr>
          <w:sz w:val="24"/>
          <w:szCs w:val="24"/>
        </w:rPr>
        <w:t>5</w:t>
      </w:r>
      <w:r w:rsidRPr="48D86499" w:rsidR="00261399">
        <w:rPr>
          <w:sz w:val="24"/>
          <w:szCs w:val="24"/>
        </w:rPr>
        <w:t xml:space="preserve"> </w:t>
      </w:r>
      <w:r w:rsidRPr="48D86499" w:rsidR="00911392">
        <w:rPr>
          <w:sz w:val="24"/>
          <w:szCs w:val="24"/>
        </w:rPr>
        <w:t>CDC</w:t>
      </w:r>
      <w:r w:rsidRPr="48D86499" w:rsidR="009D2718">
        <w:rPr>
          <w:sz w:val="24"/>
          <w:szCs w:val="24"/>
        </w:rPr>
        <w:t xml:space="preserve"> </w:t>
      </w:r>
      <w:r w:rsidRPr="48D86499">
        <w:rPr>
          <w:sz w:val="24"/>
          <w:szCs w:val="24"/>
        </w:rPr>
        <w:t>External Consultations</w:t>
      </w:r>
    </w:p>
    <w:p w:rsidR="003B2A57" w:rsidRPr="00D20211" w:rsidP="003B2A57" w14:paraId="0E83ECAE" w14:textId="77777777">
      <w:pPr>
        <w:autoSpaceDE w:val="0"/>
        <w:autoSpaceDN w:val="0"/>
        <w:adjustRightInd w:val="0"/>
        <w:spacing w:after="0" w:line="240" w:lineRule="auto"/>
        <w:jc w:val="both"/>
        <w:rPr>
          <w:rFonts w:cstheme="minorHAnsi"/>
          <w:sz w:val="24"/>
          <w:szCs w:val="24"/>
        </w:rPr>
      </w:pPr>
    </w:p>
    <w:tbl>
      <w:tblPr>
        <w:tblW w:w="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0"/>
        <w:gridCol w:w="1036"/>
        <w:gridCol w:w="1790"/>
      </w:tblGrid>
      <w:tr w14:paraId="554C8CC5" w14:textId="77777777" w:rsidTr="61038AB9">
        <w:tblPrEx>
          <w:tblW w:w="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3"/>
        </w:trPr>
        <w:tc>
          <w:tcPr>
            <w:tcW w:w="2450" w:type="dxa"/>
            <w:tcBorders>
              <w:top w:val="single" w:sz="8" w:space="0" w:color="auto"/>
              <w:left w:val="nil"/>
              <w:bottom w:val="single" w:sz="8" w:space="0" w:color="auto"/>
              <w:right w:val="nil"/>
            </w:tcBorders>
          </w:tcPr>
          <w:p w:rsidR="0091320B" w:rsidRPr="00D20211" w:rsidP="00C564AD" w14:paraId="761B9A23" w14:textId="77777777">
            <w:pPr>
              <w:autoSpaceDE w:val="0"/>
              <w:autoSpaceDN w:val="0"/>
              <w:adjustRightInd w:val="0"/>
              <w:spacing w:after="0" w:line="240" w:lineRule="auto"/>
              <w:jc w:val="both"/>
              <w:rPr>
                <w:rFonts w:cstheme="minorHAnsi"/>
                <w:b/>
              </w:rPr>
            </w:pPr>
            <w:r w:rsidRPr="00D20211">
              <w:rPr>
                <w:rFonts w:cstheme="minorHAnsi"/>
                <w:b/>
              </w:rPr>
              <w:t>Name</w:t>
            </w:r>
          </w:p>
        </w:tc>
        <w:tc>
          <w:tcPr>
            <w:tcW w:w="1036" w:type="dxa"/>
            <w:tcBorders>
              <w:top w:val="single" w:sz="8" w:space="0" w:color="auto"/>
              <w:left w:val="nil"/>
              <w:bottom w:val="single" w:sz="8" w:space="0" w:color="auto"/>
              <w:right w:val="nil"/>
            </w:tcBorders>
          </w:tcPr>
          <w:p w:rsidR="0091320B" w:rsidRPr="00D20211" w:rsidP="00C564AD" w14:paraId="77FDC6C2" w14:textId="4D839543">
            <w:pPr>
              <w:autoSpaceDE w:val="0"/>
              <w:autoSpaceDN w:val="0"/>
              <w:adjustRightInd w:val="0"/>
              <w:spacing w:after="0" w:line="240" w:lineRule="auto"/>
              <w:jc w:val="both"/>
              <w:rPr>
                <w:rFonts w:cstheme="minorHAnsi"/>
                <w:b/>
              </w:rPr>
            </w:pPr>
            <w:r w:rsidRPr="00D20211">
              <w:rPr>
                <w:rFonts w:cstheme="minorHAnsi"/>
                <w:b/>
              </w:rPr>
              <w:t>Title</w:t>
            </w:r>
          </w:p>
        </w:tc>
        <w:tc>
          <w:tcPr>
            <w:tcW w:w="1790" w:type="dxa"/>
            <w:tcBorders>
              <w:top w:val="single" w:sz="8" w:space="0" w:color="auto"/>
              <w:left w:val="nil"/>
              <w:bottom w:val="single" w:sz="8" w:space="0" w:color="auto"/>
              <w:right w:val="nil"/>
            </w:tcBorders>
          </w:tcPr>
          <w:p w:rsidR="0091320B" w:rsidRPr="00D20211" w:rsidP="00C564AD" w14:paraId="1BF52322" w14:textId="295DCCA1">
            <w:pPr>
              <w:autoSpaceDE w:val="0"/>
              <w:autoSpaceDN w:val="0"/>
              <w:adjustRightInd w:val="0"/>
              <w:spacing w:after="0" w:line="240" w:lineRule="auto"/>
              <w:jc w:val="both"/>
              <w:rPr>
                <w:rFonts w:cstheme="minorHAnsi"/>
                <w:b/>
              </w:rPr>
            </w:pPr>
            <w:r w:rsidRPr="00D20211">
              <w:rPr>
                <w:rFonts w:cstheme="minorHAnsi"/>
                <w:b/>
              </w:rPr>
              <w:t>Affiliation</w:t>
            </w:r>
          </w:p>
        </w:tc>
      </w:tr>
      <w:tr w14:paraId="1E4AFFFF" w14:textId="77777777" w:rsidTr="61038AB9">
        <w:tblPrEx>
          <w:tblW w:w="5276" w:type="dxa"/>
          <w:tblLayout w:type="fixed"/>
          <w:tblLook w:val="04A0"/>
        </w:tblPrEx>
        <w:trPr>
          <w:trHeight w:val="243"/>
        </w:trPr>
        <w:tc>
          <w:tcPr>
            <w:tcW w:w="5276" w:type="dxa"/>
            <w:gridSpan w:val="3"/>
            <w:tcBorders>
              <w:top w:val="single" w:sz="8" w:space="0" w:color="auto"/>
              <w:left w:val="nil"/>
              <w:bottom w:val="single" w:sz="8" w:space="0" w:color="auto"/>
              <w:right w:val="nil"/>
            </w:tcBorders>
            <w:vAlign w:val="center"/>
          </w:tcPr>
          <w:p w:rsidR="003B2A57" w:rsidRPr="00D20211" w:rsidP="00C564AD" w14:paraId="2D8339BE" w14:textId="3BBC39D0">
            <w:pPr>
              <w:pStyle w:val="PlainText"/>
              <w:jc w:val="both"/>
              <w:rPr>
                <w:rFonts w:asciiTheme="minorHAnsi" w:hAnsiTheme="minorHAnsi" w:cstheme="minorHAnsi"/>
                <w:i/>
                <w:sz w:val="20"/>
                <w:szCs w:val="20"/>
              </w:rPr>
            </w:pPr>
            <w:r>
              <w:rPr>
                <w:rFonts w:asciiTheme="minorHAnsi" w:hAnsiTheme="minorHAnsi" w:cstheme="minorHAnsi"/>
                <w:i/>
                <w:sz w:val="20"/>
                <w:szCs w:val="20"/>
              </w:rPr>
              <w:t>NBS Programs</w:t>
            </w:r>
          </w:p>
        </w:tc>
      </w:tr>
      <w:tr w14:paraId="45DFF74C" w14:textId="77777777" w:rsidTr="61038AB9">
        <w:tblPrEx>
          <w:tblW w:w="5276" w:type="dxa"/>
          <w:tblLayout w:type="fixed"/>
          <w:tblLook w:val="04A0"/>
        </w:tblPrEx>
        <w:trPr>
          <w:trHeight w:val="497"/>
        </w:trPr>
        <w:tc>
          <w:tcPr>
            <w:tcW w:w="2450" w:type="dxa"/>
            <w:tcBorders>
              <w:top w:val="single" w:sz="8" w:space="0" w:color="auto"/>
              <w:left w:val="nil"/>
              <w:bottom w:val="single" w:sz="8" w:space="0" w:color="auto"/>
              <w:right w:val="nil"/>
            </w:tcBorders>
            <w:vAlign w:val="center"/>
          </w:tcPr>
          <w:p w:rsidR="0091320B" w:rsidRPr="00D20211" w:rsidP="0091320B" w14:paraId="3E4BA889" w14:textId="6DDDE6B8">
            <w:pPr>
              <w:autoSpaceDE w:val="0"/>
              <w:autoSpaceDN w:val="0"/>
              <w:adjustRightInd w:val="0"/>
              <w:spacing w:after="0" w:line="240" w:lineRule="auto"/>
              <w:rPr>
                <w:rFonts w:cstheme="minorHAnsi"/>
                <w:sz w:val="20"/>
                <w:szCs w:val="20"/>
              </w:rPr>
            </w:pPr>
            <w:r>
              <w:rPr>
                <w:rFonts w:cstheme="minorHAnsi"/>
                <w:sz w:val="20"/>
                <w:szCs w:val="20"/>
              </w:rPr>
              <w:t>Anne Comeau</w:t>
            </w:r>
            <w:r w:rsidRPr="00D20211">
              <w:rPr>
                <w:rFonts w:cstheme="minorHAnsi"/>
                <w:sz w:val="20"/>
                <w:szCs w:val="20"/>
              </w:rPr>
              <w:t>, PhD</w:t>
            </w:r>
          </w:p>
        </w:tc>
        <w:tc>
          <w:tcPr>
            <w:tcW w:w="1036" w:type="dxa"/>
            <w:tcBorders>
              <w:top w:val="single" w:sz="8" w:space="0" w:color="auto"/>
              <w:left w:val="nil"/>
              <w:bottom w:val="single" w:sz="8" w:space="0" w:color="auto"/>
              <w:right w:val="nil"/>
            </w:tcBorders>
            <w:vAlign w:val="center"/>
          </w:tcPr>
          <w:p w:rsidR="0091320B" w:rsidRPr="00D20211" w:rsidP="0091320B" w14:paraId="7F3CC4F7" w14:textId="0B299692">
            <w:pPr>
              <w:autoSpaceDE w:val="0"/>
              <w:autoSpaceDN w:val="0"/>
              <w:adjustRightInd w:val="0"/>
              <w:spacing w:after="0" w:line="240" w:lineRule="auto"/>
              <w:rPr>
                <w:rFonts w:cstheme="minorHAnsi"/>
                <w:sz w:val="20"/>
                <w:szCs w:val="20"/>
              </w:rPr>
            </w:pPr>
            <w:r>
              <w:rPr>
                <w:rFonts w:cstheme="minorHAnsi"/>
                <w:sz w:val="20"/>
                <w:szCs w:val="20"/>
              </w:rPr>
              <w:t>Deputy Director</w:t>
            </w:r>
          </w:p>
        </w:tc>
        <w:tc>
          <w:tcPr>
            <w:tcW w:w="1790" w:type="dxa"/>
            <w:tcBorders>
              <w:top w:val="single" w:sz="8" w:space="0" w:color="auto"/>
              <w:left w:val="nil"/>
              <w:bottom w:val="single" w:sz="8" w:space="0" w:color="auto"/>
              <w:right w:val="nil"/>
            </w:tcBorders>
            <w:vAlign w:val="center"/>
          </w:tcPr>
          <w:p w:rsidR="0091320B" w:rsidRPr="00D20211" w:rsidP="0091320B" w14:paraId="778D73DF" w14:textId="1B961480">
            <w:pPr>
              <w:autoSpaceDE w:val="0"/>
              <w:autoSpaceDN w:val="0"/>
              <w:adjustRightInd w:val="0"/>
              <w:spacing w:after="0" w:line="240" w:lineRule="auto"/>
              <w:rPr>
                <w:rFonts w:cstheme="minorHAnsi"/>
                <w:sz w:val="20"/>
                <w:szCs w:val="20"/>
              </w:rPr>
            </w:pPr>
            <w:r>
              <w:rPr>
                <w:rFonts w:cstheme="minorHAnsi"/>
                <w:sz w:val="20"/>
                <w:szCs w:val="20"/>
              </w:rPr>
              <w:t>N</w:t>
            </w:r>
            <w:r w:rsidR="001D7275">
              <w:rPr>
                <w:rFonts w:cstheme="minorHAnsi"/>
                <w:sz w:val="20"/>
                <w:szCs w:val="20"/>
              </w:rPr>
              <w:t>ew England</w:t>
            </w:r>
            <w:r>
              <w:rPr>
                <w:rFonts w:cstheme="minorHAnsi"/>
                <w:sz w:val="20"/>
                <w:szCs w:val="20"/>
              </w:rPr>
              <w:t xml:space="preserve"> NBS Program</w:t>
            </w:r>
            <w:r w:rsidRPr="00D20211">
              <w:rPr>
                <w:rFonts w:cstheme="minorHAnsi"/>
                <w:sz w:val="20"/>
                <w:szCs w:val="20"/>
              </w:rPr>
              <w:t xml:space="preserve"> </w:t>
            </w:r>
          </w:p>
        </w:tc>
      </w:tr>
      <w:tr w14:paraId="1C5F38BB" w14:textId="77777777" w:rsidTr="61038AB9">
        <w:tblPrEx>
          <w:tblW w:w="5276" w:type="dxa"/>
          <w:tblLayout w:type="fixed"/>
          <w:tblLook w:val="04A0"/>
        </w:tblPrEx>
        <w:trPr>
          <w:trHeight w:val="497"/>
        </w:trPr>
        <w:tc>
          <w:tcPr>
            <w:tcW w:w="2450" w:type="dxa"/>
            <w:tcBorders>
              <w:top w:val="single" w:sz="8" w:space="0" w:color="auto"/>
              <w:left w:val="nil"/>
              <w:bottom w:val="single" w:sz="8" w:space="0" w:color="auto"/>
              <w:right w:val="nil"/>
            </w:tcBorders>
            <w:vAlign w:val="center"/>
          </w:tcPr>
          <w:p w:rsidR="0091320B" w:rsidRPr="00D20211" w:rsidP="0091320B" w14:paraId="3C1EF6A7" w14:textId="6F72ABD8">
            <w:pPr>
              <w:autoSpaceDE w:val="0"/>
              <w:autoSpaceDN w:val="0"/>
              <w:adjustRightInd w:val="0"/>
              <w:spacing w:after="0" w:line="240" w:lineRule="auto"/>
              <w:jc w:val="both"/>
              <w:rPr>
                <w:rFonts w:cstheme="minorHAnsi"/>
                <w:sz w:val="20"/>
                <w:szCs w:val="20"/>
              </w:rPr>
            </w:pPr>
            <w:r>
              <w:rPr>
                <w:rFonts w:cstheme="minorHAnsi"/>
                <w:sz w:val="20"/>
                <w:szCs w:val="20"/>
              </w:rPr>
              <w:t>Pranesh Chakraborty, MD</w:t>
            </w:r>
          </w:p>
        </w:tc>
        <w:tc>
          <w:tcPr>
            <w:tcW w:w="1036" w:type="dxa"/>
            <w:tcBorders>
              <w:top w:val="single" w:sz="8" w:space="0" w:color="auto"/>
              <w:left w:val="nil"/>
              <w:bottom w:val="single" w:sz="8" w:space="0" w:color="auto"/>
              <w:right w:val="nil"/>
            </w:tcBorders>
            <w:vAlign w:val="center"/>
          </w:tcPr>
          <w:p w:rsidR="0091320B" w:rsidRPr="00D20211" w:rsidP="0091320B" w14:paraId="34ADA696" w14:textId="6BBE878E">
            <w:pPr>
              <w:autoSpaceDE w:val="0"/>
              <w:autoSpaceDN w:val="0"/>
              <w:adjustRightInd w:val="0"/>
              <w:spacing w:after="0" w:line="240" w:lineRule="auto"/>
              <w:jc w:val="both"/>
              <w:rPr>
                <w:rFonts w:cstheme="minorHAnsi"/>
                <w:sz w:val="20"/>
                <w:szCs w:val="20"/>
              </w:rPr>
            </w:pPr>
            <w:r>
              <w:rPr>
                <w:rFonts w:cstheme="minorHAnsi"/>
                <w:sz w:val="20"/>
                <w:szCs w:val="20"/>
              </w:rPr>
              <w:t>Medical Director</w:t>
            </w:r>
          </w:p>
        </w:tc>
        <w:tc>
          <w:tcPr>
            <w:tcW w:w="1790" w:type="dxa"/>
            <w:tcBorders>
              <w:top w:val="single" w:sz="8" w:space="0" w:color="auto"/>
              <w:left w:val="nil"/>
              <w:bottom w:val="single" w:sz="8" w:space="0" w:color="auto"/>
              <w:right w:val="nil"/>
            </w:tcBorders>
            <w:vAlign w:val="center"/>
          </w:tcPr>
          <w:p w:rsidR="0091320B" w:rsidRPr="00D20211" w:rsidP="61038AB9" w14:paraId="0AE9288E" w14:textId="77F9663F">
            <w:pPr>
              <w:autoSpaceDE w:val="0"/>
              <w:autoSpaceDN w:val="0"/>
              <w:adjustRightInd w:val="0"/>
              <w:spacing w:after="0" w:line="240" w:lineRule="auto"/>
              <w:rPr>
                <w:sz w:val="20"/>
                <w:szCs w:val="20"/>
              </w:rPr>
            </w:pPr>
            <w:r w:rsidRPr="61038AB9">
              <w:rPr>
                <w:sz w:val="20"/>
                <w:szCs w:val="20"/>
              </w:rPr>
              <w:t>O</w:t>
            </w:r>
            <w:r w:rsidRPr="61038AB9" w:rsidR="001D7275">
              <w:rPr>
                <w:sz w:val="20"/>
                <w:szCs w:val="20"/>
              </w:rPr>
              <w:t>ntario</w:t>
            </w:r>
            <w:r w:rsidRPr="61038AB9" w:rsidR="7DE0915B">
              <w:rPr>
                <w:sz w:val="20"/>
                <w:szCs w:val="20"/>
              </w:rPr>
              <w:t xml:space="preserve"> </w:t>
            </w:r>
            <w:r w:rsidRPr="61038AB9" w:rsidR="001D7275">
              <w:rPr>
                <w:sz w:val="20"/>
                <w:szCs w:val="20"/>
              </w:rPr>
              <w:t>NBS Program</w:t>
            </w:r>
          </w:p>
        </w:tc>
      </w:tr>
      <w:tr w14:paraId="367FC23E" w14:textId="77777777" w:rsidTr="61038AB9">
        <w:tblPrEx>
          <w:tblW w:w="5276" w:type="dxa"/>
          <w:tblLayout w:type="fixed"/>
          <w:tblLook w:val="04A0"/>
        </w:tblPrEx>
        <w:trPr>
          <w:trHeight w:val="497"/>
        </w:trPr>
        <w:tc>
          <w:tcPr>
            <w:tcW w:w="2450" w:type="dxa"/>
            <w:tcBorders>
              <w:top w:val="single" w:sz="8" w:space="0" w:color="auto"/>
              <w:left w:val="nil"/>
              <w:bottom w:val="single" w:sz="8" w:space="0" w:color="auto"/>
              <w:right w:val="nil"/>
            </w:tcBorders>
            <w:vAlign w:val="center"/>
          </w:tcPr>
          <w:p w:rsidR="001D7275" w:rsidP="0091320B" w14:paraId="480E4B78" w14:textId="5AAE341E">
            <w:pPr>
              <w:autoSpaceDE w:val="0"/>
              <w:autoSpaceDN w:val="0"/>
              <w:adjustRightInd w:val="0"/>
              <w:spacing w:after="0" w:line="240" w:lineRule="auto"/>
              <w:jc w:val="both"/>
              <w:rPr>
                <w:rFonts w:cstheme="minorHAnsi"/>
                <w:sz w:val="20"/>
                <w:szCs w:val="20"/>
              </w:rPr>
            </w:pPr>
            <w:r>
              <w:rPr>
                <w:rFonts w:cstheme="minorHAnsi"/>
                <w:sz w:val="20"/>
                <w:szCs w:val="20"/>
              </w:rPr>
              <w:t>Joseph Orsini, PhD</w:t>
            </w:r>
          </w:p>
        </w:tc>
        <w:tc>
          <w:tcPr>
            <w:tcW w:w="1036" w:type="dxa"/>
            <w:tcBorders>
              <w:top w:val="single" w:sz="8" w:space="0" w:color="auto"/>
              <w:left w:val="nil"/>
              <w:bottom w:val="single" w:sz="8" w:space="0" w:color="auto"/>
              <w:right w:val="nil"/>
            </w:tcBorders>
            <w:vAlign w:val="center"/>
          </w:tcPr>
          <w:p w:rsidR="001D7275" w:rsidP="0091320B" w14:paraId="67720A77" w14:textId="6619B4E5">
            <w:pPr>
              <w:autoSpaceDE w:val="0"/>
              <w:autoSpaceDN w:val="0"/>
              <w:adjustRightInd w:val="0"/>
              <w:spacing w:after="0" w:line="240" w:lineRule="auto"/>
              <w:jc w:val="both"/>
              <w:rPr>
                <w:rFonts w:cstheme="minorHAnsi"/>
                <w:sz w:val="20"/>
                <w:szCs w:val="20"/>
              </w:rPr>
            </w:pPr>
            <w:r>
              <w:rPr>
                <w:rFonts w:cstheme="minorHAnsi"/>
                <w:sz w:val="20"/>
                <w:szCs w:val="20"/>
              </w:rPr>
              <w:t>Director</w:t>
            </w:r>
          </w:p>
        </w:tc>
        <w:tc>
          <w:tcPr>
            <w:tcW w:w="1790" w:type="dxa"/>
            <w:tcBorders>
              <w:top w:val="single" w:sz="8" w:space="0" w:color="auto"/>
              <w:left w:val="nil"/>
              <w:bottom w:val="single" w:sz="8" w:space="0" w:color="auto"/>
              <w:right w:val="nil"/>
            </w:tcBorders>
            <w:vAlign w:val="center"/>
          </w:tcPr>
          <w:p w:rsidR="001D7275" w:rsidP="0091320B" w14:paraId="1D086933" w14:textId="2166D834">
            <w:pPr>
              <w:autoSpaceDE w:val="0"/>
              <w:autoSpaceDN w:val="0"/>
              <w:adjustRightInd w:val="0"/>
              <w:spacing w:after="0" w:line="240" w:lineRule="auto"/>
              <w:jc w:val="both"/>
              <w:rPr>
                <w:rFonts w:cstheme="minorHAnsi"/>
                <w:sz w:val="20"/>
                <w:szCs w:val="20"/>
              </w:rPr>
            </w:pPr>
            <w:r>
              <w:rPr>
                <w:rFonts w:cstheme="minorHAnsi"/>
                <w:sz w:val="20"/>
                <w:szCs w:val="20"/>
              </w:rPr>
              <w:t>Wadsworth Center</w:t>
            </w:r>
          </w:p>
        </w:tc>
      </w:tr>
      <w:tr w14:paraId="015D9026" w14:textId="77777777" w:rsidTr="61038AB9">
        <w:tblPrEx>
          <w:tblW w:w="5276" w:type="dxa"/>
          <w:tblLayout w:type="fixed"/>
          <w:tblLook w:val="04A0"/>
        </w:tblPrEx>
        <w:trPr>
          <w:trHeight w:val="517"/>
        </w:trPr>
        <w:tc>
          <w:tcPr>
            <w:tcW w:w="2450" w:type="dxa"/>
            <w:tcBorders>
              <w:top w:val="single" w:sz="8" w:space="0" w:color="auto"/>
              <w:left w:val="nil"/>
              <w:bottom w:val="single" w:sz="8" w:space="0" w:color="auto"/>
              <w:right w:val="nil"/>
            </w:tcBorders>
            <w:vAlign w:val="center"/>
          </w:tcPr>
          <w:p w:rsidR="001D7275" w:rsidP="61038AB9" w14:paraId="310DCB8C" w14:textId="24B86E02">
            <w:pPr>
              <w:autoSpaceDE w:val="0"/>
              <w:autoSpaceDN w:val="0"/>
              <w:adjustRightInd w:val="0"/>
              <w:spacing w:after="0" w:line="240" w:lineRule="auto"/>
              <w:jc w:val="both"/>
              <w:rPr>
                <w:sz w:val="20"/>
                <w:szCs w:val="20"/>
              </w:rPr>
            </w:pPr>
            <w:r w:rsidRPr="61038AB9">
              <w:rPr>
                <w:sz w:val="20"/>
                <w:szCs w:val="20"/>
              </w:rPr>
              <w:t>Michele Caggana, ScD</w:t>
            </w:r>
          </w:p>
        </w:tc>
        <w:tc>
          <w:tcPr>
            <w:tcW w:w="1036" w:type="dxa"/>
            <w:tcBorders>
              <w:top w:val="single" w:sz="8" w:space="0" w:color="auto"/>
              <w:left w:val="nil"/>
              <w:bottom w:val="single" w:sz="8" w:space="0" w:color="auto"/>
              <w:right w:val="nil"/>
            </w:tcBorders>
            <w:vAlign w:val="center"/>
          </w:tcPr>
          <w:p w:rsidR="001D7275" w:rsidP="0091320B" w14:paraId="79469532" w14:textId="6800F799">
            <w:pPr>
              <w:autoSpaceDE w:val="0"/>
              <w:autoSpaceDN w:val="0"/>
              <w:adjustRightInd w:val="0"/>
              <w:spacing w:after="0" w:line="240" w:lineRule="auto"/>
              <w:jc w:val="both"/>
              <w:rPr>
                <w:rFonts w:cstheme="minorHAnsi"/>
                <w:sz w:val="20"/>
                <w:szCs w:val="20"/>
              </w:rPr>
            </w:pPr>
            <w:r>
              <w:rPr>
                <w:rFonts w:cstheme="minorHAnsi"/>
                <w:sz w:val="20"/>
                <w:szCs w:val="20"/>
              </w:rPr>
              <w:t>Deputy Director</w:t>
            </w:r>
          </w:p>
        </w:tc>
        <w:tc>
          <w:tcPr>
            <w:tcW w:w="1790" w:type="dxa"/>
            <w:tcBorders>
              <w:top w:val="single" w:sz="8" w:space="0" w:color="auto"/>
              <w:left w:val="nil"/>
              <w:bottom w:val="single" w:sz="8" w:space="0" w:color="auto"/>
              <w:right w:val="nil"/>
            </w:tcBorders>
            <w:vAlign w:val="center"/>
          </w:tcPr>
          <w:p w:rsidR="001D7275" w:rsidP="0091320B" w14:paraId="23D6891D" w14:textId="4505D73F">
            <w:pPr>
              <w:autoSpaceDE w:val="0"/>
              <w:autoSpaceDN w:val="0"/>
              <w:adjustRightInd w:val="0"/>
              <w:spacing w:after="0" w:line="240" w:lineRule="auto"/>
              <w:jc w:val="both"/>
              <w:rPr>
                <w:rFonts w:cstheme="minorHAnsi"/>
                <w:sz w:val="20"/>
                <w:szCs w:val="20"/>
              </w:rPr>
            </w:pPr>
            <w:r>
              <w:rPr>
                <w:rFonts w:cstheme="minorHAnsi"/>
                <w:sz w:val="20"/>
                <w:szCs w:val="20"/>
              </w:rPr>
              <w:t>Wadsworth Center</w:t>
            </w:r>
          </w:p>
        </w:tc>
      </w:tr>
      <w:tr w14:paraId="605A72E4" w14:textId="77777777" w:rsidTr="61038AB9">
        <w:tblPrEx>
          <w:tblW w:w="5276" w:type="dxa"/>
          <w:tblLayout w:type="fixed"/>
          <w:tblLook w:val="04A0"/>
        </w:tblPrEx>
        <w:trPr>
          <w:trHeight w:val="517"/>
        </w:trPr>
        <w:tc>
          <w:tcPr>
            <w:tcW w:w="2450" w:type="dxa"/>
            <w:tcBorders>
              <w:top w:val="single" w:sz="8" w:space="0" w:color="auto"/>
              <w:left w:val="nil"/>
              <w:bottom w:val="single" w:sz="8" w:space="0" w:color="auto"/>
              <w:right w:val="nil"/>
            </w:tcBorders>
            <w:vAlign w:val="center"/>
          </w:tcPr>
          <w:p w:rsidR="00E03DE8" w:rsidP="0091320B" w14:paraId="6A99786F" w14:textId="5A73A3B4">
            <w:pPr>
              <w:autoSpaceDE w:val="0"/>
              <w:autoSpaceDN w:val="0"/>
              <w:adjustRightInd w:val="0"/>
              <w:spacing w:after="0" w:line="240" w:lineRule="auto"/>
              <w:jc w:val="both"/>
              <w:rPr>
                <w:rFonts w:cstheme="minorHAnsi"/>
                <w:sz w:val="20"/>
                <w:szCs w:val="20"/>
              </w:rPr>
            </w:pPr>
            <w:r>
              <w:rPr>
                <w:rFonts w:cstheme="minorHAnsi"/>
                <w:sz w:val="20"/>
                <w:szCs w:val="20"/>
              </w:rPr>
              <w:t>Susan Tanksley</w:t>
            </w:r>
            <w:r w:rsidR="001B12BC">
              <w:rPr>
                <w:rFonts w:cstheme="minorHAnsi"/>
                <w:sz w:val="20"/>
                <w:szCs w:val="20"/>
              </w:rPr>
              <w:t>, PhD</w:t>
            </w:r>
          </w:p>
        </w:tc>
        <w:tc>
          <w:tcPr>
            <w:tcW w:w="1036" w:type="dxa"/>
            <w:tcBorders>
              <w:top w:val="single" w:sz="8" w:space="0" w:color="auto"/>
              <w:left w:val="nil"/>
              <w:bottom w:val="single" w:sz="8" w:space="0" w:color="auto"/>
              <w:right w:val="nil"/>
            </w:tcBorders>
            <w:vAlign w:val="center"/>
          </w:tcPr>
          <w:p w:rsidR="00E03DE8" w:rsidP="0091320B" w14:paraId="1CAE2360" w14:textId="58AD2E8C">
            <w:pPr>
              <w:autoSpaceDE w:val="0"/>
              <w:autoSpaceDN w:val="0"/>
              <w:adjustRightInd w:val="0"/>
              <w:spacing w:after="0" w:line="240" w:lineRule="auto"/>
              <w:jc w:val="both"/>
              <w:rPr>
                <w:rFonts w:cstheme="minorHAnsi"/>
                <w:sz w:val="20"/>
                <w:szCs w:val="20"/>
              </w:rPr>
            </w:pPr>
            <w:r>
              <w:rPr>
                <w:rFonts w:cstheme="minorHAnsi"/>
                <w:sz w:val="20"/>
                <w:szCs w:val="20"/>
              </w:rPr>
              <w:t>Deputy Director</w:t>
            </w:r>
          </w:p>
        </w:tc>
        <w:tc>
          <w:tcPr>
            <w:tcW w:w="1790" w:type="dxa"/>
            <w:tcBorders>
              <w:top w:val="single" w:sz="8" w:space="0" w:color="auto"/>
              <w:left w:val="nil"/>
              <w:bottom w:val="single" w:sz="8" w:space="0" w:color="auto"/>
              <w:right w:val="nil"/>
            </w:tcBorders>
            <w:vAlign w:val="center"/>
          </w:tcPr>
          <w:p w:rsidR="00E03DE8" w:rsidP="00E03DE8" w14:paraId="5F8FE6AD" w14:textId="00CAE066">
            <w:pPr>
              <w:autoSpaceDE w:val="0"/>
              <w:autoSpaceDN w:val="0"/>
              <w:adjustRightInd w:val="0"/>
              <w:spacing w:after="0" w:line="240" w:lineRule="auto"/>
              <w:rPr>
                <w:rFonts w:cstheme="minorHAnsi"/>
                <w:sz w:val="20"/>
                <w:szCs w:val="20"/>
              </w:rPr>
            </w:pPr>
            <w:r>
              <w:rPr>
                <w:rFonts w:cstheme="minorHAnsi"/>
                <w:sz w:val="20"/>
                <w:szCs w:val="20"/>
              </w:rPr>
              <w:t xml:space="preserve">Texas </w:t>
            </w:r>
            <w:r w:rsidR="00247A07">
              <w:rPr>
                <w:rFonts w:cstheme="minorHAnsi"/>
                <w:sz w:val="20"/>
                <w:szCs w:val="20"/>
              </w:rPr>
              <w:t>Public Health Laboratory</w:t>
            </w:r>
          </w:p>
        </w:tc>
      </w:tr>
      <w:tr w14:paraId="4950FAAE" w14:textId="77777777" w:rsidTr="61038AB9">
        <w:tblPrEx>
          <w:tblW w:w="5276" w:type="dxa"/>
          <w:tblLayout w:type="fixed"/>
          <w:tblLook w:val="04A0"/>
        </w:tblPrEx>
        <w:trPr>
          <w:trHeight w:val="263"/>
        </w:trPr>
        <w:tc>
          <w:tcPr>
            <w:tcW w:w="2450" w:type="dxa"/>
            <w:tcBorders>
              <w:top w:val="single" w:sz="8" w:space="0" w:color="auto"/>
              <w:left w:val="nil"/>
              <w:bottom w:val="single" w:sz="8" w:space="0" w:color="auto"/>
              <w:right w:val="nil"/>
            </w:tcBorders>
            <w:vAlign w:val="center"/>
          </w:tcPr>
          <w:p w:rsidR="00E03DE8" w:rsidP="61038AB9" w14:paraId="45AD3FF5" w14:textId="7C2AA6E3">
            <w:pPr>
              <w:autoSpaceDE w:val="0"/>
              <w:autoSpaceDN w:val="0"/>
              <w:adjustRightInd w:val="0"/>
              <w:spacing w:after="0" w:line="240" w:lineRule="auto"/>
              <w:jc w:val="both"/>
              <w:rPr>
                <w:sz w:val="20"/>
                <w:szCs w:val="20"/>
              </w:rPr>
            </w:pPr>
            <w:r w:rsidRPr="61038AB9">
              <w:rPr>
                <w:sz w:val="20"/>
                <w:szCs w:val="20"/>
              </w:rPr>
              <w:t>Jelili</w:t>
            </w:r>
            <w:r w:rsidRPr="61038AB9">
              <w:rPr>
                <w:sz w:val="20"/>
                <w:szCs w:val="20"/>
              </w:rPr>
              <w:t xml:space="preserve"> Ojodu, MPH</w:t>
            </w:r>
          </w:p>
        </w:tc>
        <w:tc>
          <w:tcPr>
            <w:tcW w:w="1036" w:type="dxa"/>
            <w:tcBorders>
              <w:top w:val="single" w:sz="8" w:space="0" w:color="auto"/>
              <w:left w:val="nil"/>
              <w:bottom w:val="single" w:sz="8" w:space="0" w:color="auto"/>
              <w:right w:val="nil"/>
            </w:tcBorders>
            <w:vAlign w:val="center"/>
          </w:tcPr>
          <w:p w:rsidR="00E03DE8" w:rsidP="0091320B" w14:paraId="227B6A41" w14:textId="62A4195C">
            <w:pPr>
              <w:autoSpaceDE w:val="0"/>
              <w:autoSpaceDN w:val="0"/>
              <w:adjustRightInd w:val="0"/>
              <w:spacing w:after="0" w:line="240" w:lineRule="auto"/>
              <w:jc w:val="both"/>
              <w:rPr>
                <w:rFonts w:cstheme="minorHAnsi"/>
                <w:sz w:val="20"/>
                <w:szCs w:val="20"/>
              </w:rPr>
            </w:pPr>
            <w:r>
              <w:rPr>
                <w:rFonts w:cstheme="minorHAnsi"/>
                <w:sz w:val="20"/>
                <w:szCs w:val="20"/>
              </w:rPr>
              <w:t>Director</w:t>
            </w:r>
          </w:p>
        </w:tc>
        <w:tc>
          <w:tcPr>
            <w:tcW w:w="1790" w:type="dxa"/>
            <w:tcBorders>
              <w:top w:val="single" w:sz="8" w:space="0" w:color="auto"/>
              <w:left w:val="nil"/>
              <w:bottom w:val="single" w:sz="8" w:space="0" w:color="auto"/>
              <w:right w:val="nil"/>
            </w:tcBorders>
            <w:vAlign w:val="center"/>
          </w:tcPr>
          <w:p w:rsidR="00E03DE8" w:rsidP="00E03DE8" w14:paraId="73A807B1" w14:textId="70B27BA8">
            <w:pPr>
              <w:autoSpaceDE w:val="0"/>
              <w:autoSpaceDN w:val="0"/>
              <w:adjustRightInd w:val="0"/>
              <w:spacing w:after="0" w:line="240" w:lineRule="auto"/>
              <w:rPr>
                <w:rFonts w:cstheme="minorHAnsi"/>
                <w:sz w:val="20"/>
                <w:szCs w:val="20"/>
              </w:rPr>
            </w:pPr>
            <w:r>
              <w:rPr>
                <w:rFonts w:cstheme="minorHAnsi"/>
                <w:sz w:val="20"/>
                <w:szCs w:val="20"/>
              </w:rPr>
              <w:t>APHL</w:t>
            </w:r>
          </w:p>
        </w:tc>
      </w:tr>
      <w:tr w14:paraId="7EAEDAFC" w14:textId="77777777" w:rsidTr="61038AB9">
        <w:tblPrEx>
          <w:tblW w:w="5276" w:type="dxa"/>
          <w:tblLayout w:type="fixed"/>
          <w:tblLook w:val="04A0"/>
        </w:tblPrEx>
        <w:trPr>
          <w:trHeight w:val="497"/>
        </w:trPr>
        <w:tc>
          <w:tcPr>
            <w:tcW w:w="2450" w:type="dxa"/>
            <w:tcBorders>
              <w:top w:val="single" w:sz="8" w:space="0" w:color="auto"/>
              <w:left w:val="nil"/>
              <w:bottom w:val="single" w:sz="8" w:space="0" w:color="auto"/>
              <w:right w:val="nil"/>
            </w:tcBorders>
            <w:vAlign w:val="center"/>
          </w:tcPr>
          <w:p w:rsidR="00143FA1" w:rsidP="0091320B" w14:paraId="5DCB6960" w14:textId="19FCDEAE">
            <w:pPr>
              <w:autoSpaceDE w:val="0"/>
              <w:autoSpaceDN w:val="0"/>
              <w:adjustRightInd w:val="0"/>
              <w:spacing w:after="0" w:line="240" w:lineRule="auto"/>
              <w:jc w:val="both"/>
              <w:rPr>
                <w:rFonts w:cstheme="minorHAnsi"/>
                <w:sz w:val="20"/>
                <w:szCs w:val="20"/>
              </w:rPr>
            </w:pPr>
            <w:r>
              <w:rPr>
                <w:rFonts w:cstheme="minorHAnsi"/>
                <w:sz w:val="20"/>
                <w:szCs w:val="20"/>
              </w:rPr>
              <w:t>Adrienne Manning</w:t>
            </w:r>
          </w:p>
        </w:tc>
        <w:tc>
          <w:tcPr>
            <w:tcW w:w="1036" w:type="dxa"/>
            <w:tcBorders>
              <w:top w:val="single" w:sz="8" w:space="0" w:color="auto"/>
              <w:left w:val="nil"/>
              <w:bottom w:val="single" w:sz="8" w:space="0" w:color="auto"/>
              <w:right w:val="nil"/>
            </w:tcBorders>
            <w:vAlign w:val="center"/>
          </w:tcPr>
          <w:p w:rsidR="00143FA1" w:rsidP="0091320B" w14:paraId="5F9667C8" w14:textId="7ECD0319">
            <w:pPr>
              <w:autoSpaceDE w:val="0"/>
              <w:autoSpaceDN w:val="0"/>
              <w:adjustRightInd w:val="0"/>
              <w:spacing w:after="0" w:line="240" w:lineRule="auto"/>
              <w:jc w:val="both"/>
              <w:rPr>
                <w:rFonts w:cstheme="minorHAnsi"/>
                <w:sz w:val="20"/>
                <w:szCs w:val="20"/>
              </w:rPr>
            </w:pPr>
            <w:r>
              <w:rPr>
                <w:rFonts w:cstheme="minorHAnsi"/>
                <w:sz w:val="20"/>
                <w:szCs w:val="20"/>
              </w:rPr>
              <w:t xml:space="preserve">Division </w:t>
            </w:r>
            <w:r>
              <w:rPr>
                <w:rFonts w:cstheme="minorHAnsi"/>
                <w:sz w:val="20"/>
                <w:szCs w:val="20"/>
              </w:rPr>
              <w:t>Director</w:t>
            </w:r>
          </w:p>
        </w:tc>
        <w:tc>
          <w:tcPr>
            <w:tcW w:w="1790" w:type="dxa"/>
            <w:tcBorders>
              <w:top w:val="single" w:sz="8" w:space="0" w:color="auto"/>
              <w:left w:val="nil"/>
              <w:bottom w:val="single" w:sz="8" w:space="0" w:color="auto"/>
              <w:right w:val="nil"/>
            </w:tcBorders>
            <w:vAlign w:val="center"/>
          </w:tcPr>
          <w:p w:rsidR="00143FA1" w:rsidP="00E03DE8" w14:paraId="281850AE" w14:textId="28255A17">
            <w:pPr>
              <w:autoSpaceDE w:val="0"/>
              <w:autoSpaceDN w:val="0"/>
              <w:adjustRightInd w:val="0"/>
              <w:spacing w:after="0" w:line="240" w:lineRule="auto"/>
              <w:rPr>
                <w:rFonts w:cstheme="minorHAnsi"/>
                <w:sz w:val="20"/>
                <w:szCs w:val="20"/>
              </w:rPr>
            </w:pPr>
            <w:r>
              <w:rPr>
                <w:rFonts w:cstheme="minorHAnsi"/>
                <w:sz w:val="20"/>
                <w:szCs w:val="20"/>
              </w:rPr>
              <w:t xml:space="preserve">Connecticut NBS program </w:t>
            </w:r>
          </w:p>
        </w:tc>
      </w:tr>
    </w:tbl>
    <w:p w:rsidR="003B2A57" w:rsidRPr="00D20211" w:rsidP="003B2A57" w14:paraId="7FDBEF1B" w14:textId="77777777">
      <w:pPr>
        <w:autoSpaceDE w:val="0"/>
        <w:autoSpaceDN w:val="0"/>
        <w:adjustRightInd w:val="0"/>
        <w:spacing w:line="240" w:lineRule="auto"/>
        <w:rPr>
          <w:rFonts w:cs="ITCFranklinGothicStd-Book"/>
          <w:sz w:val="24"/>
          <w:szCs w:val="24"/>
        </w:rPr>
      </w:pPr>
    </w:p>
    <w:p w:rsidR="003B2A57" w:rsidRPr="00D20211" w:rsidP="003B2A57" w14:paraId="22BCD0F5" w14:textId="61FF07D3">
      <w:pPr>
        <w:autoSpaceDE w:val="0"/>
        <w:autoSpaceDN w:val="0"/>
        <w:adjustRightInd w:val="0"/>
        <w:spacing w:after="0" w:line="240" w:lineRule="auto"/>
        <w:jc w:val="both"/>
        <w:rPr>
          <w:rFonts w:cstheme="minorHAnsi"/>
          <w:sz w:val="24"/>
          <w:szCs w:val="24"/>
        </w:rPr>
      </w:pPr>
      <w:r w:rsidRPr="00D20211">
        <w:rPr>
          <w:rFonts w:cstheme="minorHAnsi"/>
          <w:b/>
          <w:sz w:val="24"/>
          <w:szCs w:val="24"/>
        </w:rPr>
        <w:t>Example Table 2.</w:t>
      </w:r>
      <w:r w:rsidRPr="00D20211" w:rsidR="008F6D26">
        <w:rPr>
          <w:rFonts w:cstheme="minorHAnsi"/>
          <w:sz w:val="24"/>
          <w:szCs w:val="24"/>
        </w:rPr>
        <w:t xml:space="preserve"> </w:t>
      </w:r>
      <w:r w:rsidRPr="00D20211" w:rsidR="00261399">
        <w:rPr>
          <w:rFonts w:cstheme="minorHAnsi"/>
          <w:sz w:val="24"/>
          <w:szCs w:val="24"/>
        </w:rPr>
        <w:t>20</w:t>
      </w:r>
      <w:r w:rsidR="00834B34">
        <w:rPr>
          <w:rFonts w:cstheme="minorHAnsi"/>
          <w:sz w:val="24"/>
          <w:szCs w:val="24"/>
        </w:rPr>
        <w:t>23</w:t>
      </w:r>
      <w:r w:rsidR="00911392">
        <w:rPr>
          <w:rFonts w:cstheme="minorHAnsi"/>
          <w:sz w:val="24"/>
          <w:szCs w:val="24"/>
        </w:rPr>
        <w:t>-202</w:t>
      </w:r>
      <w:r w:rsidR="00834B34">
        <w:rPr>
          <w:rFonts w:cstheme="minorHAnsi"/>
          <w:sz w:val="24"/>
          <w:szCs w:val="24"/>
        </w:rPr>
        <w:t>5</w:t>
      </w:r>
      <w:r w:rsidRPr="00D20211" w:rsidR="00261399">
        <w:rPr>
          <w:rFonts w:cstheme="minorHAnsi"/>
          <w:sz w:val="24"/>
          <w:szCs w:val="24"/>
        </w:rPr>
        <w:t xml:space="preserve"> </w:t>
      </w:r>
      <w:r w:rsidRPr="00D20211" w:rsidR="008F6D26">
        <w:rPr>
          <w:rFonts w:cstheme="minorHAnsi"/>
          <w:sz w:val="24"/>
          <w:szCs w:val="24"/>
        </w:rPr>
        <w:t xml:space="preserve">Consultations with </w:t>
      </w:r>
      <w:r w:rsidR="00E03DE8">
        <w:rPr>
          <w:rFonts w:cstheme="minorHAnsi"/>
          <w:sz w:val="24"/>
          <w:szCs w:val="24"/>
        </w:rPr>
        <w:t>CDC/HRSA/NIH</w:t>
      </w:r>
    </w:p>
    <w:p w:rsidR="003B2A57" w:rsidRPr="00D20211" w:rsidP="003B2A57" w14:paraId="40A91741" w14:textId="77777777">
      <w:pPr>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990"/>
        <w:gridCol w:w="1710"/>
      </w:tblGrid>
      <w:tr w14:paraId="65BC88F2" w14:textId="77777777" w:rsidTr="48D864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340" w:type="dxa"/>
            <w:tcBorders>
              <w:top w:val="single" w:sz="8" w:space="0" w:color="auto"/>
              <w:left w:val="nil"/>
              <w:bottom w:val="single" w:sz="8" w:space="0" w:color="auto"/>
              <w:right w:val="nil"/>
            </w:tcBorders>
          </w:tcPr>
          <w:p w:rsidR="00132004" w:rsidRPr="00D20211" w:rsidP="00132004" w14:paraId="31EDE0B2" w14:textId="77777777">
            <w:pPr>
              <w:autoSpaceDE w:val="0"/>
              <w:autoSpaceDN w:val="0"/>
              <w:adjustRightInd w:val="0"/>
              <w:spacing w:after="0" w:line="240" w:lineRule="auto"/>
              <w:jc w:val="both"/>
              <w:rPr>
                <w:rFonts w:cstheme="minorHAnsi"/>
                <w:b/>
              </w:rPr>
            </w:pPr>
            <w:r w:rsidRPr="00D20211">
              <w:rPr>
                <w:rFonts w:cstheme="minorHAnsi"/>
                <w:b/>
              </w:rPr>
              <w:t>Name</w:t>
            </w:r>
          </w:p>
        </w:tc>
        <w:tc>
          <w:tcPr>
            <w:tcW w:w="990" w:type="dxa"/>
            <w:tcBorders>
              <w:top w:val="single" w:sz="8" w:space="0" w:color="auto"/>
              <w:left w:val="nil"/>
              <w:bottom w:val="single" w:sz="8" w:space="0" w:color="auto"/>
              <w:right w:val="nil"/>
            </w:tcBorders>
          </w:tcPr>
          <w:p w:rsidR="00132004" w:rsidRPr="00D20211" w:rsidP="00132004" w14:paraId="43551BEE" w14:textId="58A8F304">
            <w:pPr>
              <w:autoSpaceDE w:val="0"/>
              <w:autoSpaceDN w:val="0"/>
              <w:adjustRightInd w:val="0"/>
              <w:spacing w:after="0" w:line="240" w:lineRule="auto"/>
              <w:jc w:val="both"/>
              <w:rPr>
                <w:rFonts w:cstheme="minorHAnsi"/>
                <w:b/>
              </w:rPr>
            </w:pPr>
            <w:r w:rsidRPr="00D20211">
              <w:rPr>
                <w:rFonts w:cstheme="minorHAnsi"/>
                <w:b/>
              </w:rPr>
              <w:t>Title</w:t>
            </w:r>
          </w:p>
        </w:tc>
        <w:tc>
          <w:tcPr>
            <w:tcW w:w="1710" w:type="dxa"/>
            <w:tcBorders>
              <w:top w:val="single" w:sz="8" w:space="0" w:color="auto"/>
              <w:left w:val="nil"/>
              <w:bottom w:val="single" w:sz="8" w:space="0" w:color="auto"/>
              <w:right w:val="nil"/>
            </w:tcBorders>
          </w:tcPr>
          <w:p w:rsidR="00132004" w:rsidRPr="00D20211" w:rsidP="00132004" w14:paraId="0DD1DC77" w14:textId="73728E21">
            <w:pPr>
              <w:autoSpaceDE w:val="0"/>
              <w:autoSpaceDN w:val="0"/>
              <w:adjustRightInd w:val="0"/>
              <w:spacing w:after="0" w:line="240" w:lineRule="auto"/>
              <w:jc w:val="both"/>
              <w:rPr>
                <w:rFonts w:cstheme="minorHAnsi"/>
                <w:b/>
              </w:rPr>
            </w:pPr>
            <w:r w:rsidRPr="00D20211">
              <w:rPr>
                <w:rFonts w:cstheme="minorHAnsi"/>
                <w:b/>
              </w:rPr>
              <w:t>Affiliation</w:t>
            </w:r>
          </w:p>
        </w:tc>
      </w:tr>
      <w:tr w14:paraId="4803F962" w14:textId="77777777" w:rsidTr="48D86499">
        <w:tblPrEx>
          <w:tblW w:w="0" w:type="auto"/>
          <w:tblLook w:val="04A0"/>
        </w:tblPrEx>
        <w:trPr>
          <w:trHeight w:val="300"/>
        </w:trPr>
        <w:tc>
          <w:tcPr>
            <w:tcW w:w="2340" w:type="dxa"/>
            <w:tcBorders>
              <w:top w:val="single" w:sz="8" w:space="0" w:color="auto"/>
              <w:left w:val="nil"/>
              <w:bottom w:val="single" w:sz="8" w:space="0" w:color="auto"/>
              <w:right w:val="nil"/>
            </w:tcBorders>
            <w:vAlign w:val="center"/>
          </w:tcPr>
          <w:p w:rsidR="00132004" w:rsidRPr="00D20211" w:rsidP="00132004" w14:paraId="0CDEA9B9" w14:textId="35F25AB9">
            <w:pPr>
              <w:autoSpaceDE w:val="0"/>
              <w:autoSpaceDN w:val="0"/>
              <w:adjustRightInd w:val="0"/>
              <w:spacing w:after="0" w:line="240" w:lineRule="auto"/>
              <w:rPr>
                <w:rFonts w:cstheme="minorHAnsi"/>
                <w:sz w:val="20"/>
                <w:szCs w:val="20"/>
              </w:rPr>
            </w:pPr>
            <w:r>
              <w:rPr>
                <w:rFonts w:cstheme="minorHAnsi"/>
                <w:sz w:val="20"/>
                <w:szCs w:val="20"/>
              </w:rPr>
              <w:t>Melissa Parisi</w:t>
            </w:r>
            <w:r w:rsidRPr="00D20211">
              <w:rPr>
                <w:rFonts w:cstheme="minorHAnsi"/>
                <w:sz w:val="20"/>
                <w:szCs w:val="20"/>
              </w:rPr>
              <w:t>,</w:t>
            </w:r>
            <w:r>
              <w:rPr>
                <w:rFonts w:cstheme="minorHAnsi"/>
                <w:sz w:val="20"/>
                <w:szCs w:val="20"/>
              </w:rPr>
              <w:t xml:space="preserve"> MD, PhD</w:t>
            </w:r>
          </w:p>
        </w:tc>
        <w:tc>
          <w:tcPr>
            <w:tcW w:w="990" w:type="dxa"/>
            <w:tcBorders>
              <w:top w:val="single" w:sz="8" w:space="0" w:color="auto"/>
              <w:left w:val="nil"/>
              <w:bottom w:val="single" w:sz="8" w:space="0" w:color="auto"/>
              <w:right w:val="nil"/>
            </w:tcBorders>
            <w:vAlign w:val="center"/>
          </w:tcPr>
          <w:p w:rsidR="00132004" w:rsidRPr="00D20211" w:rsidP="00132004" w14:paraId="62D49C71" w14:textId="0DEF8BC5">
            <w:pPr>
              <w:autoSpaceDE w:val="0"/>
              <w:autoSpaceDN w:val="0"/>
              <w:adjustRightInd w:val="0"/>
              <w:spacing w:after="0" w:line="240" w:lineRule="auto"/>
              <w:rPr>
                <w:rFonts w:cstheme="minorHAnsi"/>
                <w:sz w:val="20"/>
                <w:szCs w:val="20"/>
              </w:rPr>
            </w:pPr>
            <w:r>
              <w:rPr>
                <w:rFonts w:cstheme="minorHAnsi"/>
                <w:sz w:val="20"/>
                <w:szCs w:val="20"/>
              </w:rPr>
              <w:t>Chief</w:t>
            </w:r>
          </w:p>
        </w:tc>
        <w:tc>
          <w:tcPr>
            <w:tcW w:w="1710" w:type="dxa"/>
            <w:tcBorders>
              <w:top w:val="single" w:sz="8" w:space="0" w:color="auto"/>
              <w:left w:val="nil"/>
              <w:bottom w:val="single" w:sz="8" w:space="0" w:color="auto"/>
              <w:right w:val="nil"/>
            </w:tcBorders>
            <w:vAlign w:val="center"/>
          </w:tcPr>
          <w:p w:rsidR="00132004" w:rsidRPr="00D20211" w:rsidP="00132004" w14:paraId="5521D0B5" w14:textId="4B9D305C">
            <w:pPr>
              <w:autoSpaceDE w:val="0"/>
              <w:autoSpaceDN w:val="0"/>
              <w:adjustRightInd w:val="0"/>
              <w:spacing w:after="0" w:line="240" w:lineRule="auto"/>
              <w:rPr>
                <w:rFonts w:cstheme="minorHAnsi"/>
                <w:sz w:val="20"/>
                <w:szCs w:val="20"/>
              </w:rPr>
            </w:pPr>
            <w:r>
              <w:rPr>
                <w:rFonts w:cstheme="minorHAnsi"/>
                <w:sz w:val="20"/>
                <w:szCs w:val="20"/>
              </w:rPr>
              <w:t>NICHD</w:t>
            </w:r>
          </w:p>
        </w:tc>
      </w:tr>
      <w:tr w14:paraId="5B5AA01C" w14:textId="77777777" w:rsidTr="48D86499">
        <w:tblPrEx>
          <w:tblW w:w="0" w:type="auto"/>
          <w:tblLook w:val="04A0"/>
        </w:tblPrEx>
        <w:trPr>
          <w:trHeight w:val="300"/>
        </w:trPr>
        <w:tc>
          <w:tcPr>
            <w:tcW w:w="2340" w:type="dxa"/>
            <w:tcBorders>
              <w:top w:val="single" w:sz="8" w:space="0" w:color="auto"/>
              <w:left w:val="nil"/>
              <w:bottom w:val="nil"/>
              <w:right w:val="nil"/>
            </w:tcBorders>
            <w:vAlign w:val="center"/>
          </w:tcPr>
          <w:p w:rsidR="00132004" w:rsidRPr="00D20211" w:rsidP="00132004" w14:paraId="5B82F7C5" w14:textId="59553506">
            <w:pPr>
              <w:autoSpaceDE w:val="0"/>
              <w:autoSpaceDN w:val="0"/>
              <w:adjustRightInd w:val="0"/>
              <w:spacing w:after="0" w:line="240" w:lineRule="auto"/>
              <w:rPr>
                <w:rFonts w:cstheme="minorHAnsi"/>
                <w:sz w:val="20"/>
                <w:szCs w:val="20"/>
              </w:rPr>
            </w:pPr>
            <w:r>
              <w:rPr>
                <w:rFonts w:cstheme="minorHAnsi"/>
                <w:sz w:val="20"/>
                <w:szCs w:val="20"/>
              </w:rPr>
              <w:t>Debi Sarkar, MPH</w:t>
            </w:r>
          </w:p>
        </w:tc>
        <w:tc>
          <w:tcPr>
            <w:tcW w:w="990" w:type="dxa"/>
            <w:tcBorders>
              <w:top w:val="single" w:sz="8" w:space="0" w:color="auto"/>
              <w:left w:val="nil"/>
              <w:bottom w:val="nil"/>
              <w:right w:val="nil"/>
            </w:tcBorders>
            <w:vAlign w:val="center"/>
          </w:tcPr>
          <w:p w:rsidR="00132004" w:rsidRPr="00D20211" w:rsidP="00132004" w14:paraId="319D2D2B" w14:textId="0106D441">
            <w:pPr>
              <w:autoSpaceDE w:val="0"/>
              <w:autoSpaceDN w:val="0"/>
              <w:adjustRightInd w:val="0"/>
              <w:spacing w:after="0" w:line="240" w:lineRule="auto"/>
              <w:rPr>
                <w:rFonts w:cstheme="minorHAnsi"/>
                <w:sz w:val="20"/>
                <w:szCs w:val="20"/>
              </w:rPr>
            </w:pPr>
            <w:r>
              <w:rPr>
                <w:rFonts w:cstheme="minorHAnsi"/>
                <w:sz w:val="20"/>
                <w:szCs w:val="20"/>
              </w:rPr>
              <w:t>Branch Chief</w:t>
            </w:r>
          </w:p>
        </w:tc>
        <w:tc>
          <w:tcPr>
            <w:tcW w:w="1710" w:type="dxa"/>
            <w:tcBorders>
              <w:top w:val="single" w:sz="8" w:space="0" w:color="auto"/>
              <w:left w:val="nil"/>
              <w:bottom w:val="nil"/>
              <w:right w:val="nil"/>
            </w:tcBorders>
            <w:vAlign w:val="center"/>
          </w:tcPr>
          <w:p w:rsidR="00132004" w:rsidRPr="00D20211" w:rsidP="00132004" w14:paraId="4A68323B" w14:textId="2CC9EED5">
            <w:pPr>
              <w:autoSpaceDE w:val="0"/>
              <w:autoSpaceDN w:val="0"/>
              <w:adjustRightInd w:val="0"/>
              <w:spacing w:after="0" w:line="240" w:lineRule="auto"/>
              <w:rPr>
                <w:rFonts w:cstheme="minorHAnsi"/>
                <w:sz w:val="20"/>
                <w:szCs w:val="20"/>
              </w:rPr>
            </w:pPr>
            <w:r>
              <w:rPr>
                <w:rFonts w:cstheme="minorHAnsi"/>
                <w:sz w:val="20"/>
                <w:szCs w:val="20"/>
              </w:rPr>
              <w:t>HRSA</w:t>
            </w:r>
          </w:p>
        </w:tc>
      </w:tr>
      <w:tr w14:paraId="195B736A" w14:textId="77777777" w:rsidTr="48D86499">
        <w:tblPrEx>
          <w:tblW w:w="0" w:type="auto"/>
          <w:tblLook w:val="04A0"/>
        </w:tblPrEx>
        <w:trPr>
          <w:trHeight w:val="300"/>
        </w:trPr>
        <w:tc>
          <w:tcPr>
            <w:tcW w:w="2340" w:type="dxa"/>
            <w:tcBorders>
              <w:top w:val="nil"/>
              <w:left w:val="nil"/>
              <w:bottom w:val="nil"/>
              <w:right w:val="nil"/>
            </w:tcBorders>
            <w:vAlign w:val="center"/>
          </w:tcPr>
          <w:p w:rsidR="00132004" w:rsidRPr="00D20211" w:rsidP="00132004" w14:paraId="3EBD3CF2" w14:textId="75422C4D">
            <w:pPr>
              <w:autoSpaceDE w:val="0"/>
              <w:autoSpaceDN w:val="0"/>
              <w:adjustRightInd w:val="0"/>
              <w:spacing w:after="0" w:line="240" w:lineRule="auto"/>
              <w:jc w:val="both"/>
              <w:rPr>
                <w:rFonts w:cstheme="minorHAnsi"/>
                <w:sz w:val="20"/>
                <w:szCs w:val="20"/>
              </w:rPr>
            </w:pPr>
            <w:r>
              <w:rPr>
                <w:rFonts w:cstheme="minorHAnsi"/>
                <w:sz w:val="20"/>
                <w:szCs w:val="20"/>
              </w:rPr>
              <w:t>Karen Remley</w:t>
            </w:r>
          </w:p>
        </w:tc>
        <w:tc>
          <w:tcPr>
            <w:tcW w:w="990" w:type="dxa"/>
            <w:tcBorders>
              <w:top w:val="nil"/>
              <w:left w:val="nil"/>
              <w:bottom w:val="nil"/>
              <w:right w:val="nil"/>
            </w:tcBorders>
            <w:vAlign w:val="center"/>
          </w:tcPr>
          <w:p w:rsidR="00132004" w:rsidRPr="00D20211" w:rsidP="00132004" w14:paraId="2D7441A6" w14:textId="1EDF8E8B">
            <w:pPr>
              <w:autoSpaceDE w:val="0"/>
              <w:autoSpaceDN w:val="0"/>
              <w:adjustRightInd w:val="0"/>
              <w:spacing w:after="0" w:line="240" w:lineRule="auto"/>
              <w:jc w:val="both"/>
              <w:rPr>
                <w:rFonts w:cstheme="minorHAnsi"/>
                <w:sz w:val="20"/>
                <w:szCs w:val="20"/>
              </w:rPr>
            </w:pPr>
            <w:r>
              <w:rPr>
                <w:rFonts w:cstheme="minorHAnsi"/>
                <w:sz w:val="20"/>
                <w:szCs w:val="20"/>
              </w:rPr>
              <w:t>Director</w:t>
            </w:r>
          </w:p>
        </w:tc>
        <w:tc>
          <w:tcPr>
            <w:tcW w:w="1710" w:type="dxa"/>
            <w:tcBorders>
              <w:top w:val="nil"/>
              <w:left w:val="nil"/>
              <w:bottom w:val="nil"/>
              <w:right w:val="nil"/>
            </w:tcBorders>
            <w:vAlign w:val="center"/>
          </w:tcPr>
          <w:p w:rsidR="00132004" w:rsidRPr="00D20211" w:rsidP="00132004" w14:paraId="7CD7E388" w14:textId="630ED02E">
            <w:pPr>
              <w:autoSpaceDE w:val="0"/>
              <w:autoSpaceDN w:val="0"/>
              <w:adjustRightInd w:val="0"/>
              <w:spacing w:after="0" w:line="240" w:lineRule="auto"/>
              <w:jc w:val="both"/>
              <w:rPr>
                <w:rFonts w:cstheme="minorHAnsi"/>
                <w:sz w:val="20"/>
                <w:szCs w:val="20"/>
              </w:rPr>
            </w:pPr>
            <w:r>
              <w:rPr>
                <w:rFonts w:cstheme="minorHAnsi"/>
                <w:sz w:val="20"/>
                <w:szCs w:val="20"/>
              </w:rPr>
              <w:t>NCBDDD</w:t>
            </w:r>
          </w:p>
        </w:tc>
      </w:tr>
    </w:tbl>
    <w:p w:rsidR="003B2A57" w:rsidRPr="00D20211" w:rsidP="003B2A57" w14:paraId="7DD86769" w14:textId="77777777">
      <w:pPr>
        <w:autoSpaceDE w:val="0"/>
        <w:autoSpaceDN w:val="0"/>
        <w:adjustRightInd w:val="0"/>
        <w:spacing w:line="240" w:lineRule="auto"/>
        <w:rPr>
          <w:rFonts w:cs="ITCFranklinGothicStd-Book"/>
          <w:sz w:val="24"/>
          <w:szCs w:val="24"/>
        </w:rPr>
      </w:pPr>
    </w:p>
    <w:p w:rsidR="00B45002" w:rsidRPr="00D20211" w:rsidP="00601F1A" w14:paraId="0A014A5E" w14:textId="1E22B3DE">
      <w:pPr>
        <w:pStyle w:val="Heading1"/>
        <w:pBdr>
          <w:bottom w:val="none" w:sz="0" w:space="0" w:color="auto"/>
        </w:pBdr>
        <w:rPr>
          <w:color w:val="auto"/>
        </w:rPr>
      </w:pPr>
      <w:bookmarkStart w:id="13" w:name="_Toc119852198"/>
      <w:r w:rsidRPr="00D20211">
        <w:rPr>
          <w:color w:val="auto"/>
        </w:rPr>
        <w:t>A.</w:t>
      </w:r>
      <w:r w:rsidRPr="00D20211" w:rsidR="004D21C9">
        <w:rPr>
          <w:color w:val="auto"/>
        </w:rPr>
        <w:t xml:space="preserve">9.  </w:t>
      </w:r>
      <w:r w:rsidRPr="00D20211">
        <w:rPr>
          <w:color w:val="auto"/>
        </w:rPr>
        <w:t>Explanation of Any Payment or Gift to Respondents</w:t>
      </w:r>
      <w:bookmarkEnd w:id="13"/>
    </w:p>
    <w:p w:rsidR="00100D0E" w:rsidP="00524D01" w14:paraId="043F830F" w14:textId="282DBCD0">
      <w:pPr>
        <w:autoSpaceDE w:val="0"/>
        <w:autoSpaceDN w:val="0"/>
        <w:adjustRightInd w:val="0"/>
        <w:spacing w:after="0" w:line="240" w:lineRule="auto"/>
        <w:rPr>
          <w:sz w:val="24"/>
          <w:szCs w:val="24"/>
        </w:rPr>
      </w:pPr>
    </w:p>
    <w:p w:rsidR="00C80BBD" w:rsidRPr="00D067B8" w:rsidP="00524D01" w14:paraId="7DB12F9B" w14:textId="62A4C28D">
      <w:pPr>
        <w:autoSpaceDE w:val="0"/>
        <w:autoSpaceDN w:val="0"/>
        <w:adjustRightInd w:val="0"/>
        <w:spacing w:after="0" w:line="240" w:lineRule="auto"/>
        <w:rPr>
          <w:sz w:val="24"/>
          <w:szCs w:val="24"/>
        </w:rPr>
      </w:pPr>
      <w:r w:rsidRPr="00D067B8">
        <w:rPr>
          <w:sz w:val="24"/>
          <w:szCs w:val="24"/>
        </w:rPr>
        <w:t xml:space="preserve">There is no plan to offer incentives or any payment to respondents. </w:t>
      </w:r>
    </w:p>
    <w:p w:rsidR="00C80BBD" w:rsidRPr="00C80BBD" w:rsidP="00524D01" w14:paraId="65C884DF" w14:textId="77777777">
      <w:pPr>
        <w:autoSpaceDE w:val="0"/>
        <w:autoSpaceDN w:val="0"/>
        <w:adjustRightInd w:val="0"/>
        <w:spacing w:after="0" w:line="240" w:lineRule="auto"/>
        <w:rPr>
          <w:b/>
          <w:bCs/>
          <w:sz w:val="24"/>
          <w:szCs w:val="24"/>
        </w:rPr>
      </w:pPr>
    </w:p>
    <w:p w:rsidR="00B45002" w:rsidRPr="00D20211" w:rsidP="00601F1A" w14:paraId="6E8EA09B" w14:textId="11C3C329">
      <w:pPr>
        <w:pStyle w:val="Heading1"/>
        <w:pBdr>
          <w:bottom w:val="none" w:sz="0" w:space="0" w:color="auto"/>
        </w:pBdr>
        <w:rPr>
          <w:color w:val="auto"/>
        </w:rPr>
      </w:pPr>
      <w:bookmarkStart w:id="14" w:name="_Toc119852199"/>
      <w:r w:rsidRPr="0069721F">
        <w:rPr>
          <w:color w:val="auto"/>
        </w:rPr>
        <w:t>A.</w:t>
      </w:r>
      <w:r w:rsidRPr="0069721F" w:rsidR="004D21C9">
        <w:rPr>
          <w:color w:val="auto"/>
        </w:rPr>
        <w:t xml:space="preserve">10.  </w:t>
      </w:r>
      <w:r w:rsidRPr="0069721F">
        <w:rPr>
          <w:color w:val="auto"/>
        </w:rPr>
        <w:t xml:space="preserve">Protection of </w:t>
      </w:r>
      <w:r w:rsidRPr="0069721F">
        <w:rPr>
          <w:color w:val="auto"/>
        </w:rPr>
        <w:t>the Privacy</w:t>
      </w:r>
      <w:r w:rsidRPr="0069721F">
        <w:rPr>
          <w:color w:val="auto"/>
        </w:rPr>
        <w:t xml:space="preserve"> and Confidentiality of Information Provided by Respondents</w:t>
      </w:r>
      <w:bookmarkEnd w:id="14"/>
    </w:p>
    <w:p w:rsidR="00CF7455" w:rsidP="00CF7455" w14:paraId="24BF9EC4" w14:textId="64065AF7">
      <w:pPr>
        <w:autoSpaceDE w:val="0"/>
        <w:autoSpaceDN w:val="0"/>
        <w:adjustRightInd w:val="0"/>
        <w:spacing w:line="240" w:lineRule="auto"/>
        <w:rPr>
          <w:rFonts w:cs="ITCFranklinGothicStd-Book"/>
          <w:sz w:val="24"/>
          <w:szCs w:val="24"/>
          <w:u w:val="single"/>
        </w:rPr>
      </w:pPr>
    </w:p>
    <w:p w:rsidR="004C4CD5" w:rsidP="004C4CD5" w14:paraId="6C82C4A3" w14:textId="68FBE545">
      <w:pPr>
        <w:autoSpaceDE w:val="0"/>
        <w:autoSpaceDN w:val="0"/>
        <w:adjustRightInd w:val="0"/>
        <w:spacing w:after="0" w:line="240" w:lineRule="auto"/>
        <w:rPr>
          <w:rFonts w:cstheme="minorHAnsi"/>
          <w:sz w:val="24"/>
          <w:szCs w:val="24"/>
        </w:rPr>
      </w:pPr>
      <w:r w:rsidRPr="00B5574A">
        <w:rPr>
          <w:rFonts w:cstheme="minorHAnsi"/>
          <w:sz w:val="24"/>
          <w:szCs w:val="24"/>
        </w:rPr>
        <w:t xml:space="preserve">Activities </w:t>
      </w:r>
      <w:r w:rsidRPr="00B5574A" w:rsidR="00B53BF5">
        <w:rPr>
          <w:rFonts w:cstheme="minorHAnsi"/>
          <w:sz w:val="24"/>
          <w:szCs w:val="24"/>
        </w:rPr>
        <w:t>in ED3N</w:t>
      </w:r>
      <w:r w:rsidRPr="00B5574A">
        <w:rPr>
          <w:rFonts w:cstheme="minorHAnsi"/>
          <w:sz w:val="24"/>
          <w:szCs w:val="24"/>
        </w:rPr>
        <w:t xml:space="preserve"> </w:t>
      </w:r>
      <w:r w:rsidRPr="00B5574A" w:rsidR="0026395A">
        <w:rPr>
          <w:rFonts w:cstheme="minorHAnsi"/>
          <w:sz w:val="24"/>
          <w:szCs w:val="24"/>
        </w:rPr>
        <w:t xml:space="preserve">do not </w:t>
      </w:r>
      <w:r w:rsidRPr="00B5574A">
        <w:rPr>
          <w:rFonts w:cstheme="minorHAnsi"/>
          <w:sz w:val="24"/>
          <w:szCs w:val="24"/>
        </w:rPr>
        <w:t xml:space="preserve">involve the collection of directly individually identifiable information (IIF). The CDC Chief Privacy Officer reviewed this submission and determined that the Privacy Act does not apply on </w:t>
      </w:r>
      <w:r w:rsidRPr="00B5574A" w:rsidR="00D91189">
        <w:rPr>
          <w:rFonts w:cstheme="minorHAnsi"/>
          <w:sz w:val="24"/>
          <w:szCs w:val="24"/>
        </w:rPr>
        <w:t>May 24</w:t>
      </w:r>
      <w:r w:rsidRPr="00B5574A">
        <w:rPr>
          <w:rFonts w:cstheme="minorHAnsi"/>
          <w:sz w:val="24"/>
          <w:szCs w:val="24"/>
        </w:rPr>
        <w:t xml:space="preserve">, </w:t>
      </w:r>
      <w:r w:rsidRPr="00B5574A" w:rsidR="00D91189">
        <w:rPr>
          <w:rFonts w:cstheme="minorHAnsi"/>
          <w:sz w:val="24"/>
          <w:szCs w:val="24"/>
        </w:rPr>
        <w:t>2024</w:t>
      </w:r>
      <w:r w:rsidRPr="00B5574A" w:rsidR="002358BA">
        <w:rPr>
          <w:rFonts w:cstheme="minorHAnsi"/>
          <w:sz w:val="24"/>
          <w:szCs w:val="24"/>
        </w:rPr>
        <w:t xml:space="preserve">. </w:t>
      </w:r>
      <w:r w:rsidRPr="00E2466C" w:rsidR="002358BA">
        <w:rPr>
          <w:rFonts w:cstheme="minorHAnsi"/>
          <w:sz w:val="24"/>
          <w:szCs w:val="24"/>
        </w:rPr>
        <w:t xml:space="preserve">Approval for a Privacy Impact Assessment (PIA) was </w:t>
      </w:r>
      <w:r w:rsidRPr="00E2466C">
        <w:rPr>
          <w:rFonts w:cstheme="minorHAnsi"/>
          <w:sz w:val="24"/>
          <w:szCs w:val="24"/>
        </w:rPr>
        <w:t>co-signed by the HHS Senior Agency Official for Privacy</w:t>
      </w:r>
      <w:r w:rsidRPr="00E2466C" w:rsidR="002358BA">
        <w:rPr>
          <w:rFonts w:cstheme="minorHAnsi"/>
          <w:sz w:val="24"/>
          <w:szCs w:val="24"/>
        </w:rPr>
        <w:t xml:space="preserve"> o</w:t>
      </w:r>
      <w:r w:rsidRPr="00E2466C" w:rsidR="005E7FA6">
        <w:rPr>
          <w:rFonts w:cstheme="minorHAnsi"/>
          <w:sz w:val="24"/>
          <w:szCs w:val="24"/>
        </w:rPr>
        <w:t xml:space="preserve">n </w:t>
      </w:r>
      <w:r w:rsidRPr="00E2466C" w:rsidR="00D91189">
        <w:rPr>
          <w:rFonts w:cstheme="minorHAnsi"/>
          <w:sz w:val="24"/>
          <w:szCs w:val="24"/>
        </w:rPr>
        <w:t>January 03</w:t>
      </w:r>
      <w:r w:rsidRPr="00E2466C" w:rsidR="005E7FA6">
        <w:rPr>
          <w:rFonts w:cstheme="minorHAnsi"/>
          <w:sz w:val="24"/>
          <w:szCs w:val="24"/>
        </w:rPr>
        <w:t xml:space="preserve">, </w:t>
      </w:r>
      <w:r w:rsidRPr="00E2466C" w:rsidR="00D91189">
        <w:rPr>
          <w:rFonts w:cstheme="minorHAnsi"/>
          <w:sz w:val="24"/>
          <w:szCs w:val="24"/>
        </w:rPr>
        <w:t xml:space="preserve">2025 </w:t>
      </w:r>
      <w:r w:rsidRPr="00E2466C" w:rsidR="002358BA">
        <w:rPr>
          <w:rFonts w:cstheme="minorHAnsi"/>
          <w:sz w:val="24"/>
          <w:szCs w:val="24"/>
        </w:rPr>
        <w:t>(</w:t>
      </w:r>
      <w:r w:rsidRPr="00E2466C" w:rsidR="002358BA">
        <w:rPr>
          <w:rFonts w:cstheme="minorHAnsi"/>
          <w:b/>
          <w:sz w:val="24"/>
          <w:szCs w:val="24"/>
        </w:rPr>
        <w:t xml:space="preserve">Attachment </w:t>
      </w:r>
      <w:r w:rsidRPr="00E2466C" w:rsidR="00832305">
        <w:rPr>
          <w:rFonts w:cstheme="minorHAnsi"/>
          <w:b/>
          <w:sz w:val="24"/>
          <w:szCs w:val="24"/>
        </w:rPr>
        <w:t>4</w:t>
      </w:r>
      <w:r w:rsidRPr="00E2466C" w:rsidR="00C71D13">
        <w:rPr>
          <w:rFonts w:cstheme="minorHAnsi"/>
          <w:b/>
          <w:sz w:val="24"/>
          <w:szCs w:val="24"/>
        </w:rPr>
        <w:t>a</w:t>
      </w:r>
      <w:r w:rsidRPr="00E2466C" w:rsidR="002358BA">
        <w:rPr>
          <w:rFonts w:cstheme="minorHAnsi"/>
          <w:sz w:val="24"/>
          <w:szCs w:val="24"/>
        </w:rPr>
        <w:t>).</w:t>
      </w:r>
    </w:p>
    <w:p w:rsidR="004C4CD5" w:rsidP="004C4CD5" w14:paraId="7ADC8A4F" w14:textId="77777777">
      <w:pPr>
        <w:autoSpaceDE w:val="0"/>
        <w:autoSpaceDN w:val="0"/>
        <w:adjustRightInd w:val="0"/>
        <w:spacing w:after="0" w:line="240" w:lineRule="auto"/>
        <w:rPr>
          <w:rFonts w:cstheme="minorHAnsi"/>
          <w:sz w:val="24"/>
          <w:szCs w:val="24"/>
        </w:rPr>
      </w:pPr>
    </w:p>
    <w:p w:rsidR="0069721F" w:rsidRPr="004C4CD5" w:rsidP="004C4CD5" w14:paraId="03F1B713" w14:textId="77A1C548">
      <w:pPr>
        <w:autoSpaceDE w:val="0"/>
        <w:autoSpaceDN w:val="0"/>
        <w:adjustRightInd w:val="0"/>
        <w:spacing w:after="0" w:line="240" w:lineRule="auto"/>
        <w:rPr>
          <w:rFonts w:cstheme="minorHAnsi"/>
          <w:sz w:val="24"/>
          <w:szCs w:val="24"/>
        </w:rPr>
      </w:pPr>
      <w:r w:rsidRPr="004C4CD5">
        <w:rPr>
          <w:rFonts w:cstheme="minorHAnsi"/>
          <w:sz w:val="24"/>
          <w:szCs w:val="24"/>
        </w:rPr>
        <w:t xml:space="preserve">Data collected through the ED3N project will not include </w:t>
      </w:r>
      <w:r w:rsidR="0026395A">
        <w:rPr>
          <w:rFonts w:cstheme="minorHAnsi"/>
          <w:sz w:val="24"/>
          <w:szCs w:val="24"/>
        </w:rPr>
        <w:t>direct</w:t>
      </w:r>
      <w:r w:rsidRPr="004C4CD5">
        <w:rPr>
          <w:rFonts w:cstheme="minorHAnsi"/>
          <w:sz w:val="24"/>
          <w:szCs w:val="24"/>
        </w:rPr>
        <w:t>ly identifiable data (i.e., names, addresses, etc.) from NBS programs or clinical sites. However, some individuals could be identified indirectly thro</w:t>
      </w:r>
      <w:r w:rsidRPr="0069721F">
        <w:rPr>
          <w:rFonts w:cs="ITCFranklinGothicStd-Book"/>
          <w:sz w:val="24"/>
          <w:szCs w:val="24"/>
        </w:rPr>
        <w:t>ugh combinations of variables, so information shared could be potentially identifiable.  In addition to potentially identifiable data, these data are considered sensitive. All data collected will be at the infant level, including any associated data such as parent demographics. Use of non-identifiable unique identifiers will be associated with newborn records in the system and will be used as the primary key for maintaining linkage of data for a given newborn in the system. Names will not be collected as part of ED3N.</w:t>
      </w:r>
    </w:p>
    <w:p w:rsidR="00763C20" w:rsidRPr="0069721F" w:rsidP="0069721F" w14:paraId="62DC99D5" w14:textId="3C68B107">
      <w:pPr>
        <w:autoSpaceDE w:val="0"/>
        <w:autoSpaceDN w:val="0"/>
        <w:adjustRightInd w:val="0"/>
        <w:spacing w:line="240" w:lineRule="auto"/>
        <w:rPr>
          <w:rFonts w:cs="ITCFranklinGothicStd-Book"/>
          <w:sz w:val="24"/>
          <w:szCs w:val="24"/>
        </w:rPr>
      </w:pPr>
      <w:r w:rsidRPr="0069721F">
        <w:rPr>
          <w:rFonts w:cs="ITCFranklinGothicStd-Book"/>
          <w:sz w:val="24"/>
          <w:szCs w:val="24"/>
        </w:rPr>
        <w:t xml:space="preserve">Each NBS program staff members will have their own user </w:t>
      </w:r>
      <w:r w:rsidRPr="0069721F" w:rsidR="00C7465D">
        <w:rPr>
          <w:rFonts w:cs="ITCFranklinGothicStd-Book"/>
          <w:sz w:val="24"/>
          <w:szCs w:val="24"/>
        </w:rPr>
        <w:t>logins</w:t>
      </w:r>
      <w:r w:rsidRPr="0069721F">
        <w:rPr>
          <w:rFonts w:cs="ITCFranklinGothicStd-Book"/>
          <w:sz w:val="24"/>
          <w:szCs w:val="24"/>
        </w:rPr>
        <w:t xml:space="preserve"> where they can only access individual-level information related to their own program; they will not have access to individual-level data from other NBS programs. Access to all submitted data will be managed by CDC’s Secure Access Management System (SAMS), which performs credential and identity authentication and grants authorization to access the ED3N application. SAMS and the CDC ED3N Data Administrator shall collaborate to manage all data access, remove users that no longer require access, and track all attempts to access ED3N in collaboration with the CDC Cloud Task Force. The CDC Cloud Task Force, which resides in CDC’s Office of the Chief Information Officer (OCIO), in part </w:t>
      </w:r>
      <w:r w:rsidRPr="0069721F">
        <w:rPr>
          <w:rFonts w:cs="ITCFranklinGothicStd-Book"/>
          <w:sz w:val="24"/>
          <w:szCs w:val="24"/>
        </w:rPr>
        <w:t>provides assistance to</w:t>
      </w:r>
      <w:r w:rsidRPr="0069721F">
        <w:rPr>
          <w:rFonts w:cs="ITCFranklinGothicStd-Book"/>
          <w:sz w:val="24"/>
          <w:szCs w:val="24"/>
        </w:rPr>
        <w:t xml:space="preserve"> programs with migrating information technology (IT) applications and systems to cloud environments to promote increased scalability, flexibility, collaboration, and access to the latest tools and technologies. ED3N defines user roles with specific data access rights and functionality and </w:t>
      </w:r>
      <w:r w:rsidRPr="0069721F">
        <w:rPr>
          <w:rFonts w:cs="ITCFranklinGothicStd-Book"/>
          <w:sz w:val="24"/>
          <w:szCs w:val="24"/>
        </w:rPr>
        <w:t>has the ability to</w:t>
      </w:r>
      <w:r w:rsidRPr="0069721F">
        <w:rPr>
          <w:rFonts w:cs="ITCFranklinGothicStd-Book"/>
          <w:sz w:val="24"/>
          <w:szCs w:val="24"/>
        </w:rPr>
        <w:t xml:space="preserve"> limit user data access using these roles.  </w:t>
      </w:r>
    </w:p>
    <w:p w:rsidR="002928DF" w:rsidRPr="0069721F" w:rsidP="0069721F" w14:paraId="145CA6A0" w14:textId="107959E0">
      <w:pPr>
        <w:autoSpaceDE w:val="0"/>
        <w:autoSpaceDN w:val="0"/>
        <w:adjustRightInd w:val="0"/>
        <w:spacing w:line="240" w:lineRule="auto"/>
        <w:rPr>
          <w:rFonts w:cs="ITCFranklinGothicStd-Book"/>
          <w:sz w:val="24"/>
          <w:szCs w:val="24"/>
        </w:rPr>
        <w:sectPr w:rsidSect="002928D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cols w:space="720"/>
          <w:docGrid w:linePitch="360"/>
        </w:sectPr>
      </w:pPr>
      <w:r w:rsidRPr="0069721F">
        <w:rPr>
          <w:rFonts w:cs="ITCFranklinGothicStd-Book"/>
          <w:sz w:val="24"/>
          <w:szCs w:val="24"/>
        </w:rPr>
        <w:t>The following IIF Categories apply</w:t>
      </w:r>
      <w:r w:rsidRPr="0069721F" w:rsidR="00EC5E2E">
        <w:rPr>
          <w:rFonts w:cs="ITCFranklinGothicStd-Book"/>
          <w:sz w:val="24"/>
          <w:szCs w:val="24"/>
        </w:rPr>
        <w:t xml:space="preserve"> to this information collection</w:t>
      </w:r>
      <w:r w:rsidRPr="0069721F" w:rsidR="00D72EA8">
        <w:rPr>
          <w:rFonts w:cs="ITCFranklinGothicStd-Book"/>
          <w:sz w:val="24"/>
          <w:szCs w:val="24"/>
        </w:rPr>
        <w:t xml:space="preserve"> (</w:t>
      </w:r>
      <w:r w:rsidRPr="0069721F" w:rsidR="00D72EA8">
        <w:rPr>
          <w:rFonts w:cs="ITCFranklinGothicStd-Book"/>
          <w:b/>
          <w:sz w:val="24"/>
          <w:szCs w:val="24"/>
        </w:rPr>
        <w:t>Attachment</w:t>
      </w:r>
      <w:r w:rsidR="006D7626">
        <w:rPr>
          <w:rFonts w:cs="ITCFranklinGothicStd-Book"/>
          <w:b/>
          <w:sz w:val="24"/>
          <w:szCs w:val="24"/>
        </w:rPr>
        <w:t>s</w:t>
      </w:r>
      <w:r w:rsidR="0069721F">
        <w:rPr>
          <w:rFonts w:cs="ITCFranklinGothicStd-Book"/>
          <w:b/>
          <w:sz w:val="24"/>
          <w:szCs w:val="24"/>
        </w:rPr>
        <w:t xml:space="preserve"> 3</w:t>
      </w:r>
      <w:r w:rsidR="00832305">
        <w:rPr>
          <w:rFonts w:cs="ITCFranklinGothicStd-Book"/>
          <w:b/>
          <w:sz w:val="24"/>
          <w:szCs w:val="24"/>
        </w:rPr>
        <w:t>a</w:t>
      </w:r>
      <w:r w:rsidRPr="0069721F" w:rsidR="00D72EA8">
        <w:rPr>
          <w:rFonts w:cs="ITCFranklinGothicStd-Book"/>
          <w:b/>
          <w:sz w:val="24"/>
          <w:szCs w:val="24"/>
        </w:rPr>
        <w:t xml:space="preserve"> &amp; </w:t>
      </w:r>
      <w:r w:rsidR="006D7626">
        <w:rPr>
          <w:rFonts w:cs="ITCFranklinGothicStd-Book"/>
          <w:b/>
          <w:sz w:val="24"/>
          <w:szCs w:val="24"/>
        </w:rPr>
        <w:t>3</w:t>
      </w:r>
      <w:r w:rsidR="00832305">
        <w:rPr>
          <w:rFonts w:cs="ITCFranklinGothicStd-Book"/>
          <w:b/>
          <w:sz w:val="24"/>
          <w:szCs w:val="24"/>
        </w:rPr>
        <w:t>b</w:t>
      </w:r>
      <w:r w:rsidRPr="0069721F" w:rsidR="00D72EA8">
        <w:rPr>
          <w:rFonts w:cs="ITCFranklinGothicStd-Book"/>
          <w:sz w:val="24"/>
          <w:szCs w:val="24"/>
        </w:rPr>
        <w:t>)</w:t>
      </w:r>
      <w:r w:rsidRPr="0069721F" w:rsidR="00E95E60">
        <w:rPr>
          <w:rFonts w:cs="ITCFranklinGothicStd-Book"/>
          <w:sz w:val="24"/>
          <w:szCs w:val="24"/>
        </w:rPr>
        <w:t>:</w:t>
      </w:r>
    </w:p>
    <w:p w:rsidR="002928DF" w:rsidRPr="00D20211" w:rsidP="002928DF" w14:paraId="263A7714" w14:textId="06FD3A97">
      <w:pPr>
        <w:pStyle w:val="CommentText"/>
        <w:spacing w:after="0"/>
        <w:ind w:left="1512"/>
      </w:pPr>
      <w:sdt>
        <w:sdtPr>
          <w:rPr>
            <w:rFonts w:ascii="Segoe UI Symbol" w:hAnsi="Segoe UI Symbol" w:cs="Segoe UI Symbol"/>
          </w:rPr>
          <w:id w:val="51742900"/>
          <w14:checkbox>
            <w14:checked w14:val="1"/>
            <w14:checkedState w14:val="2612" w14:font="MS Gothic"/>
            <w14:uncheckedState w14:val="2610" w14:font="MS Gothic"/>
          </w14:checkbox>
        </w:sdtPr>
        <w:sdtContent>
          <w:r w:rsidR="0069721F">
            <w:rPr>
              <w:rFonts w:ascii="MS Gothic" w:eastAsia="MS Gothic" w:hAnsi="MS Gothic" w:cs="MS Gothic" w:hint="eastAsia"/>
            </w:rPr>
            <w:t>☒</w:t>
          </w:r>
        </w:sdtContent>
      </w:sdt>
      <w:r w:rsidRPr="00D20211" w:rsidR="001B12BC">
        <w:t xml:space="preserve"> Date of Birth</w:t>
      </w:r>
    </w:p>
    <w:p w:rsidR="002928DF" w:rsidRPr="00D20211" w:rsidP="002928DF" w14:paraId="036E0FE3" w14:textId="04B807DA">
      <w:pPr>
        <w:pStyle w:val="CommentText"/>
        <w:spacing w:after="0"/>
        <w:ind w:left="792" w:firstLine="720"/>
      </w:pPr>
      <w:sdt>
        <w:sdtPr>
          <w:rPr>
            <w:rFonts w:ascii="Segoe UI Symbol" w:hAnsi="Segoe UI Symbol" w:cs="Segoe UI Symbol"/>
          </w:rPr>
          <w:id w:val="1665672177"/>
          <w14:checkbox>
            <w14:checked w14:val="1"/>
            <w14:checkedState w14:val="2612" w14:font="MS Gothic"/>
            <w14:uncheckedState w14:val="2610" w14:font="MS Gothic"/>
          </w14:checkbox>
        </w:sdtPr>
        <w:sdtContent>
          <w:r w:rsidR="0069721F">
            <w:rPr>
              <w:rFonts w:ascii="MS Gothic" w:eastAsia="MS Gothic" w:hAnsi="MS Gothic" w:cs="MS Gothic" w:hint="eastAsia"/>
            </w:rPr>
            <w:t>☒</w:t>
          </w:r>
        </w:sdtContent>
      </w:sdt>
      <w:r w:rsidRPr="00D20211" w:rsidR="001B12BC">
        <w:t xml:space="preserve"> Medical Information and Notes</w:t>
      </w:r>
    </w:p>
    <w:p w:rsidR="002928DF" w:rsidRPr="00D20211" w:rsidP="002928DF" w14:paraId="30643595" w14:textId="48CAB326">
      <w:pPr>
        <w:pStyle w:val="CommentText"/>
        <w:spacing w:after="0"/>
        <w:ind w:left="792" w:firstLine="720"/>
      </w:pPr>
      <w:sdt>
        <w:sdtPr>
          <w:rPr>
            <w:rFonts w:ascii="Segoe UI Symbol" w:hAnsi="Segoe UI Symbol" w:cs="Segoe UI Symbol"/>
          </w:rPr>
          <w:id w:val="773438072"/>
          <w14:checkbox>
            <w14:checked w14:val="1"/>
            <w14:checkedState w14:val="2612" w14:font="MS Gothic"/>
            <w14:uncheckedState w14:val="2610" w14:font="MS Gothic"/>
          </w14:checkbox>
        </w:sdtPr>
        <w:sdtContent>
          <w:r w:rsidR="0069721F">
            <w:rPr>
              <w:rFonts w:ascii="MS Gothic" w:eastAsia="MS Gothic" w:hAnsi="MS Gothic" w:cs="MS Gothic" w:hint="eastAsia"/>
            </w:rPr>
            <w:t>☒</w:t>
          </w:r>
        </w:sdtContent>
      </w:sdt>
      <w:r w:rsidRPr="00D20211" w:rsidR="001B12BC">
        <w:t xml:space="preserve"> Medical Records Numbers</w:t>
      </w:r>
    </w:p>
    <w:p w:rsidR="002928DF" w:rsidRPr="00D20211" w:rsidP="00CA149D" w14:paraId="723ED665" w14:textId="46DD528D">
      <w:pPr>
        <w:pStyle w:val="CommentText"/>
        <w:spacing w:after="0"/>
        <w:rPr>
          <w:rFonts w:cs="ITCFranklinGothicStd-Book"/>
          <w:sz w:val="24"/>
          <w:szCs w:val="24"/>
        </w:rPr>
        <w:sectPr w:rsidSect="00F91C38">
          <w:type w:val="continuous"/>
          <w:pgSz w:w="12240" w:h="15840" w:code="1"/>
          <w:pgMar w:top="1440" w:right="1440" w:bottom="1440" w:left="1440" w:header="720" w:footer="720" w:gutter="0"/>
          <w:cols w:num="2" w:space="720"/>
          <w:docGrid w:linePitch="360"/>
        </w:sectPr>
      </w:pPr>
      <w:r w:rsidRPr="00D20211">
        <w:rPr>
          <w:rFonts w:ascii="Segoe UI Symbol" w:hAnsi="Segoe UI Symbol" w:cs="Segoe UI Symbol"/>
        </w:rPr>
        <w:br w:type="column"/>
      </w:r>
    </w:p>
    <w:p w:rsidR="00A65244" w:rsidRPr="00B53BF5" w:rsidP="00B53BF5" w14:paraId="3261687A" w14:textId="7C48612F">
      <w:pPr>
        <w:autoSpaceDE w:val="0"/>
        <w:autoSpaceDN w:val="0"/>
        <w:adjustRightInd w:val="0"/>
        <w:spacing w:line="240" w:lineRule="auto"/>
        <w:rPr>
          <w:rFonts w:cs="ITCFranklinGothicStd-Book"/>
          <w:sz w:val="24"/>
          <w:szCs w:val="24"/>
        </w:rPr>
      </w:pPr>
      <w:r w:rsidRPr="00B53BF5">
        <w:rPr>
          <w:rFonts w:cs="ITCFranklinGothicStd-Book"/>
          <w:sz w:val="24"/>
          <w:szCs w:val="24"/>
        </w:rPr>
        <w:t xml:space="preserve">The Data Use Agreement </w:t>
      </w:r>
      <w:r>
        <w:rPr>
          <w:rFonts w:cs="ITCFranklinGothicStd-Book"/>
          <w:sz w:val="24"/>
          <w:szCs w:val="24"/>
        </w:rPr>
        <w:t>template</w:t>
      </w:r>
      <w:r w:rsidRPr="00B53BF5">
        <w:rPr>
          <w:rFonts w:cs="ITCFranklinGothicStd-Book"/>
          <w:sz w:val="24"/>
          <w:szCs w:val="24"/>
        </w:rPr>
        <w:t xml:space="preserve"> </w:t>
      </w:r>
      <w:r w:rsidRPr="00B53BF5" w:rsidR="00E0159D">
        <w:rPr>
          <w:rFonts w:cs="ITCFranklinGothicStd-Book"/>
          <w:sz w:val="24"/>
          <w:szCs w:val="24"/>
        </w:rPr>
        <w:t>is in</w:t>
      </w:r>
      <w:r w:rsidRPr="00B53BF5">
        <w:rPr>
          <w:rFonts w:cs="ITCFranklinGothicStd-Book"/>
          <w:sz w:val="24"/>
          <w:szCs w:val="24"/>
        </w:rPr>
        <w:t xml:space="preserve"> </w:t>
      </w:r>
      <w:r w:rsidRPr="00B53BF5">
        <w:rPr>
          <w:rFonts w:cs="ITCFranklinGothicStd-Book"/>
          <w:b/>
          <w:sz w:val="24"/>
          <w:szCs w:val="24"/>
        </w:rPr>
        <w:t xml:space="preserve">Attachment </w:t>
      </w:r>
      <w:r>
        <w:rPr>
          <w:rFonts w:cs="ITCFranklinGothicStd-Book"/>
          <w:b/>
          <w:sz w:val="24"/>
          <w:szCs w:val="24"/>
        </w:rPr>
        <w:t>4</w:t>
      </w:r>
      <w:r w:rsidR="00C71D13">
        <w:rPr>
          <w:rFonts w:cs="ITCFranklinGothicStd-Book"/>
          <w:b/>
          <w:sz w:val="24"/>
          <w:szCs w:val="24"/>
        </w:rPr>
        <w:t>b</w:t>
      </w:r>
      <w:r>
        <w:rPr>
          <w:rFonts w:cs="ITCFranklinGothicStd-Book"/>
          <w:b/>
          <w:sz w:val="24"/>
          <w:szCs w:val="24"/>
        </w:rPr>
        <w:t xml:space="preserve"> </w:t>
      </w:r>
      <w:r>
        <w:rPr>
          <w:rFonts w:cs="ITCFranklinGothicStd-Book"/>
          <w:bCs/>
          <w:sz w:val="24"/>
          <w:szCs w:val="24"/>
        </w:rPr>
        <w:t>and describes the data/information collection procedures, roles, and data ownership and stewardship</w:t>
      </w:r>
      <w:r w:rsidRPr="00B53BF5">
        <w:rPr>
          <w:rFonts w:cs="ITCFranklinGothicStd-Book"/>
          <w:b/>
          <w:sz w:val="24"/>
          <w:szCs w:val="24"/>
        </w:rPr>
        <w:t xml:space="preserve">. </w:t>
      </w:r>
      <w:r w:rsidRPr="00B53BF5" w:rsidR="00A414FE">
        <w:rPr>
          <w:rFonts w:cs="ITCFranklinGothicStd-Book"/>
          <w:sz w:val="24"/>
          <w:szCs w:val="24"/>
        </w:rPr>
        <w:t>In addition, the respo</w:t>
      </w:r>
      <w:r w:rsidRPr="00B53BF5" w:rsidR="00CA72CD">
        <w:rPr>
          <w:rFonts w:cs="ITCFranklinGothicStd-Book"/>
          <w:sz w:val="24"/>
          <w:szCs w:val="24"/>
        </w:rPr>
        <w:t xml:space="preserve">ndent will be informed that </w:t>
      </w:r>
      <w:r w:rsidRPr="00B53BF5" w:rsidR="00A414FE">
        <w:rPr>
          <w:rFonts w:cs="Arial"/>
          <w:sz w:val="24"/>
          <w:szCs w:val="24"/>
        </w:rPr>
        <w:t xml:space="preserve">his or her response is </w:t>
      </w:r>
      <w:r w:rsidRPr="00B53BF5" w:rsidR="00B53BF5">
        <w:rPr>
          <w:rFonts w:cs="Arial"/>
          <w:sz w:val="24"/>
          <w:szCs w:val="24"/>
        </w:rPr>
        <w:t>voluntary.</w:t>
      </w:r>
      <w:r w:rsidR="00C13B1B">
        <w:rPr>
          <w:rFonts w:cs="Arial"/>
          <w:sz w:val="24"/>
          <w:szCs w:val="24"/>
        </w:rPr>
        <w:t xml:space="preserve"> </w:t>
      </w:r>
    </w:p>
    <w:p w:rsidR="00B53BF5" w:rsidRPr="00E2466C" w:rsidP="00CA149D" w14:paraId="2124EADB" w14:textId="38D98026">
      <w:pPr>
        <w:autoSpaceDE w:val="0"/>
        <w:autoSpaceDN w:val="0"/>
        <w:adjustRightInd w:val="0"/>
        <w:spacing w:line="240" w:lineRule="auto"/>
        <w:rPr>
          <w:rFonts w:cs="ITCFranklinGothicStd-Book"/>
          <w:bCs/>
          <w:sz w:val="24"/>
          <w:szCs w:val="24"/>
        </w:rPr>
      </w:pPr>
      <w:r w:rsidRPr="00B5574A">
        <w:rPr>
          <w:rFonts w:cs="ITCFranklinGothicStd-Book"/>
          <w:bCs/>
          <w:sz w:val="24"/>
          <w:szCs w:val="24"/>
        </w:rPr>
        <w:t xml:space="preserve">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 Information Systems Security officer (ISSO), CDC helpdesk, or to the CDC Incident Response team. The CDC OCISO reports to the HHS Secure One Communications Center, which reports </w:t>
      </w:r>
      <w:r w:rsidRPr="00B5574A" w:rsidR="00D431BD">
        <w:rPr>
          <w:rFonts w:cs="ITCFranklinGothicStd-Book"/>
          <w:bCs/>
          <w:sz w:val="24"/>
          <w:szCs w:val="24"/>
        </w:rPr>
        <w:t>incidents</w:t>
      </w:r>
      <w:r w:rsidRPr="00B5574A">
        <w:rPr>
          <w:rFonts w:cs="ITCFranklinGothicStd-Book"/>
          <w:bCs/>
          <w:sz w:val="24"/>
          <w:szCs w:val="24"/>
        </w:rPr>
        <w:t xml:space="preserve"> to US-CERT as appropriate.</w:t>
      </w:r>
    </w:p>
    <w:p w:rsidR="00B45002" w:rsidRPr="00D20211" w:rsidP="00601F1A" w14:paraId="70B45DCE" w14:textId="4B83FA44">
      <w:pPr>
        <w:pStyle w:val="Heading1"/>
        <w:pBdr>
          <w:bottom w:val="none" w:sz="0" w:space="0" w:color="auto"/>
        </w:pBdr>
        <w:rPr>
          <w:color w:val="auto"/>
        </w:rPr>
      </w:pPr>
      <w:bookmarkStart w:id="15" w:name="_Toc119852200"/>
      <w:r w:rsidRPr="00D067B8">
        <w:rPr>
          <w:color w:val="auto"/>
        </w:rPr>
        <w:t>A.</w:t>
      </w:r>
      <w:r w:rsidRPr="00D067B8" w:rsidR="004D21C9">
        <w:rPr>
          <w:color w:val="auto"/>
        </w:rPr>
        <w:t xml:space="preserve">11.  </w:t>
      </w:r>
      <w:r w:rsidRPr="00D067B8">
        <w:rPr>
          <w:color w:val="auto"/>
        </w:rPr>
        <w:t>Institutional Review Board (IRB) and Justification for Sensitive Questions</w:t>
      </w:r>
      <w:bookmarkEnd w:id="15"/>
    </w:p>
    <w:p w:rsidR="00B53975" w:rsidP="00B855BC" w14:paraId="0074E3B2" w14:textId="6357350E">
      <w:pPr>
        <w:spacing w:line="240" w:lineRule="auto"/>
      </w:pPr>
    </w:p>
    <w:p w:rsidR="00531B7B" w:rsidRPr="0026395A" w:rsidP="00B855BC" w14:paraId="239B42C3" w14:textId="22768CFA">
      <w:pPr>
        <w:spacing w:line="240" w:lineRule="auto"/>
        <w:rPr>
          <w:sz w:val="24"/>
          <w:szCs w:val="24"/>
        </w:rPr>
      </w:pPr>
      <w:r w:rsidRPr="0026395A">
        <w:rPr>
          <w:sz w:val="24"/>
          <w:szCs w:val="24"/>
        </w:rPr>
        <w:t xml:space="preserve">As this project falls under </w:t>
      </w:r>
      <w:r w:rsidRPr="0026395A" w:rsidR="008A2D4D">
        <w:rPr>
          <w:sz w:val="24"/>
          <w:szCs w:val="24"/>
        </w:rPr>
        <w:t>public health surveillance</w:t>
      </w:r>
      <w:r w:rsidRPr="0026395A" w:rsidR="00A63C9C">
        <w:rPr>
          <w:sz w:val="24"/>
          <w:szCs w:val="24"/>
        </w:rPr>
        <w:t xml:space="preserve">, IRB review </w:t>
      </w:r>
      <w:r w:rsidRPr="0026395A" w:rsidR="00094E1B">
        <w:rPr>
          <w:sz w:val="24"/>
          <w:szCs w:val="24"/>
        </w:rPr>
        <w:t>has been deemed not required</w:t>
      </w:r>
      <w:r w:rsidRPr="0026395A" w:rsidR="002358BA">
        <w:rPr>
          <w:sz w:val="24"/>
          <w:szCs w:val="24"/>
        </w:rPr>
        <w:t xml:space="preserve"> (</w:t>
      </w:r>
      <w:r w:rsidRPr="0026395A" w:rsidR="002358BA">
        <w:rPr>
          <w:b/>
          <w:bCs/>
          <w:sz w:val="24"/>
          <w:szCs w:val="24"/>
        </w:rPr>
        <w:t>Attachment 5</w:t>
      </w:r>
      <w:r w:rsidRPr="0026395A" w:rsidR="002358BA">
        <w:rPr>
          <w:sz w:val="24"/>
          <w:szCs w:val="24"/>
        </w:rPr>
        <w:t>).</w:t>
      </w:r>
      <w:r w:rsidRPr="0026395A" w:rsidR="008A2D4D">
        <w:rPr>
          <w:sz w:val="24"/>
          <w:szCs w:val="24"/>
        </w:rPr>
        <w:t xml:space="preserve"> If research is proposed using the ED3N data, </w:t>
      </w:r>
      <w:r w:rsidRPr="0026395A" w:rsidR="0023596B">
        <w:rPr>
          <w:sz w:val="24"/>
          <w:szCs w:val="24"/>
        </w:rPr>
        <w:t xml:space="preserve">CDC </w:t>
      </w:r>
      <w:r w:rsidRPr="0026395A" w:rsidR="0023596B">
        <w:rPr>
          <w:sz w:val="24"/>
          <w:szCs w:val="24"/>
        </w:rPr>
        <w:t>commits</w:t>
      </w:r>
      <w:r w:rsidRPr="0026395A" w:rsidR="0023596B">
        <w:rPr>
          <w:sz w:val="24"/>
          <w:szCs w:val="24"/>
        </w:rPr>
        <w:t xml:space="preserve"> that a</w:t>
      </w:r>
      <w:r w:rsidRPr="0026395A" w:rsidR="008A2D4D">
        <w:rPr>
          <w:sz w:val="24"/>
          <w:szCs w:val="24"/>
        </w:rPr>
        <w:t xml:space="preserve"> separate project review and determination will be conducted.</w:t>
      </w:r>
    </w:p>
    <w:p w:rsidR="00B45002" w:rsidRPr="00D20211" w:rsidP="00601F1A" w14:paraId="527F9FA5" w14:textId="5106D654">
      <w:pPr>
        <w:pStyle w:val="Heading1"/>
        <w:pBdr>
          <w:bottom w:val="none" w:sz="0" w:space="0" w:color="auto"/>
        </w:pBdr>
        <w:rPr>
          <w:color w:val="auto"/>
        </w:rPr>
      </w:pPr>
      <w:bookmarkStart w:id="16" w:name="_Toc119852201"/>
      <w:r w:rsidRPr="003B5CB9">
        <w:rPr>
          <w:color w:val="auto"/>
        </w:rPr>
        <w:t>A.</w:t>
      </w:r>
      <w:r w:rsidRPr="003B5CB9" w:rsidR="004D21C9">
        <w:rPr>
          <w:color w:val="auto"/>
        </w:rPr>
        <w:t xml:space="preserve">12.  </w:t>
      </w:r>
      <w:r w:rsidRPr="003B5CB9">
        <w:rPr>
          <w:color w:val="auto"/>
        </w:rPr>
        <w:t>Estimates of Annualized Burden Hours and Costs</w:t>
      </w:r>
      <w:bookmarkEnd w:id="16"/>
    </w:p>
    <w:p w:rsidR="00ED72E9" w:rsidP="00ED72E9" w14:paraId="1C20FEA3" w14:textId="2CC7E5B5">
      <w:pPr>
        <w:spacing w:line="240" w:lineRule="auto"/>
        <w:rPr>
          <w:sz w:val="24"/>
          <w:szCs w:val="24"/>
        </w:rPr>
      </w:pPr>
    </w:p>
    <w:p w:rsidR="003B5CB9" w:rsidRPr="003B5CB9" w:rsidP="003B5CB9" w14:paraId="6B73F787" w14:textId="390B0C97">
      <w:pPr>
        <w:spacing w:line="240" w:lineRule="auto"/>
        <w:rPr>
          <w:sz w:val="24"/>
          <w:szCs w:val="24"/>
        </w:rPr>
      </w:pPr>
      <w:r w:rsidRPr="003B5CB9">
        <w:rPr>
          <w:sz w:val="24"/>
          <w:szCs w:val="24"/>
        </w:rPr>
        <w:t xml:space="preserve">The estimated annualized burden hours were determined as follows. There are 53 domestic NBS programs in the United States. A “respondent” refers to a single NBS program. </w:t>
      </w:r>
    </w:p>
    <w:p w:rsidR="003B5CB9" w:rsidP="003B5CB9" w14:paraId="0BC41278" w14:textId="774D2E70">
      <w:pPr>
        <w:spacing w:line="240" w:lineRule="auto"/>
        <w:rPr>
          <w:sz w:val="24"/>
          <w:szCs w:val="24"/>
        </w:rPr>
      </w:pPr>
      <w:r w:rsidRPr="61038AB9">
        <w:rPr>
          <w:sz w:val="24"/>
          <w:szCs w:val="24"/>
        </w:rPr>
        <w:t>Given that data submission will ultimately be accomplished through automatic electronic data transfer, each respondent’s burden hours were split into two estimates: 1) the one-time need to set-up, test, and implement the electronic data transfer mechanism</w:t>
      </w:r>
      <w:r w:rsidRPr="61038AB9" w:rsidR="00F353A9">
        <w:rPr>
          <w:sz w:val="24"/>
          <w:szCs w:val="24"/>
        </w:rPr>
        <w:t xml:space="preserve"> (</w:t>
      </w:r>
      <w:r w:rsidRPr="00861E13" w:rsidR="00F353A9">
        <w:rPr>
          <w:b/>
          <w:bCs/>
          <w:sz w:val="24"/>
          <w:szCs w:val="24"/>
        </w:rPr>
        <w:t>Attachment 3a</w:t>
      </w:r>
      <w:r w:rsidRPr="61038AB9" w:rsidR="00F353A9">
        <w:rPr>
          <w:sz w:val="24"/>
          <w:szCs w:val="24"/>
        </w:rPr>
        <w:t>)</w:t>
      </w:r>
      <w:r w:rsidRPr="61038AB9" w:rsidR="00DF1C7A">
        <w:rPr>
          <w:sz w:val="24"/>
          <w:szCs w:val="24"/>
        </w:rPr>
        <w:t>;</w:t>
      </w:r>
      <w:r w:rsidRPr="61038AB9">
        <w:rPr>
          <w:sz w:val="24"/>
          <w:szCs w:val="24"/>
        </w:rPr>
        <w:t xml:space="preserve"> and 2) the ongoing </w:t>
      </w:r>
      <w:r w:rsidRPr="61038AB9" w:rsidR="006D48F2">
        <w:rPr>
          <w:sz w:val="24"/>
          <w:szCs w:val="24"/>
        </w:rPr>
        <w:t xml:space="preserve">daily </w:t>
      </w:r>
      <w:r w:rsidRPr="61038AB9">
        <w:rPr>
          <w:sz w:val="24"/>
          <w:szCs w:val="24"/>
        </w:rPr>
        <w:t>automatic electronic data transfer occurring after initial set-up</w:t>
      </w:r>
      <w:r w:rsidRPr="61038AB9" w:rsidR="00F353A9">
        <w:rPr>
          <w:sz w:val="24"/>
          <w:szCs w:val="24"/>
        </w:rPr>
        <w:t xml:space="preserve"> (</w:t>
      </w:r>
      <w:r w:rsidRPr="61038AB9" w:rsidR="00F353A9">
        <w:rPr>
          <w:b/>
          <w:bCs/>
          <w:sz w:val="24"/>
          <w:szCs w:val="24"/>
        </w:rPr>
        <w:t>Attachment 3b</w:t>
      </w:r>
      <w:r w:rsidRPr="61038AB9" w:rsidR="00F353A9">
        <w:rPr>
          <w:sz w:val="24"/>
          <w:szCs w:val="24"/>
        </w:rPr>
        <w:t>)</w:t>
      </w:r>
      <w:r w:rsidRPr="61038AB9">
        <w:rPr>
          <w:sz w:val="24"/>
          <w:szCs w:val="24"/>
        </w:rPr>
        <w:t xml:space="preserve">. Initial set-up time burden was estimated based on analysis of similar data transfer projects embarked upon by NBS programs as well as brief discussions with NBS Program Laboratory Information Management System vendors. </w:t>
      </w:r>
      <w:bookmarkStart w:id="17" w:name="_Hlk119849182"/>
      <w:r w:rsidRPr="61038AB9">
        <w:rPr>
          <w:sz w:val="24"/>
          <w:szCs w:val="24"/>
        </w:rPr>
        <w:t xml:space="preserve">The one-time burden to set-up the data transfer interface was estimated to be 40 hours </w:t>
      </w:r>
      <w:r w:rsidRPr="61038AB9" w:rsidR="00B84716">
        <w:rPr>
          <w:sz w:val="24"/>
          <w:szCs w:val="24"/>
        </w:rPr>
        <w:t xml:space="preserve">total, annualized to 14 hours per year </w:t>
      </w:r>
      <w:r w:rsidRPr="61038AB9" w:rsidR="006D48F2">
        <w:rPr>
          <w:sz w:val="24"/>
          <w:szCs w:val="24"/>
        </w:rPr>
        <w:t>per respondent</w:t>
      </w:r>
      <w:r w:rsidRPr="61038AB9">
        <w:rPr>
          <w:sz w:val="24"/>
          <w:szCs w:val="24"/>
        </w:rPr>
        <w:t>.</w:t>
      </w:r>
      <w:r w:rsidRPr="61038AB9" w:rsidR="006D48F2">
        <w:rPr>
          <w:sz w:val="24"/>
          <w:szCs w:val="24"/>
        </w:rPr>
        <w:t xml:space="preserve"> </w:t>
      </w:r>
      <w:r w:rsidRPr="61038AB9">
        <w:rPr>
          <w:sz w:val="24"/>
          <w:szCs w:val="24"/>
        </w:rPr>
        <w:t xml:space="preserve">Ongoing daily data submission burden was estimated </w:t>
      </w:r>
      <w:r w:rsidRPr="61038AB9">
        <w:rPr>
          <w:sz w:val="24"/>
          <w:szCs w:val="24"/>
        </w:rPr>
        <w:t>assuming</w:t>
      </w:r>
      <w:r w:rsidRPr="61038AB9">
        <w:rPr>
          <w:sz w:val="24"/>
          <w:szCs w:val="24"/>
        </w:rPr>
        <w:t xml:space="preserve"> automatic transfer thereafter</w:t>
      </w:r>
      <w:r w:rsidRPr="61038AB9" w:rsidR="006D48F2">
        <w:rPr>
          <w:sz w:val="24"/>
          <w:szCs w:val="24"/>
        </w:rPr>
        <w:t>, 36</w:t>
      </w:r>
      <w:r w:rsidRPr="61038AB9" w:rsidR="00B972C2">
        <w:rPr>
          <w:sz w:val="24"/>
          <w:szCs w:val="24"/>
        </w:rPr>
        <w:t>5</w:t>
      </w:r>
      <w:r w:rsidRPr="61038AB9" w:rsidR="006D48F2">
        <w:rPr>
          <w:sz w:val="24"/>
          <w:szCs w:val="24"/>
        </w:rPr>
        <w:t xml:space="preserve"> days per year</w:t>
      </w:r>
      <w:r w:rsidRPr="61038AB9">
        <w:rPr>
          <w:sz w:val="24"/>
          <w:szCs w:val="24"/>
        </w:rPr>
        <w:t xml:space="preserve">. </w:t>
      </w:r>
      <w:r w:rsidRPr="61038AB9" w:rsidR="006D48F2">
        <w:rPr>
          <w:sz w:val="24"/>
          <w:szCs w:val="24"/>
        </w:rPr>
        <w:t>The estimated burden per response is one minute. The total estimated annualized burden is 1,0</w:t>
      </w:r>
      <w:r w:rsidRPr="61038AB9" w:rsidR="00B84716">
        <w:rPr>
          <w:sz w:val="24"/>
          <w:szCs w:val="24"/>
        </w:rPr>
        <w:t>64</w:t>
      </w:r>
      <w:r w:rsidRPr="61038AB9" w:rsidR="006D48F2">
        <w:rPr>
          <w:sz w:val="24"/>
          <w:szCs w:val="24"/>
        </w:rPr>
        <w:t xml:space="preserve"> hours.</w:t>
      </w:r>
      <w:r w:rsidRPr="61038AB9">
        <w:rPr>
          <w:sz w:val="24"/>
          <w:szCs w:val="24"/>
        </w:rPr>
        <w:t xml:space="preserve">  </w:t>
      </w:r>
    </w:p>
    <w:bookmarkEnd w:id="17"/>
    <w:p w:rsidR="003B5CB9" w:rsidRPr="003B5CB9" w:rsidP="003B5CB9" w14:paraId="28A58D2B" w14:textId="77777777">
      <w:pPr>
        <w:spacing w:line="240" w:lineRule="auto"/>
        <w:rPr>
          <w:sz w:val="24"/>
          <w:szCs w:val="24"/>
        </w:rPr>
      </w:pPr>
    </w:p>
    <w:p w:rsidR="003B5CB9" w:rsidRPr="003B5CB9" w:rsidP="003B5CB9" w14:paraId="0338533D" w14:textId="20F1595D">
      <w:pPr>
        <w:spacing w:line="240" w:lineRule="auto"/>
        <w:rPr>
          <w:i/>
          <w:sz w:val="24"/>
          <w:szCs w:val="24"/>
        </w:rPr>
      </w:pPr>
      <w:r w:rsidRPr="003B5CB9">
        <w:rPr>
          <w:b/>
          <w:sz w:val="24"/>
          <w:szCs w:val="24"/>
        </w:rPr>
        <w:t>Estimated Annualized Burden (Hours)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190"/>
        <w:gridCol w:w="1555"/>
        <w:gridCol w:w="1530"/>
        <w:gridCol w:w="1350"/>
        <w:gridCol w:w="1260"/>
      </w:tblGrid>
      <w:tr w14:paraId="1918E453" w14:textId="77777777" w:rsidTr="00B972C2">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60" w:type="dxa"/>
          </w:tcPr>
          <w:p w:rsidR="003B5CB9" w:rsidRPr="003B5CB9" w:rsidP="00970118" w14:paraId="22DE0276" w14:textId="77777777">
            <w:pPr>
              <w:spacing w:line="240" w:lineRule="auto"/>
              <w:jc w:val="center"/>
              <w:rPr>
                <w:sz w:val="24"/>
                <w:szCs w:val="24"/>
              </w:rPr>
            </w:pPr>
            <w:bookmarkStart w:id="18" w:name="_Hlk200455319"/>
            <w:r w:rsidRPr="003B5CB9">
              <w:rPr>
                <w:sz w:val="24"/>
                <w:szCs w:val="24"/>
              </w:rPr>
              <w:t>Type of Respondent</w:t>
            </w:r>
          </w:p>
        </w:tc>
        <w:tc>
          <w:tcPr>
            <w:tcW w:w="2190" w:type="dxa"/>
          </w:tcPr>
          <w:p w:rsidR="003B5CB9" w:rsidRPr="003B5CB9" w:rsidP="00970118" w14:paraId="3A111E4B" w14:textId="77777777">
            <w:pPr>
              <w:spacing w:line="240" w:lineRule="auto"/>
              <w:jc w:val="center"/>
              <w:rPr>
                <w:sz w:val="24"/>
                <w:szCs w:val="24"/>
              </w:rPr>
            </w:pPr>
            <w:r w:rsidRPr="003B5CB9">
              <w:rPr>
                <w:sz w:val="24"/>
                <w:szCs w:val="24"/>
              </w:rPr>
              <w:t>Form Name</w:t>
            </w:r>
          </w:p>
        </w:tc>
        <w:tc>
          <w:tcPr>
            <w:tcW w:w="1555" w:type="dxa"/>
          </w:tcPr>
          <w:p w:rsidR="003B5CB9" w:rsidRPr="003B5CB9" w:rsidP="00970118" w14:paraId="3DC40148" w14:textId="77777777">
            <w:pPr>
              <w:spacing w:line="240" w:lineRule="auto"/>
              <w:jc w:val="center"/>
              <w:rPr>
                <w:sz w:val="24"/>
                <w:szCs w:val="24"/>
              </w:rPr>
            </w:pPr>
            <w:r w:rsidRPr="003B5CB9">
              <w:rPr>
                <w:sz w:val="24"/>
                <w:szCs w:val="24"/>
              </w:rPr>
              <w:t xml:space="preserve">No. of </w:t>
            </w:r>
            <w:bookmarkStart w:id="19" w:name="_Hlk200455283"/>
            <w:r w:rsidRPr="003B5CB9">
              <w:rPr>
                <w:sz w:val="24"/>
                <w:szCs w:val="24"/>
              </w:rPr>
              <w:t>Respondents</w:t>
            </w:r>
            <w:bookmarkEnd w:id="19"/>
          </w:p>
        </w:tc>
        <w:tc>
          <w:tcPr>
            <w:tcW w:w="1530" w:type="dxa"/>
          </w:tcPr>
          <w:p w:rsidR="003B5CB9" w:rsidRPr="003B5CB9" w:rsidP="00970118" w14:paraId="2371FF6D" w14:textId="77777777">
            <w:pPr>
              <w:spacing w:line="240" w:lineRule="auto"/>
              <w:jc w:val="center"/>
              <w:rPr>
                <w:sz w:val="24"/>
                <w:szCs w:val="24"/>
              </w:rPr>
            </w:pPr>
            <w:r w:rsidRPr="003B5CB9">
              <w:rPr>
                <w:sz w:val="24"/>
                <w:szCs w:val="24"/>
              </w:rPr>
              <w:t>No. of Responses per Respondent</w:t>
            </w:r>
          </w:p>
        </w:tc>
        <w:tc>
          <w:tcPr>
            <w:tcW w:w="1350" w:type="dxa"/>
          </w:tcPr>
          <w:p w:rsidR="003B5CB9" w:rsidRPr="003B5CB9" w:rsidP="00970118" w14:paraId="6760AB06" w14:textId="77777777">
            <w:pPr>
              <w:spacing w:line="240" w:lineRule="auto"/>
              <w:jc w:val="center"/>
              <w:rPr>
                <w:sz w:val="24"/>
                <w:szCs w:val="24"/>
              </w:rPr>
            </w:pPr>
            <w:bookmarkStart w:id="20" w:name="_Hlk200455299"/>
            <w:r w:rsidRPr="003B5CB9">
              <w:rPr>
                <w:sz w:val="24"/>
                <w:szCs w:val="24"/>
              </w:rPr>
              <w:t>Average Burden per Response (in hours)</w:t>
            </w:r>
            <w:bookmarkEnd w:id="20"/>
          </w:p>
        </w:tc>
        <w:tc>
          <w:tcPr>
            <w:tcW w:w="1260" w:type="dxa"/>
          </w:tcPr>
          <w:p w:rsidR="003B5CB9" w:rsidRPr="003B5CB9" w:rsidP="00970118" w14:paraId="028DE864" w14:textId="77777777">
            <w:pPr>
              <w:spacing w:line="240" w:lineRule="auto"/>
              <w:jc w:val="center"/>
              <w:rPr>
                <w:sz w:val="24"/>
                <w:szCs w:val="24"/>
              </w:rPr>
            </w:pPr>
            <w:r w:rsidRPr="003B5CB9">
              <w:rPr>
                <w:sz w:val="24"/>
                <w:szCs w:val="24"/>
              </w:rPr>
              <w:t>Total Burden Hours</w:t>
            </w:r>
          </w:p>
        </w:tc>
      </w:tr>
      <w:bookmarkEnd w:id="18"/>
      <w:tr w14:paraId="192BAF94" w14:textId="77777777" w:rsidTr="00B972C2">
        <w:tblPrEx>
          <w:tblW w:w="9445" w:type="dxa"/>
          <w:tblLayout w:type="fixed"/>
          <w:tblLook w:val="04A0"/>
        </w:tblPrEx>
        <w:tc>
          <w:tcPr>
            <w:tcW w:w="1560" w:type="dxa"/>
            <w:vMerge w:val="restart"/>
          </w:tcPr>
          <w:p w:rsidR="003B5CB9" w:rsidRPr="003B5CB9" w:rsidP="003B5CB9" w14:paraId="6AFC0D22" w14:textId="77777777">
            <w:pPr>
              <w:spacing w:line="240" w:lineRule="auto"/>
              <w:rPr>
                <w:sz w:val="24"/>
                <w:szCs w:val="24"/>
              </w:rPr>
            </w:pPr>
            <w:r w:rsidRPr="003B5CB9">
              <w:rPr>
                <w:sz w:val="24"/>
                <w:szCs w:val="24"/>
              </w:rPr>
              <w:t>Newborn Screening Programs</w:t>
            </w:r>
          </w:p>
        </w:tc>
        <w:tc>
          <w:tcPr>
            <w:tcW w:w="2190" w:type="dxa"/>
          </w:tcPr>
          <w:p w:rsidR="003B5CB9" w:rsidRPr="003B5CB9" w:rsidP="003B5CB9" w14:paraId="6290BF0B" w14:textId="7D41DF8B">
            <w:pPr>
              <w:spacing w:line="240" w:lineRule="auto"/>
              <w:rPr>
                <w:sz w:val="24"/>
                <w:szCs w:val="24"/>
              </w:rPr>
            </w:pPr>
            <w:bookmarkStart w:id="21" w:name="_Hlk200458057"/>
            <w:r w:rsidRPr="003B5CB9">
              <w:rPr>
                <w:b/>
                <w:bCs/>
                <w:sz w:val="24"/>
                <w:szCs w:val="24"/>
              </w:rPr>
              <w:t xml:space="preserve">Set-up of ED3N Data Elements </w:t>
            </w:r>
            <w:bookmarkEnd w:id="21"/>
          </w:p>
        </w:tc>
        <w:tc>
          <w:tcPr>
            <w:tcW w:w="1555" w:type="dxa"/>
            <w:vAlign w:val="center"/>
          </w:tcPr>
          <w:p w:rsidR="003B5CB9" w:rsidRPr="003B5CB9" w:rsidP="00970118" w14:paraId="65FE0633" w14:textId="589160F0">
            <w:pPr>
              <w:spacing w:line="240" w:lineRule="auto"/>
              <w:jc w:val="center"/>
              <w:rPr>
                <w:sz w:val="24"/>
                <w:szCs w:val="24"/>
              </w:rPr>
            </w:pPr>
            <w:r>
              <w:rPr>
                <w:sz w:val="24"/>
                <w:szCs w:val="24"/>
              </w:rPr>
              <w:t>53</w:t>
            </w:r>
          </w:p>
        </w:tc>
        <w:tc>
          <w:tcPr>
            <w:tcW w:w="1530" w:type="dxa"/>
            <w:vAlign w:val="center"/>
          </w:tcPr>
          <w:p w:rsidR="003B5CB9" w:rsidRPr="003B5CB9" w:rsidP="00970118" w14:paraId="5D40C05F" w14:textId="77777777">
            <w:pPr>
              <w:spacing w:line="240" w:lineRule="auto"/>
              <w:jc w:val="center"/>
              <w:rPr>
                <w:sz w:val="24"/>
                <w:szCs w:val="24"/>
              </w:rPr>
            </w:pPr>
            <w:r w:rsidRPr="003B5CB9">
              <w:rPr>
                <w:sz w:val="24"/>
                <w:szCs w:val="24"/>
              </w:rPr>
              <w:t>1</w:t>
            </w:r>
          </w:p>
        </w:tc>
        <w:tc>
          <w:tcPr>
            <w:tcW w:w="1350" w:type="dxa"/>
            <w:vAlign w:val="center"/>
          </w:tcPr>
          <w:p w:rsidR="003B5CB9" w:rsidRPr="003B5CB9" w:rsidP="00970118" w14:paraId="1820E14B" w14:textId="7E6C2555">
            <w:pPr>
              <w:spacing w:line="240" w:lineRule="auto"/>
              <w:jc w:val="center"/>
              <w:rPr>
                <w:sz w:val="24"/>
                <w:szCs w:val="24"/>
              </w:rPr>
            </w:pPr>
            <w:r>
              <w:rPr>
                <w:sz w:val="24"/>
                <w:szCs w:val="24"/>
              </w:rPr>
              <w:t>14</w:t>
            </w:r>
          </w:p>
        </w:tc>
        <w:tc>
          <w:tcPr>
            <w:tcW w:w="1260" w:type="dxa"/>
            <w:vAlign w:val="center"/>
          </w:tcPr>
          <w:p w:rsidR="003B5CB9" w:rsidRPr="003B5CB9" w:rsidP="00970118" w14:paraId="406FB97C" w14:textId="6D07294B">
            <w:pPr>
              <w:spacing w:line="240" w:lineRule="auto"/>
              <w:jc w:val="center"/>
              <w:rPr>
                <w:sz w:val="24"/>
                <w:szCs w:val="24"/>
              </w:rPr>
            </w:pPr>
            <w:r w:rsidRPr="003B5CB9">
              <w:rPr>
                <w:sz w:val="24"/>
                <w:szCs w:val="24"/>
              </w:rPr>
              <w:t>7</w:t>
            </w:r>
            <w:r>
              <w:rPr>
                <w:sz w:val="24"/>
                <w:szCs w:val="24"/>
              </w:rPr>
              <w:t>42</w:t>
            </w:r>
          </w:p>
        </w:tc>
      </w:tr>
      <w:tr w14:paraId="6C2ACBC5" w14:textId="77777777" w:rsidTr="00B972C2">
        <w:tblPrEx>
          <w:tblW w:w="9445" w:type="dxa"/>
          <w:tblLayout w:type="fixed"/>
          <w:tblLook w:val="04A0"/>
        </w:tblPrEx>
        <w:tc>
          <w:tcPr>
            <w:tcW w:w="1560" w:type="dxa"/>
            <w:vMerge/>
            <w:tcBorders>
              <w:bottom w:val="single" w:sz="4" w:space="0" w:color="auto"/>
            </w:tcBorders>
          </w:tcPr>
          <w:p w:rsidR="003B5CB9" w:rsidRPr="003B5CB9" w:rsidP="003B5CB9" w14:paraId="3BFB78F6" w14:textId="77777777">
            <w:pPr>
              <w:spacing w:line="240" w:lineRule="auto"/>
              <w:rPr>
                <w:sz w:val="24"/>
                <w:szCs w:val="24"/>
              </w:rPr>
            </w:pPr>
          </w:p>
        </w:tc>
        <w:tc>
          <w:tcPr>
            <w:tcW w:w="2190" w:type="dxa"/>
            <w:tcBorders>
              <w:bottom w:val="single" w:sz="4" w:space="0" w:color="auto"/>
            </w:tcBorders>
          </w:tcPr>
          <w:p w:rsidR="003B5CB9" w:rsidRPr="003B5CB9" w:rsidP="003B5CB9" w14:paraId="395C580C" w14:textId="77777777">
            <w:pPr>
              <w:spacing w:line="240" w:lineRule="auto"/>
              <w:rPr>
                <w:sz w:val="24"/>
                <w:szCs w:val="24"/>
              </w:rPr>
            </w:pPr>
            <w:r w:rsidRPr="003B5CB9">
              <w:rPr>
                <w:b/>
                <w:bCs/>
                <w:sz w:val="24"/>
                <w:szCs w:val="24"/>
              </w:rPr>
              <w:t>Ongoing transfer of ED3N Data Elements</w:t>
            </w:r>
          </w:p>
        </w:tc>
        <w:tc>
          <w:tcPr>
            <w:tcW w:w="1555" w:type="dxa"/>
            <w:tcBorders>
              <w:bottom w:val="single" w:sz="4" w:space="0" w:color="auto"/>
            </w:tcBorders>
            <w:vAlign w:val="center"/>
          </w:tcPr>
          <w:p w:rsidR="003B5CB9" w:rsidRPr="003B5CB9" w:rsidP="00970118" w14:paraId="26AAA6AB" w14:textId="77777777">
            <w:pPr>
              <w:spacing w:line="240" w:lineRule="auto"/>
              <w:jc w:val="center"/>
              <w:rPr>
                <w:sz w:val="24"/>
                <w:szCs w:val="24"/>
              </w:rPr>
            </w:pPr>
            <w:r w:rsidRPr="003B5CB9">
              <w:rPr>
                <w:sz w:val="24"/>
                <w:szCs w:val="24"/>
              </w:rPr>
              <w:t>53</w:t>
            </w:r>
          </w:p>
        </w:tc>
        <w:tc>
          <w:tcPr>
            <w:tcW w:w="1530" w:type="dxa"/>
            <w:tcBorders>
              <w:bottom w:val="single" w:sz="4" w:space="0" w:color="auto"/>
            </w:tcBorders>
            <w:vAlign w:val="center"/>
          </w:tcPr>
          <w:p w:rsidR="003B5CB9" w:rsidRPr="003B5CB9" w:rsidP="00970118" w14:paraId="7BC8AD95" w14:textId="5955A7FA">
            <w:pPr>
              <w:spacing w:line="240" w:lineRule="auto"/>
              <w:jc w:val="center"/>
              <w:rPr>
                <w:sz w:val="24"/>
                <w:szCs w:val="24"/>
              </w:rPr>
            </w:pPr>
            <w:r w:rsidRPr="003B5CB9">
              <w:rPr>
                <w:sz w:val="24"/>
                <w:szCs w:val="24"/>
              </w:rPr>
              <w:t>36</w:t>
            </w:r>
            <w:r w:rsidR="00B972C2">
              <w:rPr>
                <w:sz w:val="24"/>
                <w:szCs w:val="24"/>
              </w:rPr>
              <w:t>5</w:t>
            </w:r>
          </w:p>
        </w:tc>
        <w:tc>
          <w:tcPr>
            <w:tcW w:w="1350" w:type="dxa"/>
            <w:tcBorders>
              <w:bottom w:val="single" w:sz="4" w:space="0" w:color="auto"/>
            </w:tcBorders>
            <w:vAlign w:val="center"/>
          </w:tcPr>
          <w:p w:rsidR="003B5CB9" w:rsidRPr="003B5CB9" w:rsidP="00970118" w14:paraId="5CB8278F" w14:textId="6F69832A">
            <w:pPr>
              <w:spacing w:line="240" w:lineRule="auto"/>
              <w:jc w:val="center"/>
              <w:rPr>
                <w:sz w:val="24"/>
                <w:szCs w:val="24"/>
              </w:rPr>
            </w:pPr>
            <w:r w:rsidRPr="003B5CB9">
              <w:rPr>
                <w:sz w:val="24"/>
                <w:szCs w:val="24"/>
              </w:rPr>
              <w:t>1/60</w:t>
            </w:r>
          </w:p>
        </w:tc>
        <w:tc>
          <w:tcPr>
            <w:tcW w:w="1260" w:type="dxa"/>
            <w:tcBorders>
              <w:bottom w:val="single" w:sz="4" w:space="0" w:color="auto"/>
            </w:tcBorders>
            <w:vAlign w:val="center"/>
          </w:tcPr>
          <w:p w:rsidR="003B5CB9" w:rsidRPr="003B5CB9" w:rsidP="00970118" w14:paraId="1FD291A9" w14:textId="3DD9CB15">
            <w:pPr>
              <w:spacing w:line="240" w:lineRule="auto"/>
              <w:jc w:val="center"/>
              <w:rPr>
                <w:sz w:val="24"/>
                <w:szCs w:val="24"/>
              </w:rPr>
            </w:pPr>
            <w:r w:rsidRPr="003B5CB9">
              <w:rPr>
                <w:sz w:val="24"/>
                <w:szCs w:val="24"/>
              </w:rPr>
              <w:t>3</w:t>
            </w:r>
            <w:r w:rsidR="00DF1C7A">
              <w:rPr>
                <w:sz w:val="24"/>
                <w:szCs w:val="24"/>
              </w:rPr>
              <w:t>22</w:t>
            </w:r>
          </w:p>
        </w:tc>
      </w:tr>
      <w:tr w14:paraId="5E617D26" w14:textId="77777777" w:rsidTr="00B972C2">
        <w:tblPrEx>
          <w:tblW w:w="9445" w:type="dxa"/>
          <w:tblLayout w:type="fixed"/>
          <w:tblLook w:val="04A0"/>
        </w:tblPrEx>
        <w:tc>
          <w:tcPr>
            <w:tcW w:w="1560" w:type="dxa"/>
          </w:tcPr>
          <w:p w:rsidR="003B5CB9" w:rsidRPr="00B972C2" w:rsidP="003B5CB9" w14:paraId="40D83A6E" w14:textId="77777777">
            <w:pPr>
              <w:spacing w:line="240" w:lineRule="auto"/>
              <w:rPr>
                <w:b/>
                <w:bCs/>
                <w:sz w:val="24"/>
                <w:szCs w:val="24"/>
              </w:rPr>
            </w:pPr>
            <w:r w:rsidRPr="00B972C2">
              <w:rPr>
                <w:b/>
                <w:bCs/>
                <w:sz w:val="24"/>
                <w:szCs w:val="24"/>
              </w:rPr>
              <w:t>Total</w:t>
            </w:r>
          </w:p>
        </w:tc>
        <w:tc>
          <w:tcPr>
            <w:tcW w:w="2190" w:type="dxa"/>
          </w:tcPr>
          <w:p w:rsidR="003B5CB9" w:rsidRPr="00B972C2" w:rsidP="003B5CB9" w14:paraId="42465D29" w14:textId="77777777">
            <w:pPr>
              <w:spacing w:line="240" w:lineRule="auto"/>
              <w:rPr>
                <w:b/>
                <w:bCs/>
                <w:sz w:val="24"/>
                <w:szCs w:val="24"/>
              </w:rPr>
            </w:pPr>
          </w:p>
        </w:tc>
        <w:tc>
          <w:tcPr>
            <w:tcW w:w="1555" w:type="dxa"/>
            <w:vAlign w:val="center"/>
          </w:tcPr>
          <w:p w:rsidR="003B5CB9" w:rsidRPr="00B972C2" w:rsidP="00970118" w14:paraId="2070C783" w14:textId="7105B7B1">
            <w:pPr>
              <w:spacing w:line="240" w:lineRule="auto"/>
              <w:jc w:val="center"/>
              <w:rPr>
                <w:b/>
                <w:bCs/>
                <w:sz w:val="24"/>
                <w:szCs w:val="24"/>
              </w:rPr>
            </w:pPr>
          </w:p>
        </w:tc>
        <w:tc>
          <w:tcPr>
            <w:tcW w:w="1530" w:type="dxa"/>
            <w:vAlign w:val="center"/>
          </w:tcPr>
          <w:p w:rsidR="003B5CB9" w:rsidRPr="00B972C2" w:rsidP="00970118" w14:paraId="21A2A95C" w14:textId="77777777">
            <w:pPr>
              <w:spacing w:line="240" w:lineRule="auto"/>
              <w:jc w:val="center"/>
              <w:rPr>
                <w:b/>
                <w:bCs/>
                <w:sz w:val="24"/>
                <w:szCs w:val="24"/>
              </w:rPr>
            </w:pPr>
          </w:p>
        </w:tc>
        <w:tc>
          <w:tcPr>
            <w:tcW w:w="1350" w:type="dxa"/>
            <w:vAlign w:val="center"/>
          </w:tcPr>
          <w:p w:rsidR="003B5CB9" w:rsidRPr="00B972C2" w:rsidP="00970118" w14:paraId="7847EDCF" w14:textId="77777777">
            <w:pPr>
              <w:spacing w:line="240" w:lineRule="auto"/>
              <w:jc w:val="center"/>
              <w:rPr>
                <w:b/>
                <w:bCs/>
                <w:sz w:val="24"/>
                <w:szCs w:val="24"/>
              </w:rPr>
            </w:pPr>
          </w:p>
        </w:tc>
        <w:tc>
          <w:tcPr>
            <w:tcW w:w="1260" w:type="dxa"/>
            <w:vAlign w:val="center"/>
          </w:tcPr>
          <w:p w:rsidR="003B5CB9" w:rsidRPr="00B972C2" w:rsidP="00970118" w14:paraId="7A7B11A9" w14:textId="2C1F03DD">
            <w:pPr>
              <w:spacing w:line="240" w:lineRule="auto"/>
              <w:jc w:val="center"/>
              <w:rPr>
                <w:b/>
                <w:bCs/>
                <w:sz w:val="24"/>
                <w:szCs w:val="24"/>
              </w:rPr>
            </w:pPr>
            <w:r>
              <w:rPr>
                <w:b/>
                <w:bCs/>
                <w:sz w:val="24"/>
                <w:szCs w:val="24"/>
              </w:rPr>
              <w:t>1</w:t>
            </w:r>
            <w:r w:rsidR="00B84716">
              <w:rPr>
                <w:b/>
                <w:bCs/>
                <w:sz w:val="24"/>
                <w:szCs w:val="24"/>
              </w:rPr>
              <w:t>,</w:t>
            </w:r>
            <w:r>
              <w:rPr>
                <w:b/>
                <w:bCs/>
                <w:sz w:val="24"/>
                <w:szCs w:val="24"/>
              </w:rPr>
              <w:t xml:space="preserve">064 </w:t>
            </w:r>
          </w:p>
        </w:tc>
      </w:tr>
    </w:tbl>
    <w:p w:rsidR="003B5CB9" w:rsidRPr="003B5CB9" w:rsidP="003B5CB9" w14:paraId="5D0B0547" w14:textId="77777777">
      <w:pPr>
        <w:spacing w:line="240" w:lineRule="auto"/>
        <w:rPr>
          <w:sz w:val="24"/>
          <w:szCs w:val="24"/>
        </w:rPr>
      </w:pPr>
    </w:p>
    <w:p w:rsidR="003B5CB9" w:rsidP="003B5CB9" w14:paraId="236E019C" w14:textId="086E0544">
      <w:pPr>
        <w:spacing w:line="240" w:lineRule="auto"/>
        <w:rPr>
          <w:sz w:val="24"/>
          <w:szCs w:val="24"/>
        </w:rPr>
      </w:pPr>
      <w:r w:rsidRPr="003B5CB9">
        <w:rPr>
          <w:sz w:val="24"/>
          <w:szCs w:val="24"/>
        </w:rPr>
        <w:t xml:space="preserve">Estimates for the average hourly wage for respondents are based on the </w:t>
      </w:r>
      <w:r w:rsidR="0023596B">
        <w:rPr>
          <w:sz w:val="24"/>
          <w:szCs w:val="24"/>
        </w:rPr>
        <w:t xml:space="preserve">May </w:t>
      </w:r>
      <w:r w:rsidR="008E2BAA">
        <w:rPr>
          <w:sz w:val="24"/>
          <w:szCs w:val="24"/>
        </w:rPr>
        <w:t xml:space="preserve">2024 </w:t>
      </w:r>
      <w:r w:rsidRPr="003B5CB9">
        <w:rPr>
          <w:sz w:val="24"/>
          <w:szCs w:val="24"/>
        </w:rPr>
        <w:t xml:space="preserve">Department of Labor (DOL) National Occupational Employment and Wage Estimates United States website for laboratory technician occupations and computer and information technicians. Based on DOL data, average hourly wages of </w:t>
      </w:r>
      <w:r w:rsidRPr="00970118" w:rsidR="00970118">
        <w:rPr>
          <w:rFonts w:cstheme="minorHAnsi"/>
          <w:color w:val="000000"/>
          <w:sz w:val="24"/>
          <w:szCs w:val="24"/>
          <w:shd w:val="clear" w:color="auto" w:fill="FFFFFF"/>
        </w:rPr>
        <w:t>$</w:t>
      </w:r>
      <w:r w:rsidR="00B84716">
        <w:rPr>
          <w:rFonts w:cstheme="minorHAnsi"/>
          <w:color w:val="000000"/>
          <w:sz w:val="24"/>
          <w:szCs w:val="24"/>
          <w:shd w:val="clear" w:color="auto" w:fill="FFFFFF"/>
        </w:rPr>
        <w:t>31.41</w:t>
      </w:r>
      <w:r w:rsidRPr="003B5CB9">
        <w:rPr>
          <w:sz w:val="24"/>
          <w:szCs w:val="24"/>
        </w:rPr>
        <w:t xml:space="preserve"> (</w:t>
      </w:r>
      <w:hyperlink r:id="rId20">
        <w:r w:rsidRPr="003B5CB9">
          <w:rPr>
            <w:rStyle w:val="Hyperlink"/>
            <w:sz w:val="24"/>
            <w:szCs w:val="24"/>
          </w:rPr>
          <w:t xml:space="preserve">Clinical Laboratory Technologists and Technicians </w:t>
        </w:r>
        <w:r w:rsidRPr="003B5CB9">
          <w:rPr>
            <w:rStyle w:val="Hyperlink"/>
            <w:sz w:val="24"/>
            <w:szCs w:val="24"/>
          </w:rPr>
          <w:t>(bls.gov))</w:t>
        </w:r>
      </w:hyperlink>
      <w:r w:rsidRPr="003B5CB9">
        <w:rPr>
          <w:sz w:val="24"/>
          <w:szCs w:val="24"/>
        </w:rPr>
        <w:t xml:space="preserve"> and $</w:t>
      </w:r>
      <w:r w:rsidR="00B84716">
        <w:rPr>
          <w:sz w:val="24"/>
          <w:szCs w:val="24"/>
        </w:rPr>
        <w:t>90.38</w:t>
      </w:r>
      <w:r w:rsidRPr="003B5CB9">
        <w:rPr>
          <w:sz w:val="24"/>
          <w:szCs w:val="24"/>
        </w:rPr>
        <w:t xml:space="preserve"> </w:t>
      </w:r>
      <w:hyperlink r:id="rId21" w:history="1">
        <w:r w:rsidRPr="003B5CB9">
          <w:rPr>
            <w:rStyle w:val="Hyperlink"/>
            <w:sz w:val="24"/>
            <w:szCs w:val="24"/>
          </w:rPr>
          <w:t>(Computer and Information System Managers (bls.gov))</w:t>
        </w:r>
      </w:hyperlink>
      <w:r w:rsidRPr="003B5CB9">
        <w:rPr>
          <w:sz w:val="24"/>
          <w:szCs w:val="24"/>
        </w:rPr>
        <w:t xml:space="preserve"> were utilized and is estimated for the respondents. </w:t>
      </w:r>
      <w:r w:rsidR="00690E54">
        <w:rPr>
          <w:sz w:val="24"/>
          <w:szCs w:val="24"/>
        </w:rPr>
        <w:t xml:space="preserve">The total estimated annualized burden cost is </w:t>
      </w:r>
      <w:r w:rsidRPr="00B84716" w:rsidR="00B84716">
        <w:rPr>
          <w:sz w:val="24"/>
          <w:szCs w:val="24"/>
        </w:rPr>
        <w:t>$75,549.14</w:t>
      </w:r>
      <w:r w:rsidR="00690E54">
        <w:rPr>
          <w:sz w:val="24"/>
          <w:szCs w:val="24"/>
        </w:rPr>
        <w:t xml:space="preserve">. </w:t>
      </w:r>
      <w:r w:rsidRPr="003B5CB9">
        <w:rPr>
          <w:sz w:val="24"/>
          <w:szCs w:val="24"/>
        </w:rPr>
        <w:t xml:space="preserve">The following table shows estimated burden cost information. </w:t>
      </w:r>
    </w:p>
    <w:p w:rsidR="003B5CB9" w:rsidRPr="003B5CB9" w:rsidP="003B5CB9" w14:paraId="1B3B79B8" w14:textId="77777777">
      <w:pPr>
        <w:spacing w:line="240" w:lineRule="auto"/>
        <w:rPr>
          <w:sz w:val="24"/>
          <w:szCs w:val="24"/>
        </w:rPr>
      </w:pPr>
    </w:p>
    <w:p w:rsidR="003B5CB9" w:rsidRPr="003B5CB9" w:rsidP="003B5CB9" w14:paraId="72B177D6" w14:textId="78A89F62">
      <w:pPr>
        <w:spacing w:line="240" w:lineRule="auto"/>
        <w:rPr>
          <w:sz w:val="24"/>
          <w:szCs w:val="24"/>
        </w:rPr>
      </w:pPr>
      <w:r w:rsidRPr="003B5CB9">
        <w:rPr>
          <w:b/>
          <w:sz w:val="24"/>
          <w:szCs w:val="24"/>
        </w:rPr>
        <w:t>Estimated Annualized Burden Costs</w:t>
      </w:r>
    </w:p>
    <w:tbl>
      <w:tblPr>
        <w:tblW w:w="9895" w:type="dxa"/>
        <w:tblLayout w:type="fixed"/>
        <w:tblLook w:val="04A0"/>
      </w:tblPr>
      <w:tblGrid>
        <w:gridCol w:w="2337"/>
        <w:gridCol w:w="2825"/>
        <w:gridCol w:w="1286"/>
        <w:gridCol w:w="1287"/>
        <w:gridCol w:w="2160"/>
      </w:tblGrid>
      <w:tr w14:paraId="7C3F6272" w14:textId="77777777" w:rsidTr="00B972C2">
        <w:tblPrEx>
          <w:tblW w:w="9895" w:type="dxa"/>
          <w:tblLayout w:type="fixed"/>
          <w:tblLook w:val="04A0"/>
        </w:tblPrEx>
        <w:trPr>
          <w:trHeight w:val="945"/>
        </w:trPr>
        <w:tc>
          <w:tcPr>
            <w:tcW w:w="2337" w:type="dxa"/>
            <w:tcBorders>
              <w:top w:val="single" w:sz="4" w:space="0" w:color="auto"/>
              <w:left w:val="single" w:sz="4" w:space="0" w:color="auto"/>
              <w:bottom w:val="single" w:sz="4" w:space="0" w:color="auto"/>
              <w:right w:val="single" w:sz="4" w:space="0" w:color="auto"/>
            </w:tcBorders>
            <w:vAlign w:val="center"/>
            <w:hideMark/>
          </w:tcPr>
          <w:p w:rsidR="003B5CB9" w:rsidRPr="003B5CB9" w:rsidP="0023514C" w14:paraId="1D4F3053" w14:textId="77777777">
            <w:pPr>
              <w:spacing w:line="240" w:lineRule="auto"/>
              <w:jc w:val="center"/>
              <w:rPr>
                <w:b/>
                <w:bCs/>
                <w:sz w:val="24"/>
                <w:szCs w:val="24"/>
              </w:rPr>
            </w:pPr>
            <w:r w:rsidRPr="003B5CB9">
              <w:rPr>
                <w:b/>
                <w:bCs/>
                <w:sz w:val="24"/>
                <w:szCs w:val="24"/>
              </w:rPr>
              <w:t>Type of Respondent</w:t>
            </w:r>
          </w:p>
        </w:tc>
        <w:tc>
          <w:tcPr>
            <w:tcW w:w="2825" w:type="dxa"/>
            <w:tcBorders>
              <w:top w:val="single" w:sz="4" w:space="0" w:color="auto"/>
              <w:left w:val="nil"/>
              <w:bottom w:val="single" w:sz="4" w:space="0" w:color="auto"/>
              <w:right w:val="single" w:sz="4" w:space="0" w:color="auto"/>
            </w:tcBorders>
            <w:vAlign w:val="center"/>
            <w:hideMark/>
          </w:tcPr>
          <w:p w:rsidR="003B5CB9" w:rsidRPr="003B5CB9" w:rsidP="0023514C" w14:paraId="01FDA311" w14:textId="77777777">
            <w:pPr>
              <w:spacing w:line="240" w:lineRule="auto"/>
              <w:jc w:val="center"/>
              <w:rPr>
                <w:b/>
                <w:bCs/>
                <w:sz w:val="24"/>
                <w:szCs w:val="24"/>
              </w:rPr>
            </w:pPr>
            <w:r w:rsidRPr="003B5CB9">
              <w:rPr>
                <w:b/>
                <w:bCs/>
                <w:sz w:val="24"/>
                <w:szCs w:val="24"/>
              </w:rPr>
              <w:t>Form Name</w:t>
            </w:r>
          </w:p>
        </w:tc>
        <w:tc>
          <w:tcPr>
            <w:tcW w:w="1286" w:type="dxa"/>
            <w:tcBorders>
              <w:top w:val="single" w:sz="4" w:space="0" w:color="auto"/>
              <w:left w:val="nil"/>
              <w:bottom w:val="single" w:sz="4" w:space="0" w:color="auto"/>
              <w:right w:val="single" w:sz="4" w:space="0" w:color="auto"/>
            </w:tcBorders>
            <w:vAlign w:val="center"/>
            <w:hideMark/>
          </w:tcPr>
          <w:p w:rsidR="003B5CB9" w:rsidRPr="003B5CB9" w:rsidP="0023514C" w14:paraId="7A657E84" w14:textId="77777777">
            <w:pPr>
              <w:spacing w:line="240" w:lineRule="auto"/>
              <w:jc w:val="center"/>
              <w:rPr>
                <w:b/>
                <w:bCs/>
                <w:sz w:val="24"/>
                <w:szCs w:val="24"/>
              </w:rPr>
            </w:pPr>
            <w:r w:rsidRPr="003B5CB9">
              <w:rPr>
                <w:b/>
                <w:bCs/>
                <w:sz w:val="24"/>
                <w:szCs w:val="24"/>
              </w:rPr>
              <w:t>Total Burden Hours</w:t>
            </w:r>
          </w:p>
        </w:tc>
        <w:tc>
          <w:tcPr>
            <w:tcW w:w="1287" w:type="dxa"/>
            <w:tcBorders>
              <w:top w:val="single" w:sz="4" w:space="0" w:color="auto"/>
              <w:left w:val="nil"/>
              <w:bottom w:val="single" w:sz="4" w:space="0" w:color="auto"/>
              <w:right w:val="single" w:sz="4" w:space="0" w:color="auto"/>
            </w:tcBorders>
            <w:vAlign w:val="center"/>
            <w:hideMark/>
          </w:tcPr>
          <w:p w:rsidR="003B5CB9" w:rsidRPr="003B5CB9" w:rsidP="0023514C" w14:paraId="22B388C4" w14:textId="538BC5A5">
            <w:pPr>
              <w:spacing w:line="240" w:lineRule="auto"/>
              <w:jc w:val="center"/>
              <w:rPr>
                <w:b/>
                <w:bCs/>
                <w:sz w:val="24"/>
                <w:szCs w:val="24"/>
              </w:rPr>
            </w:pPr>
            <w:r w:rsidRPr="003B5CB9">
              <w:rPr>
                <w:b/>
                <w:bCs/>
                <w:sz w:val="24"/>
                <w:szCs w:val="24"/>
              </w:rPr>
              <w:t>Hourly Wage Rate</w:t>
            </w:r>
          </w:p>
        </w:tc>
        <w:tc>
          <w:tcPr>
            <w:tcW w:w="2160" w:type="dxa"/>
            <w:tcBorders>
              <w:top w:val="single" w:sz="4" w:space="0" w:color="auto"/>
              <w:left w:val="nil"/>
              <w:bottom w:val="single" w:sz="4" w:space="0" w:color="auto"/>
              <w:right w:val="single" w:sz="4" w:space="0" w:color="auto"/>
            </w:tcBorders>
            <w:vAlign w:val="center"/>
            <w:hideMark/>
          </w:tcPr>
          <w:p w:rsidR="003B5CB9" w:rsidRPr="003B5CB9" w:rsidP="0023514C" w14:paraId="5C928684" w14:textId="4EA12C09">
            <w:pPr>
              <w:spacing w:line="240" w:lineRule="auto"/>
              <w:jc w:val="center"/>
              <w:rPr>
                <w:b/>
                <w:bCs/>
                <w:sz w:val="24"/>
                <w:szCs w:val="24"/>
              </w:rPr>
            </w:pPr>
            <w:r w:rsidRPr="003B5CB9">
              <w:rPr>
                <w:b/>
                <w:bCs/>
                <w:sz w:val="24"/>
                <w:szCs w:val="24"/>
              </w:rPr>
              <w:t>Total Respondent Costs</w:t>
            </w:r>
          </w:p>
        </w:tc>
      </w:tr>
      <w:tr w14:paraId="351D80E6" w14:textId="77777777" w:rsidTr="00970118">
        <w:tblPrEx>
          <w:tblW w:w="9895" w:type="dxa"/>
          <w:tblLayout w:type="fixed"/>
          <w:tblLook w:val="04A0"/>
        </w:tblPrEx>
        <w:trPr>
          <w:trHeight w:val="873"/>
        </w:trPr>
        <w:tc>
          <w:tcPr>
            <w:tcW w:w="2337" w:type="dxa"/>
            <w:vMerge w:val="restart"/>
            <w:tcBorders>
              <w:top w:val="single" w:sz="4" w:space="0" w:color="auto"/>
              <w:left w:val="single" w:sz="4" w:space="0" w:color="auto"/>
              <w:bottom w:val="single" w:sz="4" w:space="0" w:color="auto"/>
              <w:right w:val="single" w:sz="4" w:space="0" w:color="auto"/>
            </w:tcBorders>
            <w:hideMark/>
          </w:tcPr>
          <w:p w:rsidR="0016605E" w:rsidRPr="003B5CB9" w:rsidP="0016605E" w14:paraId="26B0B038" w14:textId="77777777">
            <w:pPr>
              <w:spacing w:line="240" w:lineRule="auto"/>
              <w:rPr>
                <w:sz w:val="24"/>
                <w:szCs w:val="24"/>
              </w:rPr>
            </w:pPr>
            <w:r w:rsidRPr="003B5CB9">
              <w:rPr>
                <w:sz w:val="24"/>
                <w:szCs w:val="24"/>
              </w:rPr>
              <w:t>Newborn Screening Programs</w:t>
            </w:r>
          </w:p>
        </w:tc>
        <w:tc>
          <w:tcPr>
            <w:tcW w:w="2825" w:type="dxa"/>
            <w:tcBorders>
              <w:top w:val="single" w:sz="4" w:space="0" w:color="auto"/>
              <w:left w:val="nil"/>
              <w:bottom w:val="single" w:sz="4" w:space="0" w:color="auto"/>
              <w:right w:val="single" w:sz="4" w:space="0" w:color="auto"/>
            </w:tcBorders>
            <w:hideMark/>
          </w:tcPr>
          <w:p w:rsidR="0016605E" w:rsidRPr="003B5CB9" w:rsidP="0016605E" w14:paraId="6365111C" w14:textId="6E6D96DF">
            <w:pPr>
              <w:spacing w:line="240" w:lineRule="auto"/>
              <w:rPr>
                <w:b/>
                <w:bCs/>
                <w:sz w:val="24"/>
                <w:szCs w:val="24"/>
              </w:rPr>
            </w:pPr>
            <w:r w:rsidRPr="003B5CB9">
              <w:rPr>
                <w:b/>
                <w:bCs/>
                <w:sz w:val="24"/>
                <w:szCs w:val="24"/>
              </w:rPr>
              <w:t xml:space="preserve">Set-up of ED3N Data Elements </w:t>
            </w:r>
          </w:p>
        </w:tc>
        <w:tc>
          <w:tcPr>
            <w:tcW w:w="1286" w:type="dxa"/>
            <w:tcBorders>
              <w:top w:val="single" w:sz="4" w:space="0" w:color="auto"/>
              <w:left w:val="nil"/>
              <w:bottom w:val="single" w:sz="4" w:space="0" w:color="auto"/>
              <w:right w:val="single" w:sz="4" w:space="0" w:color="auto"/>
            </w:tcBorders>
            <w:vAlign w:val="center"/>
          </w:tcPr>
          <w:p w:rsidR="0016605E" w:rsidRPr="003B5CB9" w:rsidP="0016605E" w14:paraId="374E44ED" w14:textId="0E08F263">
            <w:pPr>
              <w:spacing w:line="240" w:lineRule="auto"/>
              <w:jc w:val="center"/>
              <w:rPr>
                <w:sz w:val="24"/>
                <w:szCs w:val="24"/>
              </w:rPr>
            </w:pPr>
            <w:r>
              <w:rPr>
                <w:rFonts w:ascii="Arial Nova" w:hAnsi="Arial Nova" w:cs="Calibri"/>
                <w:color w:val="000000"/>
                <w:sz w:val="20"/>
                <w:szCs w:val="20"/>
              </w:rPr>
              <w:t>742</w:t>
            </w:r>
          </w:p>
        </w:tc>
        <w:tc>
          <w:tcPr>
            <w:tcW w:w="1287" w:type="dxa"/>
            <w:tcBorders>
              <w:top w:val="single" w:sz="4" w:space="0" w:color="auto"/>
              <w:left w:val="nil"/>
              <w:bottom w:val="single" w:sz="4" w:space="0" w:color="auto"/>
              <w:right w:val="single" w:sz="4" w:space="0" w:color="auto"/>
            </w:tcBorders>
            <w:vAlign w:val="center"/>
          </w:tcPr>
          <w:p w:rsidR="0016605E" w:rsidRPr="00970118" w:rsidP="0016605E" w14:paraId="50B70533" w14:textId="2B8669DF">
            <w:pPr>
              <w:spacing w:line="240" w:lineRule="auto"/>
              <w:jc w:val="center"/>
              <w:rPr>
                <w:rFonts w:cstheme="minorHAnsi"/>
                <w:sz w:val="24"/>
                <w:szCs w:val="24"/>
              </w:rPr>
            </w:pPr>
            <w:r>
              <w:rPr>
                <w:rFonts w:ascii="Arial Nova" w:hAnsi="Arial Nova" w:cs="Calibri"/>
                <w:color w:val="000000"/>
                <w:sz w:val="20"/>
                <w:szCs w:val="20"/>
              </w:rPr>
              <w:t>$90.38</w:t>
            </w:r>
          </w:p>
        </w:tc>
        <w:tc>
          <w:tcPr>
            <w:tcW w:w="2160" w:type="dxa"/>
            <w:tcBorders>
              <w:top w:val="single" w:sz="4" w:space="0" w:color="auto"/>
              <w:left w:val="nil"/>
              <w:bottom w:val="single" w:sz="4" w:space="0" w:color="auto"/>
              <w:right w:val="single" w:sz="4" w:space="0" w:color="auto"/>
            </w:tcBorders>
            <w:noWrap/>
            <w:vAlign w:val="center"/>
          </w:tcPr>
          <w:p w:rsidR="0016605E" w:rsidRPr="003B5CB9" w:rsidP="0016605E" w14:paraId="184F4BD9" w14:textId="59F47A37">
            <w:pPr>
              <w:spacing w:line="240" w:lineRule="auto"/>
              <w:jc w:val="center"/>
              <w:rPr>
                <w:sz w:val="24"/>
                <w:szCs w:val="24"/>
              </w:rPr>
            </w:pPr>
            <w:r>
              <w:rPr>
                <w:rFonts w:ascii="Arial Nova" w:hAnsi="Arial Nova" w:cs="Calibri"/>
                <w:color w:val="000000"/>
                <w:sz w:val="20"/>
                <w:szCs w:val="20"/>
              </w:rPr>
              <w:t>$</w:t>
            </w:r>
            <w:r w:rsidR="008E2BAA">
              <w:rPr>
                <w:rFonts w:ascii="Arial Nova" w:hAnsi="Arial Nova" w:cs="Calibri"/>
                <w:color w:val="000000"/>
                <w:sz w:val="20"/>
                <w:szCs w:val="20"/>
              </w:rPr>
              <w:t>67</w:t>
            </w:r>
            <w:r>
              <w:rPr>
                <w:rFonts w:ascii="Arial Nova" w:hAnsi="Arial Nova" w:cs="Calibri"/>
                <w:color w:val="000000"/>
                <w:sz w:val="20"/>
                <w:szCs w:val="20"/>
              </w:rPr>
              <w:t>,</w:t>
            </w:r>
            <w:r w:rsidR="008E2BAA">
              <w:rPr>
                <w:rFonts w:ascii="Arial Nova" w:hAnsi="Arial Nova" w:cs="Calibri"/>
                <w:color w:val="000000"/>
                <w:sz w:val="20"/>
                <w:szCs w:val="20"/>
              </w:rPr>
              <w:t>061</w:t>
            </w:r>
            <w:r>
              <w:rPr>
                <w:rFonts w:ascii="Arial Nova" w:hAnsi="Arial Nova" w:cs="Calibri"/>
                <w:color w:val="000000"/>
                <w:sz w:val="20"/>
                <w:szCs w:val="20"/>
              </w:rPr>
              <w:t>.</w:t>
            </w:r>
            <w:r w:rsidR="008E2BAA">
              <w:rPr>
                <w:rFonts w:ascii="Arial Nova" w:hAnsi="Arial Nova" w:cs="Calibri"/>
                <w:color w:val="000000"/>
                <w:sz w:val="20"/>
                <w:szCs w:val="20"/>
              </w:rPr>
              <w:t>96</w:t>
            </w:r>
          </w:p>
        </w:tc>
      </w:tr>
      <w:tr w14:paraId="470EF2BB" w14:textId="77777777" w:rsidTr="00B972C2">
        <w:tblPrEx>
          <w:tblW w:w="9895" w:type="dxa"/>
          <w:tblLayout w:type="fixed"/>
          <w:tblLook w:val="04A0"/>
        </w:tblPrEx>
        <w:trPr>
          <w:trHeight w:val="562"/>
        </w:trPr>
        <w:tc>
          <w:tcPr>
            <w:tcW w:w="2337" w:type="dxa"/>
            <w:vMerge/>
            <w:tcBorders>
              <w:top w:val="single" w:sz="4" w:space="0" w:color="auto"/>
              <w:left w:val="single" w:sz="4" w:space="0" w:color="auto"/>
              <w:bottom w:val="single" w:sz="4" w:space="0" w:color="auto"/>
              <w:right w:val="single" w:sz="4" w:space="0" w:color="auto"/>
            </w:tcBorders>
            <w:hideMark/>
          </w:tcPr>
          <w:p w:rsidR="003A361A" w:rsidRPr="003B5CB9" w:rsidP="003A361A" w14:paraId="47E6D2D1" w14:textId="77777777">
            <w:pPr>
              <w:spacing w:line="240" w:lineRule="auto"/>
              <w:rPr>
                <w:sz w:val="24"/>
                <w:szCs w:val="24"/>
              </w:rPr>
            </w:pPr>
          </w:p>
        </w:tc>
        <w:tc>
          <w:tcPr>
            <w:tcW w:w="2825" w:type="dxa"/>
            <w:tcBorders>
              <w:top w:val="single" w:sz="4" w:space="0" w:color="auto"/>
              <w:left w:val="single" w:sz="4" w:space="0" w:color="auto"/>
              <w:bottom w:val="single" w:sz="4" w:space="0" w:color="auto"/>
              <w:right w:val="single" w:sz="4" w:space="0" w:color="auto"/>
            </w:tcBorders>
            <w:hideMark/>
          </w:tcPr>
          <w:p w:rsidR="003A361A" w:rsidRPr="003B5CB9" w:rsidP="003A361A" w14:paraId="7D327EE7" w14:textId="77777777">
            <w:pPr>
              <w:spacing w:line="240" w:lineRule="auto"/>
              <w:rPr>
                <w:b/>
                <w:bCs/>
                <w:sz w:val="24"/>
                <w:szCs w:val="24"/>
              </w:rPr>
            </w:pPr>
            <w:r w:rsidRPr="003B5CB9">
              <w:rPr>
                <w:b/>
                <w:bCs/>
                <w:sz w:val="24"/>
                <w:szCs w:val="24"/>
              </w:rPr>
              <w:t>Ongoing transfer of ED3N Data Elements</w:t>
            </w:r>
          </w:p>
        </w:tc>
        <w:tc>
          <w:tcPr>
            <w:tcW w:w="1286" w:type="dxa"/>
            <w:tcBorders>
              <w:top w:val="single" w:sz="4" w:space="0" w:color="auto"/>
              <w:left w:val="single" w:sz="4" w:space="0" w:color="auto"/>
              <w:bottom w:val="single" w:sz="4" w:space="0" w:color="auto"/>
              <w:right w:val="single" w:sz="4" w:space="0" w:color="auto"/>
            </w:tcBorders>
            <w:vAlign w:val="center"/>
          </w:tcPr>
          <w:p w:rsidR="003A361A" w:rsidRPr="00970118" w:rsidP="003A361A" w14:paraId="153B621A" w14:textId="51C8622B">
            <w:pPr>
              <w:spacing w:line="240" w:lineRule="auto"/>
              <w:jc w:val="center"/>
              <w:rPr>
                <w:rFonts w:cstheme="minorHAnsi"/>
                <w:sz w:val="24"/>
                <w:szCs w:val="24"/>
              </w:rPr>
            </w:pPr>
            <w:r>
              <w:rPr>
                <w:rFonts w:cstheme="minorHAnsi"/>
                <w:sz w:val="24"/>
                <w:szCs w:val="24"/>
              </w:rPr>
              <w:t>322</w:t>
            </w:r>
          </w:p>
        </w:tc>
        <w:tc>
          <w:tcPr>
            <w:tcW w:w="1287" w:type="dxa"/>
            <w:tcBorders>
              <w:top w:val="single" w:sz="4" w:space="0" w:color="auto"/>
              <w:left w:val="single" w:sz="4" w:space="0" w:color="auto"/>
              <w:bottom w:val="single" w:sz="4" w:space="0" w:color="auto"/>
              <w:right w:val="single" w:sz="4" w:space="0" w:color="auto"/>
            </w:tcBorders>
            <w:vAlign w:val="center"/>
          </w:tcPr>
          <w:p w:rsidR="003A361A" w:rsidRPr="00970118" w:rsidP="003A361A" w14:paraId="222F2E6D" w14:textId="58891F24">
            <w:pPr>
              <w:spacing w:line="240" w:lineRule="auto"/>
              <w:jc w:val="center"/>
              <w:rPr>
                <w:rFonts w:cstheme="minorHAnsi"/>
                <w:color w:val="000000"/>
                <w:sz w:val="24"/>
                <w:szCs w:val="24"/>
                <w:shd w:val="clear" w:color="auto" w:fill="FFFFFF"/>
              </w:rPr>
            </w:pPr>
            <w:r>
              <w:rPr>
                <w:rFonts w:ascii="Arial Nova" w:hAnsi="Arial Nova" w:cs="Calibri"/>
                <w:color w:val="000000"/>
                <w:sz w:val="20"/>
                <w:szCs w:val="20"/>
              </w:rPr>
              <w:t>$31.41</w:t>
            </w:r>
          </w:p>
        </w:tc>
        <w:tc>
          <w:tcPr>
            <w:tcW w:w="2160" w:type="dxa"/>
            <w:tcBorders>
              <w:top w:val="single" w:sz="4" w:space="0" w:color="auto"/>
              <w:left w:val="single" w:sz="4" w:space="0" w:color="auto"/>
              <w:bottom w:val="single" w:sz="4" w:space="0" w:color="auto"/>
              <w:right w:val="single" w:sz="4" w:space="0" w:color="auto"/>
            </w:tcBorders>
            <w:noWrap/>
            <w:vAlign w:val="center"/>
          </w:tcPr>
          <w:p w:rsidR="003A361A" w:rsidRPr="003B5CB9" w:rsidP="003A361A" w14:paraId="0714E12B" w14:textId="2D520C16">
            <w:pPr>
              <w:spacing w:line="240" w:lineRule="auto"/>
              <w:jc w:val="center"/>
              <w:rPr>
                <w:sz w:val="24"/>
                <w:szCs w:val="24"/>
              </w:rPr>
            </w:pPr>
            <w:r>
              <w:rPr>
                <w:rFonts w:ascii="Arial Nova" w:hAnsi="Arial Nova" w:cs="Calibri"/>
                <w:color w:val="000000"/>
                <w:sz w:val="20"/>
                <w:szCs w:val="20"/>
              </w:rPr>
              <w:t>$10,114.02</w:t>
            </w:r>
          </w:p>
        </w:tc>
      </w:tr>
      <w:tr w14:paraId="2F83E2C2" w14:textId="77777777" w:rsidTr="00B972C2">
        <w:tblPrEx>
          <w:tblW w:w="9895" w:type="dxa"/>
          <w:tblLayout w:type="fixed"/>
          <w:tblLook w:val="04A0"/>
        </w:tblPrEx>
        <w:trPr>
          <w:trHeight w:val="287"/>
        </w:trPr>
        <w:tc>
          <w:tcPr>
            <w:tcW w:w="2337" w:type="dxa"/>
            <w:tcBorders>
              <w:top w:val="single" w:sz="4" w:space="0" w:color="auto"/>
              <w:left w:val="single" w:sz="4" w:space="0" w:color="auto"/>
              <w:bottom w:val="single" w:sz="4" w:space="0" w:color="auto"/>
              <w:right w:val="single" w:sz="4" w:space="0" w:color="auto"/>
            </w:tcBorders>
            <w:vAlign w:val="center"/>
            <w:hideMark/>
          </w:tcPr>
          <w:p w:rsidR="003B5CB9" w:rsidRPr="00690E54" w:rsidP="003B5CB9" w14:paraId="2382CE0C" w14:textId="77777777">
            <w:pPr>
              <w:spacing w:line="240" w:lineRule="auto"/>
              <w:rPr>
                <w:b/>
                <w:bCs/>
                <w:sz w:val="24"/>
                <w:szCs w:val="24"/>
              </w:rPr>
            </w:pPr>
            <w:r w:rsidRPr="00690E54">
              <w:rPr>
                <w:b/>
                <w:bCs/>
                <w:sz w:val="24"/>
                <w:szCs w:val="24"/>
              </w:rPr>
              <w:t>Total</w:t>
            </w:r>
          </w:p>
        </w:tc>
        <w:tc>
          <w:tcPr>
            <w:tcW w:w="2825" w:type="dxa"/>
            <w:tcBorders>
              <w:top w:val="single" w:sz="4" w:space="0" w:color="auto"/>
              <w:left w:val="nil"/>
              <w:bottom w:val="single" w:sz="4" w:space="0" w:color="auto"/>
              <w:right w:val="single" w:sz="4" w:space="0" w:color="auto"/>
            </w:tcBorders>
            <w:vAlign w:val="center"/>
            <w:hideMark/>
          </w:tcPr>
          <w:p w:rsidR="003B5CB9" w:rsidRPr="00690E54" w:rsidP="003B5CB9" w14:paraId="6C275B3A" w14:textId="77777777">
            <w:pPr>
              <w:spacing w:line="240" w:lineRule="auto"/>
              <w:rPr>
                <w:b/>
                <w:bCs/>
                <w:sz w:val="24"/>
                <w:szCs w:val="24"/>
              </w:rPr>
            </w:pPr>
            <w:r w:rsidRPr="00690E54">
              <w:rPr>
                <w:b/>
                <w:bCs/>
                <w:sz w:val="24"/>
                <w:szCs w:val="24"/>
              </w:rPr>
              <w:t> </w:t>
            </w:r>
          </w:p>
        </w:tc>
        <w:tc>
          <w:tcPr>
            <w:tcW w:w="1286" w:type="dxa"/>
            <w:tcBorders>
              <w:top w:val="single" w:sz="4" w:space="0" w:color="auto"/>
              <w:left w:val="nil"/>
              <w:bottom w:val="single" w:sz="4" w:space="0" w:color="auto"/>
              <w:right w:val="single" w:sz="4" w:space="0" w:color="auto"/>
            </w:tcBorders>
            <w:vAlign w:val="center"/>
            <w:hideMark/>
          </w:tcPr>
          <w:p w:rsidR="003B5CB9" w:rsidRPr="00690E54" w:rsidP="00970118" w14:paraId="3CE3BB1A" w14:textId="4209AC70">
            <w:pPr>
              <w:spacing w:line="240" w:lineRule="auto"/>
              <w:jc w:val="center"/>
              <w:rPr>
                <w:b/>
                <w:bCs/>
                <w:sz w:val="24"/>
                <w:szCs w:val="24"/>
              </w:rPr>
            </w:pPr>
            <w:r w:rsidRPr="00690E54">
              <w:rPr>
                <w:b/>
                <w:bCs/>
                <w:sz w:val="24"/>
                <w:szCs w:val="24"/>
              </w:rPr>
              <w:t>1,</w:t>
            </w:r>
            <w:r w:rsidRPr="00690E54" w:rsidR="008E2BAA">
              <w:rPr>
                <w:b/>
                <w:bCs/>
                <w:sz w:val="24"/>
                <w:szCs w:val="24"/>
              </w:rPr>
              <w:t>0</w:t>
            </w:r>
            <w:r w:rsidR="008E2BAA">
              <w:rPr>
                <w:b/>
                <w:bCs/>
                <w:sz w:val="24"/>
                <w:szCs w:val="24"/>
              </w:rPr>
              <w:t>64</w:t>
            </w:r>
          </w:p>
        </w:tc>
        <w:tc>
          <w:tcPr>
            <w:tcW w:w="1287" w:type="dxa"/>
            <w:tcBorders>
              <w:top w:val="single" w:sz="4" w:space="0" w:color="auto"/>
              <w:left w:val="nil"/>
              <w:bottom w:val="single" w:sz="4" w:space="0" w:color="auto"/>
              <w:right w:val="single" w:sz="4" w:space="0" w:color="auto"/>
            </w:tcBorders>
            <w:vAlign w:val="center"/>
            <w:hideMark/>
          </w:tcPr>
          <w:p w:rsidR="003B5CB9" w:rsidRPr="00690E54" w:rsidP="00970118" w14:paraId="078DB82E" w14:textId="70D62E92">
            <w:pPr>
              <w:spacing w:line="240" w:lineRule="auto"/>
              <w:jc w:val="center"/>
              <w:rPr>
                <w:sz w:val="24"/>
                <w:szCs w:val="24"/>
              </w:rPr>
            </w:pPr>
          </w:p>
        </w:tc>
        <w:tc>
          <w:tcPr>
            <w:tcW w:w="2160" w:type="dxa"/>
            <w:tcBorders>
              <w:top w:val="single" w:sz="4" w:space="0" w:color="auto"/>
              <w:left w:val="nil"/>
              <w:bottom w:val="single" w:sz="4" w:space="0" w:color="auto"/>
              <w:right w:val="single" w:sz="4" w:space="0" w:color="auto"/>
            </w:tcBorders>
            <w:noWrap/>
            <w:vAlign w:val="center"/>
            <w:hideMark/>
          </w:tcPr>
          <w:p w:rsidR="003B5CB9" w:rsidRPr="00690E54" w:rsidP="00970118" w14:paraId="62DF671E" w14:textId="736E3056">
            <w:pPr>
              <w:spacing w:line="240" w:lineRule="auto"/>
              <w:jc w:val="center"/>
              <w:rPr>
                <w:b/>
                <w:bCs/>
                <w:sz w:val="24"/>
                <w:szCs w:val="24"/>
              </w:rPr>
            </w:pPr>
            <w:r>
              <w:rPr>
                <w:rFonts w:ascii="Arial Nova" w:hAnsi="Arial Nova" w:cs="Calibri"/>
                <w:b/>
                <w:bCs/>
                <w:color w:val="000000"/>
                <w:sz w:val="20"/>
                <w:szCs w:val="20"/>
              </w:rPr>
              <w:t>$7</w:t>
            </w:r>
            <w:r w:rsidR="008E2BAA">
              <w:rPr>
                <w:rFonts w:ascii="Arial Nova" w:hAnsi="Arial Nova" w:cs="Calibri"/>
                <w:b/>
                <w:bCs/>
                <w:color w:val="000000"/>
                <w:sz w:val="20"/>
                <w:szCs w:val="20"/>
              </w:rPr>
              <w:t>7</w:t>
            </w:r>
            <w:r>
              <w:rPr>
                <w:rFonts w:ascii="Arial Nova" w:hAnsi="Arial Nova" w:cs="Calibri"/>
                <w:b/>
                <w:bCs/>
                <w:color w:val="000000"/>
                <w:sz w:val="20"/>
                <w:szCs w:val="20"/>
              </w:rPr>
              <w:t>,</w:t>
            </w:r>
            <w:r w:rsidR="008E2BAA">
              <w:rPr>
                <w:rFonts w:ascii="Arial Nova" w:hAnsi="Arial Nova" w:cs="Calibri"/>
                <w:b/>
                <w:bCs/>
                <w:color w:val="000000"/>
                <w:sz w:val="20"/>
                <w:szCs w:val="20"/>
              </w:rPr>
              <w:t>17</w:t>
            </w:r>
            <w:r w:rsidR="00595A7F">
              <w:rPr>
                <w:rFonts w:ascii="Arial Nova" w:hAnsi="Arial Nova" w:cs="Calibri"/>
                <w:b/>
                <w:bCs/>
                <w:color w:val="000000"/>
                <w:sz w:val="20"/>
                <w:szCs w:val="20"/>
              </w:rPr>
              <w:t>6</w:t>
            </w:r>
          </w:p>
        </w:tc>
      </w:tr>
    </w:tbl>
    <w:p w:rsidR="003B5CB9" w:rsidRPr="00D20211" w:rsidP="003B5CB9" w14:paraId="67C5B875" w14:textId="77777777">
      <w:pPr>
        <w:spacing w:line="240" w:lineRule="auto"/>
        <w:rPr>
          <w:sz w:val="24"/>
          <w:szCs w:val="24"/>
        </w:rPr>
      </w:pPr>
    </w:p>
    <w:p w:rsidR="00B45002" w:rsidRPr="00D20211" w:rsidP="00601F1A" w14:paraId="051C67DE" w14:textId="76F3626D">
      <w:pPr>
        <w:pStyle w:val="Heading1"/>
        <w:pBdr>
          <w:bottom w:val="none" w:sz="0" w:space="0" w:color="auto"/>
        </w:pBdr>
        <w:rPr>
          <w:color w:val="auto"/>
        </w:rPr>
      </w:pPr>
      <w:bookmarkStart w:id="22" w:name="_Toc119852202"/>
      <w:r w:rsidRPr="0023514C">
        <w:rPr>
          <w:color w:val="auto"/>
        </w:rPr>
        <w:t>A.</w:t>
      </w:r>
      <w:r w:rsidRPr="0023514C" w:rsidR="00AC62CC">
        <w:rPr>
          <w:color w:val="auto"/>
        </w:rPr>
        <w:t xml:space="preserve">13.  </w:t>
      </w:r>
      <w:r w:rsidRPr="0023514C">
        <w:rPr>
          <w:color w:val="auto"/>
        </w:rPr>
        <w:t>Estimates of Other Total Annual Cost Burden to Respondents and Record Keepers</w:t>
      </w:r>
      <w:bookmarkEnd w:id="22"/>
    </w:p>
    <w:p w:rsidR="00F1279E" w:rsidRPr="00D20211" w:rsidP="00ED72E9" w14:paraId="3887E2D4" w14:textId="77777777">
      <w:pPr>
        <w:autoSpaceDE w:val="0"/>
        <w:autoSpaceDN w:val="0"/>
        <w:adjustRightInd w:val="0"/>
        <w:spacing w:after="0" w:line="240" w:lineRule="auto"/>
        <w:rPr>
          <w:sz w:val="24"/>
          <w:szCs w:val="24"/>
        </w:rPr>
      </w:pPr>
    </w:p>
    <w:p w:rsidR="00ED72E9" w:rsidRPr="00E71F47" w:rsidP="00E71F47" w14:paraId="74BFB7FC" w14:textId="30D8A291">
      <w:pPr>
        <w:autoSpaceDE w:val="0"/>
        <w:autoSpaceDN w:val="0"/>
        <w:adjustRightInd w:val="0"/>
        <w:spacing w:after="0" w:line="240" w:lineRule="auto"/>
        <w:rPr>
          <w:rFonts w:cs="ITCFranklinGothicStd-Book"/>
          <w:sz w:val="24"/>
          <w:szCs w:val="24"/>
        </w:rPr>
      </w:pPr>
      <w:r>
        <w:rPr>
          <w:rFonts w:cs="ITCFranklinGothicStd-Book"/>
          <w:sz w:val="24"/>
          <w:szCs w:val="24"/>
        </w:rPr>
        <w:t xml:space="preserve">Data transfer mechanisms already in existence with public health laboratories will be utilized and CDC will utilize existing funding and Data Modernization Initiative expertise and work to </w:t>
      </w:r>
      <w:r w:rsidR="0041626E">
        <w:rPr>
          <w:rFonts w:cs="ITCFranklinGothicStd-Book"/>
          <w:sz w:val="24"/>
          <w:szCs w:val="24"/>
        </w:rPr>
        <w:t xml:space="preserve">offset </w:t>
      </w:r>
      <w:r>
        <w:rPr>
          <w:rFonts w:cs="ITCFranklinGothicStd-Book"/>
          <w:sz w:val="24"/>
          <w:szCs w:val="24"/>
        </w:rPr>
        <w:t>any</w:t>
      </w:r>
      <w:r w:rsidR="001E083D">
        <w:rPr>
          <w:rFonts w:cs="ITCFranklinGothicStd-Book"/>
          <w:sz w:val="24"/>
          <w:szCs w:val="24"/>
        </w:rPr>
        <w:t xml:space="preserve"> additional</w:t>
      </w:r>
      <w:r>
        <w:rPr>
          <w:rFonts w:cs="ITCFranklinGothicStd-Book"/>
          <w:sz w:val="24"/>
          <w:szCs w:val="24"/>
        </w:rPr>
        <w:t xml:space="preserve"> costs that may be </w:t>
      </w:r>
      <w:r w:rsidR="0041626E">
        <w:rPr>
          <w:rFonts w:cs="ITCFranklinGothicStd-Book"/>
          <w:sz w:val="24"/>
          <w:szCs w:val="24"/>
        </w:rPr>
        <w:t>incurr</w:t>
      </w:r>
      <w:r>
        <w:rPr>
          <w:rFonts w:cs="ITCFranklinGothicStd-Book"/>
          <w:sz w:val="24"/>
          <w:szCs w:val="24"/>
        </w:rPr>
        <w:t>ed</w:t>
      </w:r>
      <w:r w:rsidR="001E083D">
        <w:rPr>
          <w:rFonts w:cs="ITCFranklinGothicStd-Book"/>
          <w:sz w:val="24"/>
          <w:szCs w:val="24"/>
        </w:rPr>
        <w:t xml:space="preserve"> for initial set-up.</w:t>
      </w:r>
    </w:p>
    <w:p w:rsidR="00B45002" w:rsidRPr="00D20211" w:rsidP="00601F1A" w14:paraId="2DC96AD8" w14:textId="005F4E9C">
      <w:pPr>
        <w:pStyle w:val="Heading1"/>
        <w:pBdr>
          <w:bottom w:val="none" w:sz="0" w:space="0" w:color="auto"/>
        </w:pBdr>
        <w:rPr>
          <w:color w:val="auto"/>
        </w:rPr>
      </w:pPr>
      <w:bookmarkStart w:id="23" w:name="_Toc119852203"/>
      <w:r w:rsidRPr="00E71F47">
        <w:rPr>
          <w:color w:val="auto"/>
        </w:rPr>
        <w:t>A.</w:t>
      </w:r>
      <w:r w:rsidRPr="00E71F47" w:rsidR="00AC62CC">
        <w:rPr>
          <w:color w:val="auto"/>
        </w:rPr>
        <w:t xml:space="preserve">14.  </w:t>
      </w:r>
      <w:r w:rsidRPr="00E71F47">
        <w:rPr>
          <w:color w:val="auto"/>
        </w:rPr>
        <w:t>Annualized Cost to the Federal Government</w:t>
      </w:r>
      <w:bookmarkEnd w:id="23"/>
    </w:p>
    <w:p w:rsidR="00DA5A96" w:rsidP="00DA5A96" w14:paraId="3B492077" w14:textId="67A2D729"/>
    <w:p w:rsidR="00CB7D35" w:rsidP="00DA5A96" w14:paraId="6D251E27" w14:textId="499A78C2">
      <w:r w:rsidRPr="00841078">
        <w:rPr>
          <w:rFonts w:cs="ITCFranklinGothicStd-Book"/>
          <w:sz w:val="24"/>
          <w:szCs w:val="24"/>
        </w:rPr>
        <w:t>The ED3N project is funded through CDC NSMBB program funds at around $1 million annually.</w:t>
      </w:r>
      <w:r w:rsidR="001E083D">
        <w:rPr>
          <w:rFonts w:cs="ITCFranklinGothicStd-Book"/>
          <w:sz w:val="24"/>
          <w:szCs w:val="24"/>
        </w:rPr>
        <w:t xml:space="preserve"> Currently, all development costs are </w:t>
      </w:r>
      <w:r w:rsidR="001E083D">
        <w:rPr>
          <w:rFonts w:cs="ITCFranklinGothicStd-Book"/>
          <w:sz w:val="24"/>
          <w:szCs w:val="24"/>
        </w:rPr>
        <w:t>through the use of</w:t>
      </w:r>
      <w:r w:rsidR="001E083D">
        <w:rPr>
          <w:rFonts w:cs="ITCFranklinGothicStd-Book"/>
          <w:sz w:val="24"/>
          <w:szCs w:val="24"/>
        </w:rPr>
        <w:t xml:space="preserve"> contracts as indicated in the cost below.</w:t>
      </w:r>
    </w:p>
    <w:tbl>
      <w:tblPr>
        <w:tblStyle w:val="TableGrid"/>
        <w:tblW w:w="9360" w:type="dxa"/>
        <w:tblLayout w:type="fixed"/>
        <w:tblLook w:val="04A0"/>
      </w:tblPr>
      <w:tblGrid>
        <w:gridCol w:w="3120"/>
        <w:gridCol w:w="3120"/>
        <w:gridCol w:w="3120"/>
      </w:tblGrid>
      <w:tr w14:paraId="7FBDBDF3" w14:textId="77777777" w:rsidTr="00E71F47">
        <w:tblPrEx>
          <w:tblW w:w="9360" w:type="dxa"/>
          <w:tblLayout w:type="fixed"/>
          <w:tblLook w:val="04A0"/>
        </w:tblPrEx>
        <w:tc>
          <w:tcPr>
            <w:tcW w:w="3120" w:type="dxa"/>
          </w:tcPr>
          <w:p w:rsidR="00E71F47" w:rsidP="00F80A25" w14:paraId="64FEB431" w14:textId="77777777">
            <w:pPr>
              <w:rPr>
                <w:b/>
                <w:bCs/>
              </w:rPr>
            </w:pPr>
            <w:r w:rsidRPr="11A961AF">
              <w:rPr>
                <w:b/>
                <w:bCs/>
              </w:rPr>
              <w:t>Expense Type</w:t>
            </w:r>
          </w:p>
        </w:tc>
        <w:tc>
          <w:tcPr>
            <w:tcW w:w="3120" w:type="dxa"/>
          </w:tcPr>
          <w:p w:rsidR="00E71F47" w:rsidP="00F80A25" w14:paraId="1A53B5A3" w14:textId="77777777">
            <w:pPr>
              <w:rPr>
                <w:b/>
                <w:bCs/>
              </w:rPr>
            </w:pPr>
            <w:r w:rsidRPr="11A961AF">
              <w:rPr>
                <w:b/>
                <w:bCs/>
              </w:rPr>
              <w:t>Expense Explanation</w:t>
            </w:r>
          </w:p>
        </w:tc>
        <w:tc>
          <w:tcPr>
            <w:tcW w:w="3120" w:type="dxa"/>
          </w:tcPr>
          <w:p w:rsidR="00E71F47" w:rsidP="00F80A25" w14:paraId="186BEF08" w14:textId="77777777">
            <w:pPr>
              <w:rPr>
                <w:b/>
                <w:bCs/>
              </w:rPr>
            </w:pPr>
            <w:r w:rsidRPr="11A961AF">
              <w:rPr>
                <w:b/>
                <w:bCs/>
              </w:rPr>
              <w:t>Cost (dollars)</w:t>
            </w:r>
          </w:p>
        </w:tc>
      </w:tr>
      <w:tr w14:paraId="348DB03A" w14:textId="77777777" w:rsidTr="00E71F47">
        <w:tblPrEx>
          <w:tblW w:w="9360" w:type="dxa"/>
          <w:tblLayout w:type="fixed"/>
          <w:tblLook w:val="04A0"/>
        </w:tblPrEx>
        <w:tc>
          <w:tcPr>
            <w:tcW w:w="9360" w:type="dxa"/>
            <w:gridSpan w:val="3"/>
            <w:shd w:val="clear" w:color="auto" w:fill="EEECE1" w:themeFill="background2"/>
          </w:tcPr>
          <w:p w:rsidR="00E71F47" w:rsidP="00F80A25" w14:paraId="2D2D0E63" w14:textId="6C9F2198">
            <w:r>
              <w:t>ED3N Development and Oversight</w:t>
            </w:r>
          </w:p>
        </w:tc>
      </w:tr>
      <w:tr w14:paraId="0E76639C" w14:textId="77777777" w:rsidTr="00E71F47">
        <w:tblPrEx>
          <w:tblW w:w="9360" w:type="dxa"/>
          <w:tblLayout w:type="fixed"/>
          <w:tblLook w:val="04A0"/>
        </w:tblPrEx>
        <w:tc>
          <w:tcPr>
            <w:tcW w:w="3120" w:type="dxa"/>
          </w:tcPr>
          <w:p w:rsidR="00E71F47" w:rsidP="00F80A25" w14:paraId="3AAE66C1" w14:textId="77777777">
            <w:r>
              <w:t>Direct Cost to the Federal Government</w:t>
            </w:r>
          </w:p>
        </w:tc>
        <w:tc>
          <w:tcPr>
            <w:tcW w:w="3120" w:type="dxa"/>
          </w:tcPr>
          <w:p w:rsidR="00E71F47" w:rsidP="00F80A25" w14:paraId="4FA8D11B" w14:textId="3F5E3D18">
            <w:r>
              <w:t>Contracted Staff</w:t>
            </w:r>
            <w:r w:rsidR="001E083D">
              <w:t xml:space="preserve">, including: </w:t>
            </w:r>
            <w:r>
              <w:t xml:space="preserve">Bioinformatician, </w:t>
            </w:r>
            <w:r w:rsidR="001E083D">
              <w:t xml:space="preserve">Genetic Counselor, </w:t>
            </w:r>
            <w:r>
              <w:t>Developers,</w:t>
            </w:r>
            <w:r w:rsidR="001E083D">
              <w:t xml:space="preserve"> and</w:t>
            </w:r>
            <w:r>
              <w:t xml:space="preserve"> Program Management</w:t>
            </w:r>
          </w:p>
        </w:tc>
        <w:tc>
          <w:tcPr>
            <w:tcW w:w="3120" w:type="dxa"/>
          </w:tcPr>
          <w:p w:rsidR="00E71F47" w:rsidP="00F80A25" w14:paraId="1A6ACE3B" w14:textId="227B795B">
            <w:r>
              <w:t>$</w:t>
            </w:r>
            <w:r w:rsidR="00CB7D35">
              <w:t>1,000,0</w:t>
            </w:r>
            <w:r>
              <w:t>00</w:t>
            </w:r>
          </w:p>
        </w:tc>
      </w:tr>
    </w:tbl>
    <w:p w:rsidR="00E71F47" w:rsidP="00E71F47" w14:paraId="62B0320C" w14:textId="77777777">
      <w:pPr>
        <w:autoSpaceDE w:val="0"/>
        <w:autoSpaceDN w:val="0"/>
        <w:adjustRightInd w:val="0"/>
        <w:spacing w:line="240" w:lineRule="auto"/>
        <w:rPr>
          <w:rFonts w:cs="ITCFranklinGothicStd-Book"/>
          <w:sz w:val="24"/>
          <w:szCs w:val="24"/>
        </w:rPr>
      </w:pPr>
    </w:p>
    <w:p w:rsidR="00E71F47" w:rsidRPr="003B244D" w:rsidP="003B244D" w14:paraId="27792CCF" w14:textId="4DF6631E">
      <w:pPr>
        <w:autoSpaceDE w:val="0"/>
        <w:autoSpaceDN w:val="0"/>
        <w:adjustRightInd w:val="0"/>
        <w:spacing w:line="240" w:lineRule="auto"/>
        <w:rPr>
          <w:rFonts w:cs="ITCFranklinGothicStd-Book"/>
          <w:sz w:val="24"/>
          <w:szCs w:val="24"/>
        </w:rPr>
      </w:pPr>
      <w:r w:rsidRPr="076FE6B7">
        <w:rPr>
          <w:rFonts w:cs="ITCFranklinGothicStd-Book"/>
          <w:sz w:val="24"/>
          <w:szCs w:val="24"/>
        </w:rPr>
        <w:t>Cost</w:t>
      </w:r>
      <w:r>
        <w:rPr>
          <w:rFonts w:cs="ITCFranklinGothicStd-Book"/>
          <w:sz w:val="24"/>
          <w:szCs w:val="24"/>
        </w:rPr>
        <w:t>s</w:t>
      </w:r>
      <w:r w:rsidRPr="076FE6B7">
        <w:rPr>
          <w:rFonts w:cs="ITCFranklinGothicStd-Book"/>
          <w:sz w:val="24"/>
          <w:szCs w:val="24"/>
        </w:rPr>
        <w:t xml:space="preserve"> were estimated by determining the </w:t>
      </w:r>
      <w:r>
        <w:rPr>
          <w:rFonts w:cs="ITCFranklinGothicStd-Book"/>
          <w:sz w:val="24"/>
          <w:szCs w:val="24"/>
        </w:rPr>
        <w:t>contract</w:t>
      </w:r>
      <w:r w:rsidRPr="076FE6B7">
        <w:rPr>
          <w:rFonts w:cs="ITCFranklinGothicStd-Book"/>
          <w:sz w:val="24"/>
          <w:szCs w:val="24"/>
        </w:rPr>
        <w:t xml:space="preserve"> staff time to develop </w:t>
      </w:r>
      <w:r>
        <w:rPr>
          <w:rFonts w:cs="ITCFranklinGothicStd-Book"/>
          <w:sz w:val="24"/>
          <w:szCs w:val="24"/>
        </w:rPr>
        <w:t>the capability for electronic data transfer</w:t>
      </w:r>
      <w:r w:rsidRPr="076FE6B7">
        <w:rPr>
          <w:rFonts w:cs="ITCFranklinGothicStd-Book"/>
          <w:sz w:val="24"/>
          <w:szCs w:val="24"/>
        </w:rPr>
        <w:t xml:space="preserve">, </w:t>
      </w:r>
      <w:r>
        <w:rPr>
          <w:rFonts w:cs="ITCFranklinGothicStd-Book"/>
          <w:sz w:val="24"/>
          <w:szCs w:val="24"/>
        </w:rPr>
        <w:t xml:space="preserve">provide TA, </w:t>
      </w:r>
      <w:r w:rsidRPr="076FE6B7">
        <w:rPr>
          <w:rFonts w:cs="ITCFranklinGothicStd-Book"/>
          <w:sz w:val="24"/>
          <w:szCs w:val="24"/>
        </w:rPr>
        <w:t xml:space="preserve">and </w:t>
      </w:r>
      <w:r>
        <w:rPr>
          <w:rFonts w:cs="ITCFranklinGothicStd-Book"/>
          <w:sz w:val="24"/>
          <w:szCs w:val="24"/>
        </w:rPr>
        <w:t>generate algorithms and reports</w:t>
      </w:r>
      <w:r w:rsidRPr="076FE6B7">
        <w:rPr>
          <w:rFonts w:cs="ITCFranklinGothicStd-Book"/>
          <w:sz w:val="24"/>
          <w:szCs w:val="24"/>
        </w:rPr>
        <w:t xml:space="preserve"> based on the </w:t>
      </w:r>
      <w:r>
        <w:rPr>
          <w:rFonts w:cs="ITCFranklinGothicStd-Book"/>
          <w:sz w:val="24"/>
          <w:szCs w:val="24"/>
        </w:rPr>
        <w:t>expected</w:t>
      </w:r>
      <w:r w:rsidRPr="076FE6B7">
        <w:rPr>
          <w:rFonts w:cs="ITCFranklinGothicStd-Book"/>
          <w:sz w:val="24"/>
          <w:szCs w:val="24"/>
        </w:rPr>
        <w:t xml:space="preserve"> number of participating </w:t>
      </w:r>
      <w:r>
        <w:rPr>
          <w:rFonts w:cs="ITCFranklinGothicStd-Book"/>
          <w:sz w:val="24"/>
          <w:szCs w:val="24"/>
        </w:rPr>
        <w:t>programs</w:t>
      </w:r>
      <w:r w:rsidRPr="076FE6B7">
        <w:rPr>
          <w:rFonts w:cs="ITCFranklinGothicStd-Book"/>
          <w:sz w:val="24"/>
          <w:szCs w:val="24"/>
        </w:rPr>
        <w:t xml:space="preserve"> and include operational overhead such as program management.</w:t>
      </w:r>
    </w:p>
    <w:p w:rsidR="00B45002" w:rsidRPr="00D20211" w:rsidP="00E118BC" w14:paraId="2314A6FA" w14:textId="58EF1C4D">
      <w:pPr>
        <w:pStyle w:val="Heading1"/>
        <w:pBdr>
          <w:bottom w:val="none" w:sz="0" w:space="0" w:color="auto"/>
        </w:pBdr>
        <w:rPr>
          <w:rFonts w:cs="ITCFranklinGothicStd-Demi"/>
          <w:color w:val="auto"/>
          <w:sz w:val="24"/>
          <w:szCs w:val="24"/>
        </w:rPr>
      </w:pPr>
      <w:bookmarkStart w:id="24" w:name="_Toc119852204"/>
      <w:r w:rsidRPr="00D20211">
        <w:rPr>
          <w:color w:val="auto"/>
        </w:rPr>
        <w:t>A.</w:t>
      </w:r>
      <w:r w:rsidRPr="00D20211" w:rsidR="00AC62CC">
        <w:rPr>
          <w:color w:val="auto"/>
        </w:rPr>
        <w:t xml:space="preserve">15.  </w:t>
      </w:r>
      <w:r w:rsidRPr="00D20211">
        <w:rPr>
          <w:color w:val="auto"/>
        </w:rPr>
        <w:t>Explanation for Program Changes or Adjustments</w:t>
      </w:r>
      <w:bookmarkEnd w:id="24"/>
    </w:p>
    <w:p w:rsidR="007F6CB2" w:rsidRPr="00D20211" w:rsidP="007F6CB2" w14:paraId="1E5BA455" w14:textId="77777777">
      <w:pPr>
        <w:spacing w:line="240" w:lineRule="auto"/>
        <w:rPr>
          <w:sz w:val="24"/>
          <w:szCs w:val="24"/>
        </w:rPr>
      </w:pPr>
    </w:p>
    <w:p w:rsidR="00094E1B" w:rsidRPr="00D067B8" w:rsidP="00702BFD" w14:paraId="43022FB2" w14:textId="579DA114">
      <w:pPr>
        <w:spacing w:line="240" w:lineRule="auto"/>
        <w:rPr>
          <w:sz w:val="24"/>
          <w:szCs w:val="24"/>
        </w:rPr>
      </w:pPr>
      <w:r w:rsidRPr="00D067B8">
        <w:rPr>
          <w:sz w:val="24"/>
          <w:szCs w:val="24"/>
        </w:rPr>
        <w:t>This is a</w:t>
      </w:r>
      <w:r w:rsidR="001C3D48">
        <w:rPr>
          <w:sz w:val="24"/>
          <w:szCs w:val="24"/>
        </w:rPr>
        <w:t xml:space="preserve">n extension of a </w:t>
      </w:r>
      <w:r w:rsidRPr="00D067B8">
        <w:rPr>
          <w:sz w:val="24"/>
          <w:szCs w:val="24"/>
        </w:rPr>
        <w:t>data/information collection.</w:t>
      </w:r>
    </w:p>
    <w:p w:rsidR="00B45002" w:rsidRPr="00D20211" w:rsidP="00601F1A" w14:paraId="6A569BBC" w14:textId="7FC870CA">
      <w:pPr>
        <w:pStyle w:val="Heading1"/>
        <w:pBdr>
          <w:bottom w:val="none" w:sz="0" w:space="0" w:color="auto"/>
        </w:pBdr>
        <w:rPr>
          <w:color w:val="auto"/>
        </w:rPr>
      </w:pPr>
      <w:bookmarkStart w:id="25" w:name="_Toc119852205"/>
      <w:r w:rsidRPr="0065435C">
        <w:rPr>
          <w:color w:val="auto"/>
        </w:rPr>
        <w:t>A.</w:t>
      </w:r>
      <w:r w:rsidRPr="0065435C" w:rsidR="00AC62CC">
        <w:rPr>
          <w:color w:val="auto"/>
        </w:rPr>
        <w:t xml:space="preserve">16.  </w:t>
      </w:r>
      <w:r w:rsidRPr="0065435C">
        <w:rPr>
          <w:color w:val="auto"/>
        </w:rPr>
        <w:t>Plans for Tabulation and Publication and Project Time Schedule</w:t>
      </w:r>
      <w:bookmarkEnd w:id="25"/>
    </w:p>
    <w:p w:rsidR="003248A4" w:rsidRPr="00D20211" w:rsidP="003248A4" w14:paraId="04966E2D" w14:textId="77777777"/>
    <w:p w:rsidR="003C21A1" w:rsidRPr="0065435C" w:rsidP="0065435C" w14:paraId="53C48A52" w14:textId="041AAA6A">
      <w:pPr>
        <w:autoSpaceDE w:val="0"/>
        <w:autoSpaceDN w:val="0"/>
        <w:adjustRightInd w:val="0"/>
        <w:spacing w:line="240" w:lineRule="auto"/>
        <w:rPr>
          <w:rFonts w:cs="ITCFranklinGothicStd-Book"/>
          <w:sz w:val="24"/>
          <w:szCs w:val="24"/>
        </w:rPr>
      </w:pPr>
      <w:r>
        <w:rPr>
          <w:rFonts w:cs="ITCFranklinGothicStd-Book"/>
          <w:sz w:val="24"/>
          <w:szCs w:val="24"/>
        </w:rPr>
        <w:t>Publication of this data would only occur at the aggregate level</w:t>
      </w:r>
      <w:r w:rsidR="0065435C">
        <w:rPr>
          <w:rFonts w:cs="ITCFranklinGothicStd-Book"/>
          <w:sz w:val="24"/>
          <w:szCs w:val="24"/>
        </w:rPr>
        <w:t xml:space="preserve">. The data is used to improve screening and interpretation performance of newborn screening programs. However, publications on processes and comparison of performance metrics may occur. This project will be ongoing with no planned end date as the purpose is for this to be available as a tool to newborn screening programs for the foreseeable future. </w:t>
      </w:r>
    </w:p>
    <w:p w:rsidR="00B45002" w:rsidRPr="00D20211" w:rsidP="00601F1A" w14:paraId="17A1701D" w14:textId="44715584">
      <w:pPr>
        <w:pStyle w:val="Heading1"/>
        <w:pBdr>
          <w:bottom w:val="none" w:sz="0" w:space="0" w:color="auto"/>
        </w:pBdr>
        <w:rPr>
          <w:color w:val="auto"/>
        </w:rPr>
      </w:pPr>
      <w:bookmarkStart w:id="26" w:name="_Toc119852206"/>
      <w:r w:rsidRPr="00D20211">
        <w:rPr>
          <w:color w:val="auto"/>
        </w:rPr>
        <w:t>A.</w:t>
      </w:r>
      <w:r w:rsidRPr="00D20211" w:rsidR="00AC62CC">
        <w:rPr>
          <w:color w:val="auto"/>
        </w:rPr>
        <w:t xml:space="preserve">17.  </w:t>
      </w:r>
      <w:r w:rsidRPr="00D20211">
        <w:rPr>
          <w:color w:val="auto"/>
        </w:rPr>
        <w:t>Reason(s) Display of OMB Expiration Date is Inappropriate</w:t>
      </w:r>
      <w:bookmarkEnd w:id="26"/>
    </w:p>
    <w:p w:rsidR="005B6E55" w:rsidP="005B6E55" w14:paraId="7135D023" w14:textId="08499022"/>
    <w:p w:rsidR="004856D9" w:rsidRPr="00D067B8" w:rsidP="005B6E55" w14:paraId="092B0F3E" w14:textId="6769C4AD">
      <w:r w:rsidRPr="00D067B8">
        <w:rPr>
          <w:rFonts w:cs="ITCFranklinGothicStd-Book"/>
          <w:sz w:val="24"/>
          <w:szCs w:val="24"/>
        </w:rPr>
        <w:t>The display of the OMB expiration date is appropriate.</w:t>
      </w:r>
    </w:p>
    <w:p w:rsidR="00DC57CC" w:rsidRPr="00D20211" w:rsidP="00601F1A" w14:paraId="2756C2D5" w14:textId="21EA9472">
      <w:pPr>
        <w:pStyle w:val="Heading1"/>
        <w:pBdr>
          <w:bottom w:val="none" w:sz="0" w:space="0" w:color="auto"/>
        </w:pBdr>
        <w:rPr>
          <w:color w:val="auto"/>
        </w:rPr>
      </w:pPr>
      <w:bookmarkStart w:id="27" w:name="_Toc119852207"/>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7"/>
    </w:p>
    <w:p w:rsidR="008C154D" w:rsidP="005B6E55" w14:paraId="661E4960" w14:textId="0DD47731">
      <w:pPr>
        <w:spacing w:line="240" w:lineRule="auto"/>
        <w:rPr>
          <w:sz w:val="24"/>
          <w:szCs w:val="24"/>
        </w:rPr>
      </w:pPr>
    </w:p>
    <w:p w:rsidR="004856D9" w:rsidP="005B6E55" w14:paraId="2AED5B8F" w14:textId="3A7C3480">
      <w:pPr>
        <w:spacing w:line="240" w:lineRule="auto"/>
        <w:rPr>
          <w:sz w:val="24"/>
          <w:szCs w:val="24"/>
        </w:rPr>
      </w:pPr>
      <w:r w:rsidRPr="00D067B8">
        <w:rPr>
          <w:rFonts w:cs="ITCFranklinGothicStd-Book"/>
          <w:sz w:val="24"/>
          <w:szCs w:val="24"/>
        </w:rPr>
        <w:t xml:space="preserve">There are no exceptions to the certification. </w:t>
      </w:r>
      <w:r w:rsidRPr="00D067B8">
        <w:rPr>
          <w:sz w:val="24"/>
          <w:szCs w:val="24"/>
        </w:rPr>
        <w:t>These activities comply with the requirements in 5 CFR 1320.9</w:t>
      </w:r>
      <w:r w:rsidR="000565E1">
        <w:rPr>
          <w:sz w:val="24"/>
          <w:szCs w:val="24"/>
        </w:rPr>
        <w:t>.</w:t>
      </w:r>
    </w:p>
    <w:p w:rsidR="00004CA5" w:rsidRPr="00902772" w:rsidP="009451DB" w14:paraId="0E54566F" w14:textId="77777777"/>
    <w:sectPr w:rsidSect="00F91C38">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3D2" w14:paraId="5F31A8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5724264"/>
      <w:docPartObj>
        <w:docPartGallery w:val="Page Numbers (Bottom of Page)"/>
        <w:docPartUnique/>
      </w:docPartObj>
    </w:sdtPr>
    <w:sdtEndPr>
      <w:rPr>
        <w:color w:val="7F7F7F" w:themeColor="background1" w:themeShade="7F"/>
        <w:spacing w:val="60"/>
      </w:rPr>
    </w:sdtEndPr>
    <w:sdtContent>
      <w:p w:rsidR="00F87CD8" w14:paraId="4DFDF9B3" w14:textId="1E5FD38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AA64A2" w14:paraId="4FF401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3D2" w14:paraId="62A8073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E85" w14:paraId="51985285" w14:textId="77777777">
    <w:pPr>
      <w:pStyle w:val="Footer"/>
    </w:pPr>
  </w:p>
  <w:p w:rsidR="009039D3" w14:paraId="1CC175A7"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0411547"/>
      <w:docPartObj>
        <w:docPartGallery w:val="Page Numbers (Bottom of Page)"/>
        <w:docPartUnique/>
      </w:docPartObj>
    </w:sdtPr>
    <w:sdtEndPr>
      <w:rPr>
        <w:color w:val="7F7F7F" w:themeColor="background1" w:themeShade="7F"/>
        <w:spacing w:val="60"/>
      </w:rPr>
    </w:sdtEndPr>
    <w:sdtContent>
      <w:p w:rsidR="00004CA5" w14:paraId="581934B8" w14:textId="312FFB1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C25E85" w14:paraId="08F2E181" w14:textId="77777777">
    <w:pPr>
      <w:pStyle w:val="Footer"/>
    </w:pPr>
  </w:p>
  <w:p w:rsidR="009039D3" w14:paraId="1F024CB1"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E85" w14:paraId="19AE8F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788A" w:rsidP="008B5D54" w14:paraId="10574616" w14:textId="77777777">
      <w:r>
        <w:separator/>
      </w:r>
    </w:p>
  </w:footnote>
  <w:footnote w:type="continuationSeparator" w:id="1">
    <w:p w:rsidR="0084788A" w:rsidP="008B5D54" w14:paraId="4CE5674D" w14:textId="77777777">
      <w:r>
        <w:continuationSeparator/>
      </w:r>
    </w:p>
  </w:footnote>
  <w:footnote w:id="2">
    <w:p w:rsidR="005F3F7C" w14:paraId="32FB4905" w14:textId="09D1C067">
      <w:pPr>
        <w:pStyle w:val="FootnoteText"/>
      </w:pPr>
      <w:r>
        <w:rPr>
          <w:rStyle w:val="FootnoteReference"/>
        </w:rPr>
        <w:footnoteRef/>
      </w:r>
      <w:r>
        <w:t xml:space="preserve"> </w:t>
      </w:r>
      <w:r w:rsidR="00805C42">
        <w:t xml:space="preserve">Bailey DB Jr, Porter KA, Andrews SM, Raspa M, Gwaltney AY, Peay HL. Expert Evaluation of Strategies to Modernize Newborn Screening in the United States. </w:t>
      </w:r>
      <w:r w:rsidR="00805C42">
        <w:rPr>
          <w:i/>
          <w:iCs/>
        </w:rPr>
        <w:t>JAMA Netw Open</w:t>
      </w:r>
      <w:r w:rsidR="00805C42">
        <w:t>. 2021;4(12):e2140998.</w:t>
      </w:r>
    </w:p>
    <w:p w:rsidR="00F76C34" w14:paraId="756980FF" w14:textId="77777777">
      <w:pPr>
        <w:pStyle w:val="FootnoteText"/>
      </w:pPr>
    </w:p>
  </w:footnote>
  <w:footnote w:id="3">
    <w:p w:rsidR="00805C42" w14:paraId="416A2194" w14:textId="399C9B93">
      <w:pPr>
        <w:pStyle w:val="FootnoteText"/>
      </w:pPr>
      <w:r>
        <w:rPr>
          <w:rStyle w:val="FootnoteReference"/>
        </w:rPr>
        <w:footnoteRef/>
      </w:r>
      <w:r>
        <w:t xml:space="preserve"> </w:t>
      </w:r>
      <w:r w:rsidR="00B8466C">
        <w:t>Watson MS, Lloyd-Puryear MA, Howell RR. The Progress and Future of US Newborn Screening. Int J Neonatal Screen. 2022 Jul 18;8(3):41.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3D2" w14:paraId="6F24BA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3D2" w14:paraId="1CB4A5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3D2" w14:paraId="4BD01BD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E85" w14:paraId="6B3E792E" w14:textId="77777777">
    <w:pPr>
      <w:pStyle w:val="Header"/>
    </w:pPr>
  </w:p>
  <w:p w:rsidR="009039D3" w14:paraId="5E15E141"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E85" w14:paraId="7FB7D6EC" w14:textId="77777777">
    <w:pPr>
      <w:pStyle w:val="Header"/>
    </w:pPr>
  </w:p>
  <w:p w:rsidR="009039D3" w14:paraId="73C5D36E"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E85" w14:paraId="6F712D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DFD"/>
    <w:multiLevelType w:val="multilevel"/>
    <w:tmpl w:val="8C6819F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C63CB"/>
    <w:multiLevelType w:val="hybridMultilevel"/>
    <w:tmpl w:val="93B2AE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765F6"/>
    <w:multiLevelType w:val="hybridMultilevel"/>
    <w:tmpl w:val="F6CA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E8083F"/>
    <w:multiLevelType w:val="hybridMultilevel"/>
    <w:tmpl w:val="10587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021201"/>
    <w:multiLevelType w:val="hybridMultilevel"/>
    <w:tmpl w:val="F3606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D865C4"/>
    <w:multiLevelType w:val="hybridMultilevel"/>
    <w:tmpl w:val="BDD2A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F73ED8"/>
    <w:multiLevelType w:val="hybridMultilevel"/>
    <w:tmpl w:val="3C8E6F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F81F01"/>
    <w:multiLevelType w:val="hybridMultilevel"/>
    <w:tmpl w:val="3E18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481D09"/>
    <w:multiLevelType w:val="hybridMultilevel"/>
    <w:tmpl w:val="33244C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9B7496"/>
    <w:multiLevelType w:val="hybridMultilevel"/>
    <w:tmpl w:val="F9026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332AB6"/>
    <w:multiLevelType w:val="hybridMultilevel"/>
    <w:tmpl w:val="8990E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630B48"/>
    <w:multiLevelType w:val="hybridMultilevel"/>
    <w:tmpl w:val="1252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FF1965"/>
    <w:multiLevelType w:val="hybridMultilevel"/>
    <w:tmpl w:val="61CC6C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0A2BD7"/>
    <w:multiLevelType w:val="hybridMultilevel"/>
    <w:tmpl w:val="7FFC5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28224A"/>
    <w:multiLevelType w:val="hybridMultilevel"/>
    <w:tmpl w:val="71DC7A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heme="minorHAnsi" w:eastAsiaTheme="minorEastAsia" w:hAnsiTheme="minorHAnsi" w:cs="ITCFranklinGothicStd-Book"/>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BD7454"/>
    <w:multiLevelType w:val="hybridMultilevel"/>
    <w:tmpl w:val="16668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DB07B5"/>
    <w:multiLevelType w:val="hybridMultilevel"/>
    <w:tmpl w:val="4434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F773E9"/>
    <w:multiLevelType w:val="hybridMultilevel"/>
    <w:tmpl w:val="26B2CF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9F39A0"/>
    <w:multiLevelType w:val="hybridMultilevel"/>
    <w:tmpl w:val="A416854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7636F6A"/>
    <w:multiLevelType w:val="hybridMultilevel"/>
    <w:tmpl w:val="24287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612761"/>
    <w:multiLevelType w:val="hybridMultilevel"/>
    <w:tmpl w:val="D12AE6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2D42D3"/>
    <w:multiLevelType w:val="hybridMultilevel"/>
    <w:tmpl w:val="BB3A2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31761C6"/>
    <w:multiLevelType w:val="hybridMultilevel"/>
    <w:tmpl w:val="6630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CC023E"/>
    <w:multiLevelType w:val="hybridMultilevel"/>
    <w:tmpl w:val="4B8CA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746DCE"/>
    <w:multiLevelType w:val="hybridMultilevel"/>
    <w:tmpl w:val="1D325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0044EC6"/>
    <w:multiLevelType w:val="multilevel"/>
    <w:tmpl w:val="94C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5D2CA2"/>
    <w:multiLevelType w:val="hybridMultilevel"/>
    <w:tmpl w:val="1D44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493609"/>
    <w:multiLevelType w:val="hybridMultilevel"/>
    <w:tmpl w:val="0568E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AF624F"/>
    <w:multiLevelType w:val="hybridMultilevel"/>
    <w:tmpl w:val="555E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5B2897"/>
    <w:multiLevelType w:val="hybridMultilevel"/>
    <w:tmpl w:val="F4CA81DA"/>
    <w:lvl w:ilvl="0">
      <w:start w:val="0"/>
      <w:numFmt w:val="bullet"/>
      <w:lvlText w:val="-"/>
      <w:lvlJc w:val="left"/>
      <w:pPr>
        <w:ind w:left="720" w:hanging="360"/>
      </w:pPr>
      <w:rPr>
        <w:rFonts w:ascii="Times New Roman" w:eastAsia="Times New Roman" w:hAnsi="Times New Roman" w:hint="default"/>
        <w:color w:val="00000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0105741"/>
    <w:multiLevelType w:val="hybridMultilevel"/>
    <w:tmpl w:val="4E6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3664FB1"/>
    <w:multiLevelType w:val="hybridMultilevel"/>
    <w:tmpl w:val="04F23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6D0351"/>
    <w:multiLevelType w:val="hybridMultilevel"/>
    <w:tmpl w:val="F48AE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6224E5"/>
    <w:multiLevelType w:val="hybridMultilevel"/>
    <w:tmpl w:val="2C9A877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405803798">
    <w:abstractNumId w:val="17"/>
  </w:num>
  <w:num w:numId="2" w16cid:durableId="1189028298">
    <w:abstractNumId w:val="29"/>
  </w:num>
  <w:num w:numId="3" w16cid:durableId="1274434826">
    <w:abstractNumId w:val="31"/>
  </w:num>
  <w:num w:numId="4" w16cid:durableId="513961247">
    <w:abstractNumId w:val="4"/>
  </w:num>
  <w:num w:numId="5" w16cid:durableId="1317876955">
    <w:abstractNumId w:val="19"/>
  </w:num>
  <w:num w:numId="6" w16cid:durableId="1205600829">
    <w:abstractNumId w:val="0"/>
  </w:num>
  <w:num w:numId="7" w16cid:durableId="2106538613">
    <w:abstractNumId w:val="39"/>
  </w:num>
  <w:num w:numId="8" w16cid:durableId="1020736578">
    <w:abstractNumId w:val="27"/>
  </w:num>
  <w:num w:numId="9" w16cid:durableId="842235892">
    <w:abstractNumId w:val="11"/>
  </w:num>
  <w:num w:numId="10" w16cid:durableId="297033706">
    <w:abstractNumId w:val="40"/>
  </w:num>
  <w:num w:numId="11" w16cid:durableId="1541475161">
    <w:abstractNumId w:val="16"/>
  </w:num>
  <w:num w:numId="12" w16cid:durableId="1356929075">
    <w:abstractNumId w:val="26"/>
  </w:num>
  <w:num w:numId="13" w16cid:durableId="1617641749">
    <w:abstractNumId w:val="30"/>
  </w:num>
  <w:num w:numId="14" w16cid:durableId="2029795395">
    <w:abstractNumId w:val="1"/>
  </w:num>
  <w:num w:numId="15" w16cid:durableId="1924800968">
    <w:abstractNumId w:val="34"/>
  </w:num>
  <w:num w:numId="16" w16cid:durableId="658313245">
    <w:abstractNumId w:val="5"/>
  </w:num>
  <w:num w:numId="17" w16cid:durableId="1524243044">
    <w:abstractNumId w:val="12"/>
  </w:num>
  <w:num w:numId="18" w16cid:durableId="924339696">
    <w:abstractNumId w:val="28"/>
  </w:num>
  <w:num w:numId="19" w16cid:durableId="1989741656">
    <w:abstractNumId w:val="33"/>
  </w:num>
  <w:num w:numId="20" w16cid:durableId="1211769015">
    <w:abstractNumId w:val="23"/>
  </w:num>
  <w:num w:numId="21" w16cid:durableId="901519606">
    <w:abstractNumId w:val="6"/>
  </w:num>
  <w:num w:numId="22" w16cid:durableId="108545970">
    <w:abstractNumId w:val="35"/>
  </w:num>
  <w:num w:numId="23" w16cid:durableId="1110125247">
    <w:abstractNumId w:val="41"/>
  </w:num>
  <w:num w:numId="24" w16cid:durableId="2003897304">
    <w:abstractNumId w:val="10"/>
  </w:num>
  <w:num w:numId="25" w16cid:durableId="704453014">
    <w:abstractNumId w:val="21"/>
  </w:num>
  <w:num w:numId="26" w16cid:durableId="1977951800">
    <w:abstractNumId w:val="9"/>
  </w:num>
  <w:num w:numId="27" w16cid:durableId="1022706205">
    <w:abstractNumId w:val="13"/>
  </w:num>
  <w:num w:numId="28" w16cid:durableId="777719146">
    <w:abstractNumId w:val="24"/>
  </w:num>
  <w:num w:numId="29" w16cid:durableId="736363081">
    <w:abstractNumId w:val="38"/>
  </w:num>
  <w:num w:numId="30" w16cid:durableId="1200119675">
    <w:abstractNumId w:val="7"/>
  </w:num>
  <w:num w:numId="31" w16cid:durableId="749813182">
    <w:abstractNumId w:val="15"/>
  </w:num>
  <w:num w:numId="32" w16cid:durableId="1539313123">
    <w:abstractNumId w:val="32"/>
  </w:num>
  <w:num w:numId="33" w16cid:durableId="1208877747">
    <w:abstractNumId w:val="37"/>
  </w:num>
  <w:num w:numId="34" w16cid:durableId="1177773759">
    <w:abstractNumId w:val="18"/>
  </w:num>
  <w:num w:numId="35" w16cid:durableId="464202664">
    <w:abstractNumId w:val="14"/>
  </w:num>
  <w:num w:numId="36" w16cid:durableId="2104060010">
    <w:abstractNumId w:val="2"/>
  </w:num>
  <w:num w:numId="37" w16cid:durableId="306057650">
    <w:abstractNumId w:val="3"/>
  </w:num>
  <w:num w:numId="38" w16cid:durableId="1165633459">
    <w:abstractNumId w:val="20"/>
  </w:num>
  <w:num w:numId="39" w16cid:durableId="439684841">
    <w:abstractNumId w:val="25"/>
  </w:num>
  <w:num w:numId="40" w16cid:durableId="1157645109">
    <w:abstractNumId w:val="36"/>
  </w:num>
  <w:num w:numId="41" w16cid:durableId="1254239645">
    <w:abstractNumId w:val="22"/>
  </w:num>
  <w:num w:numId="42" w16cid:durableId="107250976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4CA5"/>
    <w:rsid w:val="0000689D"/>
    <w:rsid w:val="000071D1"/>
    <w:rsid w:val="00012A6A"/>
    <w:rsid w:val="00013DB5"/>
    <w:rsid w:val="0002168F"/>
    <w:rsid w:val="00026800"/>
    <w:rsid w:val="000273E9"/>
    <w:rsid w:val="00027B1B"/>
    <w:rsid w:val="00035512"/>
    <w:rsid w:val="00035EA4"/>
    <w:rsid w:val="00040E13"/>
    <w:rsid w:val="00040F4A"/>
    <w:rsid w:val="0004487B"/>
    <w:rsid w:val="00045A02"/>
    <w:rsid w:val="00047490"/>
    <w:rsid w:val="00051810"/>
    <w:rsid w:val="00051816"/>
    <w:rsid w:val="00051B38"/>
    <w:rsid w:val="00053DDE"/>
    <w:rsid w:val="00054480"/>
    <w:rsid w:val="000565E1"/>
    <w:rsid w:val="000602B8"/>
    <w:rsid w:val="0006228C"/>
    <w:rsid w:val="00064766"/>
    <w:rsid w:val="00065509"/>
    <w:rsid w:val="000712F6"/>
    <w:rsid w:val="00071FE4"/>
    <w:rsid w:val="00072010"/>
    <w:rsid w:val="00075A8C"/>
    <w:rsid w:val="00076C74"/>
    <w:rsid w:val="000771B9"/>
    <w:rsid w:val="0007753E"/>
    <w:rsid w:val="00077A0C"/>
    <w:rsid w:val="00080804"/>
    <w:rsid w:val="00094108"/>
    <w:rsid w:val="00094E12"/>
    <w:rsid w:val="00094E1B"/>
    <w:rsid w:val="000A16FA"/>
    <w:rsid w:val="000A1B76"/>
    <w:rsid w:val="000A204D"/>
    <w:rsid w:val="000A30A8"/>
    <w:rsid w:val="000A3C3C"/>
    <w:rsid w:val="000A4BD7"/>
    <w:rsid w:val="000A5AC6"/>
    <w:rsid w:val="000A6E17"/>
    <w:rsid w:val="000A7710"/>
    <w:rsid w:val="000A77B0"/>
    <w:rsid w:val="000B0207"/>
    <w:rsid w:val="000B14F2"/>
    <w:rsid w:val="000B1B6E"/>
    <w:rsid w:val="000B468D"/>
    <w:rsid w:val="000C4D0F"/>
    <w:rsid w:val="000C778D"/>
    <w:rsid w:val="000E4E4A"/>
    <w:rsid w:val="000E6418"/>
    <w:rsid w:val="000E7FAD"/>
    <w:rsid w:val="000F16E0"/>
    <w:rsid w:val="00100D0E"/>
    <w:rsid w:val="00103DFD"/>
    <w:rsid w:val="00104051"/>
    <w:rsid w:val="00106836"/>
    <w:rsid w:val="00107476"/>
    <w:rsid w:val="00110D29"/>
    <w:rsid w:val="0011321F"/>
    <w:rsid w:val="00116841"/>
    <w:rsid w:val="001171A4"/>
    <w:rsid w:val="001210BD"/>
    <w:rsid w:val="001232E4"/>
    <w:rsid w:val="00123A3D"/>
    <w:rsid w:val="00124561"/>
    <w:rsid w:val="001317DF"/>
    <w:rsid w:val="00132004"/>
    <w:rsid w:val="001324C6"/>
    <w:rsid w:val="001346BF"/>
    <w:rsid w:val="00134BEF"/>
    <w:rsid w:val="001372DB"/>
    <w:rsid w:val="0013764F"/>
    <w:rsid w:val="00140AF9"/>
    <w:rsid w:val="0014151A"/>
    <w:rsid w:val="001417E6"/>
    <w:rsid w:val="00142483"/>
    <w:rsid w:val="00143FA1"/>
    <w:rsid w:val="0014554A"/>
    <w:rsid w:val="0014554C"/>
    <w:rsid w:val="00147AEA"/>
    <w:rsid w:val="00147F8C"/>
    <w:rsid w:val="00150025"/>
    <w:rsid w:val="0015103C"/>
    <w:rsid w:val="00151318"/>
    <w:rsid w:val="00154573"/>
    <w:rsid w:val="00160125"/>
    <w:rsid w:val="00160A9B"/>
    <w:rsid w:val="00161C8D"/>
    <w:rsid w:val="001626E8"/>
    <w:rsid w:val="00162B72"/>
    <w:rsid w:val="001636BE"/>
    <w:rsid w:val="00163C21"/>
    <w:rsid w:val="00164DCF"/>
    <w:rsid w:val="0016605E"/>
    <w:rsid w:val="00167A15"/>
    <w:rsid w:val="00167D1E"/>
    <w:rsid w:val="001727C1"/>
    <w:rsid w:val="00176AF4"/>
    <w:rsid w:val="00177ABE"/>
    <w:rsid w:val="00185386"/>
    <w:rsid w:val="001855E3"/>
    <w:rsid w:val="001868C7"/>
    <w:rsid w:val="001872E6"/>
    <w:rsid w:val="001957F2"/>
    <w:rsid w:val="001963A2"/>
    <w:rsid w:val="00196C12"/>
    <w:rsid w:val="001A03FD"/>
    <w:rsid w:val="001A15F9"/>
    <w:rsid w:val="001A2632"/>
    <w:rsid w:val="001A5EC6"/>
    <w:rsid w:val="001B12BC"/>
    <w:rsid w:val="001B2712"/>
    <w:rsid w:val="001B3522"/>
    <w:rsid w:val="001B5EC2"/>
    <w:rsid w:val="001B6072"/>
    <w:rsid w:val="001B6843"/>
    <w:rsid w:val="001B760B"/>
    <w:rsid w:val="001C040F"/>
    <w:rsid w:val="001C066E"/>
    <w:rsid w:val="001C1DD5"/>
    <w:rsid w:val="001C268C"/>
    <w:rsid w:val="001C27CC"/>
    <w:rsid w:val="001C3D48"/>
    <w:rsid w:val="001C3EBE"/>
    <w:rsid w:val="001D391B"/>
    <w:rsid w:val="001D56E7"/>
    <w:rsid w:val="001D7275"/>
    <w:rsid w:val="001D75CC"/>
    <w:rsid w:val="001E083D"/>
    <w:rsid w:val="001E27D7"/>
    <w:rsid w:val="001E595A"/>
    <w:rsid w:val="001E7BBF"/>
    <w:rsid w:val="001F19FD"/>
    <w:rsid w:val="001F1D97"/>
    <w:rsid w:val="001F23DF"/>
    <w:rsid w:val="001F3995"/>
    <w:rsid w:val="001F4FFA"/>
    <w:rsid w:val="001F53D2"/>
    <w:rsid w:val="001F5BDA"/>
    <w:rsid w:val="00201308"/>
    <w:rsid w:val="00203A62"/>
    <w:rsid w:val="00204DD3"/>
    <w:rsid w:val="00205278"/>
    <w:rsid w:val="002057BE"/>
    <w:rsid w:val="002064EF"/>
    <w:rsid w:val="00206A3D"/>
    <w:rsid w:val="00206AAE"/>
    <w:rsid w:val="00215202"/>
    <w:rsid w:val="002203E0"/>
    <w:rsid w:val="00227817"/>
    <w:rsid w:val="0023081C"/>
    <w:rsid w:val="00231951"/>
    <w:rsid w:val="0023514C"/>
    <w:rsid w:val="002358BA"/>
    <w:rsid w:val="0023596B"/>
    <w:rsid w:val="00236267"/>
    <w:rsid w:val="0023630E"/>
    <w:rsid w:val="002369DA"/>
    <w:rsid w:val="002379B5"/>
    <w:rsid w:val="00242AA3"/>
    <w:rsid w:val="0024399D"/>
    <w:rsid w:val="00244F46"/>
    <w:rsid w:val="00247A07"/>
    <w:rsid w:val="00256A84"/>
    <w:rsid w:val="00257CB9"/>
    <w:rsid w:val="002605A1"/>
    <w:rsid w:val="00261399"/>
    <w:rsid w:val="0026395A"/>
    <w:rsid w:val="00265663"/>
    <w:rsid w:val="00271C0C"/>
    <w:rsid w:val="00274D11"/>
    <w:rsid w:val="0027524E"/>
    <w:rsid w:val="0027619F"/>
    <w:rsid w:val="002771FE"/>
    <w:rsid w:val="00282314"/>
    <w:rsid w:val="00283881"/>
    <w:rsid w:val="0028491D"/>
    <w:rsid w:val="00286E1D"/>
    <w:rsid w:val="00287A8C"/>
    <w:rsid w:val="00287B5A"/>
    <w:rsid w:val="00287BD6"/>
    <w:rsid w:val="00290F85"/>
    <w:rsid w:val="002928DF"/>
    <w:rsid w:val="002930EC"/>
    <w:rsid w:val="00294E11"/>
    <w:rsid w:val="00296C12"/>
    <w:rsid w:val="00297F89"/>
    <w:rsid w:val="002A1AB0"/>
    <w:rsid w:val="002A3655"/>
    <w:rsid w:val="002A44D6"/>
    <w:rsid w:val="002A5FAD"/>
    <w:rsid w:val="002A674E"/>
    <w:rsid w:val="002B1D7C"/>
    <w:rsid w:val="002B32CD"/>
    <w:rsid w:val="002B7C96"/>
    <w:rsid w:val="002C06A1"/>
    <w:rsid w:val="002C1279"/>
    <w:rsid w:val="002C2A8D"/>
    <w:rsid w:val="002C645E"/>
    <w:rsid w:val="002C6753"/>
    <w:rsid w:val="002D3A9E"/>
    <w:rsid w:val="002E0397"/>
    <w:rsid w:val="002E2E4E"/>
    <w:rsid w:val="002E368A"/>
    <w:rsid w:val="002E3C81"/>
    <w:rsid w:val="002E4498"/>
    <w:rsid w:val="002E4697"/>
    <w:rsid w:val="002E48A7"/>
    <w:rsid w:val="002F1EC0"/>
    <w:rsid w:val="002F3924"/>
    <w:rsid w:val="002F42C9"/>
    <w:rsid w:val="003026C9"/>
    <w:rsid w:val="00302CC4"/>
    <w:rsid w:val="00306DDE"/>
    <w:rsid w:val="00307FE7"/>
    <w:rsid w:val="003113D2"/>
    <w:rsid w:val="00316980"/>
    <w:rsid w:val="00320135"/>
    <w:rsid w:val="003210B3"/>
    <w:rsid w:val="00323C10"/>
    <w:rsid w:val="003248A4"/>
    <w:rsid w:val="00325D1C"/>
    <w:rsid w:val="00326844"/>
    <w:rsid w:val="00330703"/>
    <w:rsid w:val="00330BA8"/>
    <w:rsid w:val="0033243A"/>
    <w:rsid w:val="00332993"/>
    <w:rsid w:val="0033469A"/>
    <w:rsid w:val="00340E99"/>
    <w:rsid w:val="00342BA4"/>
    <w:rsid w:val="00342F29"/>
    <w:rsid w:val="00346C4C"/>
    <w:rsid w:val="00346E41"/>
    <w:rsid w:val="003506B8"/>
    <w:rsid w:val="003507B3"/>
    <w:rsid w:val="00354A4E"/>
    <w:rsid w:val="00354E0E"/>
    <w:rsid w:val="00355B97"/>
    <w:rsid w:val="00356E7B"/>
    <w:rsid w:val="00357FB5"/>
    <w:rsid w:val="00360896"/>
    <w:rsid w:val="00360BBB"/>
    <w:rsid w:val="00361201"/>
    <w:rsid w:val="00361AF0"/>
    <w:rsid w:val="003648A2"/>
    <w:rsid w:val="00364CCC"/>
    <w:rsid w:val="00364CFF"/>
    <w:rsid w:val="0036566F"/>
    <w:rsid w:val="003658EA"/>
    <w:rsid w:val="00365B89"/>
    <w:rsid w:val="003712EB"/>
    <w:rsid w:val="00373456"/>
    <w:rsid w:val="003810E2"/>
    <w:rsid w:val="00383848"/>
    <w:rsid w:val="00383B5D"/>
    <w:rsid w:val="00385207"/>
    <w:rsid w:val="00386C3A"/>
    <w:rsid w:val="00387C4A"/>
    <w:rsid w:val="00390B2D"/>
    <w:rsid w:val="00391007"/>
    <w:rsid w:val="00391972"/>
    <w:rsid w:val="003924FB"/>
    <w:rsid w:val="003953D2"/>
    <w:rsid w:val="00396304"/>
    <w:rsid w:val="0039720C"/>
    <w:rsid w:val="003A007B"/>
    <w:rsid w:val="003A0349"/>
    <w:rsid w:val="003A2F76"/>
    <w:rsid w:val="003A361A"/>
    <w:rsid w:val="003A4B8F"/>
    <w:rsid w:val="003A5DD1"/>
    <w:rsid w:val="003A5FD1"/>
    <w:rsid w:val="003A734E"/>
    <w:rsid w:val="003B1968"/>
    <w:rsid w:val="003B2251"/>
    <w:rsid w:val="003B244D"/>
    <w:rsid w:val="003B2A57"/>
    <w:rsid w:val="003B3057"/>
    <w:rsid w:val="003B5CB9"/>
    <w:rsid w:val="003B5F24"/>
    <w:rsid w:val="003C0795"/>
    <w:rsid w:val="003C0CED"/>
    <w:rsid w:val="003C21A1"/>
    <w:rsid w:val="003C4886"/>
    <w:rsid w:val="003C4D2A"/>
    <w:rsid w:val="003C530B"/>
    <w:rsid w:val="003D1A64"/>
    <w:rsid w:val="003D3E78"/>
    <w:rsid w:val="003D702E"/>
    <w:rsid w:val="003D7C7F"/>
    <w:rsid w:val="003E092D"/>
    <w:rsid w:val="003E57A8"/>
    <w:rsid w:val="003E7D3C"/>
    <w:rsid w:val="003F2C06"/>
    <w:rsid w:val="003F51BF"/>
    <w:rsid w:val="003F612D"/>
    <w:rsid w:val="003F6A54"/>
    <w:rsid w:val="003F7043"/>
    <w:rsid w:val="00400C55"/>
    <w:rsid w:val="00401026"/>
    <w:rsid w:val="0040594D"/>
    <w:rsid w:val="00407B3E"/>
    <w:rsid w:val="00411D9C"/>
    <w:rsid w:val="00413951"/>
    <w:rsid w:val="00414DDA"/>
    <w:rsid w:val="004154B7"/>
    <w:rsid w:val="00416242"/>
    <w:rsid w:val="0041626E"/>
    <w:rsid w:val="0042567B"/>
    <w:rsid w:val="004302E3"/>
    <w:rsid w:val="004302E9"/>
    <w:rsid w:val="00430B33"/>
    <w:rsid w:val="00434368"/>
    <w:rsid w:val="00434825"/>
    <w:rsid w:val="00434990"/>
    <w:rsid w:val="00434A3F"/>
    <w:rsid w:val="00436064"/>
    <w:rsid w:val="00436D56"/>
    <w:rsid w:val="0044037B"/>
    <w:rsid w:val="00440C46"/>
    <w:rsid w:val="004417A7"/>
    <w:rsid w:val="00441874"/>
    <w:rsid w:val="0044504A"/>
    <w:rsid w:val="0044654D"/>
    <w:rsid w:val="00451BBD"/>
    <w:rsid w:val="00453023"/>
    <w:rsid w:val="00455158"/>
    <w:rsid w:val="00455277"/>
    <w:rsid w:val="004558AD"/>
    <w:rsid w:val="00462755"/>
    <w:rsid w:val="00462CB7"/>
    <w:rsid w:val="00463291"/>
    <w:rsid w:val="00463B7B"/>
    <w:rsid w:val="00465813"/>
    <w:rsid w:val="00465FD1"/>
    <w:rsid w:val="004677EB"/>
    <w:rsid w:val="0047610D"/>
    <w:rsid w:val="00476284"/>
    <w:rsid w:val="0047778A"/>
    <w:rsid w:val="00477BB5"/>
    <w:rsid w:val="00480FC6"/>
    <w:rsid w:val="004834F8"/>
    <w:rsid w:val="00483E2D"/>
    <w:rsid w:val="004856D9"/>
    <w:rsid w:val="0048618A"/>
    <w:rsid w:val="004863C6"/>
    <w:rsid w:val="00487C3F"/>
    <w:rsid w:val="0049091C"/>
    <w:rsid w:val="004939F0"/>
    <w:rsid w:val="00496470"/>
    <w:rsid w:val="00496C37"/>
    <w:rsid w:val="004976CC"/>
    <w:rsid w:val="004A0C8C"/>
    <w:rsid w:val="004A3C34"/>
    <w:rsid w:val="004A45A1"/>
    <w:rsid w:val="004A7B18"/>
    <w:rsid w:val="004B091D"/>
    <w:rsid w:val="004B1388"/>
    <w:rsid w:val="004B1D0C"/>
    <w:rsid w:val="004B1E79"/>
    <w:rsid w:val="004B2746"/>
    <w:rsid w:val="004B69EF"/>
    <w:rsid w:val="004B7E0F"/>
    <w:rsid w:val="004C37C5"/>
    <w:rsid w:val="004C4CD5"/>
    <w:rsid w:val="004C6214"/>
    <w:rsid w:val="004C78BB"/>
    <w:rsid w:val="004D194E"/>
    <w:rsid w:val="004D21C9"/>
    <w:rsid w:val="004D3245"/>
    <w:rsid w:val="004D4CB4"/>
    <w:rsid w:val="004D5290"/>
    <w:rsid w:val="004D621C"/>
    <w:rsid w:val="004D6B87"/>
    <w:rsid w:val="004D7237"/>
    <w:rsid w:val="004E1D4C"/>
    <w:rsid w:val="004E29A9"/>
    <w:rsid w:val="004E3771"/>
    <w:rsid w:val="004E3F14"/>
    <w:rsid w:val="004E40CE"/>
    <w:rsid w:val="004E580C"/>
    <w:rsid w:val="004E5B73"/>
    <w:rsid w:val="004E62B1"/>
    <w:rsid w:val="004E7FB2"/>
    <w:rsid w:val="004F0165"/>
    <w:rsid w:val="004F1D6F"/>
    <w:rsid w:val="004F3917"/>
    <w:rsid w:val="004F4AC0"/>
    <w:rsid w:val="004F4CA5"/>
    <w:rsid w:val="004F7591"/>
    <w:rsid w:val="00501A02"/>
    <w:rsid w:val="00512049"/>
    <w:rsid w:val="0051690C"/>
    <w:rsid w:val="00523A2A"/>
    <w:rsid w:val="00523D5F"/>
    <w:rsid w:val="00524D01"/>
    <w:rsid w:val="00525695"/>
    <w:rsid w:val="005268CF"/>
    <w:rsid w:val="00531B7B"/>
    <w:rsid w:val="005363FE"/>
    <w:rsid w:val="0054047D"/>
    <w:rsid w:val="0054053A"/>
    <w:rsid w:val="005407DB"/>
    <w:rsid w:val="00540F40"/>
    <w:rsid w:val="00541808"/>
    <w:rsid w:val="00543DCF"/>
    <w:rsid w:val="00544418"/>
    <w:rsid w:val="005459BB"/>
    <w:rsid w:val="0055030C"/>
    <w:rsid w:val="00551931"/>
    <w:rsid w:val="005655A6"/>
    <w:rsid w:val="00566D2A"/>
    <w:rsid w:val="00567B7B"/>
    <w:rsid w:val="00572450"/>
    <w:rsid w:val="00572BFF"/>
    <w:rsid w:val="005763A7"/>
    <w:rsid w:val="005773F6"/>
    <w:rsid w:val="00581C29"/>
    <w:rsid w:val="0058290A"/>
    <w:rsid w:val="00583B69"/>
    <w:rsid w:val="00585152"/>
    <w:rsid w:val="005918F7"/>
    <w:rsid w:val="00595A7F"/>
    <w:rsid w:val="00597B55"/>
    <w:rsid w:val="005A033A"/>
    <w:rsid w:val="005A171F"/>
    <w:rsid w:val="005A1E38"/>
    <w:rsid w:val="005A5FA1"/>
    <w:rsid w:val="005A692D"/>
    <w:rsid w:val="005A6E2F"/>
    <w:rsid w:val="005B03EC"/>
    <w:rsid w:val="005B07B8"/>
    <w:rsid w:val="005B191C"/>
    <w:rsid w:val="005B1AD5"/>
    <w:rsid w:val="005B610F"/>
    <w:rsid w:val="005B6E55"/>
    <w:rsid w:val="005B7771"/>
    <w:rsid w:val="005C33C7"/>
    <w:rsid w:val="005C34DF"/>
    <w:rsid w:val="005C465C"/>
    <w:rsid w:val="005C71C6"/>
    <w:rsid w:val="005C7CF0"/>
    <w:rsid w:val="005D31AE"/>
    <w:rsid w:val="005D37A1"/>
    <w:rsid w:val="005E0AD5"/>
    <w:rsid w:val="005E24DB"/>
    <w:rsid w:val="005E69D1"/>
    <w:rsid w:val="005E7243"/>
    <w:rsid w:val="005E7FA6"/>
    <w:rsid w:val="005F0539"/>
    <w:rsid w:val="005F3F7C"/>
    <w:rsid w:val="005F65C1"/>
    <w:rsid w:val="00601F1A"/>
    <w:rsid w:val="0060347C"/>
    <w:rsid w:val="00603C64"/>
    <w:rsid w:val="006065B9"/>
    <w:rsid w:val="00606634"/>
    <w:rsid w:val="00610DFB"/>
    <w:rsid w:val="00611F76"/>
    <w:rsid w:val="00614A15"/>
    <w:rsid w:val="00614ABC"/>
    <w:rsid w:val="00617C0E"/>
    <w:rsid w:val="006206E1"/>
    <w:rsid w:val="006223BF"/>
    <w:rsid w:val="00622886"/>
    <w:rsid w:val="00623105"/>
    <w:rsid w:val="00623EE7"/>
    <w:rsid w:val="006253E1"/>
    <w:rsid w:val="006303E5"/>
    <w:rsid w:val="006316B5"/>
    <w:rsid w:val="006322DF"/>
    <w:rsid w:val="00634F24"/>
    <w:rsid w:val="00636B0A"/>
    <w:rsid w:val="00637DF7"/>
    <w:rsid w:val="0064011A"/>
    <w:rsid w:val="00641218"/>
    <w:rsid w:val="0064474F"/>
    <w:rsid w:val="0064662B"/>
    <w:rsid w:val="00647EBF"/>
    <w:rsid w:val="00653F5D"/>
    <w:rsid w:val="0065435C"/>
    <w:rsid w:val="00654A1D"/>
    <w:rsid w:val="006562A8"/>
    <w:rsid w:val="006570C6"/>
    <w:rsid w:val="0066273F"/>
    <w:rsid w:val="00663CC3"/>
    <w:rsid w:val="00664763"/>
    <w:rsid w:val="00664ABF"/>
    <w:rsid w:val="00666272"/>
    <w:rsid w:val="006679E0"/>
    <w:rsid w:val="00670118"/>
    <w:rsid w:val="00670B6B"/>
    <w:rsid w:val="0068062A"/>
    <w:rsid w:val="006806D2"/>
    <w:rsid w:val="00681BC2"/>
    <w:rsid w:val="00681DAA"/>
    <w:rsid w:val="00684E9A"/>
    <w:rsid w:val="006851AD"/>
    <w:rsid w:val="00685FE9"/>
    <w:rsid w:val="00690E54"/>
    <w:rsid w:val="0069267C"/>
    <w:rsid w:val="0069535B"/>
    <w:rsid w:val="00695C4B"/>
    <w:rsid w:val="006971FA"/>
    <w:rsid w:val="0069721F"/>
    <w:rsid w:val="006A0B08"/>
    <w:rsid w:val="006A175E"/>
    <w:rsid w:val="006A1D99"/>
    <w:rsid w:val="006B1E71"/>
    <w:rsid w:val="006B3ACC"/>
    <w:rsid w:val="006B486C"/>
    <w:rsid w:val="006B5B71"/>
    <w:rsid w:val="006B5C4B"/>
    <w:rsid w:val="006B6A68"/>
    <w:rsid w:val="006B6CDC"/>
    <w:rsid w:val="006B7E68"/>
    <w:rsid w:val="006C00B3"/>
    <w:rsid w:val="006C448B"/>
    <w:rsid w:val="006C4566"/>
    <w:rsid w:val="006C4FDD"/>
    <w:rsid w:val="006C51A7"/>
    <w:rsid w:val="006C6445"/>
    <w:rsid w:val="006C6578"/>
    <w:rsid w:val="006C6F2C"/>
    <w:rsid w:val="006D1B41"/>
    <w:rsid w:val="006D35F6"/>
    <w:rsid w:val="006D3D2C"/>
    <w:rsid w:val="006D432C"/>
    <w:rsid w:val="006D48F2"/>
    <w:rsid w:val="006D4FB7"/>
    <w:rsid w:val="006D7626"/>
    <w:rsid w:val="006E334B"/>
    <w:rsid w:val="006E6F35"/>
    <w:rsid w:val="006F1213"/>
    <w:rsid w:val="006F125A"/>
    <w:rsid w:val="006F2B95"/>
    <w:rsid w:val="006F4442"/>
    <w:rsid w:val="006F66B2"/>
    <w:rsid w:val="006F6FD7"/>
    <w:rsid w:val="00702423"/>
    <w:rsid w:val="00702996"/>
    <w:rsid w:val="00702BFD"/>
    <w:rsid w:val="007157E4"/>
    <w:rsid w:val="0072106B"/>
    <w:rsid w:val="0072405E"/>
    <w:rsid w:val="00725912"/>
    <w:rsid w:val="00726E14"/>
    <w:rsid w:val="00727EDB"/>
    <w:rsid w:val="00734F65"/>
    <w:rsid w:val="00740EDF"/>
    <w:rsid w:val="0074533F"/>
    <w:rsid w:val="007504EA"/>
    <w:rsid w:val="0075208C"/>
    <w:rsid w:val="007532D4"/>
    <w:rsid w:val="0075363F"/>
    <w:rsid w:val="007541E5"/>
    <w:rsid w:val="00754C47"/>
    <w:rsid w:val="00754F1A"/>
    <w:rsid w:val="00755987"/>
    <w:rsid w:val="007565A5"/>
    <w:rsid w:val="00763C20"/>
    <w:rsid w:val="00763E05"/>
    <w:rsid w:val="00766E99"/>
    <w:rsid w:val="00771A9A"/>
    <w:rsid w:val="007756CB"/>
    <w:rsid w:val="00777E8E"/>
    <w:rsid w:val="00781687"/>
    <w:rsid w:val="007829B4"/>
    <w:rsid w:val="00782D88"/>
    <w:rsid w:val="00783896"/>
    <w:rsid w:val="0079056C"/>
    <w:rsid w:val="00790966"/>
    <w:rsid w:val="0079260A"/>
    <w:rsid w:val="00794160"/>
    <w:rsid w:val="00797B1C"/>
    <w:rsid w:val="007A2363"/>
    <w:rsid w:val="007A4BAC"/>
    <w:rsid w:val="007A56F4"/>
    <w:rsid w:val="007A5A11"/>
    <w:rsid w:val="007A5A47"/>
    <w:rsid w:val="007A6725"/>
    <w:rsid w:val="007A7A76"/>
    <w:rsid w:val="007B1E0A"/>
    <w:rsid w:val="007B5AA7"/>
    <w:rsid w:val="007C145D"/>
    <w:rsid w:val="007C25FE"/>
    <w:rsid w:val="007C317B"/>
    <w:rsid w:val="007C46F5"/>
    <w:rsid w:val="007D206B"/>
    <w:rsid w:val="007D4F53"/>
    <w:rsid w:val="007D55AD"/>
    <w:rsid w:val="007E1C3A"/>
    <w:rsid w:val="007E35F9"/>
    <w:rsid w:val="007E36E8"/>
    <w:rsid w:val="007E6427"/>
    <w:rsid w:val="007F0F7F"/>
    <w:rsid w:val="007F1D07"/>
    <w:rsid w:val="007F3330"/>
    <w:rsid w:val="007F36E1"/>
    <w:rsid w:val="007F38EF"/>
    <w:rsid w:val="007F50AE"/>
    <w:rsid w:val="007F6841"/>
    <w:rsid w:val="007F6CB2"/>
    <w:rsid w:val="0080091A"/>
    <w:rsid w:val="00803390"/>
    <w:rsid w:val="0080452F"/>
    <w:rsid w:val="00805C42"/>
    <w:rsid w:val="0080638F"/>
    <w:rsid w:val="00807133"/>
    <w:rsid w:val="00813BB9"/>
    <w:rsid w:val="00817403"/>
    <w:rsid w:val="008176A1"/>
    <w:rsid w:val="00820DBF"/>
    <w:rsid w:val="008210E5"/>
    <w:rsid w:val="0082110B"/>
    <w:rsid w:val="0082222A"/>
    <w:rsid w:val="008235B2"/>
    <w:rsid w:val="0082388A"/>
    <w:rsid w:val="00824698"/>
    <w:rsid w:val="008266BD"/>
    <w:rsid w:val="00830EB8"/>
    <w:rsid w:val="00832305"/>
    <w:rsid w:val="00832C83"/>
    <w:rsid w:val="00834B34"/>
    <w:rsid w:val="00837C67"/>
    <w:rsid w:val="00840690"/>
    <w:rsid w:val="00841078"/>
    <w:rsid w:val="00841F6B"/>
    <w:rsid w:val="00843051"/>
    <w:rsid w:val="00845576"/>
    <w:rsid w:val="008458FA"/>
    <w:rsid w:val="00846F82"/>
    <w:rsid w:val="0084788A"/>
    <w:rsid w:val="00847DB7"/>
    <w:rsid w:val="0085194F"/>
    <w:rsid w:val="00853428"/>
    <w:rsid w:val="00853C63"/>
    <w:rsid w:val="00861040"/>
    <w:rsid w:val="00861B29"/>
    <w:rsid w:val="00861D3A"/>
    <w:rsid w:val="00861E13"/>
    <w:rsid w:val="00865C3F"/>
    <w:rsid w:val="008705D5"/>
    <w:rsid w:val="008734A9"/>
    <w:rsid w:val="00877F7C"/>
    <w:rsid w:val="008826C1"/>
    <w:rsid w:val="00882793"/>
    <w:rsid w:val="00885519"/>
    <w:rsid w:val="00887415"/>
    <w:rsid w:val="00892906"/>
    <w:rsid w:val="008960B8"/>
    <w:rsid w:val="0089651E"/>
    <w:rsid w:val="008A1A5A"/>
    <w:rsid w:val="008A254B"/>
    <w:rsid w:val="008A2D4D"/>
    <w:rsid w:val="008A67AF"/>
    <w:rsid w:val="008A6EA6"/>
    <w:rsid w:val="008B24CB"/>
    <w:rsid w:val="008B3FBC"/>
    <w:rsid w:val="008B5D54"/>
    <w:rsid w:val="008B6A7E"/>
    <w:rsid w:val="008C0677"/>
    <w:rsid w:val="008C154D"/>
    <w:rsid w:val="008C36BB"/>
    <w:rsid w:val="008C46E9"/>
    <w:rsid w:val="008C536A"/>
    <w:rsid w:val="008C6811"/>
    <w:rsid w:val="008C75F7"/>
    <w:rsid w:val="008D1AE4"/>
    <w:rsid w:val="008D3323"/>
    <w:rsid w:val="008D678D"/>
    <w:rsid w:val="008E1058"/>
    <w:rsid w:val="008E2BAA"/>
    <w:rsid w:val="008E3A45"/>
    <w:rsid w:val="008E3A6C"/>
    <w:rsid w:val="008E47E6"/>
    <w:rsid w:val="008E49FD"/>
    <w:rsid w:val="008E7A31"/>
    <w:rsid w:val="008F0707"/>
    <w:rsid w:val="008F26E1"/>
    <w:rsid w:val="008F6D26"/>
    <w:rsid w:val="008F6E48"/>
    <w:rsid w:val="0090078A"/>
    <w:rsid w:val="00901E43"/>
    <w:rsid w:val="00902772"/>
    <w:rsid w:val="009039D3"/>
    <w:rsid w:val="00904FB6"/>
    <w:rsid w:val="0090515B"/>
    <w:rsid w:val="00905A69"/>
    <w:rsid w:val="00906B16"/>
    <w:rsid w:val="00911392"/>
    <w:rsid w:val="0091320B"/>
    <w:rsid w:val="00913909"/>
    <w:rsid w:val="0091532C"/>
    <w:rsid w:val="00915629"/>
    <w:rsid w:val="009163A4"/>
    <w:rsid w:val="0091651D"/>
    <w:rsid w:val="00917B52"/>
    <w:rsid w:val="0092243C"/>
    <w:rsid w:val="00925F13"/>
    <w:rsid w:val="00926F19"/>
    <w:rsid w:val="00930D68"/>
    <w:rsid w:val="00932BF5"/>
    <w:rsid w:val="009363D4"/>
    <w:rsid w:val="00940376"/>
    <w:rsid w:val="00943FCF"/>
    <w:rsid w:val="009451DB"/>
    <w:rsid w:val="00952841"/>
    <w:rsid w:val="00952BF9"/>
    <w:rsid w:val="009535EC"/>
    <w:rsid w:val="0095498D"/>
    <w:rsid w:val="009577A5"/>
    <w:rsid w:val="00962A73"/>
    <w:rsid w:val="00963A1F"/>
    <w:rsid w:val="00964F8C"/>
    <w:rsid w:val="00965752"/>
    <w:rsid w:val="00965C2A"/>
    <w:rsid w:val="00970118"/>
    <w:rsid w:val="00972AAE"/>
    <w:rsid w:val="00975121"/>
    <w:rsid w:val="009758DC"/>
    <w:rsid w:val="00976D45"/>
    <w:rsid w:val="00976EBB"/>
    <w:rsid w:val="00993AAD"/>
    <w:rsid w:val="009948CC"/>
    <w:rsid w:val="009977B4"/>
    <w:rsid w:val="009A107B"/>
    <w:rsid w:val="009A379F"/>
    <w:rsid w:val="009A57A2"/>
    <w:rsid w:val="009B26BF"/>
    <w:rsid w:val="009B30B0"/>
    <w:rsid w:val="009B46AF"/>
    <w:rsid w:val="009B4E9B"/>
    <w:rsid w:val="009B6C89"/>
    <w:rsid w:val="009B6DBA"/>
    <w:rsid w:val="009B765E"/>
    <w:rsid w:val="009C15EC"/>
    <w:rsid w:val="009C4626"/>
    <w:rsid w:val="009C49EF"/>
    <w:rsid w:val="009C654B"/>
    <w:rsid w:val="009C7ACF"/>
    <w:rsid w:val="009D0E8F"/>
    <w:rsid w:val="009D2718"/>
    <w:rsid w:val="009D6EBD"/>
    <w:rsid w:val="009D7F7F"/>
    <w:rsid w:val="009E0BA0"/>
    <w:rsid w:val="009E313A"/>
    <w:rsid w:val="009E4B22"/>
    <w:rsid w:val="009E7B1B"/>
    <w:rsid w:val="009F35D1"/>
    <w:rsid w:val="00A007C5"/>
    <w:rsid w:val="00A10A8C"/>
    <w:rsid w:val="00A131F4"/>
    <w:rsid w:val="00A148A3"/>
    <w:rsid w:val="00A150EF"/>
    <w:rsid w:val="00A22372"/>
    <w:rsid w:val="00A22B44"/>
    <w:rsid w:val="00A22E60"/>
    <w:rsid w:val="00A30192"/>
    <w:rsid w:val="00A321C9"/>
    <w:rsid w:val="00A32F7F"/>
    <w:rsid w:val="00A40E0B"/>
    <w:rsid w:val="00A40F66"/>
    <w:rsid w:val="00A414FE"/>
    <w:rsid w:val="00A43C9D"/>
    <w:rsid w:val="00A446D4"/>
    <w:rsid w:val="00A45AE6"/>
    <w:rsid w:val="00A50F29"/>
    <w:rsid w:val="00A51051"/>
    <w:rsid w:val="00A54359"/>
    <w:rsid w:val="00A561BB"/>
    <w:rsid w:val="00A6012F"/>
    <w:rsid w:val="00A609A6"/>
    <w:rsid w:val="00A635F0"/>
    <w:rsid w:val="00A63C9C"/>
    <w:rsid w:val="00A64299"/>
    <w:rsid w:val="00A65244"/>
    <w:rsid w:val="00A6592C"/>
    <w:rsid w:val="00A65BAD"/>
    <w:rsid w:val="00A664B4"/>
    <w:rsid w:val="00A6728E"/>
    <w:rsid w:val="00A70A6F"/>
    <w:rsid w:val="00A71627"/>
    <w:rsid w:val="00A81AAF"/>
    <w:rsid w:val="00A84859"/>
    <w:rsid w:val="00A85F25"/>
    <w:rsid w:val="00A866D5"/>
    <w:rsid w:val="00A8724F"/>
    <w:rsid w:val="00A931CD"/>
    <w:rsid w:val="00A94610"/>
    <w:rsid w:val="00A96F70"/>
    <w:rsid w:val="00AA03E9"/>
    <w:rsid w:val="00AA2343"/>
    <w:rsid w:val="00AA2F28"/>
    <w:rsid w:val="00AA54F3"/>
    <w:rsid w:val="00AA64A2"/>
    <w:rsid w:val="00AB09FF"/>
    <w:rsid w:val="00AB12D6"/>
    <w:rsid w:val="00AB18A6"/>
    <w:rsid w:val="00AB29BB"/>
    <w:rsid w:val="00AB2DFE"/>
    <w:rsid w:val="00AB3C31"/>
    <w:rsid w:val="00AB3CEB"/>
    <w:rsid w:val="00AB46DB"/>
    <w:rsid w:val="00AB5FDB"/>
    <w:rsid w:val="00AC03F6"/>
    <w:rsid w:val="00AC1A02"/>
    <w:rsid w:val="00AC2E96"/>
    <w:rsid w:val="00AC4C7D"/>
    <w:rsid w:val="00AC5BD1"/>
    <w:rsid w:val="00AC62CC"/>
    <w:rsid w:val="00AC76C2"/>
    <w:rsid w:val="00AC78E6"/>
    <w:rsid w:val="00AD362D"/>
    <w:rsid w:val="00AD4E9D"/>
    <w:rsid w:val="00AD5E41"/>
    <w:rsid w:val="00AD6A63"/>
    <w:rsid w:val="00AE172C"/>
    <w:rsid w:val="00AE1D9F"/>
    <w:rsid w:val="00AE5246"/>
    <w:rsid w:val="00AE6DE6"/>
    <w:rsid w:val="00AF0689"/>
    <w:rsid w:val="00AF3796"/>
    <w:rsid w:val="00AF701C"/>
    <w:rsid w:val="00AF7E84"/>
    <w:rsid w:val="00B03159"/>
    <w:rsid w:val="00B04C37"/>
    <w:rsid w:val="00B04CD7"/>
    <w:rsid w:val="00B10E0C"/>
    <w:rsid w:val="00B128A4"/>
    <w:rsid w:val="00B13523"/>
    <w:rsid w:val="00B15E05"/>
    <w:rsid w:val="00B171CC"/>
    <w:rsid w:val="00B209BD"/>
    <w:rsid w:val="00B2287C"/>
    <w:rsid w:val="00B266F0"/>
    <w:rsid w:val="00B3235B"/>
    <w:rsid w:val="00B32586"/>
    <w:rsid w:val="00B362F9"/>
    <w:rsid w:val="00B405D8"/>
    <w:rsid w:val="00B40DFF"/>
    <w:rsid w:val="00B45002"/>
    <w:rsid w:val="00B45779"/>
    <w:rsid w:val="00B459A6"/>
    <w:rsid w:val="00B4706E"/>
    <w:rsid w:val="00B4734F"/>
    <w:rsid w:val="00B5095A"/>
    <w:rsid w:val="00B50EA9"/>
    <w:rsid w:val="00B516B7"/>
    <w:rsid w:val="00B53975"/>
    <w:rsid w:val="00B53BF5"/>
    <w:rsid w:val="00B55735"/>
    <w:rsid w:val="00B5574A"/>
    <w:rsid w:val="00B56E8A"/>
    <w:rsid w:val="00B572CF"/>
    <w:rsid w:val="00B608AC"/>
    <w:rsid w:val="00B62148"/>
    <w:rsid w:val="00B655CA"/>
    <w:rsid w:val="00B65C2F"/>
    <w:rsid w:val="00B65C54"/>
    <w:rsid w:val="00B674F0"/>
    <w:rsid w:val="00B67D13"/>
    <w:rsid w:val="00B81631"/>
    <w:rsid w:val="00B82B61"/>
    <w:rsid w:val="00B8466C"/>
    <w:rsid w:val="00B84716"/>
    <w:rsid w:val="00B855BC"/>
    <w:rsid w:val="00B906AA"/>
    <w:rsid w:val="00B909F9"/>
    <w:rsid w:val="00B9184D"/>
    <w:rsid w:val="00B9186E"/>
    <w:rsid w:val="00B91B41"/>
    <w:rsid w:val="00B92BFB"/>
    <w:rsid w:val="00B9370C"/>
    <w:rsid w:val="00B95D90"/>
    <w:rsid w:val="00B972C2"/>
    <w:rsid w:val="00B97C3B"/>
    <w:rsid w:val="00BA0CB2"/>
    <w:rsid w:val="00BA1042"/>
    <w:rsid w:val="00BA2D35"/>
    <w:rsid w:val="00BA2DBE"/>
    <w:rsid w:val="00BA4A65"/>
    <w:rsid w:val="00BA60FD"/>
    <w:rsid w:val="00BA6BB7"/>
    <w:rsid w:val="00BB0E8E"/>
    <w:rsid w:val="00BB3447"/>
    <w:rsid w:val="00BB375A"/>
    <w:rsid w:val="00BB398C"/>
    <w:rsid w:val="00BB5AE3"/>
    <w:rsid w:val="00BC17AA"/>
    <w:rsid w:val="00BC18C8"/>
    <w:rsid w:val="00BC5B35"/>
    <w:rsid w:val="00BD24A8"/>
    <w:rsid w:val="00BD4653"/>
    <w:rsid w:val="00BD4D7F"/>
    <w:rsid w:val="00BD6470"/>
    <w:rsid w:val="00BD70C4"/>
    <w:rsid w:val="00BD7198"/>
    <w:rsid w:val="00BE035C"/>
    <w:rsid w:val="00BE10AE"/>
    <w:rsid w:val="00BE14E2"/>
    <w:rsid w:val="00BE223E"/>
    <w:rsid w:val="00BE2922"/>
    <w:rsid w:val="00BE3B61"/>
    <w:rsid w:val="00BE580E"/>
    <w:rsid w:val="00BE5BD0"/>
    <w:rsid w:val="00BE6013"/>
    <w:rsid w:val="00BE6F95"/>
    <w:rsid w:val="00BE7F98"/>
    <w:rsid w:val="00BF3E5B"/>
    <w:rsid w:val="00BF6C67"/>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3B1B"/>
    <w:rsid w:val="00C14779"/>
    <w:rsid w:val="00C17718"/>
    <w:rsid w:val="00C17A31"/>
    <w:rsid w:val="00C20593"/>
    <w:rsid w:val="00C20E42"/>
    <w:rsid w:val="00C25E85"/>
    <w:rsid w:val="00C26766"/>
    <w:rsid w:val="00C306F2"/>
    <w:rsid w:val="00C314B6"/>
    <w:rsid w:val="00C32985"/>
    <w:rsid w:val="00C36D9E"/>
    <w:rsid w:val="00C409FC"/>
    <w:rsid w:val="00C50474"/>
    <w:rsid w:val="00C54298"/>
    <w:rsid w:val="00C564AD"/>
    <w:rsid w:val="00C56C35"/>
    <w:rsid w:val="00C610F6"/>
    <w:rsid w:val="00C62CAA"/>
    <w:rsid w:val="00C63466"/>
    <w:rsid w:val="00C63A84"/>
    <w:rsid w:val="00C63AD7"/>
    <w:rsid w:val="00C649FD"/>
    <w:rsid w:val="00C67525"/>
    <w:rsid w:val="00C70072"/>
    <w:rsid w:val="00C71D13"/>
    <w:rsid w:val="00C72C51"/>
    <w:rsid w:val="00C7465D"/>
    <w:rsid w:val="00C773A9"/>
    <w:rsid w:val="00C80BBD"/>
    <w:rsid w:val="00C829E4"/>
    <w:rsid w:val="00C836A1"/>
    <w:rsid w:val="00C929D2"/>
    <w:rsid w:val="00C92BCB"/>
    <w:rsid w:val="00CA149D"/>
    <w:rsid w:val="00CA2658"/>
    <w:rsid w:val="00CA4658"/>
    <w:rsid w:val="00CA725A"/>
    <w:rsid w:val="00CA72CD"/>
    <w:rsid w:val="00CA736B"/>
    <w:rsid w:val="00CB0BD9"/>
    <w:rsid w:val="00CB14BD"/>
    <w:rsid w:val="00CB17F2"/>
    <w:rsid w:val="00CB18A3"/>
    <w:rsid w:val="00CB4B3C"/>
    <w:rsid w:val="00CB4EE6"/>
    <w:rsid w:val="00CB7074"/>
    <w:rsid w:val="00CB747C"/>
    <w:rsid w:val="00CB7D35"/>
    <w:rsid w:val="00CC0F87"/>
    <w:rsid w:val="00CD11AD"/>
    <w:rsid w:val="00CD2300"/>
    <w:rsid w:val="00CD660D"/>
    <w:rsid w:val="00CD7A35"/>
    <w:rsid w:val="00CE4B47"/>
    <w:rsid w:val="00CE70D0"/>
    <w:rsid w:val="00CE71F8"/>
    <w:rsid w:val="00CE76C1"/>
    <w:rsid w:val="00CF24E4"/>
    <w:rsid w:val="00CF603B"/>
    <w:rsid w:val="00CF6E69"/>
    <w:rsid w:val="00CF7455"/>
    <w:rsid w:val="00CF766A"/>
    <w:rsid w:val="00CF7ABF"/>
    <w:rsid w:val="00D00836"/>
    <w:rsid w:val="00D01949"/>
    <w:rsid w:val="00D02999"/>
    <w:rsid w:val="00D040B9"/>
    <w:rsid w:val="00D04CBE"/>
    <w:rsid w:val="00D067B8"/>
    <w:rsid w:val="00D07EA8"/>
    <w:rsid w:val="00D12B9C"/>
    <w:rsid w:val="00D14962"/>
    <w:rsid w:val="00D150A8"/>
    <w:rsid w:val="00D16598"/>
    <w:rsid w:val="00D179EA"/>
    <w:rsid w:val="00D20211"/>
    <w:rsid w:val="00D2041B"/>
    <w:rsid w:val="00D21504"/>
    <w:rsid w:val="00D22285"/>
    <w:rsid w:val="00D22A94"/>
    <w:rsid w:val="00D234B1"/>
    <w:rsid w:val="00D30BDF"/>
    <w:rsid w:val="00D312D8"/>
    <w:rsid w:val="00D32500"/>
    <w:rsid w:val="00D3311B"/>
    <w:rsid w:val="00D37AC5"/>
    <w:rsid w:val="00D408B1"/>
    <w:rsid w:val="00D40D1B"/>
    <w:rsid w:val="00D431BD"/>
    <w:rsid w:val="00D476FA"/>
    <w:rsid w:val="00D47746"/>
    <w:rsid w:val="00D51816"/>
    <w:rsid w:val="00D5249F"/>
    <w:rsid w:val="00D5424F"/>
    <w:rsid w:val="00D54C0F"/>
    <w:rsid w:val="00D5583A"/>
    <w:rsid w:val="00D62EE3"/>
    <w:rsid w:val="00D6407A"/>
    <w:rsid w:val="00D6587B"/>
    <w:rsid w:val="00D67B08"/>
    <w:rsid w:val="00D72EA8"/>
    <w:rsid w:val="00D74E7E"/>
    <w:rsid w:val="00D80860"/>
    <w:rsid w:val="00D815D4"/>
    <w:rsid w:val="00D83A5F"/>
    <w:rsid w:val="00D84506"/>
    <w:rsid w:val="00D87CF8"/>
    <w:rsid w:val="00D91189"/>
    <w:rsid w:val="00D91D4C"/>
    <w:rsid w:val="00D938F7"/>
    <w:rsid w:val="00D940BC"/>
    <w:rsid w:val="00D9512F"/>
    <w:rsid w:val="00DA1FD9"/>
    <w:rsid w:val="00DA2BC4"/>
    <w:rsid w:val="00DA54A6"/>
    <w:rsid w:val="00DA5A96"/>
    <w:rsid w:val="00DA5FBD"/>
    <w:rsid w:val="00DA6118"/>
    <w:rsid w:val="00DA7836"/>
    <w:rsid w:val="00DB0858"/>
    <w:rsid w:val="00DB2341"/>
    <w:rsid w:val="00DB3034"/>
    <w:rsid w:val="00DB3252"/>
    <w:rsid w:val="00DB40A8"/>
    <w:rsid w:val="00DB4709"/>
    <w:rsid w:val="00DC352E"/>
    <w:rsid w:val="00DC4F3D"/>
    <w:rsid w:val="00DC57CC"/>
    <w:rsid w:val="00DC7E2A"/>
    <w:rsid w:val="00DD046B"/>
    <w:rsid w:val="00DD160E"/>
    <w:rsid w:val="00DD3070"/>
    <w:rsid w:val="00DD30E1"/>
    <w:rsid w:val="00DD42D1"/>
    <w:rsid w:val="00DD5C03"/>
    <w:rsid w:val="00DD7989"/>
    <w:rsid w:val="00DD7ABB"/>
    <w:rsid w:val="00DE0E6C"/>
    <w:rsid w:val="00DE27FE"/>
    <w:rsid w:val="00DE5708"/>
    <w:rsid w:val="00DF1C7A"/>
    <w:rsid w:val="00DF2BF4"/>
    <w:rsid w:val="00DF5F5A"/>
    <w:rsid w:val="00E00EAC"/>
    <w:rsid w:val="00E0159D"/>
    <w:rsid w:val="00E015A7"/>
    <w:rsid w:val="00E03DE8"/>
    <w:rsid w:val="00E073FF"/>
    <w:rsid w:val="00E118BC"/>
    <w:rsid w:val="00E11F63"/>
    <w:rsid w:val="00E12E89"/>
    <w:rsid w:val="00E143A3"/>
    <w:rsid w:val="00E22E3A"/>
    <w:rsid w:val="00E245A6"/>
    <w:rsid w:val="00E245D6"/>
    <w:rsid w:val="00E2466C"/>
    <w:rsid w:val="00E25AB9"/>
    <w:rsid w:val="00E26D57"/>
    <w:rsid w:val="00E2725E"/>
    <w:rsid w:val="00E278FC"/>
    <w:rsid w:val="00E3707E"/>
    <w:rsid w:val="00E443DB"/>
    <w:rsid w:val="00E44C4F"/>
    <w:rsid w:val="00E47940"/>
    <w:rsid w:val="00E52761"/>
    <w:rsid w:val="00E52E29"/>
    <w:rsid w:val="00E53CD8"/>
    <w:rsid w:val="00E63D0A"/>
    <w:rsid w:val="00E64C21"/>
    <w:rsid w:val="00E66682"/>
    <w:rsid w:val="00E71A5F"/>
    <w:rsid w:val="00E71F47"/>
    <w:rsid w:val="00E733C0"/>
    <w:rsid w:val="00E73437"/>
    <w:rsid w:val="00E73BE0"/>
    <w:rsid w:val="00E747E6"/>
    <w:rsid w:val="00E75B19"/>
    <w:rsid w:val="00E82C63"/>
    <w:rsid w:val="00E85215"/>
    <w:rsid w:val="00E857BB"/>
    <w:rsid w:val="00E87A56"/>
    <w:rsid w:val="00E95E60"/>
    <w:rsid w:val="00EA0849"/>
    <w:rsid w:val="00EA2AFC"/>
    <w:rsid w:val="00EA3339"/>
    <w:rsid w:val="00EA5106"/>
    <w:rsid w:val="00EA52EC"/>
    <w:rsid w:val="00EA538D"/>
    <w:rsid w:val="00EA55C0"/>
    <w:rsid w:val="00EA7430"/>
    <w:rsid w:val="00EB0B5C"/>
    <w:rsid w:val="00EB246C"/>
    <w:rsid w:val="00EC1D86"/>
    <w:rsid w:val="00EC5E2E"/>
    <w:rsid w:val="00EC64FB"/>
    <w:rsid w:val="00ED0D0E"/>
    <w:rsid w:val="00ED4142"/>
    <w:rsid w:val="00ED55C9"/>
    <w:rsid w:val="00ED57B8"/>
    <w:rsid w:val="00ED614F"/>
    <w:rsid w:val="00ED72E9"/>
    <w:rsid w:val="00ED73C0"/>
    <w:rsid w:val="00EE2130"/>
    <w:rsid w:val="00EE2348"/>
    <w:rsid w:val="00EE7CF9"/>
    <w:rsid w:val="00EF0F25"/>
    <w:rsid w:val="00EF1ECD"/>
    <w:rsid w:val="00EF4047"/>
    <w:rsid w:val="00EF674C"/>
    <w:rsid w:val="00F01932"/>
    <w:rsid w:val="00F0210B"/>
    <w:rsid w:val="00F024E8"/>
    <w:rsid w:val="00F02642"/>
    <w:rsid w:val="00F1279E"/>
    <w:rsid w:val="00F12AD6"/>
    <w:rsid w:val="00F13451"/>
    <w:rsid w:val="00F1527E"/>
    <w:rsid w:val="00F1603C"/>
    <w:rsid w:val="00F16DA0"/>
    <w:rsid w:val="00F1710D"/>
    <w:rsid w:val="00F20B48"/>
    <w:rsid w:val="00F219A6"/>
    <w:rsid w:val="00F2248E"/>
    <w:rsid w:val="00F226AD"/>
    <w:rsid w:val="00F23A4F"/>
    <w:rsid w:val="00F2476B"/>
    <w:rsid w:val="00F2548E"/>
    <w:rsid w:val="00F262CE"/>
    <w:rsid w:val="00F30919"/>
    <w:rsid w:val="00F32FA5"/>
    <w:rsid w:val="00F33B65"/>
    <w:rsid w:val="00F351A0"/>
    <w:rsid w:val="00F353A9"/>
    <w:rsid w:val="00F4042F"/>
    <w:rsid w:val="00F40C2E"/>
    <w:rsid w:val="00F43EC3"/>
    <w:rsid w:val="00F546BB"/>
    <w:rsid w:val="00F55293"/>
    <w:rsid w:val="00F557E4"/>
    <w:rsid w:val="00F6029C"/>
    <w:rsid w:val="00F61266"/>
    <w:rsid w:val="00F61A5B"/>
    <w:rsid w:val="00F63FAF"/>
    <w:rsid w:val="00F643DD"/>
    <w:rsid w:val="00F6519F"/>
    <w:rsid w:val="00F71763"/>
    <w:rsid w:val="00F72062"/>
    <w:rsid w:val="00F7214F"/>
    <w:rsid w:val="00F76C34"/>
    <w:rsid w:val="00F77C21"/>
    <w:rsid w:val="00F8030A"/>
    <w:rsid w:val="00F80A25"/>
    <w:rsid w:val="00F82AF2"/>
    <w:rsid w:val="00F84FB5"/>
    <w:rsid w:val="00F86B2F"/>
    <w:rsid w:val="00F86B72"/>
    <w:rsid w:val="00F87CD8"/>
    <w:rsid w:val="00F90B8D"/>
    <w:rsid w:val="00F916B5"/>
    <w:rsid w:val="00F91C38"/>
    <w:rsid w:val="00F945CB"/>
    <w:rsid w:val="00F972ED"/>
    <w:rsid w:val="00F97E08"/>
    <w:rsid w:val="00FA029C"/>
    <w:rsid w:val="00FA4342"/>
    <w:rsid w:val="00FA4DE0"/>
    <w:rsid w:val="00FA77F8"/>
    <w:rsid w:val="00FB25EB"/>
    <w:rsid w:val="00FB3333"/>
    <w:rsid w:val="00FB6BD6"/>
    <w:rsid w:val="00FB7686"/>
    <w:rsid w:val="00FC2B23"/>
    <w:rsid w:val="00FC2F2A"/>
    <w:rsid w:val="00FC5B5A"/>
    <w:rsid w:val="00FD00E5"/>
    <w:rsid w:val="00FD226E"/>
    <w:rsid w:val="00FD30D1"/>
    <w:rsid w:val="00FD30F3"/>
    <w:rsid w:val="00FE2A51"/>
    <w:rsid w:val="00FE3F77"/>
    <w:rsid w:val="00FE4287"/>
    <w:rsid w:val="00FE5AEA"/>
    <w:rsid w:val="00FE60FC"/>
    <w:rsid w:val="00FE67E9"/>
    <w:rsid w:val="00FF7CA5"/>
    <w:rsid w:val="076FE6B7"/>
    <w:rsid w:val="08EAB162"/>
    <w:rsid w:val="093739E3"/>
    <w:rsid w:val="0BBF4CAB"/>
    <w:rsid w:val="11A961AF"/>
    <w:rsid w:val="163D9742"/>
    <w:rsid w:val="187C0BD0"/>
    <w:rsid w:val="1DFA06C1"/>
    <w:rsid w:val="2F1D045E"/>
    <w:rsid w:val="33A77785"/>
    <w:rsid w:val="48D86499"/>
    <w:rsid w:val="4EF4FD88"/>
    <w:rsid w:val="61038AB9"/>
    <w:rsid w:val="6413E5AA"/>
    <w:rsid w:val="64404F62"/>
    <w:rsid w:val="736037EC"/>
    <w:rsid w:val="75F52A80"/>
    <w:rsid w:val="778E9EBA"/>
    <w:rsid w:val="7DE091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3B5CB9"/>
    <w:rPr>
      <w:color w:val="605E5C"/>
      <w:shd w:val="clear" w:color="auto" w:fill="E1DFDD"/>
    </w:rPr>
  </w:style>
  <w:style w:type="paragraph" w:styleId="Revision">
    <w:name w:val="Revision"/>
    <w:hidden/>
    <w:uiPriority w:val="99"/>
    <w:semiHidden/>
    <w:rsid w:val="002358BA"/>
    <w:pPr>
      <w:spacing w:after="0" w:line="240" w:lineRule="auto"/>
    </w:pPr>
  </w:style>
  <w:style w:type="table" w:styleId="GridTable4Accent3">
    <w:name w:val="Grid Table 4 Accent 3"/>
    <w:basedOn w:val="TableNormal"/>
    <w:uiPriority w:val="49"/>
    <w:rsid w:val="00E52E29"/>
    <w:pPr>
      <w:spacing w:after="0" w:line="240" w:lineRule="auto"/>
    </w:pPr>
    <w:rPr>
      <w:rFonts w:eastAsiaTheme="minorHAns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FootnoteText">
    <w:name w:val="footnote text"/>
    <w:basedOn w:val="Normal"/>
    <w:link w:val="FootnoteTextChar"/>
    <w:uiPriority w:val="99"/>
    <w:semiHidden/>
    <w:unhideWhenUsed/>
    <w:rsid w:val="005F3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F7C"/>
    <w:rPr>
      <w:sz w:val="20"/>
      <w:szCs w:val="20"/>
    </w:rPr>
  </w:style>
  <w:style w:type="character" w:styleId="FootnoteReference">
    <w:name w:val="footnote reference"/>
    <w:basedOn w:val="DefaultParagraphFont"/>
    <w:uiPriority w:val="99"/>
    <w:semiHidden/>
    <w:unhideWhenUsed/>
    <w:rsid w:val="005F3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ewborn-screening/php/about/ed3n-project.html?CDC_AAref_Val=https://www.cdc.gov/nceh/dls/ed3n.html"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hyperlink" Target="https://www.bls.gov/oes/current/oes292010.htm" TargetMode="External" /><Relationship Id="rId21" Type="http://schemas.openxmlformats.org/officeDocument/2006/relationships/hyperlink" Target="https://www.bls.gov/oes/current/oes113021.htm"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cuthbert@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74302-1ABD-4B3E-AB92-E834F1098B0A}">
  <ds:schemaRefs>
    <ds:schemaRef ds:uri="http://schemas.openxmlformats.org/officeDocument/2006/bibliography"/>
  </ds:schemaRefs>
</ds:datastoreItem>
</file>

<file path=customXml/itemProps2.xml><?xml version="1.0" encoding="utf-8"?>
<ds:datastoreItem xmlns:ds="http://schemas.openxmlformats.org/officeDocument/2006/customXml" ds:itemID="{9777039E-EB5E-4485-9F4E-F30DF778C3C5}">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3.xml><?xml version="1.0" encoding="utf-8"?>
<ds:datastoreItem xmlns:ds="http://schemas.openxmlformats.org/officeDocument/2006/customXml" ds:itemID="{7F7553FA-53C8-47F9-9462-2BF7CCAA49AA}">
  <ds:schemaRefs>
    <ds:schemaRef ds:uri="http://schemas.microsoft.com/sharepoint/v3/contenttype/forms"/>
  </ds:schemaRefs>
</ds:datastoreItem>
</file>

<file path=customXml/itemProps4.xml><?xml version="1.0" encoding="utf-8"?>
<ds:datastoreItem xmlns:ds="http://schemas.openxmlformats.org/officeDocument/2006/customXml" ds:itemID="{F5B7F11A-07AC-4619-A05C-C2CAB493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4187</Words>
  <Characters>23828</Characters>
  <Application>Microsoft Office Word</Application>
  <DocSecurity>0</DocSecurity>
  <Lines>567</Lines>
  <Paragraphs>250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Joyce, Kevin J. (CDC/OD/OS)</cp:lastModifiedBy>
  <cp:revision>3</cp:revision>
  <dcterms:created xsi:type="dcterms:W3CDTF">2026-02-24T16:57:00Z</dcterms:created>
  <dcterms:modified xsi:type="dcterms:W3CDTF">2026-02-24T16:59:00Z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GrammarlyDocumentId">
    <vt:lpwstr>c6536ecdd8a4f149e0e983b639ff3ad66cfbb1a082ddbd938780c104d6d80afb</vt:lpwstr>
  </property>
  <property fmtid="{D5CDD505-2E9C-101B-9397-08002B2CF9AE}" pid="4" name="MediaServiceImageTags">
    <vt:lpwstr/>
  </property>
  <property fmtid="{D5CDD505-2E9C-101B-9397-08002B2CF9AE}" pid="5" name="MSIP_Label_7b94a7b8-f06c-4dfe-bdcc-9b548fd58c31_ActionId">
    <vt:lpwstr>4ca346c3-a18c-43c6-a573-5e1bdd55b677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2021-10-18T15:18:50Z</vt:lpwstr>
  </property>
  <property fmtid="{D5CDD505-2E9C-101B-9397-08002B2CF9AE}" pid="11" name="MSIP_Label_7b94a7b8-f06c-4dfe-bdcc-9b548fd58c31_SiteId">
    <vt:lpwstr>9ce70869-60db-44fd-abe8-d2767077fc8f</vt:lpwstr>
  </property>
  <property fmtid="{D5CDD505-2E9C-101B-9397-08002B2CF9AE}" pid="12" name="_dlc_DocIdItemGuid">
    <vt:lpwstr>e67fed32-1ae0-49be-ac84-0198b416b9f5</vt:lpwstr>
  </property>
</Properties>
</file>