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5934" w:rsidRPr="00146961" w:rsidP="4E32C77F" w14:paraId="63633F40" w14:textId="64885B9A">
      <w:pPr>
        <w:spacing w:line="257" w:lineRule="auto"/>
        <w:jc w:val="center"/>
      </w:pPr>
      <w:r w:rsidRPr="4E32C77F">
        <w:rPr>
          <w:rFonts w:ascii="Calibri" w:eastAsia="Calibri" w:hAnsi="Calibri" w:cs="Calibri"/>
          <w:b/>
          <w:bCs/>
        </w:rPr>
        <w:t>AR Lab Network Form for Phylogenetic Tree-level Mycotics Reporting (C. auris Whole Genome Sequencing)</w:t>
      </w:r>
    </w:p>
    <w:tbl>
      <w:tblPr>
        <w:tblW w:w="0" w:type="auto"/>
        <w:tblLayout w:type="fixed"/>
        <w:tblLook w:val="04A0"/>
      </w:tblPr>
      <w:tblGrid>
        <w:gridCol w:w="3000"/>
        <w:gridCol w:w="6148"/>
      </w:tblGrid>
      <w:tr w14:paraId="20B8D83C" w14:textId="77777777" w:rsidTr="4E32C77F">
        <w:tblPrEx>
          <w:tblW w:w="0" w:type="auto"/>
          <w:tblLayout w:type="fixed"/>
          <w:tblLook w:val="04A0"/>
        </w:tblPrEx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0D225287" w14:textId="0838C72E">
            <w:pPr>
              <w:spacing w:after="0"/>
              <w:jc w:val="center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</w:rPr>
              <w:t>Data element Name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2424318C" w14:textId="61554119">
            <w:pPr>
              <w:spacing w:after="0"/>
              <w:jc w:val="center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  <w:u w:val="single"/>
              </w:rPr>
              <w:t>Data element Definition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</w:t>
            </w:r>
          </w:p>
        </w:tc>
      </w:tr>
      <w:tr w14:paraId="1B27F8BE" w14:textId="77777777" w:rsidTr="4E32C77F">
        <w:tblPrEx>
          <w:tblW w:w="0" w:type="auto"/>
          <w:tblLayout w:type="fixed"/>
          <w:tblLook w:val="04A0"/>
        </w:tblPrEx>
        <w:trPr>
          <w:trHeight w:val="6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4C768612" w14:textId="61668E58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tree_id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195E9EF7" w14:textId="50E897C8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Tree ID or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REDCap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IDUnique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ID for this record. Use a tree ID if this has been established by your lab or is available. Please include your lab's two- or three-letter jurisdiction abbreviation as a prefix to the id (e.g., CDC-Tree1).</w:t>
            </w:r>
          </w:p>
        </w:tc>
      </w:tr>
      <w:tr w14:paraId="460E7CFB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49644E6C" w14:textId="5CB7CEEF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performingorgstate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03A8C820" w14:textId="1C136707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ARLN PHL state or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JurisdictionThe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testing lab's state, territory, or jurisdiction.</w:t>
            </w:r>
          </w:p>
        </w:tc>
      </w:tr>
      <w:tr w14:paraId="25D9EDF2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2AA7A319" w14:textId="1360B492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performing_facility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6CEC1486" w14:textId="5FE7F658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Public health laboratory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nameName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of your public health laboratory.</w:t>
            </w:r>
          </w:p>
        </w:tc>
      </w:tr>
      <w:tr w14:paraId="072E61CA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6B50EB9E" w14:textId="474BDD60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redcap_reporting_date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15150FA2" w14:textId="61F5EAAE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REDCap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reporting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dateThe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date this form was created and the data was initially reported in REDCap. Format: YYYY-MM-DD</w:t>
            </w:r>
          </w:p>
        </w:tc>
      </w:tr>
      <w:tr w14:paraId="55B3E7EE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247EFBCE" w14:textId="6E35CA65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last_update_date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66032642" w14:textId="51F19395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Date this form was last updated. Please update this field every time the form is resubmitted. Format: YYYY-MM-DD</w:t>
            </w:r>
          </w:p>
        </w:tc>
      </w:tr>
      <w:tr w14:paraId="4C97973C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7F50B944" w14:textId="1206AA23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mycosnp_performed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191F9D97" w14:textId="3C3446AE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Did your lab use MycoSNP for QC and SNP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analysisIndicate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whether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MycoSNP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was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used for QC and SNP identification.</w:t>
            </w:r>
          </w:p>
        </w:tc>
      </w:tr>
      <w:tr w14:paraId="45EAF8BA" w14:textId="77777777" w:rsidTr="4E32C77F">
        <w:tblPrEx>
          <w:tblW w:w="0" w:type="auto"/>
          <w:tblLayout w:type="fixed"/>
          <w:tblLook w:val="04A0"/>
        </w:tblPrEx>
        <w:trPr>
          <w:trHeight w:val="6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5EB68921" w14:textId="419E26EA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bioinformatic_tools_others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6E1906B9" w14:textId="44E5F4DC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If other bioinformatics tools were used for QC and SNP analysis,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specifyFor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C. auris WGS only. If MycoSNP was not used, specify which other bioinformatics tools were used.</w:t>
            </w:r>
          </w:p>
        </w:tc>
      </w:tr>
      <w:tr w14:paraId="0A6AC207" w14:textId="77777777" w:rsidTr="4E32C77F">
        <w:tblPrEx>
          <w:tblW w:w="0" w:type="auto"/>
          <w:tblLayout w:type="fixed"/>
          <w:tblLook w:val="04A0"/>
        </w:tblPrEx>
        <w:trPr>
          <w:trHeight w:val="6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604D7424" w14:textId="523BBE78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strain_reference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73C522FC" w14:textId="2223966E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Reference sequence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usedThe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reference used (strain and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genbank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accession) in the bioinformatics analysis for whole genome sequencing data.</w:t>
            </w:r>
          </w:p>
        </w:tc>
      </w:tr>
      <w:tr w14:paraId="1682D7B2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6C90E508" w14:textId="31EA8850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other_reference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6B80F48B" w14:textId="2F0A7DED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Other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referenceIf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available, please provide the NCBI Accession (e.g., GenBank Accession) of the reference used.</w:t>
            </w:r>
          </w:p>
        </w:tc>
      </w:tr>
      <w:tr w14:paraId="445CF3B1" w14:textId="77777777" w:rsidTr="4E32C77F">
        <w:tblPrEx>
          <w:tblW w:w="0" w:type="auto"/>
          <w:tblLayout w:type="fixed"/>
          <w:tblLook w:val="04A0"/>
        </w:tblPrEx>
        <w:trPr>
          <w:trHeight w:val="6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1F38B0D5" w14:textId="5438D646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tree_file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174E98FE" w14:textId="72B8BEE1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Phylogenetic tree file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attachmentThe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attachments files used as input for phylogenetic tree visualization tool. (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e.g. .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nwk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, .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)</w:t>
            </w:r>
          </w:p>
        </w:tc>
      </w:tr>
      <w:tr w14:paraId="25284EF0" w14:textId="77777777" w:rsidTr="4E32C77F">
        <w:tblPrEx>
          <w:tblW w:w="0" w:type="auto"/>
          <w:tblLayout w:type="fixed"/>
          <w:tblLook w:val="04A0"/>
        </w:tblPrEx>
        <w:trPr>
          <w:trHeight w:val="6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2E2B7331" w14:textId="41D42F96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tree_metadata_file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29C10E6B" w14:textId="2305DB03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Phylogenetic tree metadata file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attachmentThe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metadata file used as input for the phylogenetic tree visualization tool (e.g., .csv) </w:t>
            </w:r>
          </w:p>
        </w:tc>
      </w:tr>
      <w:tr w14:paraId="3B4754B4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16995581" w14:textId="220FAF57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tree_visualized_file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08281F0C" w14:textId="53D20548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Visualized phylogenetic tree file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attachmentA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file attachment of the visualized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tree, if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 URL is unavailable.</w:t>
            </w:r>
          </w:p>
        </w:tc>
      </w:tr>
      <w:tr w14:paraId="5BF4DD8B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7CD5F203" w14:textId="07A30AE0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tree_visualization_url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77ADABB1" w14:textId="422CFD45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Visualized phylogenetic tree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linkThe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URL to the phylogenetic tree visualization (e.g.,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Microreact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link).</w:t>
            </w:r>
          </w:p>
        </w:tc>
      </w:tr>
      <w:tr w14:paraId="56096F6D" w14:textId="77777777" w:rsidTr="4E32C77F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4B053590" w14:textId="080D1149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tree_interpretations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38813C42" w14:textId="2E9C54AD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Phylogenetic tree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interpretationsPlease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provide any tree interpretations.</w:t>
            </w:r>
          </w:p>
        </w:tc>
      </w:tr>
      <w:tr w14:paraId="249A2453" w14:textId="77777777" w:rsidTr="4E32C77F">
        <w:tblPrEx>
          <w:tblW w:w="0" w:type="auto"/>
          <w:tblLayout w:type="fixed"/>
          <w:tblLook w:val="04A0"/>
        </w:tblPrEx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141FDC4B" w14:textId="41034B31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tree_comments</w:t>
            </w:r>
          </w:p>
        </w:tc>
        <w:tc>
          <w:tcPr>
            <w:tcW w:w="6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4E32C77F" w:rsidRPr="00C24A97" w:rsidP="4E32C77F" w14:paraId="259526BE" w14:textId="77641071">
            <w:pPr>
              <w:spacing w:after="0"/>
              <w:rPr>
                <w:sz w:val="21"/>
                <w:szCs w:val="21"/>
              </w:rPr>
            </w:pP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Additional comments on the phylogenetic 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treePlease</w:t>
            </w:r>
            <w:r w:rsidRPr="00C24A97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share any additional comments related to the phylogenetic tree.</w:t>
            </w:r>
          </w:p>
        </w:tc>
      </w:tr>
    </w:tbl>
    <w:p w:rsidR="00535934" w:rsidRPr="00146961" w:rsidP="4E32C77F" w14:paraId="293BD958" w14:textId="677C2504">
      <w:pPr>
        <w:spacing w:line="257" w:lineRule="auto"/>
        <w:jc w:val="center"/>
      </w:pPr>
      <w:r w:rsidRPr="4E32C77F">
        <w:rPr>
          <w:rFonts w:ascii="Calibri" w:eastAsia="Calibri" w:hAnsi="Calibri" w:cs="Calibri"/>
        </w:rPr>
        <w:t xml:space="preserve"> </w:t>
      </w:r>
    </w:p>
    <w:p w:rsidR="004B2957" w:rsidRPr="00146961" w14:paraId="2A6939F3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A4C" w:rsidRPr="00673DF2" w:rsidP="00033A4C" w14:paraId="459552B6" w14:textId="435708FC">
    <w:pPr>
      <w:rPr>
        <w:sz w:val="16"/>
      </w:rPr>
    </w:pPr>
    <w:r w:rsidRPr="00673DF2">
      <w:rPr>
        <w:sz w:val="16"/>
      </w:rPr>
      <w:t>Public reporting burden of this collection of information is estimated to average</w:t>
    </w:r>
    <w:r>
      <w:rPr>
        <w:sz w:val="16"/>
      </w:rPr>
      <w:t xml:space="preserve"> 6</w:t>
    </w:r>
    <w:r w:rsidRPr="00673DF2">
      <w:rPr>
        <w:sz w:val="16"/>
      </w:rPr>
      <w:t xml:space="preserve"> minutes per response, including the time for reviewing instructions, searching existing data sources, </w:t>
    </w:r>
    <w:r w:rsidRPr="00673DF2">
      <w:rPr>
        <w:sz w:val="16"/>
      </w:rPr>
      <w:t>gathering</w:t>
    </w:r>
    <w:r w:rsidRPr="00673DF2">
      <w:rPr>
        <w:sz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557187">
      <w:rPr>
        <w:sz w:val="16"/>
      </w:rPr>
      <w:t>H21-8</w:t>
    </w:r>
    <w:r w:rsidRPr="00673DF2">
      <w:rPr>
        <w:sz w:val="16"/>
      </w:rPr>
      <w:t>, Atlanta, Georgia 30333; ATTN: PRA 0920</w:t>
    </w:r>
    <w:r>
      <w:rPr>
        <w:sz w:val="16"/>
      </w:rPr>
      <w:t>-1310</w:t>
    </w:r>
  </w:p>
  <w:p w:rsidR="00033A4C" w14:paraId="2056F2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2C7B" w:rsidP="00A32C7B" w14:paraId="5E2026B8" w14:textId="77777777">
    <w:pPr>
      <w:spacing w:line="240" w:lineRule="auto"/>
      <w:ind w:left="720"/>
      <w:contextualSpacing/>
      <w:jc w:val="right"/>
    </w:pPr>
    <w:r>
      <w:t>Form Approved</w:t>
    </w:r>
  </w:p>
  <w:p w:rsidR="00A32C7B" w:rsidP="00A32C7B" w14:paraId="127A586F" w14:textId="77777777">
    <w:pPr>
      <w:spacing w:line="240" w:lineRule="auto"/>
      <w:ind w:left="720"/>
      <w:contextualSpacing/>
      <w:jc w:val="right"/>
    </w:pPr>
    <w:r>
      <w:t>OMB Control No.: 0920-1310</w:t>
    </w:r>
  </w:p>
  <w:p w:rsidR="00A32C7B" w:rsidP="00A32C7B" w14:paraId="7A9F49E7" w14:textId="77777777">
    <w:pPr>
      <w:spacing w:line="240" w:lineRule="auto"/>
      <w:ind w:left="720"/>
      <w:contextualSpacing/>
      <w:jc w:val="right"/>
    </w:pPr>
    <w:r>
      <w:t>Expiration date: XX/XX/XXXX</w:t>
    </w:r>
  </w:p>
  <w:p w:rsidR="00033A4C" w14:paraId="63E8257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70"/>
    <w:rsid w:val="00033A4C"/>
    <w:rsid w:val="00146961"/>
    <w:rsid w:val="001961EA"/>
    <w:rsid w:val="004B2957"/>
    <w:rsid w:val="00535934"/>
    <w:rsid w:val="00557187"/>
    <w:rsid w:val="00617809"/>
    <w:rsid w:val="00673DF2"/>
    <w:rsid w:val="006E36CC"/>
    <w:rsid w:val="00761770"/>
    <w:rsid w:val="0097081D"/>
    <w:rsid w:val="00A32C7B"/>
    <w:rsid w:val="00C24A97"/>
    <w:rsid w:val="154099BA"/>
    <w:rsid w:val="4E32C7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7D76B7"/>
  <w15:chartTrackingRefBased/>
  <w15:docId w15:val="{2F08A276-7710-406D-8B3F-EF433DEE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4C"/>
  </w:style>
  <w:style w:type="paragraph" w:styleId="Footer">
    <w:name w:val="footer"/>
    <w:basedOn w:val="Normal"/>
    <w:link w:val="FooterChar"/>
    <w:uiPriority w:val="99"/>
    <w:unhideWhenUsed/>
    <w:rsid w:val="0003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8AE43-E789-48A6-88D3-A3696E74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D520C-E340-4483-9B7B-11CB649F7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E035D2-D437-4476-85EF-B999A8B6D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Parnell, Lindsay (CDC/DDID/NCEZID/DFWED)</dc:creator>
  <cp:lastModifiedBy>Vice, Rudith (CDC/NCEZID/OD)</cp:lastModifiedBy>
  <cp:revision>5</cp:revision>
  <dcterms:created xsi:type="dcterms:W3CDTF">2024-07-15T18:03:00Z</dcterms:created>
  <dcterms:modified xsi:type="dcterms:W3CDTF">2024-09-09T17:45:00Z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7b94a7b8-f06c-4dfe-bdcc-9b548fd58c31_ActionId">
    <vt:lpwstr>5eecf5c6-f257-4d2c-8914-8651cb80707d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2022-11-22T14:41:27Z</vt:lpwstr>
  </property>
  <property fmtid="{D5CDD505-2E9C-101B-9397-08002B2CF9AE}" pid="9" name="MSIP_Label_7b94a7b8-f06c-4dfe-bdcc-9b548fd58c31_SiteId">
    <vt:lpwstr>9ce70869-60db-44fd-abe8-d2767077fc8f</vt:lpwstr>
  </property>
</Properties>
</file>