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025775" w:rsidRPr="00A64090" w:rsidP="00D830D3" w14:paraId="07D1BD7C" w14:textId="5529818C">
      <w:pPr>
        <w:spacing w:after="0" w:line="240" w:lineRule="auto"/>
        <w:jc w:val="both"/>
        <w:rPr>
          <w:rFonts w:ascii="Aptos" w:hAnsi="Aptos" w:cs="Calibri"/>
          <w:sz w:val="22"/>
          <w:szCs w:val="22"/>
        </w:rPr>
      </w:pPr>
      <w:r w:rsidRPr="00A64090">
        <w:rPr>
          <w:rFonts w:ascii="Aptos" w:hAnsi="Aptos" w:cs="Calibri"/>
          <w:sz w:val="22"/>
          <w:szCs w:val="22"/>
        </w:rPr>
        <w:t xml:space="preserve">Dear </w:t>
      </w:r>
      <w:r w:rsidRPr="00A64090" w:rsidR="00052E2F">
        <w:rPr>
          <w:rFonts w:ascii="Aptos" w:hAnsi="Aptos" w:cs="Calibri"/>
          <w:sz w:val="22"/>
          <w:szCs w:val="22"/>
        </w:rPr>
        <w:t xml:space="preserve">Mr. </w:t>
      </w:r>
      <w:r w:rsidRPr="00A64090" w:rsidR="0074647C">
        <w:rPr>
          <w:rFonts w:ascii="Aptos" w:hAnsi="Aptos" w:cs="Calibri"/>
          <w:sz w:val="22"/>
          <w:szCs w:val="22"/>
        </w:rPr>
        <w:t>Cook,</w:t>
      </w:r>
    </w:p>
    <w:p w:rsidR="00D10126" w:rsidRPr="00A64090" w:rsidP="00D830D3" w14:paraId="2404102E" w14:textId="77777777">
      <w:pPr>
        <w:spacing w:after="0" w:line="240" w:lineRule="auto"/>
        <w:jc w:val="both"/>
        <w:rPr>
          <w:rFonts w:ascii="Aptos" w:hAnsi="Aptos" w:cs="Calibri"/>
          <w:sz w:val="22"/>
          <w:szCs w:val="22"/>
        </w:rPr>
      </w:pPr>
    </w:p>
    <w:p w:rsidR="0074647C" w:rsidRPr="00A64090" w:rsidP="00D830D3" w14:paraId="78F9B215" w14:textId="382A950F">
      <w:pPr>
        <w:pStyle w:val="p1"/>
        <w:rPr>
          <w:rFonts w:ascii="Aptos" w:hAnsi="Aptos"/>
          <w:sz w:val="22"/>
          <w:szCs w:val="22"/>
        </w:rPr>
      </w:pPr>
      <w:r w:rsidRPr="00A64090">
        <w:rPr>
          <w:rFonts w:ascii="Aptos" w:hAnsi="Aptos" w:cs="Calibri"/>
          <w:sz w:val="22"/>
          <w:szCs w:val="22"/>
        </w:rPr>
        <w:t xml:space="preserve">Thank you for your </w:t>
      </w:r>
      <w:r w:rsidRPr="00A64090" w:rsidR="00052E2F">
        <w:rPr>
          <w:rFonts w:ascii="Aptos" w:hAnsi="Aptos" w:cs="Calibri"/>
          <w:sz w:val="22"/>
          <w:szCs w:val="22"/>
        </w:rPr>
        <w:t xml:space="preserve">public comment </w:t>
      </w:r>
      <w:r w:rsidRPr="00A64090" w:rsidR="00247E5D">
        <w:rPr>
          <w:rFonts w:ascii="Aptos" w:hAnsi="Aptos" w:cs="Calibri"/>
          <w:sz w:val="22"/>
          <w:szCs w:val="22"/>
        </w:rPr>
        <w:t xml:space="preserve">regarding </w:t>
      </w:r>
      <w:r w:rsidR="00B43770">
        <w:rPr>
          <w:rFonts w:ascii="Aptos" w:hAnsi="Aptos" w:cs="Calibri"/>
          <w:sz w:val="22"/>
          <w:szCs w:val="22"/>
        </w:rPr>
        <w:t xml:space="preserve">data access </w:t>
      </w:r>
      <w:r w:rsidRPr="00A64090" w:rsidR="00052E2F">
        <w:rPr>
          <w:rFonts w:ascii="Aptos" w:hAnsi="Aptos" w:cs="Calibri"/>
          <w:sz w:val="22"/>
          <w:szCs w:val="22"/>
        </w:rPr>
        <w:t>in response t</w:t>
      </w:r>
      <w:r w:rsidRPr="00A64090" w:rsidR="009231B3">
        <w:rPr>
          <w:rFonts w:ascii="Aptos" w:hAnsi="Aptos" w:cs="Calibri"/>
          <w:sz w:val="22"/>
          <w:szCs w:val="22"/>
        </w:rPr>
        <w:t>o</w:t>
      </w:r>
      <w:r w:rsidRPr="00A64090" w:rsidR="009231B3">
        <w:rPr>
          <w:rFonts w:ascii="Aptos" w:hAnsi="Aptos" w:cs="Calibri"/>
          <w:color w:val="212121"/>
          <w:sz w:val="22"/>
          <w:szCs w:val="22"/>
        </w:rPr>
        <w:t xml:space="preserve"> </w:t>
      </w:r>
      <w:r w:rsidRPr="00A64090">
        <w:rPr>
          <w:rFonts w:ascii="Aptos" w:hAnsi="Aptos" w:cs="Calibri"/>
          <w:color w:val="212121"/>
          <w:sz w:val="22"/>
          <w:szCs w:val="22"/>
        </w:rPr>
        <w:t>NIMH’s I</w:t>
      </w:r>
      <w:r w:rsidRPr="00A64090">
        <w:rPr>
          <w:rFonts w:ascii="Aptos" w:hAnsi="Aptos"/>
          <w:sz w:val="22"/>
          <w:szCs w:val="22"/>
        </w:rPr>
        <w:t>nformation Collection Request titled "The National Institute of Mental Health Data Archive (NDA) Data Access Closeout Report" (ICR Reference No: 202602-0925-003).</w:t>
      </w:r>
      <w:r w:rsidR="004624E9">
        <w:rPr>
          <w:rFonts w:ascii="Aptos" w:hAnsi="Aptos"/>
          <w:sz w:val="22"/>
          <w:szCs w:val="22"/>
        </w:rPr>
        <w:t xml:space="preserve"> I am responding on behalf of </w:t>
      </w:r>
      <w:r w:rsidR="004B2F13">
        <w:rPr>
          <w:rFonts w:ascii="Aptos" w:hAnsi="Aptos"/>
          <w:sz w:val="22"/>
          <w:szCs w:val="22"/>
        </w:rPr>
        <w:t>the Office of Information and Regulatory Affairs</w:t>
      </w:r>
      <w:r w:rsidR="004624E9">
        <w:rPr>
          <w:rFonts w:ascii="Aptos" w:hAnsi="Aptos"/>
          <w:sz w:val="22"/>
          <w:szCs w:val="22"/>
        </w:rPr>
        <w:t>.</w:t>
      </w:r>
    </w:p>
    <w:p w:rsidR="00025775" w:rsidRPr="00A64090" w:rsidP="00D830D3" w14:paraId="145EFA38" w14:textId="1E31C3C5">
      <w:pPr>
        <w:spacing w:after="0" w:line="240" w:lineRule="auto"/>
        <w:jc w:val="both"/>
        <w:rPr>
          <w:rStyle w:val="apple-converted-space"/>
          <w:rFonts w:ascii="Aptos" w:hAnsi="Aptos" w:cs="Calibri"/>
          <w:color w:val="212121"/>
          <w:sz w:val="22"/>
          <w:szCs w:val="22"/>
        </w:rPr>
      </w:pPr>
    </w:p>
    <w:p w:rsidR="00A64090" w:rsidRPr="00A64090" w:rsidP="00D830D3" w14:paraId="018BC91C" w14:textId="077CD519">
      <w:pPr>
        <w:spacing w:after="0" w:line="240" w:lineRule="auto"/>
        <w:rPr>
          <w:rFonts w:ascii="Aptos" w:eastAsia="Times New Roman" w:hAnsi="Aptos" w:cs="Times New Roman"/>
          <w:color w:val="212121"/>
          <w:kern w:val="0"/>
          <w:sz w:val="22"/>
          <w:szCs w:val="22"/>
          <w14:ligatures w14:val="none"/>
        </w:rPr>
      </w:pPr>
      <w:r>
        <w:rPr>
          <w:rFonts w:ascii="Aptos" w:eastAsia="Times New Roman" w:hAnsi="Aptos" w:cs="Times New Roman"/>
          <w:color w:val="212121"/>
          <w:kern w:val="0"/>
          <w:sz w:val="22"/>
          <w:szCs w:val="22"/>
          <w14:ligatures w14:val="none"/>
        </w:rPr>
        <w:t>The National Institutes of Health (</w:t>
      </w:r>
      <w:r w:rsidRPr="00A64090">
        <w:rPr>
          <w:rFonts w:ascii="Aptos" w:eastAsia="Times New Roman" w:hAnsi="Aptos" w:cs="Times New Roman"/>
          <w:color w:val="212121"/>
          <w:kern w:val="0"/>
          <w:sz w:val="22"/>
          <w:szCs w:val="22"/>
          <w14:ligatures w14:val="none"/>
        </w:rPr>
        <w:t>NIH</w:t>
      </w:r>
      <w:r>
        <w:rPr>
          <w:rFonts w:ascii="Aptos" w:eastAsia="Times New Roman" w:hAnsi="Aptos" w:cs="Times New Roman"/>
          <w:color w:val="212121"/>
          <w:kern w:val="0"/>
          <w:sz w:val="22"/>
          <w:szCs w:val="22"/>
          <w14:ligatures w14:val="none"/>
        </w:rPr>
        <w:t>)</w:t>
      </w:r>
      <w:r w:rsidRPr="00A64090">
        <w:rPr>
          <w:rFonts w:ascii="Aptos" w:eastAsia="Times New Roman" w:hAnsi="Aptos" w:cs="Times New Roman"/>
          <w:color w:val="212121"/>
          <w:kern w:val="0"/>
          <w:sz w:val="22"/>
          <w:szCs w:val="22"/>
          <w14:ligatures w14:val="none"/>
        </w:rPr>
        <w:t xml:space="preserve"> maintains the federal scientific record by retaining the data in </w:t>
      </w:r>
      <w:r w:rsidR="00D830D3">
        <w:rPr>
          <w:rFonts w:ascii="Aptos" w:eastAsia="Times New Roman" w:hAnsi="Aptos" w:cs="Times New Roman"/>
          <w:color w:val="212121"/>
          <w:kern w:val="0"/>
          <w:sz w:val="22"/>
          <w:szCs w:val="22"/>
          <w14:ligatures w14:val="none"/>
        </w:rPr>
        <w:t xml:space="preserve">the </w:t>
      </w:r>
      <w:r w:rsidRPr="00A64090">
        <w:rPr>
          <w:rFonts w:ascii="Aptos" w:eastAsia="Times New Roman" w:hAnsi="Aptos" w:cs="Times New Roman"/>
          <w:color w:val="212121"/>
          <w:kern w:val="0"/>
          <w:sz w:val="22"/>
          <w:szCs w:val="22"/>
          <w14:ligatures w14:val="none"/>
        </w:rPr>
        <w:t>NDA</w:t>
      </w:r>
      <w:r w:rsidR="00D830D3">
        <w:rPr>
          <w:rFonts w:ascii="Aptos" w:eastAsia="Times New Roman" w:hAnsi="Aptos" w:cs="Times New Roman"/>
          <w:color w:val="212121"/>
          <w:kern w:val="0"/>
          <w:sz w:val="22"/>
          <w:szCs w:val="22"/>
          <w14:ligatures w14:val="none"/>
        </w:rPr>
        <w:t>,</w:t>
      </w:r>
      <w:r w:rsidRPr="00A64090">
        <w:rPr>
          <w:rFonts w:ascii="Aptos" w:eastAsia="Times New Roman" w:hAnsi="Aptos" w:cs="Times New Roman"/>
          <w:color w:val="212121"/>
          <w:kern w:val="0"/>
          <w:sz w:val="22"/>
          <w:szCs w:val="22"/>
          <w14:ligatures w14:val="none"/>
        </w:rPr>
        <w:t xml:space="preserve"> while researchers accessing and using the data are not allowed to retain the data in perpetuity. The requirement that researchers confirm destruction of all copies of accessed data is necessary as it is a standard term to ensure accountability, support risk management over time, and promote adherence to the terms of access. This requirement also ensures compliance with NIH policy regarding unauthorized data retention and use</w:t>
      </w:r>
      <w:r w:rsidR="001977D9">
        <w:rPr>
          <w:rFonts w:ascii="Aptos" w:eastAsia="Times New Roman" w:hAnsi="Aptos" w:cs="Times New Roman"/>
          <w:color w:val="212121"/>
          <w:kern w:val="0"/>
          <w:sz w:val="22"/>
          <w:szCs w:val="22"/>
          <w14:ligatures w14:val="none"/>
        </w:rPr>
        <w:t>,</w:t>
      </w:r>
      <w:r w:rsidRPr="00A64090">
        <w:rPr>
          <w:rFonts w:ascii="Aptos" w:eastAsia="Times New Roman" w:hAnsi="Aptos" w:cs="Times New Roman"/>
          <w:color w:val="212121"/>
          <w:kern w:val="0"/>
          <w:sz w:val="22"/>
          <w:szCs w:val="22"/>
          <w14:ligatures w14:val="none"/>
        </w:rPr>
        <w:t xml:space="preserve"> and helps</w:t>
      </w:r>
      <w:r w:rsidR="001977D9">
        <w:rPr>
          <w:rFonts w:ascii="Aptos" w:eastAsia="Times New Roman" w:hAnsi="Aptos" w:cs="Times New Roman"/>
          <w:color w:val="212121"/>
          <w:kern w:val="0"/>
          <w:sz w:val="22"/>
          <w:szCs w:val="22"/>
          <w14:ligatures w14:val="none"/>
        </w:rPr>
        <w:t xml:space="preserve"> to</w:t>
      </w:r>
      <w:r w:rsidRPr="00A64090">
        <w:rPr>
          <w:rFonts w:ascii="Aptos" w:eastAsia="Times New Roman" w:hAnsi="Aptos" w:cs="Times New Roman"/>
          <w:color w:val="212121"/>
          <w:kern w:val="0"/>
          <w:sz w:val="22"/>
          <w:szCs w:val="22"/>
          <w14:ligatures w14:val="none"/>
        </w:rPr>
        <w:t xml:space="preserve"> mitigate associated risks. </w:t>
      </w:r>
      <w:r w:rsidR="00435A19">
        <w:rPr>
          <w:rFonts w:ascii="Aptos" w:eastAsia="Times New Roman" w:hAnsi="Aptos" w:cs="Times New Roman"/>
          <w:color w:val="212121"/>
          <w:kern w:val="0"/>
          <w:sz w:val="22"/>
          <w:szCs w:val="22"/>
          <w14:ligatures w14:val="none"/>
        </w:rPr>
        <w:t>While</w:t>
      </w:r>
      <w:r w:rsidRPr="00A64090" w:rsidR="00435A19">
        <w:rPr>
          <w:rFonts w:ascii="Aptos" w:eastAsia="Times New Roman" w:hAnsi="Aptos" w:cs="Times New Roman"/>
          <w:color w:val="212121"/>
          <w:kern w:val="0"/>
          <w:sz w:val="22"/>
          <w:szCs w:val="22"/>
          <w14:ligatures w14:val="none"/>
        </w:rPr>
        <w:t xml:space="preserve"> </w:t>
      </w:r>
      <w:r w:rsidRPr="00A64090">
        <w:rPr>
          <w:rFonts w:ascii="Aptos" w:eastAsia="Times New Roman" w:hAnsi="Aptos" w:cs="Times New Roman"/>
          <w:color w:val="212121"/>
          <w:kern w:val="0"/>
          <w:sz w:val="22"/>
          <w:szCs w:val="22"/>
          <w14:ligatures w14:val="none"/>
        </w:rPr>
        <w:t xml:space="preserve">technical approaches can restrict access within controlled environments, they cannot ensure compliance with data use limitations once data have been accessed. Accordingly, </w:t>
      </w:r>
      <w:r w:rsidR="00435A19">
        <w:rPr>
          <w:rFonts w:ascii="Aptos" w:eastAsia="Times New Roman" w:hAnsi="Aptos" w:cs="Times New Roman"/>
          <w:color w:val="212121"/>
          <w:kern w:val="0"/>
          <w:sz w:val="22"/>
          <w:szCs w:val="22"/>
          <w14:ligatures w14:val="none"/>
        </w:rPr>
        <w:t xml:space="preserve">we consider </w:t>
      </w:r>
      <w:r w:rsidRPr="00A64090">
        <w:rPr>
          <w:rFonts w:ascii="Aptos" w:eastAsia="Times New Roman" w:hAnsi="Aptos" w:cs="Times New Roman"/>
          <w:color w:val="212121"/>
          <w:kern w:val="0"/>
          <w:sz w:val="22"/>
          <w:szCs w:val="22"/>
          <w14:ligatures w14:val="none"/>
        </w:rPr>
        <w:t xml:space="preserve">technical controls alone </w:t>
      </w:r>
      <w:r w:rsidR="00435A19">
        <w:rPr>
          <w:rFonts w:ascii="Aptos" w:eastAsia="Times New Roman" w:hAnsi="Aptos" w:cs="Times New Roman"/>
          <w:color w:val="212121"/>
          <w:kern w:val="0"/>
          <w:sz w:val="22"/>
          <w:szCs w:val="22"/>
          <w14:ligatures w14:val="none"/>
        </w:rPr>
        <w:t>to be</w:t>
      </w:r>
      <w:r w:rsidRPr="00A64090">
        <w:rPr>
          <w:rFonts w:ascii="Aptos" w:eastAsia="Times New Roman" w:hAnsi="Aptos" w:cs="Times New Roman"/>
          <w:color w:val="212121"/>
          <w:kern w:val="0"/>
          <w:sz w:val="22"/>
          <w:szCs w:val="22"/>
          <w14:ligatures w14:val="none"/>
        </w:rPr>
        <w:t xml:space="preserve"> insufficient</w:t>
      </w:r>
      <w:r w:rsidR="00435A19">
        <w:rPr>
          <w:rFonts w:ascii="Aptos" w:eastAsia="Times New Roman" w:hAnsi="Aptos" w:cs="Times New Roman"/>
          <w:color w:val="212121"/>
          <w:kern w:val="0"/>
          <w:sz w:val="22"/>
          <w:szCs w:val="22"/>
          <w14:ligatures w14:val="none"/>
        </w:rPr>
        <w:t xml:space="preserve"> </w:t>
      </w:r>
      <w:r w:rsidR="00994D52">
        <w:rPr>
          <w:rFonts w:ascii="Aptos" w:eastAsia="Times New Roman" w:hAnsi="Aptos" w:cs="Times New Roman"/>
          <w:color w:val="212121"/>
          <w:kern w:val="0"/>
          <w:sz w:val="22"/>
          <w:szCs w:val="22"/>
          <w14:ligatures w14:val="none"/>
        </w:rPr>
        <w:t>for our purposes</w:t>
      </w:r>
      <w:r w:rsidR="00435A19">
        <w:rPr>
          <w:rFonts w:ascii="Aptos" w:eastAsia="Times New Roman" w:hAnsi="Aptos" w:cs="Times New Roman"/>
          <w:color w:val="212121"/>
          <w:kern w:val="0"/>
          <w:sz w:val="22"/>
          <w:szCs w:val="22"/>
          <w14:ligatures w14:val="none"/>
        </w:rPr>
        <w:t xml:space="preserve"> at this time. However, we </w:t>
      </w:r>
      <w:r w:rsidR="00E62F8D">
        <w:rPr>
          <w:rFonts w:ascii="Aptos" w:eastAsia="Times New Roman" w:hAnsi="Aptos" w:cs="Times New Roman"/>
          <w:color w:val="212121"/>
          <w:kern w:val="0"/>
          <w:sz w:val="22"/>
          <w:szCs w:val="22"/>
          <w14:ligatures w14:val="none"/>
        </w:rPr>
        <w:t>d</w:t>
      </w:r>
      <w:r w:rsidR="00A9517E">
        <w:rPr>
          <w:rFonts w:ascii="Aptos" w:eastAsia="Times New Roman" w:hAnsi="Aptos" w:cs="Times New Roman"/>
          <w:color w:val="212121"/>
          <w:kern w:val="0"/>
          <w:sz w:val="22"/>
          <w:szCs w:val="22"/>
          <w14:ligatures w14:val="none"/>
        </w:rPr>
        <w:t xml:space="preserve">o </w:t>
      </w:r>
      <w:r w:rsidR="00AC4B62">
        <w:rPr>
          <w:rFonts w:ascii="Aptos" w:eastAsia="Times New Roman" w:hAnsi="Aptos" w:cs="Times New Roman"/>
          <w:color w:val="212121"/>
          <w:kern w:val="0"/>
          <w:sz w:val="22"/>
          <w:szCs w:val="22"/>
          <w14:ligatures w14:val="none"/>
        </w:rPr>
        <w:t>appreciate y</w:t>
      </w:r>
      <w:r w:rsidR="00A9517E">
        <w:rPr>
          <w:rFonts w:ascii="Aptos" w:eastAsia="Times New Roman" w:hAnsi="Aptos" w:cs="Times New Roman"/>
          <w:color w:val="212121"/>
          <w:kern w:val="0"/>
          <w:sz w:val="22"/>
          <w:szCs w:val="22"/>
          <w14:ligatures w14:val="none"/>
        </w:rPr>
        <w:t>ou</w:t>
      </w:r>
      <w:r w:rsidR="00E62F8D">
        <w:rPr>
          <w:rFonts w:ascii="Aptos" w:eastAsia="Times New Roman" w:hAnsi="Aptos" w:cs="Times New Roman"/>
          <w:color w:val="212121"/>
          <w:kern w:val="0"/>
          <w:sz w:val="22"/>
          <w:szCs w:val="22"/>
          <w14:ligatures w14:val="none"/>
        </w:rPr>
        <w:t xml:space="preserve"> sharing you</w:t>
      </w:r>
      <w:r w:rsidR="00A9517E">
        <w:rPr>
          <w:rFonts w:ascii="Aptos" w:eastAsia="Times New Roman" w:hAnsi="Aptos" w:cs="Times New Roman"/>
          <w:color w:val="212121"/>
          <w:kern w:val="0"/>
          <w:sz w:val="22"/>
          <w:szCs w:val="22"/>
          <w14:ligatures w14:val="none"/>
        </w:rPr>
        <w:t>r suggest</w:t>
      </w:r>
      <w:r w:rsidR="00E941E2">
        <w:rPr>
          <w:rFonts w:ascii="Aptos" w:eastAsia="Times New Roman" w:hAnsi="Aptos" w:cs="Times New Roman"/>
          <w:color w:val="212121"/>
          <w:kern w:val="0"/>
          <w:sz w:val="22"/>
          <w:szCs w:val="22"/>
          <w14:ligatures w14:val="none"/>
        </w:rPr>
        <w:t>ed approach</w:t>
      </w:r>
      <w:r w:rsidR="00A9517E">
        <w:rPr>
          <w:rFonts w:ascii="Aptos" w:eastAsia="Times New Roman" w:hAnsi="Aptos" w:cs="Times New Roman"/>
          <w:color w:val="212121"/>
          <w:kern w:val="0"/>
          <w:sz w:val="22"/>
          <w:szCs w:val="22"/>
          <w14:ligatures w14:val="none"/>
        </w:rPr>
        <w:t xml:space="preserve"> to </w:t>
      </w:r>
      <w:r w:rsidR="006B668A">
        <w:rPr>
          <w:rFonts w:ascii="Aptos" w:eastAsia="Times New Roman" w:hAnsi="Aptos" w:cs="Times New Roman"/>
          <w:color w:val="212121"/>
          <w:kern w:val="0"/>
          <w:sz w:val="22"/>
          <w:szCs w:val="22"/>
          <w14:ligatures w14:val="none"/>
        </w:rPr>
        <w:t>enforc</w:t>
      </w:r>
      <w:r w:rsidR="00E941E2">
        <w:rPr>
          <w:rFonts w:ascii="Aptos" w:eastAsia="Times New Roman" w:hAnsi="Aptos" w:cs="Times New Roman"/>
          <w:color w:val="212121"/>
          <w:kern w:val="0"/>
          <w:sz w:val="22"/>
          <w:szCs w:val="22"/>
          <w14:ligatures w14:val="none"/>
        </w:rPr>
        <w:t>ing</w:t>
      </w:r>
      <w:r w:rsidR="006B668A">
        <w:rPr>
          <w:rFonts w:ascii="Aptos" w:eastAsia="Times New Roman" w:hAnsi="Aptos" w:cs="Times New Roman"/>
          <w:color w:val="212121"/>
          <w:kern w:val="0"/>
          <w:sz w:val="22"/>
          <w:szCs w:val="22"/>
          <w14:ligatures w14:val="none"/>
        </w:rPr>
        <w:t xml:space="preserve"> data</w:t>
      </w:r>
      <w:r w:rsidR="007E0447">
        <w:rPr>
          <w:rFonts w:ascii="Aptos" w:eastAsia="Times New Roman" w:hAnsi="Aptos" w:cs="Times New Roman"/>
          <w:color w:val="212121"/>
          <w:kern w:val="0"/>
          <w:sz w:val="22"/>
          <w:szCs w:val="22"/>
          <w14:ligatures w14:val="none"/>
        </w:rPr>
        <w:t xml:space="preserve"> governance</w:t>
      </w:r>
      <w:r w:rsidR="006B668A">
        <w:rPr>
          <w:rFonts w:ascii="Aptos" w:eastAsia="Times New Roman" w:hAnsi="Aptos" w:cs="Times New Roman"/>
          <w:color w:val="212121"/>
          <w:kern w:val="0"/>
          <w:sz w:val="22"/>
          <w:szCs w:val="22"/>
          <w14:ligatures w14:val="none"/>
        </w:rPr>
        <w:t xml:space="preserve"> </w:t>
      </w:r>
      <w:r w:rsidR="00E941E2">
        <w:rPr>
          <w:rFonts w:ascii="Aptos" w:eastAsia="Times New Roman" w:hAnsi="Aptos" w:cs="Times New Roman"/>
          <w:color w:val="212121"/>
          <w:kern w:val="0"/>
          <w:sz w:val="22"/>
          <w:szCs w:val="22"/>
          <w14:ligatures w14:val="none"/>
        </w:rPr>
        <w:t xml:space="preserve">“at the point of inception,” </w:t>
      </w:r>
      <w:r w:rsidR="00407B59">
        <w:rPr>
          <w:rFonts w:ascii="Aptos" w:eastAsia="Times New Roman" w:hAnsi="Aptos" w:cs="Times New Roman"/>
          <w:color w:val="212121"/>
          <w:kern w:val="0"/>
          <w:sz w:val="22"/>
          <w:szCs w:val="22"/>
          <w14:ligatures w14:val="none"/>
        </w:rPr>
        <w:t xml:space="preserve">and we will continue to consider such technical controls </w:t>
      </w:r>
      <w:r w:rsidR="00CB4E1F">
        <w:rPr>
          <w:rFonts w:ascii="Aptos" w:eastAsia="Times New Roman" w:hAnsi="Aptos" w:cs="Times New Roman"/>
          <w:color w:val="212121"/>
          <w:kern w:val="0"/>
          <w:sz w:val="22"/>
          <w:szCs w:val="22"/>
          <w14:ligatures w14:val="none"/>
        </w:rPr>
        <w:t>as we constantly strive to optimize our data stewardship and reduce burden</w:t>
      </w:r>
      <w:r w:rsidRPr="00A64090">
        <w:rPr>
          <w:rFonts w:ascii="Aptos" w:eastAsia="Times New Roman" w:hAnsi="Aptos" w:cs="Times New Roman"/>
          <w:color w:val="212121"/>
          <w:kern w:val="0"/>
          <w:sz w:val="22"/>
          <w:szCs w:val="22"/>
          <w14:ligatures w14:val="none"/>
        </w:rPr>
        <w:t>.</w:t>
      </w:r>
    </w:p>
    <w:p w:rsidR="00B75ED9" w:rsidRPr="00A64090" w:rsidP="00D830D3" w14:paraId="4D8EA44D" w14:textId="77777777">
      <w:pPr>
        <w:spacing w:after="0" w:line="240" w:lineRule="auto"/>
        <w:rPr>
          <w:rFonts w:ascii="Aptos" w:hAnsi="Aptos" w:cs="Calibri"/>
          <w:sz w:val="22"/>
          <w:szCs w:val="22"/>
        </w:rPr>
      </w:pPr>
    </w:p>
    <w:p w:rsidR="00025775" w:rsidRPr="00A64090" w:rsidP="00D830D3" w14:paraId="700A4734" w14:textId="13E4DA12">
      <w:pPr>
        <w:spacing w:after="0" w:line="240" w:lineRule="auto"/>
        <w:rPr>
          <w:rFonts w:ascii="Aptos" w:hAnsi="Aptos" w:cs="Calibri"/>
          <w:sz w:val="22"/>
          <w:szCs w:val="22"/>
        </w:rPr>
      </w:pPr>
      <w:r w:rsidRPr="00A64090">
        <w:rPr>
          <w:rFonts w:ascii="Aptos" w:hAnsi="Aptos" w:cs="Calibri"/>
          <w:sz w:val="22"/>
          <w:szCs w:val="22"/>
        </w:rPr>
        <w:t>Thank you once again for your</w:t>
      </w:r>
      <w:r w:rsidRPr="00A64090" w:rsidR="00533E22">
        <w:rPr>
          <w:rFonts w:ascii="Aptos" w:hAnsi="Aptos" w:cs="Calibri"/>
          <w:sz w:val="22"/>
          <w:szCs w:val="22"/>
        </w:rPr>
        <w:t xml:space="preserve"> comment.</w:t>
      </w:r>
    </w:p>
    <w:p w:rsidR="009F51C0" w:rsidRPr="00A64090" w:rsidP="00D830D3" w14:paraId="762A9502" w14:textId="77777777">
      <w:pPr>
        <w:spacing w:after="0" w:line="240" w:lineRule="auto"/>
        <w:jc w:val="both"/>
        <w:rPr>
          <w:rFonts w:ascii="Aptos" w:hAnsi="Aptos" w:cs="Calibri"/>
          <w:sz w:val="22"/>
          <w:szCs w:val="22"/>
        </w:rPr>
      </w:pPr>
    </w:p>
    <w:p w:rsidR="009F51C0" w:rsidRPr="00A64090" w:rsidP="00D830D3" w14:paraId="5AA351D4" w14:textId="77777777">
      <w:pPr>
        <w:spacing w:after="0" w:line="240" w:lineRule="auto"/>
        <w:jc w:val="both"/>
        <w:rPr>
          <w:rFonts w:ascii="Aptos" w:hAnsi="Aptos" w:cs="Calibri"/>
          <w:sz w:val="22"/>
          <w:szCs w:val="22"/>
        </w:rPr>
      </w:pPr>
      <w:r w:rsidRPr="00A64090">
        <w:rPr>
          <w:rFonts w:ascii="Aptos" w:hAnsi="Aptos" w:cs="Calibri"/>
          <w:sz w:val="22"/>
          <w:szCs w:val="22"/>
        </w:rPr>
        <w:t>Very Respectfully,</w:t>
      </w:r>
    </w:p>
    <w:p w:rsidR="009F51C0" w:rsidRPr="00A64090" w:rsidP="00D830D3" w14:paraId="468725A1" w14:textId="77777777">
      <w:pPr>
        <w:spacing w:after="0" w:line="240" w:lineRule="auto"/>
        <w:jc w:val="both"/>
        <w:rPr>
          <w:rFonts w:ascii="Aptos" w:hAnsi="Aptos" w:cs="Calibri"/>
          <w:sz w:val="22"/>
          <w:szCs w:val="22"/>
        </w:rPr>
      </w:pPr>
      <w:r w:rsidRPr="00A64090">
        <w:rPr>
          <w:rFonts w:ascii="Aptos" w:hAnsi="Aptos" w:cs="Calibri"/>
          <w:sz w:val="22"/>
          <w:szCs w:val="22"/>
        </w:rPr>
        <w:t>Andrew Hooper, Ph.D.</w:t>
      </w:r>
    </w:p>
    <w:p w:rsidR="009F51C0" w:rsidRPr="00A64090" w:rsidP="00D830D3" w14:paraId="49BB75BE" w14:textId="77777777">
      <w:pPr>
        <w:spacing w:after="0" w:line="240" w:lineRule="auto"/>
        <w:jc w:val="both"/>
        <w:rPr>
          <w:rFonts w:ascii="Aptos" w:hAnsi="Aptos" w:cs="Calibri"/>
          <w:sz w:val="22"/>
          <w:szCs w:val="22"/>
        </w:rPr>
      </w:pPr>
      <w:r w:rsidRPr="00A64090">
        <w:rPr>
          <w:rFonts w:ascii="Aptos" w:hAnsi="Aptos" w:cs="Calibri"/>
          <w:sz w:val="22"/>
          <w:szCs w:val="22"/>
        </w:rPr>
        <w:t>Health Science Policy Analyst</w:t>
      </w:r>
    </w:p>
    <w:p w:rsidR="009F51C0" w:rsidRPr="00A64090" w:rsidP="00D830D3" w14:paraId="37A0D536" w14:textId="77777777">
      <w:pPr>
        <w:spacing w:after="0" w:line="240" w:lineRule="auto"/>
        <w:jc w:val="both"/>
        <w:rPr>
          <w:rFonts w:ascii="Aptos" w:hAnsi="Aptos" w:cs="Calibri"/>
          <w:sz w:val="22"/>
          <w:szCs w:val="22"/>
        </w:rPr>
      </w:pPr>
      <w:r w:rsidRPr="00A64090">
        <w:rPr>
          <w:rFonts w:ascii="Aptos" w:hAnsi="Aptos" w:cs="Calibri"/>
          <w:sz w:val="22"/>
          <w:szCs w:val="22"/>
        </w:rPr>
        <w:t>National Institute of Mental Health</w:t>
      </w:r>
    </w:p>
    <w:p w:rsidR="009F51C0" w:rsidRPr="00A64090" w:rsidP="00D830D3" w14:paraId="302054A1" w14:textId="77777777">
      <w:pPr>
        <w:spacing w:after="0" w:line="240" w:lineRule="auto"/>
        <w:jc w:val="both"/>
        <w:rPr>
          <w:rFonts w:ascii="Aptos" w:hAnsi="Aptos" w:cs="Calibri"/>
          <w:sz w:val="22"/>
          <w:szCs w:val="22"/>
        </w:rPr>
      </w:pPr>
      <w:r w:rsidRPr="00A64090">
        <w:rPr>
          <w:rFonts w:ascii="Aptos" w:hAnsi="Aptos" w:cs="Calibri"/>
          <w:sz w:val="22"/>
          <w:szCs w:val="22"/>
        </w:rPr>
        <w:t>National Institutes of Health</w:t>
      </w:r>
    </w:p>
    <w:p w:rsidR="009F51C0" w:rsidRPr="00A64090" w:rsidP="00D830D3" w14:paraId="4CCE1C2E" w14:textId="1BF1CB9C">
      <w:pPr>
        <w:spacing w:after="0" w:line="240" w:lineRule="auto"/>
        <w:jc w:val="both"/>
        <w:rPr>
          <w:rFonts w:ascii="Aptos" w:hAnsi="Aptos" w:cs="Calibri"/>
          <w:sz w:val="22"/>
          <w:szCs w:val="22"/>
        </w:rPr>
      </w:pPr>
      <w:r w:rsidRPr="00A64090">
        <w:rPr>
          <w:rFonts w:ascii="Aptos" w:hAnsi="Aptos" w:cs="Calibri"/>
          <w:sz w:val="22"/>
          <w:szCs w:val="22"/>
        </w:rPr>
        <w:t>andrew.hooper@nih.gov</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E9B"/>
    <w:rsid w:val="00025775"/>
    <w:rsid w:val="0003482C"/>
    <w:rsid w:val="000466D7"/>
    <w:rsid w:val="00047F4F"/>
    <w:rsid w:val="00052E2F"/>
    <w:rsid w:val="0008655C"/>
    <w:rsid w:val="00096D39"/>
    <w:rsid w:val="000A2A19"/>
    <w:rsid w:val="000A72FF"/>
    <w:rsid w:val="000C1151"/>
    <w:rsid w:val="000C77C8"/>
    <w:rsid w:val="000D3BBA"/>
    <w:rsid w:val="000E1B8F"/>
    <w:rsid w:val="000E3E0F"/>
    <w:rsid w:val="00126854"/>
    <w:rsid w:val="001273F0"/>
    <w:rsid w:val="00156CC3"/>
    <w:rsid w:val="001754A7"/>
    <w:rsid w:val="001977D9"/>
    <w:rsid w:val="00197C57"/>
    <w:rsid w:val="001D1D8B"/>
    <w:rsid w:val="001F211F"/>
    <w:rsid w:val="002024AD"/>
    <w:rsid w:val="00207366"/>
    <w:rsid w:val="00247E5D"/>
    <w:rsid w:val="00250147"/>
    <w:rsid w:val="002A41F8"/>
    <w:rsid w:val="002A760E"/>
    <w:rsid w:val="002F1B4D"/>
    <w:rsid w:val="003066C6"/>
    <w:rsid w:val="00310A1C"/>
    <w:rsid w:val="003137C5"/>
    <w:rsid w:val="00327DD3"/>
    <w:rsid w:val="00332B4B"/>
    <w:rsid w:val="00335A68"/>
    <w:rsid w:val="003645EF"/>
    <w:rsid w:val="003736A1"/>
    <w:rsid w:val="00393493"/>
    <w:rsid w:val="003A672D"/>
    <w:rsid w:val="003B2C0E"/>
    <w:rsid w:val="003B6BA3"/>
    <w:rsid w:val="00407B59"/>
    <w:rsid w:val="00435A19"/>
    <w:rsid w:val="004624E9"/>
    <w:rsid w:val="00463D3C"/>
    <w:rsid w:val="0046415D"/>
    <w:rsid w:val="004920CE"/>
    <w:rsid w:val="00495FC3"/>
    <w:rsid w:val="00497922"/>
    <w:rsid w:val="004A6EF1"/>
    <w:rsid w:val="004B2F13"/>
    <w:rsid w:val="004C0FBB"/>
    <w:rsid w:val="004D3AA0"/>
    <w:rsid w:val="004E5397"/>
    <w:rsid w:val="004F2B55"/>
    <w:rsid w:val="00517361"/>
    <w:rsid w:val="00533E22"/>
    <w:rsid w:val="00536211"/>
    <w:rsid w:val="00543F14"/>
    <w:rsid w:val="00553EF8"/>
    <w:rsid w:val="00561710"/>
    <w:rsid w:val="005665F9"/>
    <w:rsid w:val="00575CF3"/>
    <w:rsid w:val="00611C73"/>
    <w:rsid w:val="00652AA4"/>
    <w:rsid w:val="00652FAC"/>
    <w:rsid w:val="00654D70"/>
    <w:rsid w:val="00665FEA"/>
    <w:rsid w:val="006862BA"/>
    <w:rsid w:val="006B668A"/>
    <w:rsid w:val="006C5E72"/>
    <w:rsid w:val="006D0CE9"/>
    <w:rsid w:val="006D62F7"/>
    <w:rsid w:val="0072421C"/>
    <w:rsid w:val="00731D84"/>
    <w:rsid w:val="0074647C"/>
    <w:rsid w:val="00783A06"/>
    <w:rsid w:val="007860C8"/>
    <w:rsid w:val="00797D07"/>
    <w:rsid w:val="007A3F5F"/>
    <w:rsid w:val="007E0447"/>
    <w:rsid w:val="007E0D69"/>
    <w:rsid w:val="008035EA"/>
    <w:rsid w:val="0080364E"/>
    <w:rsid w:val="00804AFB"/>
    <w:rsid w:val="0081647F"/>
    <w:rsid w:val="008202E7"/>
    <w:rsid w:val="00822E71"/>
    <w:rsid w:val="00835A74"/>
    <w:rsid w:val="00845C30"/>
    <w:rsid w:val="00867195"/>
    <w:rsid w:val="00874D28"/>
    <w:rsid w:val="00881B74"/>
    <w:rsid w:val="008A1DA3"/>
    <w:rsid w:val="008C103E"/>
    <w:rsid w:val="008C3DF3"/>
    <w:rsid w:val="008D3511"/>
    <w:rsid w:val="008E0809"/>
    <w:rsid w:val="00903FC8"/>
    <w:rsid w:val="00906243"/>
    <w:rsid w:val="009064D2"/>
    <w:rsid w:val="009071B5"/>
    <w:rsid w:val="009231B3"/>
    <w:rsid w:val="00942785"/>
    <w:rsid w:val="00946D94"/>
    <w:rsid w:val="00953116"/>
    <w:rsid w:val="009876C2"/>
    <w:rsid w:val="00994149"/>
    <w:rsid w:val="00994D52"/>
    <w:rsid w:val="009A755F"/>
    <w:rsid w:val="009B48CF"/>
    <w:rsid w:val="009D1724"/>
    <w:rsid w:val="009E1DF2"/>
    <w:rsid w:val="009F2F31"/>
    <w:rsid w:val="009F5153"/>
    <w:rsid w:val="009F51C0"/>
    <w:rsid w:val="009F6C9B"/>
    <w:rsid w:val="00A14ED0"/>
    <w:rsid w:val="00A64090"/>
    <w:rsid w:val="00A92BED"/>
    <w:rsid w:val="00A9517E"/>
    <w:rsid w:val="00AB3C3F"/>
    <w:rsid w:val="00AC4B62"/>
    <w:rsid w:val="00AD37EC"/>
    <w:rsid w:val="00AE55F3"/>
    <w:rsid w:val="00AE70EA"/>
    <w:rsid w:val="00B03AD2"/>
    <w:rsid w:val="00B0632E"/>
    <w:rsid w:val="00B10700"/>
    <w:rsid w:val="00B15F67"/>
    <w:rsid w:val="00B2352D"/>
    <w:rsid w:val="00B33A20"/>
    <w:rsid w:val="00B402AE"/>
    <w:rsid w:val="00B43770"/>
    <w:rsid w:val="00B65DEF"/>
    <w:rsid w:val="00B75ED9"/>
    <w:rsid w:val="00B90BC1"/>
    <w:rsid w:val="00BA2347"/>
    <w:rsid w:val="00BA6CCE"/>
    <w:rsid w:val="00BE151B"/>
    <w:rsid w:val="00C52CA6"/>
    <w:rsid w:val="00C85067"/>
    <w:rsid w:val="00C90471"/>
    <w:rsid w:val="00C97A2E"/>
    <w:rsid w:val="00CA5423"/>
    <w:rsid w:val="00CB4E1F"/>
    <w:rsid w:val="00CF295C"/>
    <w:rsid w:val="00D03251"/>
    <w:rsid w:val="00D10126"/>
    <w:rsid w:val="00D250F9"/>
    <w:rsid w:val="00D53482"/>
    <w:rsid w:val="00D830D3"/>
    <w:rsid w:val="00D84873"/>
    <w:rsid w:val="00D87547"/>
    <w:rsid w:val="00DA5805"/>
    <w:rsid w:val="00DD2417"/>
    <w:rsid w:val="00DD44B6"/>
    <w:rsid w:val="00E2304A"/>
    <w:rsid w:val="00E341C7"/>
    <w:rsid w:val="00E62F8D"/>
    <w:rsid w:val="00E822CC"/>
    <w:rsid w:val="00E941E2"/>
    <w:rsid w:val="00EA4E9B"/>
    <w:rsid w:val="00EE0F2E"/>
    <w:rsid w:val="00EF3B4B"/>
    <w:rsid w:val="00F158EB"/>
    <w:rsid w:val="00F42055"/>
    <w:rsid w:val="00F4526F"/>
    <w:rsid w:val="00F67A75"/>
    <w:rsid w:val="00F758A9"/>
    <w:rsid w:val="00F811D8"/>
    <w:rsid w:val="00F848CA"/>
    <w:rsid w:val="00F96007"/>
    <w:rsid w:val="00FB02C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0C3C7A1"/>
  <w15:chartTrackingRefBased/>
  <w15:docId w15:val="{33368708-E8BC-48CA-90E2-E2FF5AA5D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A4E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A4E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A4E9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A4E9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A4E9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A4E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4E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4E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4E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4E9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A4E9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A4E9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A4E9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A4E9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A4E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4E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4E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4E9B"/>
    <w:rPr>
      <w:rFonts w:eastAsiaTheme="majorEastAsia" w:cstheme="majorBidi"/>
      <w:color w:val="272727" w:themeColor="text1" w:themeTint="D8"/>
    </w:rPr>
  </w:style>
  <w:style w:type="paragraph" w:styleId="Title">
    <w:name w:val="Title"/>
    <w:basedOn w:val="Normal"/>
    <w:next w:val="Normal"/>
    <w:link w:val="TitleChar"/>
    <w:uiPriority w:val="10"/>
    <w:qFormat/>
    <w:rsid w:val="00EA4E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4E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4E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4E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4E9B"/>
    <w:pPr>
      <w:spacing w:before="160"/>
      <w:jc w:val="center"/>
    </w:pPr>
    <w:rPr>
      <w:i/>
      <w:iCs/>
      <w:color w:val="404040" w:themeColor="text1" w:themeTint="BF"/>
    </w:rPr>
  </w:style>
  <w:style w:type="character" w:customStyle="1" w:styleId="QuoteChar">
    <w:name w:val="Quote Char"/>
    <w:basedOn w:val="DefaultParagraphFont"/>
    <w:link w:val="Quote"/>
    <w:uiPriority w:val="29"/>
    <w:rsid w:val="00EA4E9B"/>
    <w:rPr>
      <w:i/>
      <w:iCs/>
      <w:color w:val="404040" w:themeColor="text1" w:themeTint="BF"/>
    </w:rPr>
  </w:style>
  <w:style w:type="paragraph" w:styleId="ListParagraph">
    <w:name w:val="List Paragraph"/>
    <w:basedOn w:val="Normal"/>
    <w:uiPriority w:val="34"/>
    <w:qFormat/>
    <w:rsid w:val="00EA4E9B"/>
    <w:pPr>
      <w:ind w:left="720"/>
      <w:contextualSpacing/>
    </w:pPr>
  </w:style>
  <w:style w:type="character" w:styleId="IntenseEmphasis">
    <w:name w:val="Intense Emphasis"/>
    <w:basedOn w:val="DefaultParagraphFont"/>
    <w:uiPriority w:val="21"/>
    <w:qFormat/>
    <w:rsid w:val="00EA4E9B"/>
    <w:rPr>
      <w:i/>
      <w:iCs/>
      <w:color w:val="0F4761" w:themeColor="accent1" w:themeShade="BF"/>
    </w:rPr>
  </w:style>
  <w:style w:type="paragraph" w:styleId="IntenseQuote">
    <w:name w:val="Intense Quote"/>
    <w:basedOn w:val="Normal"/>
    <w:next w:val="Normal"/>
    <w:link w:val="IntenseQuoteChar"/>
    <w:uiPriority w:val="30"/>
    <w:qFormat/>
    <w:rsid w:val="00EA4E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A4E9B"/>
    <w:rPr>
      <w:i/>
      <w:iCs/>
      <w:color w:val="0F4761" w:themeColor="accent1" w:themeShade="BF"/>
    </w:rPr>
  </w:style>
  <w:style w:type="character" w:styleId="IntenseReference">
    <w:name w:val="Intense Reference"/>
    <w:basedOn w:val="DefaultParagraphFont"/>
    <w:uiPriority w:val="32"/>
    <w:qFormat/>
    <w:rsid w:val="00EA4E9B"/>
    <w:rPr>
      <w:b/>
      <w:bCs/>
      <w:smallCaps/>
      <w:color w:val="0F4761" w:themeColor="accent1" w:themeShade="BF"/>
      <w:spacing w:val="5"/>
    </w:rPr>
  </w:style>
  <w:style w:type="character" w:styleId="Hyperlink">
    <w:name w:val="Hyperlink"/>
    <w:basedOn w:val="DefaultParagraphFont"/>
    <w:uiPriority w:val="99"/>
    <w:unhideWhenUsed/>
    <w:qFormat/>
    <w:rsid w:val="000D3BBA"/>
    <w:rPr>
      <w:color w:val="467886" w:themeColor="hyperlink"/>
      <w:u w:val="single"/>
    </w:rPr>
  </w:style>
  <w:style w:type="character" w:styleId="UnresolvedMention">
    <w:name w:val="Unresolved Mention"/>
    <w:basedOn w:val="DefaultParagraphFont"/>
    <w:uiPriority w:val="99"/>
    <w:semiHidden/>
    <w:unhideWhenUsed/>
    <w:rsid w:val="000D3BBA"/>
    <w:rPr>
      <w:color w:val="605E5C"/>
      <w:shd w:val="clear" w:color="auto" w:fill="E1DFDD"/>
    </w:rPr>
  </w:style>
  <w:style w:type="paragraph" w:styleId="NoSpacing">
    <w:name w:val="No Spacing"/>
    <w:uiPriority w:val="1"/>
    <w:qFormat/>
    <w:rsid w:val="00332B4B"/>
    <w:pPr>
      <w:spacing w:after="0" w:line="240" w:lineRule="auto"/>
    </w:pPr>
    <w:rPr>
      <w:kern w:val="0"/>
      <w:sz w:val="22"/>
      <w:szCs w:val="22"/>
      <w14:ligatures w14:val="none"/>
    </w:rPr>
  </w:style>
  <w:style w:type="paragraph" w:styleId="FootnoteText">
    <w:name w:val="footnote text"/>
    <w:basedOn w:val="Normal"/>
    <w:link w:val="FootnoteTextChar"/>
    <w:uiPriority w:val="99"/>
    <w:semiHidden/>
    <w:unhideWhenUsed/>
    <w:rsid w:val="00835A74"/>
    <w:pPr>
      <w:spacing w:after="0" w:line="240" w:lineRule="auto"/>
    </w:pPr>
    <w:rPr>
      <w:rFonts w:ascii="Calibri" w:eastAsia="Calibri" w:hAnsi="Calibri" w:cs="Times New Roman"/>
      <w:kern w:val="0"/>
      <w:sz w:val="20"/>
      <w:szCs w:val="20"/>
      <w14:ligatures w14:val="none"/>
    </w:rPr>
  </w:style>
  <w:style w:type="character" w:customStyle="1" w:styleId="FootnoteTextChar">
    <w:name w:val="Footnote Text Char"/>
    <w:basedOn w:val="DefaultParagraphFont"/>
    <w:link w:val="FootnoteText"/>
    <w:uiPriority w:val="99"/>
    <w:semiHidden/>
    <w:rsid w:val="00835A74"/>
    <w:rPr>
      <w:rFonts w:ascii="Calibri" w:eastAsia="Calibri" w:hAnsi="Calibri" w:cs="Times New Roman"/>
      <w:kern w:val="0"/>
      <w:sz w:val="20"/>
      <w:szCs w:val="20"/>
      <w14:ligatures w14:val="none"/>
    </w:rPr>
  </w:style>
  <w:style w:type="character" w:styleId="FootnoteReference">
    <w:name w:val="footnote reference"/>
    <w:uiPriority w:val="99"/>
    <w:semiHidden/>
    <w:unhideWhenUsed/>
    <w:rsid w:val="00835A74"/>
    <w:rPr>
      <w:vertAlign w:val="superscript"/>
    </w:rPr>
  </w:style>
  <w:style w:type="character" w:styleId="FollowedHyperlink">
    <w:name w:val="FollowedHyperlink"/>
    <w:basedOn w:val="DefaultParagraphFont"/>
    <w:uiPriority w:val="99"/>
    <w:semiHidden/>
    <w:unhideWhenUsed/>
    <w:rsid w:val="009F2F31"/>
    <w:rPr>
      <w:color w:val="96607D" w:themeColor="followedHyperlink"/>
      <w:u w:val="single"/>
    </w:rPr>
  </w:style>
  <w:style w:type="character" w:styleId="CommentReference">
    <w:name w:val="annotation reference"/>
    <w:basedOn w:val="DefaultParagraphFont"/>
    <w:uiPriority w:val="99"/>
    <w:semiHidden/>
    <w:unhideWhenUsed/>
    <w:rsid w:val="00731D84"/>
    <w:rPr>
      <w:sz w:val="16"/>
      <w:szCs w:val="16"/>
    </w:rPr>
  </w:style>
  <w:style w:type="paragraph" w:styleId="CommentText">
    <w:name w:val="annotation text"/>
    <w:basedOn w:val="Normal"/>
    <w:link w:val="CommentTextChar"/>
    <w:uiPriority w:val="99"/>
    <w:unhideWhenUsed/>
    <w:rsid w:val="00731D84"/>
    <w:pPr>
      <w:spacing w:line="240" w:lineRule="auto"/>
    </w:pPr>
    <w:rPr>
      <w:sz w:val="20"/>
      <w:szCs w:val="20"/>
    </w:rPr>
  </w:style>
  <w:style w:type="character" w:customStyle="1" w:styleId="CommentTextChar">
    <w:name w:val="Comment Text Char"/>
    <w:basedOn w:val="DefaultParagraphFont"/>
    <w:link w:val="CommentText"/>
    <w:uiPriority w:val="99"/>
    <w:rsid w:val="00731D84"/>
    <w:rPr>
      <w:sz w:val="20"/>
      <w:szCs w:val="20"/>
    </w:rPr>
  </w:style>
  <w:style w:type="paragraph" w:styleId="CommentSubject">
    <w:name w:val="annotation subject"/>
    <w:basedOn w:val="CommentText"/>
    <w:next w:val="CommentText"/>
    <w:link w:val="CommentSubjectChar"/>
    <w:uiPriority w:val="99"/>
    <w:semiHidden/>
    <w:unhideWhenUsed/>
    <w:rsid w:val="00731D84"/>
    <w:rPr>
      <w:b/>
      <w:bCs/>
    </w:rPr>
  </w:style>
  <w:style w:type="character" w:customStyle="1" w:styleId="CommentSubjectChar">
    <w:name w:val="Comment Subject Char"/>
    <w:basedOn w:val="CommentTextChar"/>
    <w:link w:val="CommentSubject"/>
    <w:uiPriority w:val="99"/>
    <w:semiHidden/>
    <w:rsid w:val="00731D84"/>
    <w:rPr>
      <w:b/>
      <w:bCs/>
      <w:sz w:val="20"/>
      <w:szCs w:val="20"/>
    </w:rPr>
  </w:style>
  <w:style w:type="character" w:customStyle="1" w:styleId="outlook-search-highlight">
    <w:name w:val="outlook-search-highlight"/>
    <w:basedOn w:val="DefaultParagraphFont"/>
    <w:rsid w:val="009231B3"/>
  </w:style>
  <w:style w:type="character" w:customStyle="1" w:styleId="apple-converted-space">
    <w:name w:val="apple-converted-space"/>
    <w:basedOn w:val="DefaultParagraphFont"/>
    <w:rsid w:val="009231B3"/>
  </w:style>
  <w:style w:type="paragraph" w:customStyle="1" w:styleId="p1">
    <w:name w:val="p1"/>
    <w:basedOn w:val="Normal"/>
    <w:rsid w:val="0074647C"/>
    <w:pPr>
      <w:spacing w:after="0" w:line="240" w:lineRule="auto"/>
    </w:pPr>
    <w:rPr>
      <w:rFonts w:ascii="Helvetica" w:eastAsia="Times New Roman" w:hAnsi="Helvetica" w:cs="Times New Roman"/>
      <w:color w:val="000000"/>
      <w:kern w:val="0"/>
      <w:sz w:val="15"/>
      <w:szCs w:val="15"/>
      <w14:ligatures w14:val="none"/>
    </w:rPr>
  </w:style>
  <w:style w:type="paragraph" w:styleId="Revision">
    <w:name w:val="Revision"/>
    <w:hidden/>
    <w:uiPriority w:val="99"/>
    <w:semiHidden/>
    <w:rsid w:val="00156CC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244</Words>
  <Characters>1395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Schmidt, Leigh Anne</dc:creator>
  <cp:lastModifiedBy>Currie, Mikia (NIH/OD) [E]</cp:lastModifiedBy>
  <cp:revision>2</cp:revision>
  <dcterms:created xsi:type="dcterms:W3CDTF">2026-03-30T13:01:00Z</dcterms:created>
  <dcterms:modified xsi:type="dcterms:W3CDTF">2026-03-30T13:01:00Z</dcterms:modified>
</cp:coreProperties>
</file>